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24403234"/>
        <w:docPartObj>
          <w:docPartGallery w:val="Cover Pages"/>
          <w:docPartUnique/>
        </w:docPartObj>
      </w:sdtPr>
      <w:sdtEndPr/>
      <w:sdtContent>
        <w:p w14:paraId="7FF70104" w14:textId="1A0CB399" w:rsidR="00557BDF" w:rsidRDefault="0013038E">
          <w:r w:rsidRPr="009F10B2">
            <w:rPr>
              <w:noProof/>
              <w:sz w:val="20"/>
            </w:rPr>
            <mc:AlternateContent>
              <mc:Choice Requires="wps">
                <w:drawing>
                  <wp:anchor distT="0" distB="0" distL="114300" distR="114300" simplePos="0" relativeHeight="251660800" behindDoc="0" locked="0" layoutInCell="1" allowOverlap="1" wp14:anchorId="7F0A5942" wp14:editId="7352173E">
                    <wp:simplePos x="0" y="0"/>
                    <wp:positionH relativeFrom="column">
                      <wp:posOffset>-965200</wp:posOffset>
                    </wp:positionH>
                    <wp:positionV relativeFrom="paragraph">
                      <wp:posOffset>238125</wp:posOffset>
                    </wp:positionV>
                    <wp:extent cx="9144000" cy="114300"/>
                    <wp:effectExtent l="0" t="1905"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0E5104" id="Rectangle 2" o:spid="_x0000_s1026" style="position:absolute;margin-left:-76pt;margin-top:18.75pt;width:10in;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" stroked="f">
                    <v:fill color2="#1379c5" angle="90" focus="100%" type="gradient"/>
                  </v:rect>
                </w:pict>
              </mc:Fallback>
            </mc:AlternateContent>
          </w:r>
        </w:p>
        <w:p w14:paraId="132A9801" w14:textId="77777777" w:rsidR="0013038E" w:rsidRDefault="0013038E">
          <w:pPr>
            <w:spacing w:after="0"/>
            <w:jc w:val="left"/>
          </w:pPr>
        </w:p>
        <w:p w14:paraId="402C95B5" w14:textId="77777777" w:rsidR="0013038E" w:rsidRDefault="0013038E" w:rsidP="0013038E">
          <w:pPr>
            <w:pStyle w:val="Title"/>
          </w:pPr>
        </w:p>
        <w:p w14:paraId="69BF5DDD" w14:textId="77777777" w:rsidR="0013038E" w:rsidRDefault="0013038E">
          <w:pPr>
            <w:pStyle w:val="Title"/>
          </w:pPr>
        </w:p>
        <w:p w14:paraId="35300F6C" w14:textId="77777777" w:rsidR="0013038E" w:rsidRDefault="0013038E">
          <w:pPr>
            <w:pStyle w:val="Title"/>
          </w:pPr>
        </w:p>
        <w:p w14:paraId="38AE9E69" w14:textId="77777777" w:rsidR="0013038E" w:rsidRDefault="0013038E">
          <w:pPr>
            <w:pStyle w:val="Title"/>
          </w:pPr>
        </w:p>
        <w:p w14:paraId="236F8C3D" w14:textId="0385A243" w:rsidR="0013038E" w:rsidRPr="00A777D1" w:rsidRDefault="0013038E">
          <w:pPr>
            <w:pStyle w:val="Title"/>
            <w:rPr>
              <w:b/>
            </w:rPr>
          </w:pPr>
          <w:r w:rsidRPr="00A777D1">
            <w:rPr>
              <w:b/>
            </w:rPr>
            <w:t>Business Practice Manual for</w:t>
          </w:r>
        </w:p>
        <w:p w14:paraId="0963D32F" w14:textId="77777777" w:rsidR="0013038E" w:rsidRDefault="0013038E" w:rsidP="0013038E">
          <w:pPr>
            <w:pStyle w:val="Title"/>
          </w:pPr>
          <w:r w:rsidRPr="00A777D1">
            <w:rPr>
              <w:b/>
            </w:rPr>
            <w:t>Rules of Conduct Administration</w:t>
          </w:r>
        </w:p>
        <w:p w14:paraId="678CBF92" w14:textId="3A2406ED" w:rsidR="0013038E" w:rsidRDefault="0013038E">
          <w:pPr>
            <w:spacing w:after="0"/>
            <w:jc w:val="left"/>
          </w:pPr>
        </w:p>
        <w:p w14:paraId="4C76ADD1" w14:textId="104FFC3F" w:rsidR="00557BDF" w:rsidRDefault="00AA038D">
          <w:pPr>
            <w:spacing w:after="0"/>
            <w:jc w:val="left"/>
          </w:pPr>
        </w:p>
      </w:sdtContent>
    </w:sdt>
    <w:p w14:paraId="78C884C2" w14:textId="1B37E392" w:rsidR="000C3233" w:rsidRDefault="000C3233">
      <w:pPr>
        <w:jc w:val="center"/>
      </w:pPr>
    </w:p>
    <w:p w14:paraId="3F9A0DB9" w14:textId="77777777" w:rsidR="000C3233" w:rsidRDefault="000C3233"/>
    <w:p w14:paraId="140D46CE" w14:textId="77777777" w:rsidR="000C3233" w:rsidRDefault="000C3233">
      <w:pPr>
        <w:pStyle w:val="ParaText"/>
        <w:spacing w:after="120"/>
        <w:jc w:val="right"/>
        <w:rPr>
          <w:b/>
          <w:bCs/>
        </w:rPr>
      </w:pPr>
    </w:p>
    <w:p w14:paraId="5C620315" w14:textId="77777777" w:rsidR="000C3233" w:rsidRDefault="000C3233">
      <w:pPr>
        <w:pStyle w:val="ParaText"/>
        <w:jc w:val="right"/>
        <w:rPr>
          <w:b/>
          <w:bCs/>
        </w:rPr>
      </w:pPr>
    </w:p>
    <w:p w14:paraId="371D29F3" w14:textId="77777777" w:rsidR="000C3233" w:rsidRDefault="000C3233">
      <w:pPr>
        <w:pStyle w:val="Header"/>
        <w:tabs>
          <w:tab w:val="clear" w:pos="4320"/>
          <w:tab w:val="clear" w:pos="8640"/>
        </w:tabs>
        <w:rPr>
          <w:b w:val="0"/>
          <w:bCs/>
        </w:rPr>
      </w:pPr>
    </w:p>
    <w:p w14:paraId="74DF29A3" w14:textId="77777777" w:rsidR="000C3233" w:rsidRDefault="000C3233">
      <w:pPr>
        <w:pStyle w:val="ParaText"/>
      </w:pPr>
    </w:p>
    <w:p w14:paraId="304D54AB" w14:textId="77777777" w:rsidR="000C3233" w:rsidRDefault="000C3233">
      <w:pPr>
        <w:pStyle w:val="ParaText"/>
      </w:pPr>
    </w:p>
    <w:p w14:paraId="21B5E0BE" w14:textId="77777777" w:rsidR="000C3233" w:rsidRDefault="000C3233">
      <w:pPr>
        <w:pStyle w:val="ParaText"/>
      </w:pPr>
    </w:p>
    <w:p w14:paraId="00A33255" w14:textId="77777777" w:rsidR="000C3233" w:rsidRDefault="000C3233">
      <w:pPr>
        <w:pStyle w:val="ParaText"/>
      </w:pPr>
    </w:p>
    <w:p w14:paraId="0FCE84C7" w14:textId="77777777" w:rsidR="000C3233" w:rsidRDefault="000C3233">
      <w:pPr>
        <w:pStyle w:val="ParaText"/>
      </w:pPr>
    </w:p>
    <w:p w14:paraId="00C88BFB" w14:textId="77777777" w:rsidR="000C3233" w:rsidRDefault="000C3233">
      <w:pPr>
        <w:pStyle w:val="ParaText"/>
      </w:pPr>
    </w:p>
    <w:p w14:paraId="28AED851" w14:textId="77777777" w:rsidR="000C3233" w:rsidRDefault="000C3233">
      <w:pPr>
        <w:pStyle w:val="ParaText"/>
      </w:pPr>
    </w:p>
    <w:p w14:paraId="151371A7" w14:textId="77777777" w:rsidR="0013038E" w:rsidRDefault="0013038E">
      <w:pPr>
        <w:spacing w:after="0"/>
        <w:jc w:val="left"/>
      </w:pPr>
      <w:r>
        <w:br w:type="page"/>
      </w:r>
    </w:p>
    <w:p w14:paraId="6BD8BEF8" w14:textId="4624E72E" w:rsidR="0013038E" w:rsidRDefault="0013038E" w:rsidP="00CD6CB2">
      <w:r>
        <w:lastRenderedPageBreak/>
        <w:t>Version 8</w:t>
      </w:r>
    </w:p>
    <w:p w14:paraId="5E493016" w14:textId="0C481DE7" w:rsidR="0013038E" w:rsidRPr="00CD6CB2" w:rsidRDefault="0013038E" w:rsidP="00CD6CB2">
      <w:pPr>
        <w:pStyle w:val="ParaText"/>
        <w:spacing w:line="360" w:lineRule="auto"/>
        <w:jc w:val="left"/>
      </w:pPr>
      <w:r>
        <w:t xml:space="preserve">Last Revised:  January </w:t>
      </w:r>
      <w:r w:rsidR="00D80EF1">
        <w:t>6</w:t>
      </w:r>
      <w:r>
        <w:t>, 2025</w:t>
      </w:r>
    </w:p>
    <w:p w14:paraId="38C6AAD0" w14:textId="77777777" w:rsidR="0013038E" w:rsidRPr="00CD6CB2" w:rsidRDefault="0013038E" w:rsidP="00CD6CB2">
      <w:pPr>
        <w:spacing w:after="0" w:line="360" w:lineRule="auto"/>
        <w:rPr>
          <w:b/>
          <w:bCs/>
          <w:color w:val="2F5496" w:themeColor="accent5" w:themeShade="BF"/>
          <w:sz w:val="32"/>
        </w:rPr>
      </w:pPr>
      <w:r w:rsidRPr="00CD6CB2">
        <w:rPr>
          <w:b/>
          <w:bCs/>
          <w:color w:val="2F5496" w:themeColor="accent5" w:themeShade="BF"/>
          <w:sz w:val="32"/>
        </w:rPr>
        <w:t>APPROVAL HISTORY</w:t>
      </w:r>
    </w:p>
    <w:p w14:paraId="3893B9D7" w14:textId="1F22CAC7" w:rsidR="0013038E" w:rsidRDefault="0013038E" w:rsidP="00CD6CB2">
      <w:pPr>
        <w:pStyle w:val="ParaText"/>
        <w:spacing w:after="0" w:line="360" w:lineRule="auto"/>
        <w:ind w:firstLine="720"/>
      </w:pPr>
      <w:r>
        <w:t xml:space="preserve">Approval Date: </w:t>
      </w:r>
      <w:r w:rsidR="00AA038D">
        <w:t>March 13, 2009</w:t>
      </w:r>
      <w:bookmarkStart w:id="0" w:name="_GoBack"/>
      <w:bookmarkEnd w:id="0"/>
    </w:p>
    <w:p w14:paraId="164D4380" w14:textId="5AE73915" w:rsidR="0013038E" w:rsidRDefault="0013038E" w:rsidP="00CD6CB2">
      <w:pPr>
        <w:pStyle w:val="ParaText"/>
        <w:spacing w:after="0" w:line="360" w:lineRule="auto"/>
        <w:ind w:firstLine="720"/>
      </w:pPr>
      <w:r>
        <w:t xml:space="preserve">Effective Date: </w:t>
      </w:r>
      <w:r w:rsidR="00AA038D" w:rsidRPr="00AA038D">
        <w:t>March 13, 2009</w:t>
      </w:r>
    </w:p>
    <w:p w14:paraId="2D234989" w14:textId="77777777" w:rsidR="0013038E" w:rsidRDefault="0013038E" w:rsidP="00CD6CB2">
      <w:pPr>
        <w:pStyle w:val="ParaText"/>
        <w:spacing w:after="0" w:line="360" w:lineRule="auto"/>
        <w:ind w:firstLine="720"/>
      </w:pPr>
      <w:r>
        <w:t>BPM Owner: Tricia Johnstone</w:t>
      </w:r>
    </w:p>
    <w:p w14:paraId="3DC8E3E9" w14:textId="77777777" w:rsidR="0013038E" w:rsidRDefault="0013038E" w:rsidP="00CD6CB2">
      <w:pPr>
        <w:pStyle w:val="ParaText"/>
        <w:spacing w:after="0" w:line="360" w:lineRule="auto"/>
        <w:ind w:firstLine="720"/>
      </w:pPr>
      <w:r>
        <w:t>BPM Owner’s Title: Director, Operational Readiness</w:t>
      </w:r>
    </w:p>
    <w:p w14:paraId="6B028001" w14:textId="77777777" w:rsidR="000C3233" w:rsidRDefault="000C3233">
      <w:pPr>
        <w:pStyle w:val="ParaText"/>
      </w:pPr>
    </w:p>
    <w:p w14:paraId="59F59747" w14:textId="77777777" w:rsidR="008A4E26" w:rsidRDefault="008A4E26" w:rsidP="008A4E26">
      <w:pPr>
        <w:pStyle w:val="ParaText"/>
        <w:jc w:val="center"/>
      </w:pPr>
    </w:p>
    <w:p w14:paraId="3DB974CE" w14:textId="77777777" w:rsidR="000C3233" w:rsidRDefault="000C3233">
      <w:pPr>
        <w:pStyle w:val="ParaText"/>
      </w:pPr>
    </w:p>
    <w:p w14:paraId="0EC2DFE6" w14:textId="77777777" w:rsidR="000C3233" w:rsidRDefault="000C3233">
      <w:pPr>
        <w:pStyle w:val="ParaText"/>
        <w:sectPr w:rsidR="000C3233" w:rsidSect="00CD6CB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lowerRoman" w:start="0"/>
          <w:cols w:space="720"/>
          <w:titlePg/>
          <w:docGrid w:linePitch="299"/>
        </w:sectPr>
      </w:pPr>
    </w:p>
    <w:p w14:paraId="4876326F" w14:textId="1BF09192" w:rsidR="0013038E" w:rsidRPr="00CD6CB2" w:rsidRDefault="0013038E" w:rsidP="0013038E">
      <w:pPr>
        <w:jc w:val="center"/>
        <w:rPr>
          <w:b/>
          <w:bCs/>
          <w:color w:val="2F5496" w:themeColor="accent5" w:themeShade="BF"/>
          <w:sz w:val="24"/>
          <w:szCs w:val="24"/>
        </w:rPr>
      </w:pPr>
      <w:r w:rsidRPr="00CD6CB2">
        <w:rPr>
          <w:b/>
          <w:bCs/>
          <w:color w:val="2F5496" w:themeColor="accent5" w:themeShade="BF"/>
          <w:sz w:val="24"/>
          <w:szCs w:val="24"/>
        </w:rPr>
        <w:lastRenderedPageBreak/>
        <w:t>TABLE OF CONTENTS</w:t>
      </w:r>
    </w:p>
    <w:p w14:paraId="1C531D30" w14:textId="06ADC7CD" w:rsidR="00AE3C9C" w:rsidRDefault="0013038E">
      <w:pPr>
        <w:pStyle w:val="TOC1"/>
        <w:rPr>
          <w:rFonts w:asciiTheme="minorHAnsi" w:eastAsiaTheme="minorEastAsia" w:hAnsiTheme="minorHAnsi" w:cstheme="minorBidi"/>
          <w:b w:val="0"/>
          <w:szCs w:val="22"/>
        </w:rPr>
      </w:pPr>
      <w:r>
        <w:fldChar w:fldCharType="begin"/>
      </w:r>
      <w:r>
        <w:instrText xml:space="preserve"> TOC \o "1-3" \h \z </w:instrText>
      </w:r>
      <w:r>
        <w:fldChar w:fldCharType="separate"/>
      </w:r>
      <w:hyperlink w:anchor="_Toc188947199" w:history="1">
        <w:r w:rsidR="00AE3C9C" w:rsidRPr="00B2011C">
          <w:rPr>
            <w:rStyle w:val="Hyperlink"/>
            <w:color w:val="034990" w:themeColor="hyperlink" w:themeShade="BF"/>
          </w:rPr>
          <w:t>1.</w:t>
        </w:r>
        <w:r w:rsidR="00AE3C9C">
          <w:rPr>
            <w:rFonts w:asciiTheme="minorHAnsi" w:eastAsiaTheme="minorEastAsia" w:hAnsiTheme="minorHAnsi" w:cstheme="minorBidi"/>
            <w:b w:val="0"/>
            <w:szCs w:val="22"/>
          </w:rPr>
          <w:tab/>
        </w:r>
        <w:r w:rsidR="00AE3C9C" w:rsidRPr="00B2011C">
          <w:rPr>
            <w:rStyle w:val="Hyperlink"/>
          </w:rPr>
          <w:t>INTRODUCTION</w:t>
        </w:r>
        <w:r w:rsidR="00AE3C9C">
          <w:rPr>
            <w:webHidden/>
          </w:rPr>
          <w:tab/>
        </w:r>
        <w:r w:rsidR="00AE3C9C">
          <w:rPr>
            <w:webHidden/>
          </w:rPr>
          <w:fldChar w:fldCharType="begin"/>
        </w:r>
        <w:r w:rsidR="00AE3C9C">
          <w:rPr>
            <w:webHidden/>
          </w:rPr>
          <w:instrText xml:space="preserve"> PAGEREF _Toc188947199 \h </w:instrText>
        </w:r>
        <w:r w:rsidR="00AE3C9C">
          <w:rPr>
            <w:webHidden/>
          </w:rPr>
        </w:r>
        <w:r w:rsidR="00AE3C9C">
          <w:rPr>
            <w:webHidden/>
          </w:rPr>
          <w:fldChar w:fldCharType="separate"/>
        </w:r>
        <w:r w:rsidR="00E4751E">
          <w:rPr>
            <w:webHidden/>
          </w:rPr>
          <w:t>4</w:t>
        </w:r>
        <w:r w:rsidR="00AE3C9C">
          <w:rPr>
            <w:webHidden/>
          </w:rPr>
          <w:fldChar w:fldCharType="end"/>
        </w:r>
      </w:hyperlink>
    </w:p>
    <w:p w14:paraId="3B937E9F" w14:textId="657C2600" w:rsidR="00AE3C9C" w:rsidRDefault="00AA038D">
      <w:pPr>
        <w:pStyle w:val="TOC2"/>
        <w:rPr>
          <w:rFonts w:asciiTheme="minorHAnsi" w:eastAsiaTheme="minorEastAsia" w:hAnsiTheme="minorHAnsi" w:cstheme="minorBidi"/>
          <w:szCs w:val="22"/>
        </w:rPr>
      </w:pPr>
      <w:hyperlink w:anchor="_Toc188947200" w:history="1">
        <w:r w:rsidR="00AE3C9C" w:rsidRPr="00B2011C">
          <w:rPr>
            <w:rStyle w:val="Hyperlink"/>
          </w:rPr>
          <w:t>1.1</w:t>
        </w:r>
        <w:r w:rsidR="00AE3C9C">
          <w:rPr>
            <w:rFonts w:asciiTheme="minorHAnsi" w:eastAsiaTheme="minorEastAsia" w:hAnsiTheme="minorHAnsi" w:cstheme="minorBidi"/>
            <w:szCs w:val="22"/>
          </w:rPr>
          <w:tab/>
        </w:r>
        <w:r w:rsidR="00AE3C9C" w:rsidRPr="00B2011C">
          <w:rPr>
            <w:rStyle w:val="Hyperlink"/>
          </w:rPr>
          <w:t>Purpose of California ISO Business Practice Manuals</w:t>
        </w:r>
        <w:r w:rsidR="00AE3C9C">
          <w:rPr>
            <w:webHidden/>
          </w:rPr>
          <w:tab/>
        </w:r>
        <w:r w:rsidR="00AE3C9C">
          <w:rPr>
            <w:webHidden/>
          </w:rPr>
          <w:fldChar w:fldCharType="begin"/>
        </w:r>
        <w:r w:rsidR="00AE3C9C">
          <w:rPr>
            <w:webHidden/>
          </w:rPr>
          <w:instrText xml:space="preserve"> PAGEREF _Toc188947200 \h </w:instrText>
        </w:r>
        <w:r w:rsidR="00AE3C9C">
          <w:rPr>
            <w:webHidden/>
          </w:rPr>
        </w:r>
        <w:r w:rsidR="00AE3C9C">
          <w:rPr>
            <w:webHidden/>
          </w:rPr>
          <w:fldChar w:fldCharType="separate"/>
        </w:r>
        <w:r w:rsidR="00E4751E">
          <w:rPr>
            <w:webHidden/>
          </w:rPr>
          <w:t>4</w:t>
        </w:r>
        <w:r w:rsidR="00AE3C9C">
          <w:rPr>
            <w:webHidden/>
          </w:rPr>
          <w:fldChar w:fldCharType="end"/>
        </w:r>
      </w:hyperlink>
    </w:p>
    <w:p w14:paraId="246D7ED8" w14:textId="0947C141" w:rsidR="00AE3C9C" w:rsidRDefault="00AA038D">
      <w:pPr>
        <w:pStyle w:val="TOC2"/>
        <w:rPr>
          <w:rFonts w:asciiTheme="minorHAnsi" w:eastAsiaTheme="minorEastAsia" w:hAnsiTheme="minorHAnsi" w:cstheme="minorBidi"/>
          <w:szCs w:val="22"/>
        </w:rPr>
      </w:pPr>
      <w:hyperlink w:anchor="_Toc188947201" w:history="1">
        <w:r w:rsidR="00AE3C9C" w:rsidRPr="00B2011C">
          <w:rPr>
            <w:rStyle w:val="Hyperlink"/>
          </w:rPr>
          <w:t>1.2</w:t>
        </w:r>
        <w:r w:rsidR="00AE3C9C">
          <w:rPr>
            <w:rFonts w:asciiTheme="minorHAnsi" w:eastAsiaTheme="minorEastAsia" w:hAnsiTheme="minorHAnsi" w:cstheme="minorBidi"/>
            <w:szCs w:val="22"/>
          </w:rPr>
          <w:tab/>
        </w:r>
        <w:r w:rsidR="00AE3C9C" w:rsidRPr="00B2011C">
          <w:rPr>
            <w:rStyle w:val="Hyperlink"/>
          </w:rPr>
          <w:t>Purpose of this Business Practice Manual</w:t>
        </w:r>
        <w:r w:rsidR="00AE3C9C">
          <w:rPr>
            <w:webHidden/>
          </w:rPr>
          <w:tab/>
        </w:r>
        <w:r w:rsidR="00AE3C9C">
          <w:rPr>
            <w:webHidden/>
          </w:rPr>
          <w:fldChar w:fldCharType="begin"/>
        </w:r>
        <w:r w:rsidR="00AE3C9C">
          <w:rPr>
            <w:webHidden/>
          </w:rPr>
          <w:instrText xml:space="preserve"> PAGEREF _Toc188947201 \h </w:instrText>
        </w:r>
        <w:r w:rsidR="00AE3C9C">
          <w:rPr>
            <w:webHidden/>
          </w:rPr>
        </w:r>
        <w:r w:rsidR="00AE3C9C">
          <w:rPr>
            <w:webHidden/>
          </w:rPr>
          <w:fldChar w:fldCharType="separate"/>
        </w:r>
        <w:r w:rsidR="00E4751E">
          <w:rPr>
            <w:webHidden/>
          </w:rPr>
          <w:t>4</w:t>
        </w:r>
        <w:r w:rsidR="00AE3C9C">
          <w:rPr>
            <w:webHidden/>
          </w:rPr>
          <w:fldChar w:fldCharType="end"/>
        </w:r>
      </w:hyperlink>
    </w:p>
    <w:p w14:paraId="17A7D939" w14:textId="077AC96C" w:rsidR="00AE3C9C" w:rsidRDefault="00AA038D">
      <w:pPr>
        <w:pStyle w:val="TOC2"/>
        <w:rPr>
          <w:rFonts w:asciiTheme="minorHAnsi" w:eastAsiaTheme="minorEastAsia" w:hAnsiTheme="minorHAnsi" w:cstheme="minorBidi"/>
          <w:szCs w:val="22"/>
        </w:rPr>
      </w:pPr>
      <w:hyperlink w:anchor="_Toc188947202" w:history="1">
        <w:r w:rsidR="00AE3C9C" w:rsidRPr="00B2011C">
          <w:rPr>
            <w:rStyle w:val="Hyperlink"/>
          </w:rPr>
          <w:t>1.3</w:t>
        </w:r>
        <w:r w:rsidR="00AE3C9C">
          <w:rPr>
            <w:rFonts w:asciiTheme="minorHAnsi" w:eastAsiaTheme="minorEastAsia" w:hAnsiTheme="minorHAnsi" w:cstheme="minorBidi"/>
            <w:szCs w:val="22"/>
          </w:rPr>
          <w:tab/>
        </w:r>
        <w:r w:rsidR="00AE3C9C" w:rsidRPr="00B2011C">
          <w:rPr>
            <w:rStyle w:val="Hyperlink"/>
          </w:rPr>
          <w:t>References</w:t>
        </w:r>
        <w:r w:rsidR="00AE3C9C">
          <w:rPr>
            <w:webHidden/>
          </w:rPr>
          <w:tab/>
        </w:r>
        <w:r w:rsidR="00AE3C9C">
          <w:rPr>
            <w:webHidden/>
          </w:rPr>
          <w:fldChar w:fldCharType="begin"/>
        </w:r>
        <w:r w:rsidR="00AE3C9C">
          <w:rPr>
            <w:webHidden/>
          </w:rPr>
          <w:instrText xml:space="preserve"> PAGEREF _Toc188947202 \h </w:instrText>
        </w:r>
        <w:r w:rsidR="00AE3C9C">
          <w:rPr>
            <w:webHidden/>
          </w:rPr>
        </w:r>
        <w:r w:rsidR="00AE3C9C">
          <w:rPr>
            <w:webHidden/>
          </w:rPr>
          <w:fldChar w:fldCharType="separate"/>
        </w:r>
        <w:r w:rsidR="00E4751E">
          <w:rPr>
            <w:webHidden/>
          </w:rPr>
          <w:t>5</w:t>
        </w:r>
        <w:r w:rsidR="00AE3C9C">
          <w:rPr>
            <w:webHidden/>
          </w:rPr>
          <w:fldChar w:fldCharType="end"/>
        </w:r>
      </w:hyperlink>
    </w:p>
    <w:p w14:paraId="1D450E64" w14:textId="39AEB1EC" w:rsidR="00AE3C9C" w:rsidRDefault="00AA038D">
      <w:pPr>
        <w:pStyle w:val="TOC2"/>
        <w:rPr>
          <w:rFonts w:asciiTheme="minorHAnsi" w:eastAsiaTheme="minorEastAsia" w:hAnsiTheme="minorHAnsi" w:cstheme="minorBidi"/>
          <w:szCs w:val="22"/>
        </w:rPr>
      </w:pPr>
      <w:hyperlink w:anchor="_Toc188947203" w:history="1">
        <w:r w:rsidR="00AE3C9C" w:rsidRPr="00B2011C">
          <w:rPr>
            <w:rStyle w:val="Hyperlink"/>
          </w:rPr>
          <w:t>1.4</w:t>
        </w:r>
        <w:r w:rsidR="00AE3C9C">
          <w:rPr>
            <w:rFonts w:asciiTheme="minorHAnsi" w:eastAsiaTheme="minorEastAsia" w:hAnsiTheme="minorHAnsi" w:cstheme="minorBidi"/>
            <w:szCs w:val="22"/>
          </w:rPr>
          <w:tab/>
        </w:r>
        <w:r w:rsidR="00AE3C9C" w:rsidRPr="00B2011C">
          <w:rPr>
            <w:rStyle w:val="Hyperlink"/>
          </w:rPr>
          <w:t>Acronyms &amp; Specialized Terms</w:t>
        </w:r>
        <w:r w:rsidR="00AE3C9C">
          <w:rPr>
            <w:webHidden/>
          </w:rPr>
          <w:tab/>
        </w:r>
        <w:r w:rsidR="00AE3C9C">
          <w:rPr>
            <w:webHidden/>
          </w:rPr>
          <w:fldChar w:fldCharType="begin"/>
        </w:r>
        <w:r w:rsidR="00AE3C9C">
          <w:rPr>
            <w:webHidden/>
          </w:rPr>
          <w:instrText xml:space="preserve"> PAGEREF _Toc188947203 \h </w:instrText>
        </w:r>
        <w:r w:rsidR="00AE3C9C">
          <w:rPr>
            <w:webHidden/>
          </w:rPr>
        </w:r>
        <w:r w:rsidR="00AE3C9C">
          <w:rPr>
            <w:webHidden/>
          </w:rPr>
          <w:fldChar w:fldCharType="separate"/>
        </w:r>
        <w:r w:rsidR="00E4751E">
          <w:rPr>
            <w:webHidden/>
          </w:rPr>
          <w:t>5</w:t>
        </w:r>
        <w:r w:rsidR="00AE3C9C">
          <w:rPr>
            <w:webHidden/>
          </w:rPr>
          <w:fldChar w:fldCharType="end"/>
        </w:r>
      </w:hyperlink>
    </w:p>
    <w:p w14:paraId="7D45CC05" w14:textId="731A4A6E" w:rsidR="00AE3C9C" w:rsidRDefault="00AA038D">
      <w:pPr>
        <w:pStyle w:val="TOC1"/>
        <w:rPr>
          <w:rFonts w:asciiTheme="minorHAnsi" w:eastAsiaTheme="minorEastAsia" w:hAnsiTheme="minorHAnsi" w:cstheme="minorBidi"/>
          <w:b w:val="0"/>
          <w:szCs w:val="22"/>
        </w:rPr>
      </w:pPr>
      <w:hyperlink w:anchor="_Toc188947204" w:history="1">
        <w:r w:rsidR="00AE3C9C" w:rsidRPr="00B2011C">
          <w:rPr>
            <w:rStyle w:val="Hyperlink"/>
            <w:color w:val="034990" w:themeColor="hyperlink" w:themeShade="BF"/>
          </w:rPr>
          <w:t>2.</w:t>
        </w:r>
        <w:r w:rsidR="00AE3C9C">
          <w:rPr>
            <w:rFonts w:asciiTheme="minorHAnsi" w:eastAsiaTheme="minorEastAsia" w:hAnsiTheme="minorHAnsi" w:cstheme="minorBidi"/>
            <w:b w:val="0"/>
            <w:szCs w:val="22"/>
          </w:rPr>
          <w:tab/>
        </w:r>
        <w:r w:rsidR="00AE3C9C" w:rsidRPr="00B2011C">
          <w:rPr>
            <w:rStyle w:val="Hyperlink"/>
          </w:rPr>
          <w:t>OVERVIEW OF RULES OF CONDUCT</w:t>
        </w:r>
        <w:r w:rsidR="00AE3C9C">
          <w:rPr>
            <w:webHidden/>
          </w:rPr>
          <w:tab/>
        </w:r>
        <w:r w:rsidR="00AE3C9C">
          <w:rPr>
            <w:webHidden/>
          </w:rPr>
          <w:fldChar w:fldCharType="begin"/>
        </w:r>
        <w:r w:rsidR="00AE3C9C">
          <w:rPr>
            <w:webHidden/>
          </w:rPr>
          <w:instrText xml:space="preserve"> PAGEREF _Toc188947204 \h </w:instrText>
        </w:r>
        <w:r w:rsidR="00AE3C9C">
          <w:rPr>
            <w:webHidden/>
          </w:rPr>
        </w:r>
        <w:r w:rsidR="00AE3C9C">
          <w:rPr>
            <w:webHidden/>
          </w:rPr>
          <w:fldChar w:fldCharType="separate"/>
        </w:r>
        <w:r w:rsidR="00E4751E">
          <w:rPr>
            <w:webHidden/>
          </w:rPr>
          <w:t>6</w:t>
        </w:r>
        <w:r w:rsidR="00AE3C9C">
          <w:rPr>
            <w:webHidden/>
          </w:rPr>
          <w:fldChar w:fldCharType="end"/>
        </w:r>
      </w:hyperlink>
    </w:p>
    <w:p w14:paraId="79B0D6C5" w14:textId="4FDF6C63" w:rsidR="00AE3C9C" w:rsidRDefault="00AA038D">
      <w:pPr>
        <w:pStyle w:val="TOC2"/>
        <w:rPr>
          <w:rFonts w:asciiTheme="minorHAnsi" w:eastAsiaTheme="minorEastAsia" w:hAnsiTheme="minorHAnsi" w:cstheme="minorBidi"/>
          <w:szCs w:val="22"/>
        </w:rPr>
      </w:pPr>
      <w:hyperlink w:anchor="_Toc188947205" w:history="1">
        <w:r w:rsidR="00AE3C9C" w:rsidRPr="00B2011C">
          <w:rPr>
            <w:rStyle w:val="Hyperlink"/>
          </w:rPr>
          <w:t>2.1</w:t>
        </w:r>
        <w:r w:rsidR="00AE3C9C">
          <w:rPr>
            <w:rFonts w:asciiTheme="minorHAnsi" w:eastAsiaTheme="minorEastAsia" w:hAnsiTheme="minorHAnsi" w:cstheme="minorBidi"/>
            <w:szCs w:val="22"/>
          </w:rPr>
          <w:tab/>
        </w:r>
        <w:r w:rsidR="00AE3C9C" w:rsidRPr="00B2011C">
          <w:rPr>
            <w:rStyle w:val="Hyperlink"/>
          </w:rPr>
          <w:t>Rules of Conduct Summary</w:t>
        </w:r>
        <w:r w:rsidR="00AE3C9C">
          <w:rPr>
            <w:webHidden/>
          </w:rPr>
          <w:tab/>
        </w:r>
        <w:r w:rsidR="00AE3C9C">
          <w:rPr>
            <w:webHidden/>
          </w:rPr>
          <w:fldChar w:fldCharType="begin"/>
        </w:r>
        <w:r w:rsidR="00AE3C9C">
          <w:rPr>
            <w:webHidden/>
          </w:rPr>
          <w:instrText xml:space="preserve"> PAGEREF _Toc188947205 \h </w:instrText>
        </w:r>
        <w:r w:rsidR="00AE3C9C">
          <w:rPr>
            <w:webHidden/>
          </w:rPr>
        </w:r>
        <w:r w:rsidR="00AE3C9C">
          <w:rPr>
            <w:webHidden/>
          </w:rPr>
          <w:fldChar w:fldCharType="separate"/>
        </w:r>
        <w:r w:rsidR="00E4751E">
          <w:rPr>
            <w:webHidden/>
          </w:rPr>
          <w:t>6</w:t>
        </w:r>
        <w:r w:rsidR="00AE3C9C">
          <w:rPr>
            <w:webHidden/>
          </w:rPr>
          <w:fldChar w:fldCharType="end"/>
        </w:r>
      </w:hyperlink>
    </w:p>
    <w:p w14:paraId="102C469F" w14:textId="507E0B6D" w:rsidR="00AE3C9C" w:rsidRDefault="00AA038D">
      <w:pPr>
        <w:pStyle w:val="TOC2"/>
        <w:rPr>
          <w:rFonts w:asciiTheme="minorHAnsi" w:eastAsiaTheme="minorEastAsia" w:hAnsiTheme="minorHAnsi" w:cstheme="minorBidi"/>
          <w:szCs w:val="22"/>
        </w:rPr>
      </w:pPr>
      <w:hyperlink w:anchor="_Toc188947206" w:history="1">
        <w:r w:rsidR="00AE3C9C" w:rsidRPr="00B2011C">
          <w:rPr>
            <w:rStyle w:val="Hyperlink"/>
          </w:rPr>
          <w:t>2.2</w:t>
        </w:r>
        <w:r w:rsidR="00AE3C9C">
          <w:rPr>
            <w:rFonts w:asciiTheme="minorHAnsi" w:eastAsiaTheme="minorEastAsia" w:hAnsiTheme="minorHAnsi" w:cstheme="minorBidi"/>
            <w:szCs w:val="22"/>
          </w:rPr>
          <w:tab/>
        </w:r>
        <w:r w:rsidR="00AE3C9C" w:rsidRPr="00B2011C">
          <w:rPr>
            <w:rStyle w:val="Hyperlink"/>
          </w:rPr>
          <w:t>Summary of Behavior Subject to Sanction</w:t>
        </w:r>
        <w:r w:rsidR="00AE3C9C">
          <w:rPr>
            <w:webHidden/>
          </w:rPr>
          <w:tab/>
        </w:r>
        <w:r w:rsidR="00AE3C9C">
          <w:rPr>
            <w:webHidden/>
          </w:rPr>
          <w:fldChar w:fldCharType="begin"/>
        </w:r>
        <w:r w:rsidR="00AE3C9C">
          <w:rPr>
            <w:webHidden/>
          </w:rPr>
          <w:instrText xml:space="preserve"> PAGEREF _Toc188947206 \h </w:instrText>
        </w:r>
        <w:r w:rsidR="00AE3C9C">
          <w:rPr>
            <w:webHidden/>
          </w:rPr>
        </w:r>
        <w:r w:rsidR="00AE3C9C">
          <w:rPr>
            <w:webHidden/>
          </w:rPr>
          <w:fldChar w:fldCharType="separate"/>
        </w:r>
        <w:r w:rsidR="00E4751E">
          <w:rPr>
            <w:webHidden/>
          </w:rPr>
          <w:t>7</w:t>
        </w:r>
        <w:r w:rsidR="00AE3C9C">
          <w:rPr>
            <w:webHidden/>
          </w:rPr>
          <w:fldChar w:fldCharType="end"/>
        </w:r>
      </w:hyperlink>
    </w:p>
    <w:p w14:paraId="0D9DE967" w14:textId="3FE12F32" w:rsidR="00AE3C9C" w:rsidRDefault="00AA038D">
      <w:pPr>
        <w:pStyle w:val="TOC1"/>
        <w:rPr>
          <w:rFonts w:asciiTheme="minorHAnsi" w:eastAsiaTheme="minorEastAsia" w:hAnsiTheme="minorHAnsi" w:cstheme="minorBidi"/>
          <w:b w:val="0"/>
          <w:szCs w:val="22"/>
        </w:rPr>
      </w:pPr>
      <w:hyperlink w:anchor="_Toc188947207" w:history="1">
        <w:r w:rsidR="00AE3C9C" w:rsidRPr="00B2011C">
          <w:rPr>
            <w:rStyle w:val="Hyperlink"/>
            <w:color w:val="034990" w:themeColor="hyperlink" w:themeShade="BF"/>
          </w:rPr>
          <w:t>3.</w:t>
        </w:r>
        <w:r w:rsidR="00AE3C9C">
          <w:rPr>
            <w:rFonts w:asciiTheme="minorHAnsi" w:eastAsiaTheme="minorEastAsia" w:hAnsiTheme="minorHAnsi" w:cstheme="minorBidi"/>
            <w:b w:val="0"/>
            <w:szCs w:val="22"/>
          </w:rPr>
          <w:tab/>
        </w:r>
        <w:r w:rsidR="00AE3C9C" w:rsidRPr="00B2011C">
          <w:rPr>
            <w:rStyle w:val="Hyperlink"/>
          </w:rPr>
          <w:t>CAISO ADMINISTRATION PROCEDURES FOR RULES OF CONDUCT</w:t>
        </w:r>
        <w:r w:rsidR="00AE3C9C">
          <w:rPr>
            <w:webHidden/>
          </w:rPr>
          <w:tab/>
        </w:r>
        <w:r w:rsidR="00AE3C9C">
          <w:rPr>
            <w:webHidden/>
          </w:rPr>
          <w:fldChar w:fldCharType="begin"/>
        </w:r>
        <w:r w:rsidR="00AE3C9C">
          <w:rPr>
            <w:webHidden/>
          </w:rPr>
          <w:instrText xml:space="preserve"> PAGEREF _Toc188947207 \h </w:instrText>
        </w:r>
        <w:r w:rsidR="00AE3C9C">
          <w:rPr>
            <w:webHidden/>
          </w:rPr>
        </w:r>
        <w:r w:rsidR="00AE3C9C">
          <w:rPr>
            <w:webHidden/>
          </w:rPr>
          <w:fldChar w:fldCharType="separate"/>
        </w:r>
        <w:r w:rsidR="00E4751E">
          <w:rPr>
            <w:webHidden/>
          </w:rPr>
          <w:t>8</w:t>
        </w:r>
        <w:r w:rsidR="00AE3C9C">
          <w:rPr>
            <w:webHidden/>
          </w:rPr>
          <w:fldChar w:fldCharType="end"/>
        </w:r>
      </w:hyperlink>
    </w:p>
    <w:p w14:paraId="7E0FCB43" w14:textId="6F21759C" w:rsidR="00AE3C9C" w:rsidRDefault="00AA038D">
      <w:pPr>
        <w:pStyle w:val="TOC2"/>
        <w:rPr>
          <w:rFonts w:asciiTheme="minorHAnsi" w:eastAsiaTheme="minorEastAsia" w:hAnsiTheme="minorHAnsi" w:cstheme="minorBidi"/>
          <w:szCs w:val="22"/>
        </w:rPr>
      </w:pPr>
      <w:hyperlink w:anchor="_Toc188947208" w:history="1">
        <w:r w:rsidR="00AE3C9C" w:rsidRPr="00B2011C">
          <w:rPr>
            <w:rStyle w:val="Hyperlink"/>
          </w:rPr>
          <w:t>3.1</w:t>
        </w:r>
        <w:r w:rsidR="00AE3C9C">
          <w:rPr>
            <w:rFonts w:asciiTheme="minorHAnsi" w:eastAsiaTheme="minorEastAsia" w:hAnsiTheme="minorHAnsi" w:cstheme="minorBidi"/>
            <w:szCs w:val="22"/>
          </w:rPr>
          <w:tab/>
        </w:r>
        <w:r w:rsidR="00AE3C9C" w:rsidRPr="00B2011C">
          <w:rPr>
            <w:rStyle w:val="Hyperlink"/>
          </w:rPr>
          <w:t>Overview</w:t>
        </w:r>
        <w:r w:rsidR="00AE3C9C">
          <w:rPr>
            <w:webHidden/>
          </w:rPr>
          <w:tab/>
        </w:r>
        <w:r w:rsidR="00AE3C9C">
          <w:rPr>
            <w:webHidden/>
          </w:rPr>
          <w:fldChar w:fldCharType="begin"/>
        </w:r>
        <w:r w:rsidR="00AE3C9C">
          <w:rPr>
            <w:webHidden/>
          </w:rPr>
          <w:instrText xml:space="preserve"> PAGEREF _Toc188947208 \h </w:instrText>
        </w:r>
        <w:r w:rsidR="00AE3C9C">
          <w:rPr>
            <w:webHidden/>
          </w:rPr>
        </w:r>
        <w:r w:rsidR="00AE3C9C">
          <w:rPr>
            <w:webHidden/>
          </w:rPr>
          <w:fldChar w:fldCharType="separate"/>
        </w:r>
        <w:r w:rsidR="00E4751E">
          <w:rPr>
            <w:webHidden/>
          </w:rPr>
          <w:t>8</w:t>
        </w:r>
        <w:r w:rsidR="00AE3C9C">
          <w:rPr>
            <w:webHidden/>
          </w:rPr>
          <w:fldChar w:fldCharType="end"/>
        </w:r>
      </w:hyperlink>
    </w:p>
    <w:p w14:paraId="3EF5C80B" w14:textId="1C2E8CDA" w:rsidR="00AE3C9C" w:rsidRDefault="00AA038D">
      <w:pPr>
        <w:pStyle w:val="TOC2"/>
        <w:rPr>
          <w:rFonts w:asciiTheme="minorHAnsi" w:eastAsiaTheme="minorEastAsia" w:hAnsiTheme="minorHAnsi" w:cstheme="minorBidi"/>
          <w:szCs w:val="22"/>
        </w:rPr>
      </w:pPr>
      <w:hyperlink w:anchor="_Toc188947210" w:history="1">
        <w:r w:rsidR="00AE3C9C" w:rsidRPr="00B2011C">
          <w:rPr>
            <w:rStyle w:val="Hyperlink"/>
          </w:rPr>
          <w:t>3.2</w:t>
        </w:r>
        <w:r w:rsidR="00AE3C9C">
          <w:rPr>
            <w:rFonts w:asciiTheme="minorHAnsi" w:eastAsiaTheme="minorEastAsia" w:hAnsiTheme="minorHAnsi" w:cstheme="minorBidi"/>
            <w:szCs w:val="22"/>
          </w:rPr>
          <w:tab/>
        </w:r>
        <w:r w:rsidR="00AE3C9C" w:rsidRPr="00B2011C">
          <w:rPr>
            <w:rStyle w:val="Hyperlink"/>
          </w:rPr>
          <w:t>Monitoring &amp; Preliminary Investigation</w:t>
        </w:r>
        <w:r w:rsidR="00AE3C9C">
          <w:rPr>
            <w:webHidden/>
          </w:rPr>
          <w:tab/>
        </w:r>
        <w:r w:rsidR="00AE3C9C">
          <w:rPr>
            <w:webHidden/>
          </w:rPr>
          <w:fldChar w:fldCharType="begin"/>
        </w:r>
        <w:r w:rsidR="00AE3C9C">
          <w:rPr>
            <w:webHidden/>
          </w:rPr>
          <w:instrText xml:space="preserve"> PAGEREF _Toc188947210 \h </w:instrText>
        </w:r>
        <w:r w:rsidR="00AE3C9C">
          <w:rPr>
            <w:webHidden/>
          </w:rPr>
        </w:r>
        <w:r w:rsidR="00AE3C9C">
          <w:rPr>
            <w:webHidden/>
          </w:rPr>
          <w:fldChar w:fldCharType="separate"/>
        </w:r>
        <w:r w:rsidR="00E4751E">
          <w:rPr>
            <w:webHidden/>
          </w:rPr>
          <w:t>9</w:t>
        </w:r>
        <w:r w:rsidR="00AE3C9C">
          <w:rPr>
            <w:webHidden/>
          </w:rPr>
          <w:fldChar w:fldCharType="end"/>
        </w:r>
      </w:hyperlink>
    </w:p>
    <w:p w14:paraId="76082DD4" w14:textId="2C1580C6" w:rsidR="00AE3C9C" w:rsidRDefault="00AA038D">
      <w:pPr>
        <w:pStyle w:val="TOC3"/>
        <w:rPr>
          <w:rFonts w:asciiTheme="minorHAnsi" w:eastAsiaTheme="minorEastAsia" w:hAnsiTheme="minorHAnsi" w:cstheme="minorBidi"/>
          <w:szCs w:val="22"/>
        </w:rPr>
      </w:pPr>
      <w:hyperlink w:anchor="_Toc188947211" w:history="1">
        <w:r w:rsidR="00AE3C9C" w:rsidRPr="00B2011C">
          <w:rPr>
            <w:rStyle w:val="Hyperlink"/>
          </w:rPr>
          <w:t>3.2.1</w:t>
        </w:r>
        <w:r w:rsidR="00AE3C9C">
          <w:rPr>
            <w:rFonts w:asciiTheme="minorHAnsi" w:eastAsiaTheme="minorEastAsia" w:hAnsiTheme="minorHAnsi" w:cstheme="minorBidi"/>
            <w:szCs w:val="22"/>
          </w:rPr>
          <w:tab/>
        </w:r>
        <w:r w:rsidR="00AE3C9C" w:rsidRPr="00B2011C">
          <w:rPr>
            <w:rStyle w:val="Hyperlink"/>
          </w:rPr>
          <w:t>Referrals to FERC</w:t>
        </w:r>
        <w:r w:rsidR="00AE3C9C">
          <w:rPr>
            <w:webHidden/>
          </w:rPr>
          <w:tab/>
        </w:r>
        <w:r w:rsidR="00AE3C9C">
          <w:rPr>
            <w:webHidden/>
          </w:rPr>
          <w:fldChar w:fldCharType="begin"/>
        </w:r>
        <w:r w:rsidR="00AE3C9C">
          <w:rPr>
            <w:webHidden/>
          </w:rPr>
          <w:instrText xml:space="preserve"> PAGEREF _Toc188947211 \h </w:instrText>
        </w:r>
        <w:r w:rsidR="00AE3C9C">
          <w:rPr>
            <w:webHidden/>
          </w:rPr>
        </w:r>
        <w:r w:rsidR="00AE3C9C">
          <w:rPr>
            <w:webHidden/>
          </w:rPr>
          <w:fldChar w:fldCharType="separate"/>
        </w:r>
        <w:r w:rsidR="00E4751E">
          <w:rPr>
            <w:webHidden/>
          </w:rPr>
          <w:t>11</w:t>
        </w:r>
        <w:r w:rsidR="00AE3C9C">
          <w:rPr>
            <w:webHidden/>
          </w:rPr>
          <w:fldChar w:fldCharType="end"/>
        </w:r>
      </w:hyperlink>
    </w:p>
    <w:p w14:paraId="32D30412" w14:textId="438301D8" w:rsidR="00AE3C9C" w:rsidRDefault="00AA038D">
      <w:pPr>
        <w:pStyle w:val="TOC3"/>
        <w:rPr>
          <w:rFonts w:asciiTheme="minorHAnsi" w:eastAsiaTheme="minorEastAsia" w:hAnsiTheme="minorHAnsi" w:cstheme="minorBidi"/>
          <w:szCs w:val="22"/>
        </w:rPr>
      </w:pPr>
      <w:hyperlink w:anchor="_Toc188947213" w:history="1">
        <w:r w:rsidR="00AE3C9C" w:rsidRPr="00B2011C">
          <w:rPr>
            <w:rStyle w:val="Hyperlink"/>
          </w:rPr>
          <w:t>3.2.2</w:t>
        </w:r>
        <w:r w:rsidR="00AE3C9C">
          <w:rPr>
            <w:rFonts w:asciiTheme="minorHAnsi" w:eastAsiaTheme="minorEastAsia" w:hAnsiTheme="minorHAnsi" w:cstheme="minorBidi"/>
            <w:szCs w:val="22"/>
          </w:rPr>
          <w:tab/>
        </w:r>
        <w:r w:rsidR="00AE3C9C" w:rsidRPr="00B2011C">
          <w:rPr>
            <w:rStyle w:val="Hyperlink"/>
          </w:rPr>
          <w:t>Notifying DMM of Potential Market Violations</w:t>
        </w:r>
        <w:r w:rsidR="00AE3C9C">
          <w:rPr>
            <w:webHidden/>
          </w:rPr>
          <w:tab/>
        </w:r>
        <w:r w:rsidR="00AE3C9C">
          <w:rPr>
            <w:webHidden/>
          </w:rPr>
          <w:fldChar w:fldCharType="begin"/>
        </w:r>
        <w:r w:rsidR="00AE3C9C">
          <w:rPr>
            <w:webHidden/>
          </w:rPr>
          <w:instrText xml:space="preserve"> PAGEREF _Toc188947213 \h </w:instrText>
        </w:r>
        <w:r w:rsidR="00AE3C9C">
          <w:rPr>
            <w:webHidden/>
          </w:rPr>
        </w:r>
        <w:r w:rsidR="00AE3C9C">
          <w:rPr>
            <w:webHidden/>
          </w:rPr>
          <w:fldChar w:fldCharType="separate"/>
        </w:r>
        <w:r w:rsidR="00E4751E">
          <w:rPr>
            <w:webHidden/>
          </w:rPr>
          <w:t>11</w:t>
        </w:r>
        <w:r w:rsidR="00AE3C9C">
          <w:rPr>
            <w:webHidden/>
          </w:rPr>
          <w:fldChar w:fldCharType="end"/>
        </w:r>
      </w:hyperlink>
    </w:p>
    <w:p w14:paraId="644FE94C" w14:textId="2AEA384D" w:rsidR="00AE3C9C" w:rsidRDefault="00AA038D">
      <w:pPr>
        <w:pStyle w:val="TOC2"/>
        <w:rPr>
          <w:rFonts w:asciiTheme="minorHAnsi" w:eastAsiaTheme="minorEastAsia" w:hAnsiTheme="minorHAnsi" w:cstheme="minorBidi"/>
          <w:szCs w:val="22"/>
        </w:rPr>
      </w:pPr>
      <w:hyperlink w:anchor="_Toc188947218" w:history="1">
        <w:r w:rsidR="00AE3C9C" w:rsidRPr="00B2011C">
          <w:rPr>
            <w:rStyle w:val="Hyperlink"/>
          </w:rPr>
          <w:t>3.3</w:t>
        </w:r>
        <w:r w:rsidR="00AE3C9C">
          <w:rPr>
            <w:rFonts w:asciiTheme="minorHAnsi" w:eastAsiaTheme="minorEastAsia" w:hAnsiTheme="minorHAnsi" w:cstheme="minorBidi"/>
            <w:szCs w:val="22"/>
          </w:rPr>
          <w:tab/>
        </w:r>
        <w:r w:rsidR="00AE3C9C" w:rsidRPr="00B2011C">
          <w:rPr>
            <w:rStyle w:val="Hyperlink"/>
          </w:rPr>
          <w:t>Investigation</w:t>
        </w:r>
        <w:r w:rsidR="00AE3C9C">
          <w:rPr>
            <w:webHidden/>
          </w:rPr>
          <w:tab/>
        </w:r>
        <w:r w:rsidR="00AE3C9C">
          <w:rPr>
            <w:webHidden/>
          </w:rPr>
          <w:fldChar w:fldCharType="begin"/>
        </w:r>
        <w:r w:rsidR="00AE3C9C">
          <w:rPr>
            <w:webHidden/>
          </w:rPr>
          <w:instrText xml:space="preserve"> PAGEREF _Toc188947218 \h </w:instrText>
        </w:r>
        <w:r w:rsidR="00AE3C9C">
          <w:rPr>
            <w:webHidden/>
          </w:rPr>
        </w:r>
        <w:r w:rsidR="00AE3C9C">
          <w:rPr>
            <w:webHidden/>
          </w:rPr>
          <w:fldChar w:fldCharType="separate"/>
        </w:r>
        <w:r w:rsidR="00E4751E">
          <w:rPr>
            <w:webHidden/>
          </w:rPr>
          <w:t>11</w:t>
        </w:r>
        <w:r w:rsidR="00AE3C9C">
          <w:rPr>
            <w:webHidden/>
          </w:rPr>
          <w:fldChar w:fldCharType="end"/>
        </w:r>
      </w:hyperlink>
    </w:p>
    <w:p w14:paraId="68B602BE" w14:textId="75DE38E8" w:rsidR="00AE3C9C" w:rsidRDefault="00AA038D">
      <w:pPr>
        <w:pStyle w:val="TOC3"/>
        <w:rPr>
          <w:rFonts w:asciiTheme="minorHAnsi" w:eastAsiaTheme="minorEastAsia" w:hAnsiTheme="minorHAnsi" w:cstheme="minorBidi"/>
          <w:szCs w:val="22"/>
        </w:rPr>
      </w:pPr>
      <w:hyperlink w:anchor="_Toc188947219" w:history="1">
        <w:r w:rsidR="00AE3C9C" w:rsidRPr="00B2011C">
          <w:rPr>
            <w:rStyle w:val="Hyperlink"/>
          </w:rPr>
          <w:t>3.3.1</w:t>
        </w:r>
        <w:r w:rsidR="00AE3C9C">
          <w:rPr>
            <w:rFonts w:asciiTheme="minorHAnsi" w:eastAsiaTheme="minorEastAsia" w:hAnsiTheme="minorHAnsi" w:cstheme="minorBidi"/>
            <w:szCs w:val="22"/>
          </w:rPr>
          <w:tab/>
        </w:r>
        <w:r w:rsidR="00AE3C9C" w:rsidRPr="00B2011C">
          <w:rPr>
            <w:rStyle w:val="Hyperlink"/>
          </w:rPr>
          <w:t>Conducting Investigation</w:t>
        </w:r>
        <w:r w:rsidR="00AE3C9C">
          <w:rPr>
            <w:webHidden/>
          </w:rPr>
          <w:tab/>
        </w:r>
        <w:r w:rsidR="00AE3C9C">
          <w:rPr>
            <w:webHidden/>
          </w:rPr>
          <w:fldChar w:fldCharType="begin"/>
        </w:r>
        <w:r w:rsidR="00AE3C9C">
          <w:rPr>
            <w:webHidden/>
          </w:rPr>
          <w:instrText xml:space="preserve"> PAGEREF _Toc188947219 \h </w:instrText>
        </w:r>
        <w:r w:rsidR="00AE3C9C">
          <w:rPr>
            <w:webHidden/>
          </w:rPr>
        </w:r>
        <w:r w:rsidR="00AE3C9C">
          <w:rPr>
            <w:webHidden/>
          </w:rPr>
          <w:fldChar w:fldCharType="separate"/>
        </w:r>
        <w:r w:rsidR="00E4751E">
          <w:rPr>
            <w:webHidden/>
          </w:rPr>
          <w:t>12</w:t>
        </w:r>
        <w:r w:rsidR="00AE3C9C">
          <w:rPr>
            <w:webHidden/>
          </w:rPr>
          <w:fldChar w:fldCharType="end"/>
        </w:r>
      </w:hyperlink>
    </w:p>
    <w:p w14:paraId="29940FB6" w14:textId="729AB2DD" w:rsidR="00AE3C9C" w:rsidRDefault="00AA038D">
      <w:pPr>
        <w:pStyle w:val="TOC3"/>
        <w:rPr>
          <w:rFonts w:asciiTheme="minorHAnsi" w:eastAsiaTheme="minorEastAsia" w:hAnsiTheme="minorHAnsi" w:cstheme="minorBidi"/>
          <w:szCs w:val="22"/>
        </w:rPr>
      </w:pPr>
      <w:hyperlink w:anchor="_Toc188947220" w:history="1">
        <w:r w:rsidR="00AE3C9C" w:rsidRPr="00B2011C">
          <w:rPr>
            <w:rStyle w:val="Hyperlink"/>
          </w:rPr>
          <w:t>3.3.2</w:t>
        </w:r>
        <w:r w:rsidR="00AE3C9C">
          <w:rPr>
            <w:rFonts w:asciiTheme="minorHAnsi" w:eastAsiaTheme="minorEastAsia" w:hAnsiTheme="minorHAnsi" w:cstheme="minorBidi"/>
            <w:szCs w:val="22"/>
          </w:rPr>
          <w:tab/>
        </w:r>
        <w:r w:rsidR="00AE3C9C" w:rsidRPr="00B2011C">
          <w:rPr>
            <w:rStyle w:val="Hyperlink"/>
          </w:rPr>
          <w:t>Notice of Review</w:t>
        </w:r>
        <w:r w:rsidR="00AE3C9C">
          <w:rPr>
            <w:webHidden/>
          </w:rPr>
          <w:tab/>
        </w:r>
        <w:r w:rsidR="00AE3C9C">
          <w:rPr>
            <w:webHidden/>
          </w:rPr>
          <w:fldChar w:fldCharType="begin"/>
        </w:r>
        <w:r w:rsidR="00AE3C9C">
          <w:rPr>
            <w:webHidden/>
          </w:rPr>
          <w:instrText xml:space="preserve"> PAGEREF _Toc188947220 \h </w:instrText>
        </w:r>
        <w:r w:rsidR="00AE3C9C">
          <w:rPr>
            <w:webHidden/>
          </w:rPr>
        </w:r>
        <w:r w:rsidR="00AE3C9C">
          <w:rPr>
            <w:webHidden/>
          </w:rPr>
          <w:fldChar w:fldCharType="separate"/>
        </w:r>
        <w:r w:rsidR="00E4751E">
          <w:rPr>
            <w:webHidden/>
          </w:rPr>
          <w:t>13</w:t>
        </w:r>
        <w:r w:rsidR="00AE3C9C">
          <w:rPr>
            <w:webHidden/>
          </w:rPr>
          <w:fldChar w:fldCharType="end"/>
        </w:r>
      </w:hyperlink>
    </w:p>
    <w:p w14:paraId="302B870B" w14:textId="511D61C7" w:rsidR="00AE3C9C" w:rsidRDefault="00AA038D">
      <w:pPr>
        <w:pStyle w:val="TOC3"/>
        <w:rPr>
          <w:rFonts w:asciiTheme="minorHAnsi" w:eastAsiaTheme="minorEastAsia" w:hAnsiTheme="minorHAnsi" w:cstheme="minorBidi"/>
          <w:szCs w:val="22"/>
        </w:rPr>
      </w:pPr>
      <w:hyperlink w:anchor="_Toc188947221" w:history="1">
        <w:r w:rsidR="00AE3C9C" w:rsidRPr="00B2011C">
          <w:rPr>
            <w:rStyle w:val="Hyperlink"/>
          </w:rPr>
          <w:t>3.3.3</w:t>
        </w:r>
        <w:r w:rsidR="00AE3C9C">
          <w:rPr>
            <w:rFonts w:asciiTheme="minorHAnsi" w:eastAsiaTheme="minorEastAsia" w:hAnsiTheme="minorHAnsi" w:cstheme="minorBidi"/>
            <w:szCs w:val="22"/>
          </w:rPr>
          <w:tab/>
        </w:r>
        <w:r w:rsidR="00AE3C9C" w:rsidRPr="00B2011C">
          <w:rPr>
            <w:rStyle w:val="Hyperlink"/>
          </w:rPr>
          <w:t>Information Requests</w:t>
        </w:r>
        <w:r w:rsidR="00AE3C9C">
          <w:rPr>
            <w:webHidden/>
          </w:rPr>
          <w:tab/>
        </w:r>
        <w:r w:rsidR="00AE3C9C">
          <w:rPr>
            <w:webHidden/>
          </w:rPr>
          <w:fldChar w:fldCharType="begin"/>
        </w:r>
        <w:r w:rsidR="00AE3C9C">
          <w:rPr>
            <w:webHidden/>
          </w:rPr>
          <w:instrText xml:space="preserve"> PAGEREF _Toc188947221 \h </w:instrText>
        </w:r>
        <w:r w:rsidR="00AE3C9C">
          <w:rPr>
            <w:webHidden/>
          </w:rPr>
        </w:r>
        <w:r w:rsidR="00AE3C9C">
          <w:rPr>
            <w:webHidden/>
          </w:rPr>
          <w:fldChar w:fldCharType="separate"/>
        </w:r>
        <w:r w:rsidR="00E4751E">
          <w:rPr>
            <w:webHidden/>
          </w:rPr>
          <w:t>14</w:t>
        </w:r>
        <w:r w:rsidR="00AE3C9C">
          <w:rPr>
            <w:webHidden/>
          </w:rPr>
          <w:fldChar w:fldCharType="end"/>
        </w:r>
      </w:hyperlink>
    </w:p>
    <w:p w14:paraId="10E8873E" w14:textId="0D783E28" w:rsidR="00AE3C9C" w:rsidRDefault="00AA038D">
      <w:pPr>
        <w:pStyle w:val="TOC3"/>
        <w:rPr>
          <w:rFonts w:asciiTheme="minorHAnsi" w:eastAsiaTheme="minorEastAsia" w:hAnsiTheme="minorHAnsi" w:cstheme="minorBidi"/>
          <w:szCs w:val="22"/>
        </w:rPr>
      </w:pPr>
      <w:hyperlink w:anchor="_Toc188947222" w:history="1">
        <w:r w:rsidR="00AE3C9C" w:rsidRPr="00B2011C">
          <w:rPr>
            <w:rStyle w:val="Hyperlink"/>
          </w:rPr>
          <w:t>3.3.4</w:t>
        </w:r>
        <w:r w:rsidR="00AE3C9C">
          <w:rPr>
            <w:rFonts w:asciiTheme="minorHAnsi" w:eastAsiaTheme="minorEastAsia" w:hAnsiTheme="minorHAnsi" w:cstheme="minorBidi"/>
            <w:szCs w:val="22"/>
          </w:rPr>
          <w:tab/>
        </w:r>
        <w:r w:rsidR="00AE3C9C" w:rsidRPr="00B2011C">
          <w:rPr>
            <w:rStyle w:val="Hyperlink"/>
          </w:rPr>
          <w:t>Time Limitation</w:t>
        </w:r>
        <w:r w:rsidR="00AE3C9C">
          <w:rPr>
            <w:webHidden/>
          </w:rPr>
          <w:tab/>
        </w:r>
        <w:r w:rsidR="00AE3C9C">
          <w:rPr>
            <w:webHidden/>
          </w:rPr>
          <w:fldChar w:fldCharType="begin"/>
        </w:r>
        <w:r w:rsidR="00AE3C9C">
          <w:rPr>
            <w:webHidden/>
          </w:rPr>
          <w:instrText xml:space="preserve"> PAGEREF _Toc188947222 \h </w:instrText>
        </w:r>
        <w:r w:rsidR="00AE3C9C">
          <w:rPr>
            <w:webHidden/>
          </w:rPr>
        </w:r>
        <w:r w:rsidR="00AE3C9C">
          <w:rPr>
            <w:webHidden/>
          </w:rPr>
          <w:fldChar w:fldCharType="separate"/>
        </w:r>
        <w:r w:rsidR="00E4751E">
          <w:rPr>
            <w:webHidden/>
          </w:rPr>
          <w:t>14</w:t>
        </w:r>
        <w:r w:rsidR="00AE3C9C">
          <w:rPr>
            <w:webHidden/>
          </w:rPr>
          <w:fldChar w:fldCharType="end"/>
        </w:r>
      </w:hyperlink>
    </w:p>
    <w:p w14:paraId="43990B9F" w14:textId="55A89169" w:rsidR="00AE3C9C" w:rsidRDefault="00AA038D">
      <w:pPr>
        <w:pStyle w:val="TOC3"/>
        <w:rPr>
          <w:rFonts w:asciiTheme="minorHAnsi" w:eastAsiaTheme="minorEastAsia" w:hAnsiTheme="minorHAnsi" w:cstheme="minorBidi"/>
          <w:szCs w:val="22"/>
        </w:rPr>
      </w:pPr>
      <w:hyperlink w:anchor="_Toc188947223" w:history="1">
        <w:r w:rsidR="00AE3C9C" w:rsidRPr="00B2011C">
          <w:rPr>
            <w:rStyle w:val="Hyperlink"/>
          </w:rPr>
          <w:t>3.3.5</w:t>
        </w:r>
        <w:r w:rsidR="00AE3C9C">
          <w:rPr>
            <w:rFonts w:asciiTheme="minorHAnsi" w:eastAsiaTheme="minorEastAsia" w:hAnsiTheme="minorHAnsi" w:cstheme="minorBidi"/>
            <w:szCs w:val="22"/>
          </w:rPr>
          <w:tab/>
        </w:r>
        <w:r w:rsidR="00AE3C9C" w:rsidRPr="00B2011C">
          <w:rPr>
            <w:rStyle w:val="Hyperlink"/>
          </w:rPr>
          <w:t>Results of Review</w:t>
        </w:r>
        <w:r w:rsidR="00AE3C9C">
          <w:rPr>
            <w:webHidden/>
          </w:rPr>
          <w:tab/>
        </w:r>
        <w:r w:rsidR="00AE3C9C">
          <w:rPr>
            <w:webHidden/>
          </w:rPr>
          <w:fldChar w:fldCharType="begin"/>
        </w:r>
        <w:r w:rsidR="00AE3C9C">
          <w:rPr>
            <w:webHidden/>
          </w:rPr>
          <w:instrText xml:space="preserve"> PAGEREF _Toc188947223 \h </w:instrText>
        </w:r>
        <w:r w:rsidR="00AE3C9C">
          <w:rPr>
            <w:webHidden/>
          </w:rPr>
        </w:r>
        <w:r w:rsidR="00AE3C9C">
          <w:rPr>
            <w:webHidden/>
          </w:rPr>
          <w:fldChar w:fldCharType="separate"/>
        </w:r>
        <w:r w:rsidR="00E4751E">
          <w:rPr>
            <w:webHidden/>
          </w:rPr>
          <w:t>15</w:t>
        </w:r>
        <w:r w:rsidR="00AE3C9C">
          <w:rPr>
            <w:webHidden/>
          </w:rPr>
          <w:fldChar w:fldCharType="end"/>
        </w:r>
      </w:hyperlink>
    </w:p>
    <w:p w14:paraId="615FB225" w14:textId="17A07DA2" w:rsidR="00AE3C9C" w:rsidRDefault="00AA038D">
      <w:pPr>
        <w:pStyle w:val="TOC2"/>
        <w:rPr>
          <w:rFonts w:asciiTheme="minorHAnsi" w:eastAsiaTheme="minorEastAsia" w:hAnsiTheme="minorHAnsi" w:cstheme="minorBidi"/>
          <w:szCs w:val="22"/>
        </w:rPr>
      </w:pPr>
      <w:hyperlink w:anchor="_Toc188947224" w:history="1">
        <w:r w:rsidR="00AE3C9C" w:rsidRPr="00B2011C">
          <w:rPr>
            <w:rStyle w:val="Hyperlink"/>
          </w:rPr>
          <w:t>3.4</w:t>
        </w:r>
        <w:r w:rsidR="00AE3C9C">
          <w:rPr>
            <w:rFonts w:asciiTheme="minorHAnsi" w:eastAsiaTheme="minorEastAsia" w:hAnsiTheme="minorHAnsi" w:cstheme="minorBidi"/>
            <w:szCs w:val="22"/>
          </w:rPr>
          <w:tab/>
        </w:r>
        <w:r w:rsidR="00AE3C9C" w:rsidRPr="00B2011C">
          <w:rPr>
            <w:rStyle w:val="Hyperlink"/>
          </w:rPr>
          <w:t>Sanction Administration</w:t>
        </w:r>
        <w:r w:rsidR="00AE3C9C">
          <w:rPr>
            <w:webHidden/>
          </w:rPr>
          <w:tab/>
        </w:r>
        <w:r w:rsidR="00AE3C9C">
          <w:rPr>
            <w:webHidden/>
          </w:rPr>
          <w:fldChar w:fldCharType="begin"/>
        </w:r>
        <w:r w:rsidR="00AE3C9C">
          <w:rPr>
            <w:webHidden/>
          </w:rPr>
          <w:instrText xml:space="preserve"> PAGEREF _Toc188947224 \h </w:instrText>
        </w:r>
        <w:r w:rsidR="00AE3C9C">
          <w:rPr>
            <w:webHidden/>
          </w:rPr>
        </w:r>
        <w:r w:rsidR="00AE3C9C">
          <w:rPr>
            <w:webHidden/>
          </w:rPr>
          <w:fldChar w:fldCharType="separate"/>
        </w:r>
        <w:r w:rsidR="00E4751E">
          <w:rPr>
            <w:webHidden/>
          </w:rPr>
          <w:t>15</w:t>
        </w:r>
        <w:r w:rsidR="00AE3C9C">
          <w:rPr>
            <w:webHidden/>
          </w:rPr>
          <w:fldChar w:fldCharType="end"/>
        </w:r>
      </w:hyperlink>
    </w:p>
    <w:p w14:paraId="2F42180C" w14:textId="431D0619" w:rsidR="00AE3C9C" w:rsidRDefault="00AA038D">
      <w:pPr>
        <w:pStyle w:val="TOC3"/>
        <w:rPr>
          <w:rFonts w:asciiTheme="minorHAnsi" w:eastAsiaTheme="minorEastAsia" w:hAnsiTheme="minorHAnsi" w:cstheme="minorBidi"/>
          <w:szCs w:val="22"/>
        </w:rPr>
      </w:pPr>
      <w:hyperlink w:anchor="_Toc188947229" w:history="1">
        <w:r w:rsidR="00AE3C9C" w:rsidRPr="00B2011C">
          <w:rPr>
            <w:rStyle w:val="Hyperlink"/>
          </w:rPr>
          <w:t>3.4.1</w:t>
        </w:r>
        <w:r w:rsidR="00AE3C9C">
          <w:rPr>
            <w:rFonts w:asciiTheme="minorHAnsi" w:eastAsiaTheme="minorEastAsia" w:hAnsiTheme="minorHAnsi" w:cstheme="minorBidi"/>
            <w:szCs w:val="22"/>
          </w:rPr>
          <w:tab/>
        </w:r>
        <w:r w:rsidR="00AE3C9C" w:rsidRPr="00B2011C">
          <w:rPr>
            <w:rStyle w:val="Hyperlink"/>
          </w:rPr>
          <w:t>Determination of Sanctions</w:t>
        </w:r>
        <w:r w:rsidR="00AE3C9C">
          <w:rPr>
            <w:webHidden/>
          </w:rPr>
          <w:tab/>
        </w:r>
        <w:r w:rsidR="00AE3C9C">
          <w:rPr>
            <w:webHidden/>
          </w:rPr>
          <w:fldChar w:fldCharType="begin"/>
        </w:r>
        <w:r w:rsidR="00AE3C9C">
          <w:rPr>
            <w:webHidden/>
          </w:rPr>
          <w:instrText xml:space="preserve"> PAGEREF _Toc188947229 \h </w:instrText>
        </w:r>
        <w:r w:rsidR="00AE3C9C">
          <w:rPr>
            <w:webHidden/>
          </w:rPr>
        </w:r>
        <w:r w:rsidR="00AE3C9C">
          <w:rPr>
            <w:webHidden/>
          </w:rPr>
          <w:fldChar w:fldCharType="separate"/>
        </w:r>
        <w:r w:rsidR="00E4751E">
          <w:rPr>
            <w:webHidden/>
          </w:rPr>
          <w:t>16</w:t>
        </w:r>
        <w:r w:rsidR="00AE3C9C">
          <w:rPr>
            <w:webHidden/>
          </w:rPr>
          <w:fldChar w:fldCharType="end"/>
        </w:r>
      </w:hyperlink>
    </w:p>
    <w:p w14:paraId="15A15FB3" w14:textId="00D9AA96" w:rsidR="00AE3C9C" w:rsidRDefault="00AA038D">
      <w:pPr>
        <w:pStyle w:val="TOC3"/>
        <w:rPr>
          <w:rFonts w:asciiTheme="minorHAnsi" w:eastAsiaTheme="minorEastAsia" w:hAnsiTheme="minorHAnsi" w:cstheme="minorBidi"/>
          <w:szCs w:val="22"/>
        </w:rPr>
      </w:pPr>
      <w:hyperlink w:anchor="_Toc188947230" w:history="1">
        <w:r w:rsidR="00AE3C9C" w:rsidRPr="00B2011C">
          <w:rPr>
            <w:rStyle w:val="Hyperlink"/>
          </w:rPr>
          <w:t>3.4.2</w:t>
        </w:r>
        <w:r w:rsidR="00AE3C9C">
          <w:rPr>
            <w:rFonts w:asciiTheme="minorHAnsi" w:eastAsiaTheme="minorEastAsia" w:hAnsiTheme="minorHAnsi" w:cstheme="minorBidi"/>
            <w:szCs w:val="22"/>
          </w:rPr>
          <w:tab/>
        </w:r>
        <w:r w:rsidR="00AE3C9C" w:rsidRPr="00B2011C">
          <w:rPr>
            <w:rStyle w:val="Hyperlink"/>
          </w:rPr>
          <w:t>Notification of Affected Parties</w:t>
        </w:r>
        <w:r w:rsidR="00AE3C9C">
          <w:rPr>
            <w:webHidden/>
          </w:rPr>
          <w:tab/>
        </w:r>
        <w:r w:rsidR="00AE3C9C">
          <w:rPr>
            <w:webHidden/>
          </w:rPr>
          <w:fldChar w:fldCharType="begin"/>
        </w:r>
        <w:r w:rsidR="00AE3C9C">
          <w:rPr>
            <w:webHidden/>
          </w:rPr>
          <w:instrText xml:space="preserve"> PAGEREF _Toc188947230 \h </w:instrText>
        </w:r>
        <w:r w:rsidR="00AE3C9C">
          <w:rPr>
            <w:webHidden/>
          </w:rPr>
        </w:r>
        <w:r w:rsidR="00AE3C9C">
          <w:rPr>
            <w:webHidden/>
          </w:rPr>
          <w:fldChar w:fldCharType="separate"/>
        </w:r>
        <w:r w:rsidR="00E4751E">
          <w:rPr>
            <w:webHidden/>
          </w:rPr>
          <w:t>17</w:t>
        </w:r>
        <w:r w:rsidR="00AE3C9C">
          <w:rPr>
            <w:webHidden/>
          </w:rPr>
          <w:fldChar w:fldCharType="end"/>
        </w:r>
      </w:hyperlink>
    </w:p>
    <w:p w14:paraId="6AE1199C" w14:textId="60B14A0E" w:rsidR="00AE3C9C" w:rsidRDefault="00AA038D">
      <w:pPr>
        <w:pStyle w:val="TOC3"/>
        <w:rPr>
          <w:rFonts w:asciiTheme="minorHAnsi" w:eastAsiaTheme="minorEastAsia" w:hAnsiTheme="minorHAnsi" w:cstheme="minorBidi"/>
          <w:szCs w:val="22"/>
        </w:rPr>
      </w:pPr>
      <w:hyperlink w:anchor="_Toc188947231" w:history="1">
        <w:r w:rsidR="00AE3C9C" w:rsidRPr="00B2011C">
          <w:rPr>
            <w:rStyle w:val="Hyperlink"/>
          </w:rPr>
          <w:t>3.4.3</w:t>
        </w:r>
        <w:r w:rsidR="00AE3C9C">
          <w:rPr>
            <w:rFonts w:asciiTheme="minorHAnsi" w:eastAsiaTheme="minorEastAsia" w:hAnsiTheme="minorHAnsi" w:cstheme="minorBidi"/>
            <w:szCs w:val="22"/>
          </w:rPr>
          <w:tab/>
        </w:r>
        <w:r w:rsidR="00AE3C9C" w:rsidRPr="00B2011C">
          <w:rPr>
            <w:rStyle w:val="Hyperlink"/>
          </w:rPr>
          <w:t>Settlement</w:t>
        </w:r>
        <w:r w:rsidR="00AE3C9C">
          <w:rPr>
            <w:webHidden/>
          </w:rPr>
          <w:tab/>
        </w:r>
        <w:r w:rsidR="00AE3C9C">
          <w:rPr>
            <w:webHidden/>
          </w:rPr>
          <w:fldChar w:fldCharType="begin"/>
        </w:r>
        <w:r w:rsidR="00AE3C9C">
          <w:rPr>
            <w:webHidden/>
          </w:rPr>
          <w:instrText xml:space="preserve"> PAGEREF _Toc188947231 \h </w:instrText>
        </w:r>
        <w:r w:rsidR="00AE3C9C">
          <w:rPr>
            <w:webHidden/>
          </w:rPr>
        </w:r>
        <w:r w:rsidR="00AE3C9C">
          <w:rPr>
            <w:webHidden/>
          </w:rPr>
          <w:fldChar w:fldCharType="separate"/>
        </w:r>
        <w:r w:rsidR="00E4751E">
          <w:rPr>
            <w:webHidden/>
          </w:rPr>
          <w:t>17</w:t>
        </w:r>
        <w:r w:rsidR="00AE3C9C">
          <w:rPr>
            <w:webHidden/>
          </w:rPr>
          <w:fldChar w:fldCharType="end"/>
        </w:r>
      </w:hyperlink>
    </w:p>
    <w:p w14:paraId="58A06FBB" w14:textId="2C1A5CE0" w:rsidR="00AE3C9C" w:rsidRDefault="00AA038D">
      <w:pPr>
        <w:pStyle w:val="TOC3"/>
        <w:rPr>
          <w:rFonts w:asciiTheme="minorHAnsi" w:eastAsiaTheme="minorEastAsia" w:hAnsiTheme="minorHAnsi" w:cstheme="minorBidi"/>
          <w:szCs w:val="22"/>
        </w:rPr>
      </w:pPr>
      <w:hyperlink w:anchor="_Toc188947232" w:history="1">
        <w:r w:rsidR="00AE3C9C" w:rsidRPr="00B2011C">
          <w:rPr>
            <w:rStyle w:val="Hyperlink"/>
          </w:rPr>
          <w:t>3.4.4</w:t>
        </w:r>
        <w:r w:rsidR="00AE3C9C">
          <w:rPr>
            <w:rFonts w:asciiTheme="minorHAnsi" w:eastAsiaTheme="minorEastAsia" w:hAnsiTheme="minorHAnsi" w:cstheme="minorBidi"/>
            <w:szCs w:val="22"/>
          </w:rPr>
          <w:tab/>
        </w:r>
        <w:r w:rsidR="00AE3C9C" w:rsidRPr="00B2011C">
          <w:rPr>
            <w:rStyle w:val="Hyperlink"/>
          </w:rPr>
          <w:t>Disposition of Sanction Proceeds</w:t>
        </w:r>
        <w:r w:rsidR="00AE3C9C">
          <w:rPr>
            <w:webHidden/>
          </w:rPr>
          <w:tab/>
        </w:r>
        <w:r w:rsidR="00AE3C9C">
          <w:rPr>
            <w:webHidden/>
          </w:rPr>
          <w:fldChar w:fldCharType="begin"/>
        </w:r>
        <w:r w:rsidR="00AE3C9C">
          <w:rPr>
            <w:webHidden/>
          </w:rPr>
          <w:instrText xml:space="preserve"> PAGEREF _Toc188947232 \h </w:instrText>
        </w:r>
        <w:r w:rsidR="00AE3C9C">
          <w:rPr>
            <w:webHidden/>
          </w:rPr>
        </w:r>
        <w:r w:rsidR="00AE3C9C">
          <w:rPr>
            <w:webHidden/>
          </w:rPr>
          <w:fldChar w:fldCharType="separate"/>
        </w:r>
        <w:r w:rsidR="00E4751E">
          <w:rPr>
            <w:webHidden/>
          </w:rPr>
          <w:t>20</w:t>
        </w:r>
        <w:r w:rsidR="00AE3C9C">
          <w:rPr>
            <w:webHidden/>
          </w:rPr>
          <w:fldChar w:fldCharType="end"/>
        </w:r>
      </w:hyperlink>
    </w:p>
    <w:p w14:paraId="1DEB2EBB" w14:textId="16F4075E" w:rsidR="00AE3C9C" w:rsidRDefault="00AA038D">
      <w:pPr>
        <w:pStyle w:val="TOC2"/>
        <w:rPr>
          <w:rFonts w:asciiTheme="minorHAnsi" w:eastAsiaTheme="minorEastAsia" w:hAnsiTheme="minorHAnsi" w:cstheme="minorBidi"/>
          <w:szCs w:val="22"/>
        </w:rPr>
      </w:pPr>
      <w:hyperlink w:anchor="_Toc188947233" w:history="1">
        <w:r w:rsidR="00AE3C9C" w:rsidRPr="00B2011C">
          <w:rPr>
            <w:rStyle w:val="Hyperlink"/>
          </w:rPr>
          <w:t>3.5</w:t>
        </w:r>
        <w:r w:rsidR="00AE3C9C">
          <w:rPr>
            <w:rFonts w:asciiTheme="minorHAnsi" w:eastAsiaTheme="minorEastAsia" w:hAnsiTheme="minorHAnsi" w:cstheme="minorBidi"/>
            <w:szCs w:val="22"/>
          </w:rPr>
          <w:tab/>
        </w:r>
        <w:r w:rsidR="00AE3C9C" w:rsidRPr="00B2011C">
          <w:rPr>
            <w:rStyle w:val="Hyperlink"/>
          </w:rPr>
          <w:t>Record Keeping</w:t>
        </w:r>
        <w:r w:rsidR="00AE3C9C">
          <w:rPr>
            <w:webHidden/>
          </w:rPr>
          <w:tab/>
        </w:r>
        <w:r w:rsidR="00AE3C9C">
          <w:rPr>
            <w:webHidden/>
          </w:rPr>
          <w:fldChar w:fldCharType="begin"/>
        </w:r>
        <w:r w:rsidR="00AE3C9C">
          <w:rPr>
            <w:webHidden/>
          </w:rPr>
          <w:instrText xml:space="preserve"> PAGEREF _Toc188947233 \h </w:instrText>
        </w:r>
        <w:r w:rsidR="00AE3C9C">
          <w:rPr>
            <w:webHidden/>
          </w:rPr>
        </w:r>
        <w:r w:rsidR="00AE3C9C">
          <w:rPr>
            <w:webHidden/>
          </w:rPr>
          <w:fldChar w:fldCharType="separate"/>
        </w:r>
        <w:r w:rsidR="00E4751E">
          <w:rPr>
            <w:webHidden/>
          </w:rPr>
          <w:t>22</w:t>
        </w:r>
        <w:r w:rsidR="00AE3C9C">
          <w:rPr>
            <w:webHidden/>
          </w:rPr>
          <w:fldChar w:fldCharType="end"/>
        </w:r>
      </w:hyperlink>
    </w:p>
    <w:p w14:paraId="626C6E95" w14:textId="5488DAA9" w:rsidR="00AE3C9C" w:rsidRDefault="00AA038D">
      <w:pPr>
        <w:pStyle w:val="TOC1"/>
        <w:rPr>
          <w:rFonts w:asciiTheme="minorHAnsi" w:eastAsiaTheme="minorEastAsia" w:hAnsiTheme="minorHAnsi" w:cstheme="minorBidi"/>
          <w:b w:val="0"/>
          <w:szCs w:val="22"/>
        </w:rPr>
      </w:pPr>
      <w:hyperlink w:anchor="_Toc188947234" w:history="1">
        <w:r w:rsidR="00AE3C9C" w:rsidRPr="00B2011C">
          <w:rPr>
            <w:rStyle w:val="Hyperlink"/>
            <w:color w:val="034990" w:themeColor="hyperlink" w:themeShade="BF"/>
          </w:rPr>
          <w:t>4.</w:t>
        </w:r>
        <w:r w:rsidR="00AE3C9C">
          <w:rPr>
            <w:rFonts w:asciiTheme="minorHAnsi" w:eastAsiaTheme="minorEastAsia" w:hAnsiTheme="minorHAnsi" w:cstheme="minorBidi"/>
            <w:b w:val="0"/>
            <w:szCs w:val="22"/>
          </w:rPr>
          <w:tab/>
        </w:r>
        <w:r w:rsidR="00AE3C9C" w:rsidRPr="00B2011C">
          <w:rPr>
            <w:rStyle w:val="Hyperlink"/>
          </w:rPr>
          <w:t>REVISION HISTORY</w:t>
        </w:r>
        <w:r w:rsidR="00AE3C9C">
          <w:rPr>
            <w:webHidden/>
          </w:rPr>
          <w:tab/>
        </w:r>
        <w:r w:rsidR="00AE3C9C">
          <w:rPr>
            <w:webHidden/>
          </w:rPr>
          <w:fldChar w:fldCharType="begin"/>
        </w:r>
        <w:r w:rsidR="00AE3C9C">
          <w:rPr>
            <w:webHidden/>
          </w:rPr>
          <w:instrText xml:space="preserve"> PAGEREF _Toc188947234 \h </w:instrText>
        </w:r>
        <w:r w:rsidR="00AE3C9C">
          <w:rPr>
            <w:webHidden/>
          </w:rPr>
        </w:r>
        <w:r w:rsidR="00AE3C9C">
          <w:rPr>
            <w:webHidden/>
          </w:rPr>
          <w:fldChar w:fldCharType="separate"/>
        </w:r>
        <w:r w:rsidR="00E4751E">
          <w:rPr>
            <w:webHidden/>
          </w:rPr>
          <w:t>23</w:t>
        </w:r>
        <w:r w:rsidR="00AE3C9C">
          <w:rPr>
            <w:webHidden/>
          </w:rPr>
          <w:fldChar w:fldCharType="end"/>
        </w:r>
      </w:hyperlink>
    </w:p>
    <w:p w14:paraId="71C6E848" w14:textId="77777777" w:rsidR="0013038E" w:rsidRDefault="0013038E" w:rsidP="0013038E">
      <w:pPr>
        <w:pStyle w:val="TOC1"/>
        <w:tabs>
          <w:tab w:val="clear" w:pos="432"/>
          <w:tab w:val="left" w:pos="360"/>
        </w:tabs>
      </w:pPr>
      <w:r>
        <w:fldChar w:fldCharType="end"/>
      </w:r>
    </w:p>
    <w:p w14:paraId="76CA15F4" w14:textId="77777777" w:rsidR="0013038E" w:rsidRDefault="0013038E" w:rsidP="0013038E">
      <w:pPr>
        <w:spacing w:after="0"/>
        <w:jc w:val="left"/>
        <w:rPr>
          <w:rFonts w:cs="Arial"/>
          <w:b/>
          <w:noProof/>
        </w:rPr>
      </w:pPr>
      <w:r>
        <w:br w:type="page"/>
      </w:r>
    </w:p>
    <w:p w14:paraId="5F5E7F7C" w14:textId="40A98184" w:rsidR="00AE3C9C" w:rsidRPr="00CD6CB2" w:rsidRDefault="00AA038D" w:rsidP="00CD6CB2">
      <w:pPr>
        <w:rPr>
          <w:rFonts w:eastAsiaTheme="minorEastAsia"/>
        </w:rPr>
      </w:pPr>
      <w:hyperlink w:anchor="_Toc162525479" w:history="1">
        <w:r w:rsidR="0013038E" w:rsidRPr="007D3307">
          <w:rPr>
            <w:rStyle w:val="Hyperlink"/>
            <w:color w:val="auto"/>
          </w:rPr>
          <w:t>LISTS OF EXHIBITS</w:t>
        </w:r>
      </w:hyperlink>
      <w:r w:rsidR="007D3307">
        <w:t>:</w:t>
      </w:r>
    </w:p>
    <w:p w14:paraId="4E4342DF" w14:textId="6A96C0FD" w:rsidR="00AE3C9C" w:rsidRDefault="0013038E" w:rsidP="00CD6CB2">
      <w:pPr>
        <w:pStyle w:val="TableofFigures"/>
        <w:tabs>
          <w:tab w:val="right" w:leader="dot" w:pos="9350"/>
        </w:tabs>
        <w:ind w:left="0" w:firstLine="0"/>
        <w:rPr>
          <w:rFonts w:asciiTheme="minorHAnsi" w:eastAsiaTheme="minorEastAsia" w:hAnsiTheme="minorHAnsi" w:cstheme="minorBidi"/>
          <w:noProof/>
          <w:szCs w:val="22"/>
        </w:rPr>
      </w:pPr>
      <w:r w:rsidRPr="008241FF">
        <w:rPr>
          <w:rFonts w:cs="Arial"/>
          <w:noProof/>
        </w:rPr>
        <w:fldChar w:fldCharType="begin"/>
      </w:r>
      <w:r w:rsidRPr="00CD6CB2">
        <w:rPr>
          <w:rFonts w:cs="Arial"/>
          <w:noProof/>
        </w:rPr>
        <w:instrText xml:space="preserve"> TOC \h \z \c "Exhibit" </w:instrText>
      </w:r>
      <w:r w:rsidRPr="008241FF">
        <w:rPr>
          <w:rFonts w:cs="Arial"/>
          <w:noProof/>
        </w:rPr>
        <w:fldChar w:fldCharType="separate"/>
      </w:r>
      <w:hyperlink w:anchor="_Toc188946934" w:history="1">
        <w:r w:rsidR="00AE3C9C" w:rsidRPr="00F726A8">
          <w:rPr>
            <w:rStyle w:val="Hyperlink"/>
            <w:noProof/>
          </w:rPr>
          <w:t>Exhibit 3</w:t>
        </w:r>
        <w:r w:rsidR="00AE3C9C" w:rsidRPr="00F726A8">
          <w:rPr>
            <w:rStyle w:val="Hyperlink"/>
            <w:noProof/>
          </w:rPr>
          <w:noBreakHyphen/>
          <w:t>1: Overview of Rules of Conduct Process</w:t>
        </w:r>
        <w:r w:rsidR="00AE3C9C">
          <w:rPr>
            <w:noProof/>
            <w:webHidden/>
          </w:rPr>
          <w:tab/>
        </w:r>
        <w:r w:rsidR="00AE3C9C">
          <w:rPr>
            <w:noProof/>
            <w:webHidden/>
          </w:rPr>
          <w:fldChar w:fldCharType="begin"/>
        </w:r>
        <w:r w:rsidR="00AE3C9C">
          <w:rPr>
            <w:noProof/>
            <w:webHidden/>
          </w:rPr>
          <w:instrText xml:space="preserve"> PAGEREF _Toc188946934 \h </w:instrText>
        </w:r>
        <w:r w:rsidR="00AE3C9C">
          <w:rPr>
            <w:noProof/>
            <w:webHidden/>
          </w:rPr>
        </w:r>
        <w:r w:rsidR="00AE3C9C">
          <w:rPr>
            <w:noProof/>
            <w:webHidden/>
          </w:rPr>
          <w:fldChar w:fldCharType="separate"/>
        </w:r>
        <w:r w:rsidR="00E4751E">
          <w:rPr>
            <w:noProof/>
            <w:webHidden/>
          </w:rPr>
          <w:t>9</w:t>
        </w:r>
        <w:r w:rsidR="00AE3C9C">
          <w:rPr>
            <w:noProof/>
            <w:webHidden/>
          </w:rPr>
          <w:fldChar w:fldCharType="end"/>
        </w:r>
      </w:hyperlink>
    </w:p>
    <w:p w14:paraId="05694260" w14:textId="44668EDE" w:rsidR="00AE3C9C" w:rsidRDefault="00AA038D" w:rsidP="00CD6CB2">
      <w:pPr>
        <w:pStyle w:val="TableofFigures"/>
        <w:tabs>
          <w:tab w:val="right" w:leader="dot" w:pos="9350"/>
        </w:tabs>
        <w:ind w:left="0" w:firstLine="0"/>
        <w:rPr>
          <w:rFonts w:asciiTheme="minorHAnsi" w:eastAsiaTheme="minorEastAsia" w:hAnsiTheme="minorHAnsi" w:cstheme="minorBidi"/>
          <w:noProof/>
          <w:szCs w:val="22"/>
        </w:rPr>
      </w:pPr>
      <w:hyperlink w:anchor="_Toc188946935" w:history="1">
        <w:r w:rsidR="00AE3C9C" w:rsidRPr="00F726A8">
          <w:rPr>
            <w:rStyle w:val="Hyperlink"/>
            <w:noProof/>
          </w:rPr>
          <w:t>Exhibit 3</w:t>
        </w:r>
        <w:r w:rsidR="00AE3C9C" w:rsidRPr="00F726A8">
          <w:rPr>
            <w:rStyle w:val="Hyperlink"/>
            <w:noProof/>
          </w:rPr>
          <w:noBreakHyphen/>
          <w:t>2: Monitoring &amp; Preliminary Investigation Process</w:t>
        </w:r>
        <w:r w:rsidR="00AE3C9C">
          <w:rPr>
            <w:noProof/>
            <w:webHidden/>
          </w:rPr>
          <w:tab/>
        </w:r>
        <w:r w:rsidR="00AE3C9C">
          <w:rPr>
            <w:noProof/>
            <w:webHidden/>
          </w:rPr>
          <w:fldChar w:fldCharType="begin"/>
        </w:r>
        <w:r w:rsidR="00AE3C9C">
          <w:rPr>
            <w:noProof/>
            <w:webHidden/>
          </w:rPr>
          <w:instrText xml:space="preserve"> PAGEREF _Toc188946935 \h </w:instrText>
        </w:r>
        <w:r w:rsidR="00AE3C9C">
          <w:rPr>
            <w:noProof/>
            <w:webHidden/>
          </w:rPr>
        </w:r>
        <w:r w:rsidR="00AE3C9C">
          <w:rPr>
            <w:noProof/>
            <w:webHidden/>
          </w:rPr>
          <w:fldChar w:fldCharType="separate"/>
        </w:r>
        <w:r w:rsidR="00E4751E">
          <w:rPr>
            <w:noProof/>
            <w:webHidden/>
          </w:rPr>
          <w:t>10</w:t>
        </w:r>
        <w:r w:rsidR="00AE3C9C">
          <w:rPr>
            <w:noProof/>
            <w:webHidden/>
          </w:rPr>
          <w:fldChar w:fldCharType="end"/>
        </w:r>
      </w:hyperlink>
    </w:p>
    <w:p w14:paraId="32241CCA" w14:textId="2F683FD4" w:rsidR="00AE3C9C" w:rsidRDefault="00AA038D" w:rsidP="00CD6CB2">
      <w:pPr>
        <w:pStyle w:val="TableofFigures"/>
        <w:tabs>
          <w:tab w:val="right" w:leader="dot" w:pos="9350"/>
        </w:tabs>
        <w:ind w:left="0" w:firstLine="0"/>
        <w:rPr>
          <w:rFonts w:asciiTheme="minorHAnsi" w:eastAsiaTheme="minorEastAsia" w:hAnsiTheme="minorHAnsi" w:cstheme="minorBidi"/>
          <w:noProof/>
          <w:szCs w:val="22"/>
        </w:rPr>
      </w:pPr>
      <w:hyperlink w:anchor="_Toc188946936" w:history="1">
        <w:r w:rsidR="00AE3C9C" w:rsidRPr="00F726A8">
          <w:rPr>
            <w:rStyle w:val="Hyperlink"/>
            <w:noProof/>
          </w:rPr>
          <w:t>Exhibit 3</w:t>
        </w:r>
        <w:r w:rsidR="00AE3C9C" w:rsidRPr="00F726A8">
          <w:rPr>
            <w:rStyle w:val="Hyperlink"/>
            <w:noProof/>
          </w:rPr>
          <w:noBreakHyphen/>
          <w:t>3: Investigation Process</w:t>
        </w:r>
        <w:r w:rsidR="00AE3C9C">
          <w:rPr>
            <w:noProof/>
            <w:webHidden/>
          </w:rPr>
          <w:tab/>
        </w:r>
        <w:r w:rsidR="00AE3C9C">
          <w:rPr>
            <w:noProof/>
            <w:webHidden/>
          </w:rPr>
          <w:fldChar w:fldCharType="begin"/>
        </w:r>
        <w:r w:rsidR="00AE3C9C">
          <w:rPr>
            <w:noProof/>
            <w:webHidden/>
          </w:rPr>
          <w:instrText xml:space="preserve"> PAGEREF _Toc188946936 \h </w:instrText>
        </w:r>
        <w:r w:rsidR="00AE3C9C">
          <w:rPr>
            <w:noProof/>
            <w:webHidden/>
          </w:rPr>
        </w:r>
        <w:r w:rsidR="00AE3C9C">
          <w:rPr>
            <w:noProof/>
            <w:webHidden/>
          </w:rPr>
          <w:fldChar w:fldCharType="separate"/>
        </w:r>
        <w:r w:rsidR="00E4751E">
          <w:rPr>
            <w:noProof/>
            <w:webHidden/>
          </w:rPr>
          <w:t>11</w:t>
        </w:r>
        <w:r w:rsidR="00AE3C9C">
          <w:rPr>
            <w:noProof/>
            <w:webHidden/>
          </w:rPr>
          <w:fldChar w:fldCharType="end"/>
        </w:r>
      </w:hyperlink>
    </w:p>
    <w:p w14:paraId="2E7148E7" w14:textId="45CCB2ED" w:rsidR="00AE3C9C" w:rsidRDefault="00AA038D" w:rsidP="00CD6CB2">
      <w:pPr>
        <w:pStyle w:val="TableofFigures"/>
        <w:tabs>
          <w:tab w:val="right" w:leader="dot" w:pos="9350"/>
        </w:tabs>
        <w:ind w:left="0" w:firstLine="0"/>
        <w:rPr>
          <w:rFonts w:asciiTheme="minorHAnsi" w:eastAsiaTheme="minorEastAsia" w:hAnsiTheme="minorHAnsi" w:cstheme="minorBidi"/>
          <w:noProof/>
          <w:szCs w:val="22"/>
        </w:rPr>
      </w:pPr>
      <w:hyperlink w:anchor="_Toc188946937" w:history="1">
        <w:r w:rsidR="00AE3C9C" w:rsidRPr="00F726A8">
          <w:rPr>
            <w:rStyle w:val="Hyperlink"/>
            <w:noProof/>
          </w:rPr>
          <w:t>Exhibit 3</w:t>
        </w:r>
        <w:r w:rsidR="00AE3C9C" w:rsidRPr="00F726A8">
          <w:rPr>
            <w:rStyle w:val="Hyperlink"/>
            <w:noProof/>
          </w:rPr>
          <w:noBreakHyphen/>
          <w:t>4: Sanction Administration Process</w:t>
        </w:r>
        <w:r w:rsidR="00AE3C9C">
          <w:rPr>
            <w:noProof/>
            <w:webHidden/>
          </w:rPr>
          <w:tab/>
        </w:r>
        <w:r w:rsidR="00AE3C9C">
          <w:rPr>
            <w:noProof/>
            <w:webHidden/>
          </w:rPr>
          <w:fldChar w:fldCharType="begin"/>
        </w:r>
        <w:r w:rsidR="00AE3C9C">
          <w:rPr>
            <w:noProof/>
            <w:webHidden/>
          </w:rPr>
          <w:instrText xml:space="preserve"> PAGEREF _Toc188946937 \h </w:instrText>
        </w:r>
        <w:r w:rsidR="00AE3C9C">
          <w:rPr>
            <w:noProof/>
            <w:webHidden/>
          </w:rPr>
        </w:r>
        <w:r w:rsidR="00AE3C9C">
          <w:rPr>
            <w:noProof/>
            <w:webHidden/>
          </w:rPr>
          <w:fldChar w:fldCharType="separate"/>
        </w:r>
        <w:r w:rsidR="00E4751E">
          <w:rPr>
            <w:noProof/>
            <w:webHidden/>
          </w:rPr>
          <w:t>16</w:t>
        </w:r>
        <w:r w:rsidR="00AE3C9C">
          <w:rPr>
            <w:noProof/>
            <w:webHidden/>
          </w:rPr>
          <w:fldChar w:fldCharType="end"/>
        </w:r>
      </w:hyperlink>
    </w:p>
    <w:p w14:paraId="35948A25" w14:textId="72FA7F2A" w:rsidR="00AE3C9C" w:rsidRDefault="0013038E" w:rsidP="0013038E">
      <w:pPr>
        <w:rPr>
          <w:noProof/>
        </w:rPr>
      </w:pPr>
      <w:r w:rsidRPr="008241FF">
        <w:rPr>
          <w:noProof/>
        </w:rPr>
        <w:fldChar w:fldCharType="end"/>
      </w:r>
    </w:p>
    <w:p w14:paraId="0EED512B" w14:textId="77777777" w:rsidR="00AE3C9C" w:rsidRDefault="00AE3C9C">
      <w:pPr>
        <w:spacing w:after="0"/>
        <w:jc w:val="left"/>
        <w:rPr>
          <w:noProof/>
        </w:rPr>
      </w:pPr>
      <w:r>
        <w:rPr>
          <w:noProof/>
        </w:rPr>
        <w:br w:type="page"/>
      </w:r>
    </w:p>
    <w:p w14:paraId="0AEB8DD5" w14:textId="5682F634" w:rsidR="000C3233" w:rsidRPr="00DE24B0" w:rsidRDefault="000C3233" w:rsidP="00CD6CB2">
      <w:pPr>
        <w:pStyle w:val="Heading1"/>
        <w:pBdr>
          <w:top w:val="single" w:sz="12" w:space="1" w:color="2F5496" w:themeColor="accent5" w:themeShade="BF"/>
          <w:bottom w:val="single" w:sz="12" w:space="1" w:color="2F5496" w:themeColor="accent5" w:themeShade="BF"/>
        </w:pBdr>
        <w:tabs>
          <w:tab w:val="clear" w:pos="1080"/>
          <w:tab w:val="num" w:pos="720"/>
        </w:tabs>
        <w:jc w:val="left"/>
        <w:rPr>
          <w:sz w:val="32"/>
          <w:szCs w:val="32"/>
        </w:rPr>
      </w:pPr>
      <w:bookmarkStart w:id="1" w:name="_Toc188947195"/>
      <w:bookmarkStart w:id="2" w:name="_Toc188947196"/>
      <w:bookmarkStart w:id="3" w:name="_Toc188947197"/>
      <w:bookmarkStart w:id="4" w:name="_Toc188947198"/>
      <w:bookmarkStart w:id="5" w:name="_Toc112039791"/>
      <w:bookmarkStart w:id="6" w:name="_Toc140547976"/>
      <w:bookmarkStart w:id="7" w:name="_Toc181699698"/>
      <w:bookmarkStart w:id="8" w:name="_Toc188947199"/>
      <w:bookmarkEnd w:id="1"/>
      <w:bookmarkEnd w:id="2"/>
      <w:bookmarkEnd w:id="3"/>
      <w:bookmarkEnd w:id="4"/>
      <w:r w:rsidRPr="00DE24B0">
        <w:rPr>
          <w:color w:val="2F5496" w:themeColor="accent5" w:themeShade="BF"/>
          <w:sz w:val="32"/>
          <w:szCs w:val="32"/>
        </w:rPr>
        <w:lastRenderedPageBreak/>
        <w:t>I</w:t>
      </w:r>
      <w:bookmarkEnd w:id="5"/>
      <w:bookmarkEnd w:id="6"/>
      <w:bookmarkEnd w:id="7"/>
      <w:r w:rsidR="00DE24B0" w:rsidRPr="00DE24B0">
        <w:rPr>
          <w:color w:val="2F5496" w:themeColor="accent5" w:themeShade="BF"/>
          <w:sz w:val="32"/>
          <w:szCs w:val="32"/>
        </w:rPr>
        <w:t>NTRODUCTION</w:t>
      </w:r>
      <w:bookmarkEnd w:id="8"/>
    </w:p>
    <w:p w14:paraId="09ACDED4" w14:textId="77777777" w:rsidR="000C3233" w:rsidRDefault="000C3233" w:rsidP="00DE24B0">
      <w:pPr>
        <w:pStyle w:val="ParaText"/>
        <w:spacing w:after="0" w:line="360" w:lineRule="auto"/>
        <w:jc w:val="left"/>
      </w:pPr>
      <w:r>
        <w:t xml:space="preserve">Welcome to CAISO </w:t>
      </w:r>
      <w:r>
        <w:rPr>
          <w:b/>
          <w:bCs/>
          <w:i/>
          <w:iCs/>
        </w:rPr>
        <w:t>BPM for Rules of Conduct Administration</w:t>
      </w:r>
      <w:r>
        <w:t>. In this Introduction you will find the following information:</w:t>
      </w:r>
    </w:p>
    <w:p w14:paraId="47ED1234" w14:textId="77777777" w:rsidR="000C3233" w:rsidRDefault="000C3233" w:rsidP="00DE24B0">
      <w:pPr>
        <w:pStyle w:val="Bullet1HRt"/>
        <w:numPr>
          <w:ilvl w:val="0"/>
          <w:numId w:val="23"/>
        </w:numPr>
        <w:spacing w:after="0" w:line="360" w:lineRule="auto"/>
        <w:jc w:val="left"/>
      </w:pPr>
      <w:r>
        <w:t>The purpose of CAISO BPMs</w:t>
      </w:r>
    </w:p>
    <w:p w14:paraId="6CE02EA7" w14:textId="77777777" w:rsidR="000C3233" w:rsidRDefault="000C3233" w:rsidP="00DE24B0">
      <w:pPr>
        <w:pStyle w:val="Bullet1HRt"/>
        <w:numPr>
          <w:ilvl w:val="0"/>
          <w:numId w:val="23"/>
        </w:numPr>
        <w:spacing w:after="0" w:line="360" w:lineRule="auto"/>
        <w:jc w:val="left"/>
      </w:pPr>
      <w:r>
        <w:t>What you can expect from this CAISO BPM</w:t>
      </w:r>
    </w:p>
    <w:p w14:paraId="6A97E2E1" w14:textId="4B415556" w:rsidR="003464C7" w:rsidRDefault="000C3233" w:rsidP="00027F0C">
      <w:pPr>
        <w:pStyle w:val="Bullet1HRt"/>
        <w:numPr>
          <w:ilvl w:val="0"/>
          <w:numId w:val="23"/>
        </w:numPr>
        <w:spacing w:after="0" w:line="360" w:lineRule="auto"/>
        <w:jc w:val="left"/>
      </w:pPr>
      <w:r>
        <w:t>Other CAISO BPMs or documents that provide related or additional information</w:t>
      </w:r>
    </w:p>
    <w:p w14:paraId="24738FFF" w14:textId="77777777" w:rsidR="00027F0C" w:rsidRDefault="00027F0C" w:rsidP="00027F0C">
      <w:pPr>
        <w:pStyle w:val="Bullet1HRt"/>
        <w:numPr>
          <w:ilvl w:val="0"/>
          <w:numId w:val="0"/>
        </w:numPr>
        <w:spacing w:after="0" w:line="360" w:lineRule="auto"/>
        <w:ind w:left="720"/>
        <w:jc w:val="left"/>
      </w:pPr>
    </w:p>
    <w:p w14:paraId="5FE7CCFE" w14:textId="77777777" w:rsidR="000C3233" w:rsidRPr="00027F0C" w:rsidRDefault="000C3233" w:rsidP="00027F0C">
      <w:pPr>
        <w:pStyle w:val="Heading2"/>
        <w:tabs>
          <w:tab w:val="clear" w:pos="1080"/>
          <w:tab w:val="num" w:pos="720"/>
        </w:tabs>
        <w:spacing w:after="0" w:line="360" w:lineRule="auto"/>
        <w:jc w:val="left"/>
        <w:rPr>
          <w:color w:val="2F5496" w:themeColor="accent5" w:themeShade="BF"/>
        </w:rPr>
      </w:pPr>
      <w:bookmarkStart w:id="9" w:name="_Toc140547977"/>
      <w:bookmarkStart w:id="10" w:name="_Toc181699699"/>
      <w:bookmarkStart w:id="11" w:name="_Toc188947200"/>
      <w:r w:rsidRPr="00027F0C">
        <w:rPr>
          <w:color w:val="2F5496" w:themeColor="accent5" w:themeShade="BF"/>
        </w:rPr>
        <w:t>Purpose of California ISO Business Practice Manuals</w:t>
      </w:r>
      <w:bookmarkEnd w:id="9"/>
      <w:bookmarkEnd w:id="10"/>
      <w:bookmarkEnd w:id="11"/>
    </w:p>
    <w:p w14:paraId="5AB024C2" w14:textId="6CABD794" w:rsidR="00045C4E" w:rsidRPr="00027F0C" w:rsidRDefault="000C3233" w:rsidP="00027F0C">
      <w:pPr>
        <w:pStyle w:val="ParaText"/>
        <w:spacing w:after="0" w:line="360" w:lineRule="auto"/>
        <w:jc w:val="left"/>
        <w:rPr>
          <w:rFonts w:ascii="Calibri" w:hAnsi="Calibri"/>
          <w:color w:val="2F5496" w:themeColor="accent5" w:themeShade="BF"/>
        </w:rPr>
      </w:pPr>
      <w:r>
        <w:t>The Business Pract</w:t>
      </w:r>
      <w:r w:rsidR="00027F0C">
        <w:t xml:space="preserve">ice Manuals (BPMs) developed by </w:t>
      </w:r>
      <w:r>
        <w:t xml:space="preserve">CAISO are intended to contain implementation detail, consistent with and supported by the CAISO Tariff, including:  instructions, rules, procedures, examples, and guidelines for the administration, operation, planning, and accounting requirements of CAISO and the Markets.  </w:t>
      </w:r>
      <w:bookmarkStart w:id="12" w:name="_Ref129143507"/>
      <w:bookmarkStart w:id="13" w:name="_Toc112039683"/>
      <w:bookmarkStart w:id="14" w:name="_Toc140458758"/>
      <w:bookmarkStart w:id="15" w:name="_Toc141856686"/>
      <w:r w:rsidR="00045C4E">
        <w:t xml:space="preserve">Each Business Practice Manual is posted in the BPM Library at: </w:t>
      </w:r>
      <w:hyperlink r:id="rId19" w:history="1">
        <w:r w:rsidR="00AB468D" w:rsidRPr="00027F0C">
          <w:rPr>
            <w:rStyle w:val="Hyperlink"/>
            <w:color w:val="2F5496" w:themeColor="accent5" w:themeShade="BF"/>
          </w:rPr>
          <w:t>http://bpmcm.caiso.com/Pages/BPMLibrary.aspx</w:t>
        </w:r>
      </w:hyperlink>
      <w:r w:rsidR="00AB468D" w:rsidRPr="00027F0C">
        <w:rPr>
          <w:color w:val="2F5496" w:themeColor="accent5" w:themeShade="BF"/>
        </w:rPr>
        <w:t xml:space="preserve">. </w:t>
      </w:r>
      <w:r w:rsidR="00045C4E" w:rsidRPr="00045C4E">
        <w:rPr>
          <w:rStyle w:val="Hyperlink"/>
          <w:color w:val="auto"/>
          <w:u w:val="none"/>
        </w:rPr>
        <w:t>Updates to all BPMs are managed in accordance with the change management procedures included in the</w:t>
      </w:r>
      <w:r w:rsidR="00AB468D">
        <w:rPr>
          <w:rStyle w:val="Hyperlink"/>
          <w:color w:val="auto"/>
          <w:u w:val="none"/>
        </w:rPr>
        <w:t xml:space="preserve"> </w:t>
      </w:r>
      <w:hyperlink r:id="rId20" w:history="1">
        <w:r w:rsidR="00AB468D" w:rsidRPr="00027F0C">
          <w:rPr>
            <w:rStyle w:val="Hyperlink"/>
            <w:color w:val="2F5496" w:themeColor="accent5" w:themeShade="BF"/>
          </w:rPr>
          <w:t>BPM for Change Management</w:t>
        </w:r>
      </w:hyperlink>
      <w:r w:rsidR="00045C4E" w:rsidRPr="00027F0C">
        <w:rPr>
          <w:color w:val="2F5496" w:themeColor="accent5" w:themeShade="BF"/>
        </w:rPr>
        <w:t>.</w:t>
      </w:r>
    </w:p>
    <w:bookmarkEnd w:id="12"/>
    <w:bookmarkEnd w:id="13"/>
    <w:bookmarkEnd w:id="14"/>
    <w:bookmarkEnd w:id="15"/>
    <w:p w14:paraId="4DAEEFED" w14:textId="6D6932FB" w:rsidR="003464C7" w:rsidRDefault="003464C7"/>
    <w:p w14:paraId="4B372519" w14:textId="77777777" w:rsidR="000C3233" w:rsidRPr="00027F0C" w:rsidRDefault="000C3233" w:rsidP="00027F0C">
      <w:pPr>
        <w:pStyle w:val="Heading2"/>
        <w:keepLines/>
        <w:tabs>
          <w:tab w:val="clear" w:pos="1080"/>
          <w:tab w:val="num" w:pos="720"/>
        </w:tabs>
        <w:jc w:val="left"/>
        <w:rPr>
          <w:color w:val="2F5496" w:themeColor="accent5" w:themeShade="BF"/>
        </w:rPr>
      </w:pPr>
      <w:bookmarkStart w:id="16" w:name="_Toc112039793"/>
      <w:bookmarkStart w:id="17" w:name="_Toc140547978"/>
      <w:bookmarkStart w:id="18" w:name="_Toc181699700"/>
      <w:bookmarkStart w:id="19" w:name="_Toc188947201"/>
      <w:r w:rsidRPr="00027F0C">
        <w:rPr>
          <w:color w:val="2F5496" w:themeColor="accent5" w:themeShade="BF"/>
        </w:rPr>
        <w:t>Purpose of this Business Practice Manual</w:t>
      </w:r>
      <w:bookmarkEnd w:id="16"/>
      <w:bookmarkEnd w:id="17"/>
      <w:bookmarkEnd w:id="18"/>
      <w:bookmarkEnd w:id="19"/>
    </w:p>
    <w:p w14:paraId="1D970D4C" w14:textId="6B4B2814" w:rsidR="000C3233" w:rsidRDefault="000C3233" w:rsidP="00027F0C">
      <w:pPr>
        <w:pStyle w:val="ParaText"/>
        <w:spacing w:after="0" w:line="360" w:lineRule="auto"/>
        <w:jc w:val="left"/>
      </w:pPr>
      <w:r>
        <w:t xml:space="preserve">The CAISO </w:t>
      </w:r>
      <w:r>
        <w:rPr>
          <w:i/>
        </w:rPr>
        <w:t>BPM for Rules of Conduct Administration</w:t>
      </w:r>
      <w:r>
        <w:t xml:space="preserve"> describes how CAISO administers the </w:t>
      </w:r>
      <w:r w:rsidR="0086767F">
        <w:t xml:space="preserve">Rules </w:t>
      </w:r>
      <w:r>
        <w:t xml:space="preserve">of </w:t>
      </w:r>
      <w:r w:rsidR="0086767F">
        <w:t xml:space="preserve">Conduct </w:t>
      </w:r>
      <w:r>
        <w:t>for participating in CAISO Markets.</w:t>
      </w:r>
    </w:p>
    <w:p w14:paraId="3D4D6A19" w14:textId="77777777" w:rsidR="00027F0C" w:rsidRDefault="00027F0C" w:rsidP="00027F0C">
      <w:pPr>
        <w:pStyle w:val="ParaText"/>
        <w:spacing w:after="0" w:line="360" w:lineRule="auto"/>
        <w:jc w:val="left"/>
      </w:pPr>
    </w:p>
    <w:p w14:paraId="46E5CE96" w14:textId="6939F848" w:rsidR="000C3233" w:rsidRDefault="000C3233" w:rsidP="00027F0C">
      <w:pPr>
        <w:pStyle w:val="ParaText"/>
        <w:spacing w:after="0" w:line="360" w:lineRule="auto"/>
        <w:jc w:val="left"/>
      </w:pPr>
      <w:r>
        <w:t>Although this BPM is primarily concerned with the Rules of Conduct, which can be found in Section 37 of the CAISO Tariff, there is some overlap with other BPMs.  Where appropriate, the reader is directed to the other BPMs for additional information.</w:t>
      </w:r>
    </w:p>
    <w:p w14:paraId="6FF6C7D5" w14:textId="77777777" w:rsidR="00027F0C" w:rsidRDefault="00027F0C" w:rsidP="00027F0C">
      <w:pPr>
        <w:pStyle w:val="ParaText"/>
        <w:spacing w:after="0" w:line="360" w:lineRule="auto"/>
        <w:jc w:val="left"/>
      </w:pPr>
    </w:p>
    <w:p w14:paraId="7933303F" w14:textId="77777777" w:rsidR="000C3233" w:rsidRDefault="000C3233" w:rsidP="00027F0C">
      <w:pPr>
        <w:pStyle w:val="ParaText"/>
        <w:spacing w:after="0" w:line="360" w:lineRule="auto"/>
        <w:jc w:val="left"/>
      </w:pPr>
      <w:bookmarkStart w:id="20" w:name="_Toc140547979"/>
      <w:r>
        <w:t xml:space="preserve">The provisions of </w:t>
      </w:r>
      <w:bookmarkEnd w:id="20"/>
      <w:r>
        <w:t>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CAISO to update the information contained in this BPM and to notify Market Participants of changes, it is the responsibility of each Market Participant to ensure that he or she is using the most recent version of this BPM and to comply with all applicable provision of the CAISO Tariff.</w:t>
      </w:r>
    </w:p>
    <w:p w14:paraId="3BCEE656" w14:textId="7FDBBCD0" w:rsidR="000C3233" w:rsidRDefault="000C3233" w:rsidP="00027F0C">
      <w:pPr>
        <w:pStyle w:val="ParaText"/>
        <w:spacing w:after="0" w:line="360" w:lineRule="auto"/>
        <w:jc w:val="left"/>
      </w:pPr>
      <w:r>
        <w:lastRenderedPageBreak/>
        <w:t>A reference in this BPM to the CAISO Tariff, a given agreement, any other BPM or instrument, is intended to refer to the CAISO Tariff, that agreement, BPM or instrument as modified, amended, supplemented or restated.</w:t>
      </w:r>
    </w:p>
    <w:p w14:paraId="2BE7687B" w14:textId="77777777" w:rsidR="00027F0C" w:rsidRDefault="00027F0C" w:rsidP="00027F0C">
      <w:pPr>
        <w:pStyle w:val="ParaText"/>
        <w:spacing w:after="0" w:line="360" w:lineRule="auto"/>
        <w:jc w:val="left"/>
      </w:pPr>
    </w:p>
    <w:p w14:paraId="11DE1727" w14:textId="7966B727" w:rsidR="000C3233" w:rsidRDefault="000C3233" w:rsidP="005859AB">
      <w:pPr>
        <w:pStyle w:val="ParaText"/>
        <w:spacing w:after="0" w:line="360" w:lineRule="auto"/>
        <w:jc w:val="left"/>
      </w:pPr>
      <w:r>
        <w:t>The captions and headings in this BPM are intended solely to facilitate reference and not to have any bearing on the meaning of any of the terms and conditions of this BPM.</w:t>
      </w:r>
    </w:p>
    <w:p w14:paraId="748D486E" w14:textId="77777777" w:rsidR="005859AB" w:rsidRDefault="005859AB" w:rsidP="005859AB">
      <w:pPr>
        <w:pStyle w:val="ParaText"/>
        <w:spacing w:after="0" w:line="360" w:lineRule="auto"/>
        <w:jc w:val="left"/>
      </w:pPr>
    </w:p>
    <w:p w14:paraId="5A718782" w14:textId="77777777" w:rsidR="000C3233" w:rsidRPr="001C724B" w:rsidRDefault="000C3233" w:rsidP="001C724B">
      <w:pPr>
        <w:pStyle w:val="Heading2"/>
        <w:tabs>
          <w:tab w:val="clear" w:pos="1080"/>
          <w:tab w:val="num" w:pos="720"/>
        </w:tabs>
        <w:jc w:val="left"/>
        <w:rPr>
          <w:color w:val="2F5496" w:themeColor="accent5" w:themeShade="BF"/>
        </w:rPr>
      </w:pPr>
      <w:bookmarkStart w:id="21" w:name="_Toc140547981"/>
      <w:bookmarkStart w:id="22" w:name="_Toc181699701"/>
      <w:bookmarkStart w:id="23" w:name="_Toc188947202"/>
      <w:r w:rsidRPr="001C724B">
        <w:rPr>
          <w:color w:val="2F5496" w:themeColor="accent5" w:themeShade="BF"/>
        </w:rPr>
        <w:t>References</w:t>
      </w:r>
      <w:bookmarkEnd w:id="21"/>
      <w:bookmarkEnd w:id="22"/>
      <w:bookmarkEnd w:id="23"/>
    </w:p>
    <w:p w14:paraId="50685E1E" w14:textId="77777777" w:rsidR="000C3233" w:rsidRDefault="000C3233" w:rsidP="001C724B">
      <w:pPr>
        <w:pStyle w:val="ParaText"/>
        <w:spacing w:after="0" w:line="360" w:lineRule="auto"/>
        <w:jc w:val="left"/>
      </w:pPr>
      <w:r>
        <w:t>Other reference information related to this BPM includes:</w:t>
      </w:r>
    </w:p>
    <w:p w14:paraId="4EEF8136" w14:textId="77777777" w:rsidR="000C3233" w:rsidRDefault="000C3233" w:rsidP="001C724B">
      <w:pPr>
        <w:pStyle w:val="Bullet1HRt"/>
        <w:numPr>
          <w:ilvl w:val="0"/>
          <w:numId w:val="24"/>
        </w:numPr>
        <w:spacing w:after="0" w:line="360" w:lineRule="auto"/>
        <w:jc w:val="left"/>
      </w:pPr>
      <w:r>
        <w:rPr>
          <w:rFonts w:cs="Arial"/>
        </w:rPr>
        <w:t>Other CAISO BPMs</w:t>
      </w:r>
      <w:r w:rsidR="00DF3D96">
        <w:rPr>
          <w:rFonts w:cs="Arial"/>
        </w:rPr>
        <w:t>.</w:t>
      </w:r>
    </w:p>
    <w:p w14:paraId="553CC610" w14:textId="77777777" w:rsidR="000C3233" w:rsidRDefault="000C3233" w:rsidP="001C724B">
      <w:pPr>
        <w:pStyle w:val="Bullet1HRt"/>
        <w:numPr>
          <w:ilvl w:val="0"/>
          <w:numId w:val="24"/>
        </w:numPr>
        <w:spacing w:after="0" w:line="360" w:lineRule="auto"/>
        <w:jc w:val="left"/>
      </w:pPr>
      <w:r>
        <w:rPr>
          <w:rFonts w:cs="Arial"/>
        </w:rPr>
        <w:t>CAISO Tariff, in particular Section 37, Rules of Conduct</w:t>
      </w:r>
      <w:r w:rsidR="00DF3D96">
        <w:rPr>
          <w:rFonts w:cs="Arial"/>
        </w:rPr>
        <w:t>.</w:t>
      </w:r>
      <w:r>
        <w:rPr>
          <w:rFonts w:cs="Arial"/>
        </w:rPr>
        <w:t xml:space="preserve"> </w:t>
      </w:r>
    </w:p>
    <w:p w14:paraId="17873EAA" w14:textId="77777777" w:rsidR="000C3233" w:rsidRDefault="000C3233" w:rsidP="001C724B">
      <w:pPr>
        <w:pStyle w:val="Bullet1HRt"/>
        <w:numPr>
          <w:ilvl w:val="0"/>
          <w:numId w:val="24"/>
        </w:numPr>
        <w:spacing w:after="0" w:line="360" w:lineRule="auto"/>
        <w:jc w:val="left"/>
      </w:pPr>
      <w:r>
        <w:rPr>
          <w:rFonts w:cs="Arial"/>
        </w:rPr>
        <w:t>Policy</w:t>
      </w:r>
      <w:r>
        <w:t xml:space="preserve"> Statement on Market Monitoring Units, FERC, Docket PL05-1-000, 5/27/2005</w:t>
      </w:r>
      <w:r w:rsidR="00DF3D96">
        <w:t>.</w:t>
      </w:r>
    </w:p>
    <w:p w14:paraId="3A7BB3FC" w14:textId="77777777" w:rsidR="000C3233" w:rsidRPr="00151FBC" w:rsidRDefault="000C3233" w:rsidP="001C724B">
      <w:pPr>
        <w:pStyle w:val="Bullet1HRt"/>
        <w:numPr>
          <w:ilvl w:val="0"/>
          <w:numId w:val="24"/>
        </w:numPr>
        <w:spacing w:after="0" w:line="360" w:lineRule="auto"/>
        <w:jc w:val="left"/>
      </w:pPr>
      <w:r>
        <w:rPr>
          <w:rFonts w:cs="Arial"/>
        </w:rPr>
        <w:t xml:space="preserve">FERC Code of Federal Regulations </w:t>
      </w:r>
      <w:r>
        <w:t>Market Behavior Rules, 18 C.F.R. § 35.37, and Prohibition of Electric Energy Market Manipulation, 18 C.F.R. § 1c.2</w:t>
      </w:r>
      <w:r w:rsidR="00DF3D96">
        <w:t>.</w:t>
      </w:r>
      <w:r>
        <w:rPr>
          <w:rFonts w:cs="Arial"/>
        </w:rPr>
        <w:t xml:space="preserve"> </w:t>
      </w:r>
    </w:p>
    <w:p w14:paraId="36B4952D" w14:textId="26E14710" w:rsidR="00151FBC" w:rsidRPr="00DE00DF" w:rsidRDefault="00151FBC" w:rsidP="001C724B">
      <w:pPr>
        <w:pStyle w:val="Bullet1HRt"/>
        <w:numPr>
          <w:ilvl w:val="0"/>
          <w:numId w:val="24"/>
        </w:numPr>
        <w:spacing w:after="0" w:line="360" w:lineRule="auto"/>
        <w:jc w:val="left"/>
      </w:pPr>
      <w:r>
        <w:rPr>
          <w:rFonts w:cs="Arial"/>
        </w:rPr>
        <w:t>Order 719, FERC, Docket ER09-1048</w:t>
      </w:r>
      <w:r w:rsidR="00813BB3">
        <w:rPr>
          <w:rFonts w:cs="Arial"/>
        </w:rPr>
        <w:t>, 10/17/2008</w:t>
      </w:r>
      <w:r w:rsidR="00DF3D96">
        <w:rPr>
          <w:rFonts w:cs="Arial"/>
        </w:rPr>
        <w:t>.</w:t>
      </w:r>
    </w:p>
    <w:p w14:paraId="2B6FEB1C" w14:textId="1623A241" w:rsidR="00DE00DF" w:rsidRDefault="00DE00DF" w:rsidP="001C724B">
      <w:pPr>
        <w:pStyle w:val="Bullet1HRt"/>
        <w:numPr>
          <w:ilvl w:val="0"/>
          <w:numId w:val="24"/>
        </w:numPr>
        <w:spacing w:after="0" w:line="360" w:lineRule="auto"/>
      </w:pPr>
      <w:r>
        <w:t>FERC,</w:t>
      </w:r>
      <w:r w:rsidRPr="00DE00DF">
        <w:t xml:space="preserve"> Docket ER24-872</w:t>
      </w:r>
      <w:r>
        <w:t>, 1/12/2024, effective 4/1/2024.</w:t>
      </w:r>
    </w:p>
    <w:p w14:paraId="4A0DBDCD" w14:textId="366C8F35" w:rsidR="003464C7" w:rsidRDefault="00DE00DF" w:rsidP="001C724B">
      <w:pPr>
        <w:pStyle w:val="Bullet1HRt"/>
        <w:numPr>
          <w:ilvl w:val="0"/>
          <w:numId w:val="24"/>
        </w:numPr>
        <w:spacing w:after="0" w:line="360" w:lineRule="auto"/>
      </w:pPr>
      <w:r>
        <w:t xml:space="preserve">FERC, Docket </w:t>
      </w:r>
      <w:r w:rsidR="00414EEF">
        <w:t>ER25-54</w:t>
      </w:r>
      <w:r>
        <w:t xml:space="preserve">, </w:t>
      </w:r>
      <w:r w:rsidR="000D0BA8">
        <w:t>10/8/2024</w:t>
      </w:r>
      <w:r>
        <w:t>,</w:t>
      </w:r>
      <w:r w:rsidR="00D80EF1">
        <w:t xml:space="preserve"> effective 1/6</w:t>
      </w:r>
      <w:r>
        <w:t>/2025.</w:t>
      </w:r>
    </w:p>
    <w:p w14:paraId="7521E579" w14:textId="77777777" w:rsidR="001C724B" w:rsidRDefault="001C724B" w:rsidP="001C724B">
      <w:pPr>
        <w:pStyle w:val="Bullet1HRt"/>
        <w:numPr>
          <w:ilvl w:val="0"/>
          <w:numId w:val="0"/>
        </w:numPr>
        <w:spacing w:after="0" w:line="360" w:lineRule="auto"/>
        <w:ind w:left="720"/>
      </w:pPr>
    </w:p>
    <w:p w14:paraId="0C373060" w14:textId="77777777" w:rsidR="000C3233" w:rsidRPr="001C724B" w:rsidRDefault="000C3233" w:rsidP="001C724B">
      <w:pPr>
        <w:pStyle w:val="Heading2"/>
        <w:tabs>
          <w:tab w:val="clear" w:pos="1080"/>
          <w:tab w:val="num" w:pos="720"/>
        </w:tabs>
        <w:spacing w:after="0" w:line="360" w:lineRule="auto"/>
        <w:jc w:val="left"/>
        <w:rPr>
          <w:color w:val="2F5496" w:themeColor="accent5" w:themeShade="BF"/>
        </w:rPr>
      </w:pPr>
      <w:bookmarkStart w:id="24" w:name="_Toc181699702"/>
      <w:bookmarkStart w:id="25" w:name="_Toc188947203"/>
      <w:r w:rsidRPr="001C724B">
        <w:rPr>
          <w:color w:val="2F5496" w:themeColor="accent5" w:themeShade="BF"/>
        </w:rPr>
        <w:t>Acronyms &amp; Specialized Terms</w:t>
      </w:r>
      <w:bookmarkEnd w:id="24"/>
      <w:bookmarkEnd w:id="25"/>
    </w:p>
    <w:p w14:paraId="3C47909E" w14:textId="77777777" w:rsidR="000C3233" w:rsidRDefault="000C3233" w:rsidP="001C724B">
      <w:pPr>
        <w:pStyle w:val="ParaText"/>
        <w:spacing w:after="0" w:line="360" w:lineRule="auto"/>
        <w:jc w:val="left"/>
      </w:pPr>
      <w:r>
        <w:t xml:space="preserve">The definition of acronyms and words beginning with capitalized letters are given in the </w:t>
      </w:r>
      <w:r>
        <w:rPr>
          <w:i/>
        </w:rPr>
        <w:t>BPM for Definitions &amp; Acronyms</w:t>
      </w:r>
      <w:r>
        <w:t>.</w:t>
      </w:r>
    </w:p>
    <w:p w14:paraId="2083CAA7" w14:textId="77777777" w:rsidR="000C3233" w:rsidRDefault="000C3233">
      <w:pPr>
        <w:pStyle w:val="ParaText"/>
        <w:jc w:val="left"/>
      </w:pPr>
    </w:p>
    <w:p w14:paraId="7B02268E" w14:textId="77777777" w:rsidR="000C3233" w:rsidRDefault="000C3233">
      <w:pPr>
        <w:pStyle w:val="ParaText"/>
        <w:jc w:val="left"/>
        <w:sectPr w:rsidR="000C3233" w:rsidSect="00027F0C">
          <w:footerReference w:type="default" r:id="rId21"/>
          <w:pgSz w:w="12240" w:h="15840"/>
          <w:pgMar w:top="1440" w:right="1440" w:bottom="1440" w:left="1440" w:header="720" w:footer="720" w:gutter="0"/>
          <w:cols w:space="720"/>
          <w:docGrid w:linePitch="299"/>
        </w:sectPr>
      </w:pPr>
    </w:p>
    <w:p w14:paraId="1C8E1724" w14:textId="691BBD1A" w:rsidR="000C3233" w:rsidRPr="00ED53E9" w:rsidRDefault="000C3233" w:rsidP="00ED53E9">
      <w:pPr>
        <w:pStyle w:val="Heading1"/>
        <w:pBdr>
          <w:top w:val="single" w:sz="12" w:space="1" w:color="2F5496" w:themeColor="accent5" w:themeShade="BF"/>
          <w:bottom w:val="single" w:sz="12" w:space="1" w:color="2F5496" w:themeColor="accent5" w:themeShade="BF"/>
        </w:pBdr>
        <w:tabs>
          <w:tab w:val="clear" w:pos="1080"/>
          <w:tab w:val="num" w:pos="720"/>
        </w:tabs>
        <w:jc w:val="left"/>
        <w:rPr>
          <w:color w:val="2F5496" w:themeColor="accent5" w:themeShade="BF"/>
          <w:sz w:val="32"/>
          <w:szCs w:val="32"/>
        </w:rPr>
      </w:pPr>
      <w:bookmarkStart w:id="26" w:name="_Toc188947204"/>
      <w:bookmarkStart w:id="27" w:name="_Toc181699703"/>
      <w:r w:rsidRPr="00ED53E9">
        <w:rPr>
          <w:color w:val="2F5496" w:themeColor="accent5" w:themeShade="BF"/>
          <w:sz w:val="32"/>
          <w:szCs w:val="32"/>
        </w:rPr>
        <w:lastRenderedPageBreak/>
        <w:t>O</w:t>
      </w:r>
      <w:r w:rsidR="00ED53E9">
        <w:rPr>
          <w:color w:val="2F5496" w:themeColor="accent5" w:themeShade="BF"/>
          <w:sz w:val="32"/>
          <w:szCs w:val="32"/>
        </w:rPr>
        <w:t>VERVIEW OF RULES OF CONDUCT</w:t>
      </w:r>
      <w:bookmarkEnd w:id="26"/>
      <w:r w:rsidR="00ED53E9">
        <w:rPr>
          <w:color w:val="2F5496" w:themeColor="accent5" w:themeShade="BF"/>
          <w:sz w:val="32"/>
          <w:szCs w:val="32"/>
        </w:rPr>
        <w:t xml:space="preserve"> </w:t>
      </w:r>
      <w:bookmarkEnd w:id="27"/>
    </w:p>
    <w:p w14:paraId="121A75CE" w14:textId="77777777" w:rsidR="000C3233" w:rsidRDefault="000C3233" w:rsidP="00ED53E9">
      <w:pPr>
        <w:pStyle w:val="ParaText"/>
        <w:spacing w:after="0" w:line="360" w:lineRule="auto"/>
        <w:jc w:val="left"/>
      </w:pPr>
      <w:r>
        <w:t xml:space="preserve">Welcome to the </w:t>
      </w:r>
      <w:r>
        <w:rPr>
          <w:i/>
        </w:rPr>
        <w:t>Overview of Rules of Conduct</w:t>
      </w:r>
      <w:r>
        <w:t xml:space="preserve"> section of the CAISO </w:t>
      </w:r>
      <w:r>
        <w:rPr>
          <w:i/>
        </w:rPr>
        <w:t>BPM for Rules of Conduct Administration</w:t>
      </w:r>
      <w:r>
        <w:t>.  In this section you will find the following information:</w:t>
      </w:r>
    </w:p>
    <w:p w14:paraId="1C261C61" w14:textId="77777777" w:rsidR="000C3233" w:rsidRDefault="000C3233" w:rsidP="00ED53E9">
      <w:pPr>
        <w:pStyle w:val="Bullet1HRt"/>
        <w:numPr>
          <w:ilvl w:val="0"/>
          <w:numId w:val="25"/>
        </w:numPr>
        <w:spacing w:after="0" w:line="360" w:lineRule="auto"/>
        <w:jc w:val="left"/>
      </w:pPr>
      <w:r>
        <w:rPr>
          <w:rFonts w:cs="Arial"/>
        </w:rPr>
        <w:t>Summary of th</w:t>
      </w:r>
      <w:r w:rsidR="00F31498">
        <w:rPr>
          <w:rFonts w:cs="Arial"/>
        </w:rPr>
        <w:t>e CAISO Tariff Rules of Conduct</w:t>
      </w:r>
      <w:r w:rsidR="00DF3D96">
        <w:rPr>
          <w:rFonts w:cs="Arial"/>
        </w:rPr>
        <w:t>.</w:t>
      </w:r>
    </w:p>
    <w:p w14:paraId="23F3D375" w14:textId="6A2BE76C" w:rsidR="003464C7" w:rsidRDefault="000C3233" w:rsidP="00ED53E9">
      <w:pPr>
        <w:pStyle w:val="Bullet1HRt"/>
        <w:numPr>
          <w:ilvl w:val="0"/>
          <w:numId w:val="25"/>
        </w:numPr>
        <w:spacing w:after="0" w:line="360" w:lineRule="auto"/>
        <w:jc w:val="left"/>
      </w:pPr>
      <w:r>
        <w:rPr>
          <w:rFonts w:cs="Arial"/>
        </w:rPr>
        <w:t>Summar</w:t>
      </w:r>
      <w:r>
        <w:t xml:space="preserve">y of behavior that is subject to </w:t>
      </w:r>
      <w:r w:rsidR="00A721C7">
        <w:t xml:space="preserve">Sanction </w:t>
      </w:r>
      <w:r>
        <w:t xml:space="preserve">under the CAISO Tariff </w:t>
      </w:r>
      <w:r w:rsidR="00D411B6">
        <w:t xml:space="preserve">Rules of Conduct </w:t>
      </w:r>
      <w:r>
        <w:t>(CAISO Tariff Section 37)</w:t>
      </w:r>
      <w:r w:rsidR="00DF3D96">
        <w:t>.</w:t>
      </w:r>
    </w:p>
    <w:p w14:paraId="3159FE0A" w14:textId="77777777" w:rsidR="00ED53E9" w:rsidRPr="00ED53E9" w:rsidRDefault="00ED53E9" w:rsidP="00ED53E9">
      <w:pPr>
        <w:pStyle w:val="Bullet1HRt"/>
        <w:numPr>
          <w:ilvl w:val="0"/>
          <w:numId w:val="0"/>
        </w:numPr>
        <w:spacing w:after="0" w:line="360" w:lineRule="auto"/>
        <w:ind w:left="720"/>
        <w:jc w:val="left"/>
      </w:pPr>
    </w:p>
    <w:p w14:paraId="5C0404D9" w14:textId="77777777" w:rsidR="000C3233" w:rsidRPr="00ED53E9" w:rsidRDefault="000C3233" w:rsidP="00ED53E9">
      <w:pPr>
        <w:pStyle w:val="Heading2"/>
        <w:tabs>
          <w:tab w:val="clear" w:pos="1080"/>
        </w:tabs>
        <w:ind w:left="720" w:hanging="720"/>
        <w:jc w:val="left"/>
        <w:rPr>
          <w:color w:val="2F5496" w:themeColor="accent5" w:themeShade="BF"/>
        </w:rPr>
      </w:pPr>
      <w:bookmarkStart w:id="28" w:name="_Toc181699704"/>
      <w:bookmarkStart w:id="29" w:name="_Toc188947205"/>
      <w:r w:rsidRPr="00ED53E9">
        <w:rPr>
          <w:color w:val="2F5496" w:themeColor="accent5" w:themeShade="BF"/>
        </w:rPr>
        <w:t>Rules of Conduct Summary</w:t>
      </w:r>
      <w:bookmarkEnd w:id="28"/>
      <w:bookmarkEnd w:id="29"/>
    </w:p>
    <w:p w14:paraId="213ACE67" w14:textId="2DB2F966" w:rsidR="000C3233" w:rsidRDefault="000C3233" w:rsidP="00ED53E9">
      <w:pPr>
        <w:pStyle w:val="ParaText"/>
        <w:spacing w:after="0" w:line="360" w:lineRule="auto"/>
        <w:jc w:val="left"/>
      </w:pPr>
      <w:r>
        <w:t>CAISO Tariff Section 37.1, Objectives Definition and Scope</w:t>
      </w:r>
    </w:p>
    <w:p w14:paraId="461684C9" w14:textId="77777777" w:rsidR="00ED53E9" w:rsidRDefault="00ED53E9" w:rsidP="00ED53E9">
      <w:pPr>
        <w:pStyle w:val="ParaText"/>
        <w:spacing w:after="0" w:line="360" w:lineRule="auto"/>
        <w:jc w:val="left"/>
      </w:pPr>
    </w:p>
    <w:p w14:paraId="680D0987" w14:textId="789E3FF3" w:rsidR="000C3233" w:rsidRDefault="000C3233" w:rsidP="00ED53E9">
      <w:pPr>
        <w:pStyle w:val="ParaText"/>
        <w:spacing w:after="0" w:line="360" w:lineRule="auto"/>
        <w:jc w:val="left"/>
      </w:pPr>
      <w:r>
        <w:t xml:space="preserve">The Rules of Conduct, which can be found in the CAISO </w:t>
      </w:r>
      <w:r w:rsidR="00D411B6">
        <w:t xml:space="preserve">Tariff </w:t>
      </w:r>
      <w:r>
        <w:t xml:space="preserve">Section 37, are intended to provide fair notice to Market Participants of the conduct expected of them, to provide an environment in which all parties may participate on a fair and equal basis, to redress instances of market manipulation and other instances of anticompetitive behavior, and thereby to foster confidence of Market Participants, ratepayers and the general public in the proper functioning of the CAISO Markets. </w:t>
      </w:r>
    </w:p>
    <w:p w14:paraId="6A08447C" w14:textId="77777777" w:rsidR="00ED53E9" w:rsidRDefault="00ED53E9" w:rsidP="00ED53E9">
      <w:pPr>
        <w:pStyle w:val="ParaText"/>
        <w:spacing w:after="0" w:line="360" w:lineRule="auto"/>
        <w:jc w:val="left"/>
      </w:pPr>
    </w:p>
    <w:p w14:paraId="57335E27" w14:textId="77777777" w:rsidR="000C3233" w:rsidRDefault="000C3233" w:rsidP="00ED53E9">
      <w:pPr>
        <w:pStyle w:val="ParaText"/>
        <w:spacing w:after="0" w:line="360" w:lineRule="auto"/>
        <w:jc w:val="left"/>
      </w:pPr>
      <w:r>
        <w:t>At a high level, the Rules of Conduct are as follows:</w:t>
      </w:r>
    </w:p>
    <w:p w14:paraId="68AFDD66" w14:textId="6FD9FA06" w:rsidR="000C3233" w:rsidRDefault="00A721C7" w:rsidP="00ED53E9">
      <w:pPr>
        <w:pStyle w:val="Bullet1"/>
        <w:numPr>
          <w:ilvl w:val="0"/>
          <w:numId w:val="26"/>
        </w:numPr>
        <w:spacing w:line="360" w:lineRule="auto"/>
        <w:jc w:val="left"/>
      </w:pPr>
      <w:r>
        <w:t>“</w:t>
      </w:r>
      <w:r w:rsidR="000C3233">
        <w:t xml:space="preserve">Comply with Operating </w:t>
      </w:r>
      <w:r w:rsidR="008E2E00">
        <w:t>Instructions</w:t>
      </w:r>
      <w:r>
        <w:t>”</w:t>
      </w:r>
      <w:r w:rsidR="000C3233">
        <w:t xml:space="preserve"> (CAISO Tariff Section 37.2)</w:t>
      </w:r>
      <w:r w:rsidR="00DF3D96">
        <w:t>.</w:t>
      </w:r>
    </w:p>
    <w:p w14:paraId="3DCD8D16" w14:textId="6240DE83" w:rsidR="000C3233" w:rsidRDefault="00A721C7" w:rsidP="00ED53E9">
      <w:pPr>
        <w:pStyle w:val="Bullet1"/>
        <w:numPr>
          <w:ilvl w:val="0"/>
          <w:numId w:val="26"/>
        </w:numPr>
        <w:spacing w:line="360" w:lineRule="auto"/>
        <w:jc w:val="left"/>
      </w:pPr>
      <w:r>
        <w:t>“</w:t>
      </w:r>
      <w:r w:rsidR="000C3233">
        <w:t xml:space="preserve">Submit Feasible </w:t>
      </w:r>
      <w:r w:rsidR="00D411B6">
        <w:t>Bids</w:t>
      </w:r>
      <w:r w:rsidR="000C3233">
        <w:t xml:space="preserve"> and </w:t>
      </w:r>
      <w:r w:rsidR="00D411B6">
        <w:t>Submissions to Self-Provide</w:t>
      </w:r>
      <w:r>
        <w:t>”</w:t>
      </w:r>
      <w:r w:rsidR="000C3233">
        <w:t xml:space="preserve"> (CAISO Tariff Section 37.3)</w:t>
      </w:r>
      <w:r w:rsidR="00DF3D96">
        <w:t>.</w:t>
      </w:r>
    </w:p>
    <w:p w14:paraId="11AA6893" w14:textId="77777777" w:rsidR="000C3233" w:rsidRDefault="00A721C7" w:rsidP="00ED53E9">
      <w:pPr>
        <w:pStyle w:val="Bullet1"/>
        <w:numPr>
          <w:ilvl w:val="0"/>
          <w:numId w:val="26"/>
        </w:numPr>
        <w:spacing w:line="360" w:lineRule="auto"/>
        <w:jc w:val="left"/>
      </w:pPr>
      <w:r>
        <w:t>“</w:t>
      </w:r>
      <w:r w:rsidR="000C3233">
        <w:t>Comply with Availability Reporting Requirements</w:t>
      </w:r>
      <w:r>
        <w:t>”</w:t>
      </w:r>
      <w:r w:rsidR="000C3233">
        <w:t xml:space="preserve"> (CAISO Tariff Section 37.4)</w:t>
      </w:r>
      <w:r w:rsidR="00DF3D96">
        <w:t>.</w:t>
      </w:r>
    </w:p>
    <w:p w14:paraId="517A923D" w14:textId="77777777" w:rsidR="000C3233" w:rsidRDefault="00A721C7" w:rsidP="00ED53E9">
      <w:pPr>
        <w:pStyle w:val="Bullet1"/>
        <w:numPr>
          <w:ilvl w:val="0"/>
          <w:numId w:val="26"/>
        </w:numPr>
        <w:spacing w:line="360" w:lineRule="auto"/>
        <w:jc w:val="left"/>
      </w:pPr>
      <w:r>
        <w:t>“</w:t>
      </w:r>
      <w:r w:rsidR="000C3233">
        <w:t>Provide Factually Accurate Information</w:t>
      </w:r>
      <w:r>
        <w:t>”</w:t>
      </w:r>
      <w:r w:rsidR="000C3233">
        <w:t xml:space="preserve"> (CAISO Tariff Section 37.5)</w:t>
      </w:r>
      <w:r w:rsidR="00DF3D96">
        <w:t>.</w:t>
      </w:r>
    </w:p>
    <w:p w14:paraId="664908E5" w14:textId="44276C00" w:rsidR="000C3233" w:rsidRDefault="00A721C7" w:rsidP="00ED53E9">
      <w:pPr>
        <w:pStyle w:val="Bullet1"/>
        <w:numPr>
          <w:ilvl w:val="0"/>
          <w:numId w:val="26"/>
        </w:numPr>
        <w:spacing w:line="360" w:lineRule="auto"/>
        <w:jc w:val="left"/>
      </w:pPr>
      <w:r>
        <w:t>“</w:t>
      </w:r>
      <w:r w:rsidR="000C3233">
        <w:t>Provide Information Required by CAISO Tariff</w:t>
      </w:r>
      <w:r>
        <w:t>”</w:t>
      </w:r>
      <w:r w:rsidR="000C3233">
        <w:t xml:space="preserve"> (CAISO Tariff Section 37.6)</w:t>
      </w:r>
      <w:r w:rsidR="00DF3D96">
        <w:t>.</w:t>
      </w:r>
    </w:p>
    <w:p w14:paraId="37670EF2" w14:textId="64E55230" w:rsidR="008E2E00" w:rsidRDefault="008E2E00" w:rsidP="00ED53E9">
      <w:pPr>
        <w:pStyle w:val="Bullet1"/>
        <w:numPr>
          <w:ilvl w:val="0"/>
          <w:numId w:val="26"/>
        </w:numPr>
        <w:spacing w:line="360" w:lineRule="auto"/>
        <w:jc w:val="left"/>
      </w:pPr>
      <w:r>
        <w:t>“Provide Monitoring Data” (CAISO Tariff Section 37.7).</w:t>
      </w:r>
    </w:p>
    <w:tbl>
      <w:tblPr>
        <w:tblW w:w="5680" w:type="dxa"/>
        <w:tblInd w:w="91" w:type="dxa"/>
        <w:tblLook w:val="04A0" w:firstRow="1" w:lastRow="0" w:firstColumn="1" w:lastColumn="0" w:noHBand="0" w:noVBand="1"/>
      </w:tblPr>
      <w:tblGrid>
        <w:gridCol w:w="5680"/>
      </w:tblGrid>
      <w:tr w:rsidR="00042C77" w:rsidRPr="00042C77" w14:paraId="3360CB90" w14:textId="77777777" w:rsidTr="00042C77">
        <w:trPr>
          <w:trHeight w:val="300"/>
        </w:trPr>
        <w:tc>
          <w:tcPr>
            <w:tcW w:w="5680" w:type="dxa"/>
            <w:tcBorders>
              <w:top w:val="nil"/>
              <w:left w:val="nil"/>
              <w:bottom w:val="nil"/>
              <w:right w:val="nil"/>
            </w:tcBorders>
            <w:shd w:val="clear" w:color="auto" w:fill="auto"/>
            <w:noWrap/>
            <w:vAlign w:val="bottom"/>
            <w:hideMark/>
          </w:tcPr>
          <w:p w14:paraId="1AE7381F" w14:textId="77777777" w:rsidR="00042C77" w:rsidRPr="00042C77" w:rsidRDefault="00042C77" w:rsidP="00042C77">
            <w:pPr>
              <w:spacing w:after="0"/>
              <w:jc w:val="center"/>
              <w:rPr>
                <w:rFonts w:ascii="Calibri" w:hAnsi="Calibri" w:cs="Calibri"/>
                <w:color w:val="000000"/>
                <w:szCs w:val="22"/>
              </w:rPr>
            </w:pPr>
          </w:p>
        </w:tc>
      </w:tr>
      <w:tr w:rsidR="00042C77" w:rsidRPr="00042C77" w14:paraId="53B5EF20" w14:textId="77777777" w:rsidTr="00042C77">
        <w:trPr>
          <w:trHeight w:val="300"/>
        </w:trPr>
        <w:tc>
          <w:tcPr>
            <w:tcW w:w="5680" w:type="dxa"/>
            <w:tcBorders>
              <w:top w:val="nil"/>
              <w:left w:val="nil"/>
              <w:bottom w:val="nil"/>
              <w:right w:val="nil"/>
            </w:tcBorders>
            <w:shd w:val="clear" w:color="auto" w:fill="auto"/>
            <w:noWrap/>
            <w:vAlign w:val="bottom"/>
            <w:hideMark/>
          </w:tcPr>
          <w:p w14:paraId="236E2609" w14:textId="77777777" w:rsidR="00042C77" w:rsidRPr="00042C77" w:rsidRDefault="00042C77" w:rsidP="00042C77">
            <w:pPr>
              <w:spacing w:after="0"/>
              <w:jc w:val="center"/>
              <w:rPr>
                <w:rFonts w:ascii="Calibri" w:hAnsi="Calibri" w:cs="Calibri"/>
                <w:color w:val="000000"/>
                <w:szCs w:val="22"/>
              </w:rPr>
            </w:pPr>
          </w:p>
        </w:tc>
      </w:tr>
      <w:tr w:rsidR="00042C77" w:rsidRPr="00042C77" w14:paraId="6C6DD219" w14:textId="77777777" w:rsidTr="00042C77">
        <w:trPr>
          <w:trHeight w:val="300"/>
        </w:trPr>
        <w:tc>
          <w:tcPr>
            <w:tcW w:w="5680" w:type="dxa"/>
            <w:tcBorders>
              <w:top w:val="nil"/>
              <w:left w:val="nil"/>
              <w:bottom w:val="nil"/>
              <w:right w:val="nil"/>
            </w:tcBorders>
            <w:shd w:val="clear" w:color="auto" w:fill="auto"/>
            <w:noWrap/>
            <w:vAlign w:val="bottom"/>
            <w:hideMark/>
          </w:tcPr>
          <w:p w14:paraId="05A37FE3" w14:textId="77777777" w:rsidR="00042C77" w:rsidRPr="00042C77" w:rsidRDefault="00042C77" w:rsidP="00042C77">
            <w:pPr>
              <w:spacing w:after="0"/>
              <w:jc w:val="center"/>
              <w:rPr>
                <w:rFonts w:ascii="Calibri" w:hAnsi="Calibri" w:cs="Calibri"/>
                <w:color w:val="000000"/>
                <w:szCs w:val="22"/>
              </w:rPr>
            </w:pPr>
          </w:p>
        </w:tc>
      </w:tr>
      <w:tr w:rsidR="00042C77" w:rsidRPr="00042C77" w14:paraId="4D1391FF" w14:textId="77777777" w:rsidTr="00042C77">
        <w:trPr>
          <w:trHeight w:val="300"/>
        </w:trPr>
        <w:tc>
          <w:tcPr>
            <w:tcW w:w="5680" w:type="dxa"/>
            <w:tcBorders>
              <w:top w:val="nil"/>
              <w:left w:val="nil"/>
              <w:bottom w:val="nil"/>
              <w:right w:val="nil"/>
            </w:tcBorders>
            <w:shd w:val="clear" w:color="auto" w:fill="auto"/>
            <w:noWrap/>
            <w:vAlign w:val="bottom"/>
            <w:hideMark/>
          </w:tcPr>
          <w:p w14:paraId="4C21F07C" w14:textId="77777777" w:rsidR="00042C77" w:rsidRPr="00042C77" w:rsidRDefault="00042C77" w:rsidP="00042C77">
            <w:pPr>
              <w:spacing w:after="0"/>
              <w:jc w:val="center"/>
              <w:rPr>
                <w:rFonts w:ascii="Calibri" w:hAnsi="Calibri" w:cs="Calibri"/>
                <w:color w:val="000000"/>
                <w:szCs w:val="22"/>
              </w:rPr>
            </w:pPr>
          </w:p>
        </w:tc>
      </w:tr>
      <w:tr w:rsidR="00042C77" w:rsidRPr="00042C77" w14:paraId="3997BEE9" w14:textId="77777777" w:rsidTr="00042C77">
        <w:trPr>
          <w:trHeight w:val="300"/>
        </w:trPr>
        <w:tc>
          <w:tcPr>
            <w:tcW w:w="5680" w:type="dxa"/>
            <w:tcBorders>
              <w:top w:val="nil"/>
              <w:left w:val="nil"/>
              <w:bottom w:val="nil"/>
              <w:right w:val="nil"/>
            </w:tcBorders>
            <w:shd w:val="clear" w:color="auto" w:fill="auto"/>
            <w:noWrap/>
            <w:vAlign w:val="bottom"/>
            <w:hideMark/>
          </w:tcPr>
          <w:p w14:paraId="02D4D263" w14:textId="77777777" w:rsidR="00042C77" w:rsidRPr="00042C77" w:rsidRDefault="00042C77" w:rsidP="00042C77">
            <w:pPr>
              <w:spacing w:after="0"/>
              <w:jc w:val="center"/>
              <w:rPr>
                <w:rFonts w:ascii="Calibri" w:hAnsi="Calibri" w:cs="Calibri"/>
                <w:color w:val="000000"/>
                <w:szCs w:val="22"/>
              </w:rPr>
            </w:pPr>
          </w:p>
        </w:tc>
      </w:tr>
      <w:tr w:rsidR="00042C77" w:rsidRPr="00042C77" w14:paraId="1415BE90" w14:textId="77777777" w:rsidTr="00042C77">
        <w:trPr>
          <w:trHeight w:val="300"/>
        </w:trPr>
        <w:tc>
          <w:tcPr>
            <w:tcW w:w="5680" w:type="dxa"/>
            <w:tcBorders>
              <w:top w:val="nil"/>
              <w:left w:val="nil"/>
              <w:bottom w:val="nil"/>
              <w:right w:val="nil"/>
            </w:tcBorders>
            <w:shd w:val="clear" w:color="auto" w:fill="auto"/>
            <w:noWrap/>
            <w:vAlign w:val="bottom"/>
            <w:hideMark/>
          </w:tcPr>
          <w:p w14:paraId="0D83CB2A" w14:textId="77777777" w:rsidR="00042C77" w:rsidRPr="00042C77" w:rsidRDefault="00042C77" w:rsidP="00042C77">
            <w:pPr>
              <w:spacing w:after="0"/>
              <w:jc w:val="center"/>
              <w:rPr>
                <w:rFonts w:ascii="Calibri" w:hAnsi="Calibri" w:cs="Calibri"/>
                <w:color w:val="000000"/>
                <w:szCs w:val="22"/>
              </w:rPr>
            </w:pPr>
          </w:p>
        </w:tc>
      </w:tr>
      <w:tr w:rsidR="00042C77" w:rsidRPr="00042C77" w14:paraId="2044DE48" w14:textId="77777777" w:rsidTr="00042C77">
        <w:trPr>
          <w:trHeight w:val="300"/>
        </w:trPr>
        <w:tc>
          <w:tcPr>
            <w:tcW w:w="5680" w:type="dxa"/>
            <w:tcBorders>
              <w:top w:val="nil"/>
              <w:left w:val="nil"/>
              <w:bottom w:val="nil"/>
              <w:right w:val="nil"/>
            </w:tcBorders>
            <w:shd w:val="clear" w:color="auto" w:fill="auto"/>
            <w:noWrap/>
            <w:vAlign w:val="bottom"/>
            <w:hideMark/>
          </w:tcPr>
          <w:p w14:paraId="213C458C" w14:textId="77777777" w:rsidR="00042C77" w:rsidRPr="00042C77" w:rsidRDefault="00042C77" w:rsidP="00042C77">
            <w:pPr>
              <w:spacing w:after="0"/>
              <w:jc w:val="center"/>
              <w:rPr>
                <w:rFonts w:ascii="Calibri" w:hAnsi="Calibri" w:cs="Calibri"/>
                <w:color w:val="000000"/>
                <w:szCs w:val="22"/>
              </w:rPr>
            </w:pPr>
          </w:p>
        </w:tc>
      </w:tr>
    </w:tbl>
    <w:p w14:paraId="0D104282" w14:textId="77777777" w:rsidR="003464C7" w:rsidRDefault="003464C7" w:rsidP="003464C7">
      <w:pPr>
        <w:pStyle w:val="Bullet1HRt"/>
        <w:numPr>
          <w:ilvl w:val="0"/>
          <w:numId w:val="0"/>
        </w:numPr>
        <w:ind w:left="360"/>
        <w:jc w:val="left"/>
      </w:pPr>
    </w:p>
    <w:p w14:paraId="43D41A3E" w14:textId="77777777" w:rsidR="000C3233" w:rsidRPr="00ED53E9" w:rsidRDefault="000C3233" w:rsidP="00ED53E9">
      <w:pPr>
        <w:pStyle w:val="Heading2"/>
        <w:tabs>
          <w:tab w:val="clear" w:pos="1080"/>
          <w:tab w:val="num" w:pos="720"/>
        </w:tabs>
        <w:jc w:val="left"/>
        <w:rPr>
          <w:color w:val="2F5496" w:themeColor="accent5" w:themeShade="BF"/>
        </w:rPr>
      </w:pPr>
      <w:bookmarkStart w:id="30" w:name="_Toc181699705"/>
      <w:bookmarkStart w:id="31" w:name="_Toc188947206"/>
      <w:r w:rsidRPr="00ED53E9">
        <w:rPr>
          <w:color w:val="2F5496" w:themeColor="accent5" w:themeShade="BF"/>
        </w:rPr>
        <w:lastRenderedPageBreak/>
        <w:t>Summary of Behavior Subject to Sanction</w:t>
      </w:r>
      <w:bookmarkEnd w:id="30"/>
      <w:bookmarkEnd w:id="31"/>
    </w:p>
    <w:p w14:paraId="3AFF8C06" w14:textId="1CDD828E" w:rsidR="000C3233" w:rsidRDefault="000C3233" w:rsidP="00ED53E9">
      <w:pPr>
        <w:pStyle w:val="ParaText"/>
        <w:spacing w:after="0" w:line="360" w:lineRule="auto"/>
        <w:jc w:val="left"/>
      </w:pPr>
      <w:r>
        <w:t xml:space="preserve">As a general rule, </w:t>
      </w:r>
      <w:r w:rsidR="00E832FC">
        <w:t>the CAISO</w:t>
      </w:r>
      <w:r w:rsidR="0029446F">
        <w:t xml:space="preserve"> </w:t>
      </w:r>
      <w:r>
        <w:t xml:space="preserve">investigates and administers associated </w:t>
      </w:r>
      <w:r w:rsidR="00A721C7">
        <w:t xml:space="preserve">Sanctions </w:t>
      </w:r>
      <w:r>
        <w:t xml:space="preserve">for violations of the Rules of Conduct that can be objectively determined and for which pre-determined </w:t>
      </w:r>
      <w:r w:rsidR="00A721C7">
        <w:t>Sanction</w:t>
      </w:r>
      <w:r>
        <w:t xml:space="preserve">s are established in the CAISO Tariff.  </w:t>
      </w:r>
      <w:r w:rsidR="00B90685">
        <w:t xml:space="preserve">Conduct that potentially violates the Rules of Conduct which </w:t>
      </w:r>
      <w:r w:rsidR="00540769">
        <w:t>CAISO</w:t>
      </w:r>
      <w:r w:rsidR="00B90685">
        <w:t xml:space="preserve"> administers </w:t>
      </w:r>
      <w:r w:rsidR="00540769">
        <w:t xml:space="preserve">are listed in “Administration” (CAISO Tariff Section 37.1.5) and </w:t>
      </w:r>
      <w:r w:rsidR="00B90685">
        <w:t>include</w:t>
      </w:r>
      <w:r w:rsidR="00540769">
        <w:t xml:space="preserve"> failures to provide accurate and timely SQMD, failure to comply with generator availability reporting requirements, etc.</w:t>
      </w:r>
      <w:r w:rsidR="00B90685">
        <w:t xml:space="preserve">  </w:t>
      </w:r>
      <w:r w:rsidR="003967B1">
        <w:t xml:space="preserve">Where the particular circumstances of a potential violation preclude an objective determination that a violation occurred, the CAISO refers the matter to </w:t>
      </w:r>
      <w:r w:rsidR="00B37577">
        <w:t xml:space="preserve">the Federal Energy Regulatory Commission (FERC).  </w:t>
      </w:r>
      <w:r w:rsidR="003967B1">
        <w:t xml:space="preserve">Conduct that potentially violates the </w:t>
      </w:r>
      <w:r>
        <w:t>Rule</w:t>
      </w:r>
      <w:r w:rsidR="006B3A1C">
        <w:t>s</w:t>
      </w:r>
      <w:r>
        <w:t xml:space="preserve"> of Conduct </w:t>
      </w:r>
      <w:r w:rsidR="00042C77">
        <w:t>which FERC administers include</w:t>
      </w:r>
      <w:r w:rsidR="00440D18">
        <w:t xml:space="preserve"> the failure to comply with orders, the failure to start and bring on line a Resource Adequacy Resou</w:t>
      </w:r>
      <w:r w:rsidR="00042C77">
        <w:t>r</w:t>
      </w:r>
      <w:r w:rsidR="00440D18">
        <w:t>ce</w:t>
      </w:r>
      <w:r w:rsidR="00185AD9">
        <w:t xml:space="preserve">, </w:t>
      </w:r>
      <w:r w:rsidR="003967B1">
        <w:t xml:space="preserve">the failure to undertake operating and maintenance procedures necessary to avoid a major Outage, and the </w:t>
      </w:r>
      <w:r w:rsidR="00440D18">
        <w:t xml:space="preserve">failure to submit </w:t>
      </w:r>
      <w:r w:rsidR="006345C0">
        <w:t xml:space="preserve">bids from resources that are reasonably expected to be capable of performing at the levels specified in the bids. </w:t>
      </w:r>
      <w:r w:rsidR="00753D15">
        <w:t xml:space="preserve"> </w:t>
      </w:r>
      <w:r w:rsidR="00042C77">
        <w:t xml:space="preserve">These events </w:t>
      </w:r>
      <w:r w:rsidR="00440D18">
        <w:t>are</w:t>
      </w:r>
      <w:r w:rsidR="003967B1">
        <w:t xml:space="preserve"> referred to FERC</w:t>
      </w:r>
      <w:r w:rsidR="00B37577">
        <w:t xml:space="preserve">’s Office of Enforcement by </w:t>
      </w:r>
      <w:r w:rsidR="0029446F">
        <w:t>the CAISO</w:t>
      </w:r>
      <w:r w:rsidR="00B37577">
        <w:t>’s</w:t>
      </w:r>
      <w:r w:rsidR="0029446F">
        <w:t xml:space="preserve"> Department of Market Monitoring (DMM)</w:t>
      </w:r>
      <w:r w:rsidR="00B37577">
        <w:t>.</w:t>
      </w:r>
      <w:r>
        <w:t xml:space="preserve">  </w:t>
      </w:r>
      <w:r w:rsidR="0029446F">
        <w:t>DMM may</w:t>
      </w:r>
      <w:r>
        <w:t xml:space="preserve"> also refer potential violations of other FERC rules and regulations to</w:t>
      </w:r>
      <w:r w:rsidR="00DF3D96">
        <w:t xml:space="preserve"> </w:t>
      </w:r>
      <w:r>
        <w:t>FERC</w:t>
      </w:r>
      <w:r w:rsidR="00DF3D96">
        <w:t>’s</w:t>
      </w:r>
      <w:r>
        <w:t xml:space="preserve"> Office of Enforcement.</w:t>
      </w:r>
    </w:p>
    <w:p w14:paraId="78E648B1" w14:textId="77777777" w:rsidR="00ED53E9" w:rsidRDefault="00ED53E9" w:rsidP="00ED53E9">
      <w:pPr>
        <w:pStyle w:val="ParaText"/>
        <w:spacing w:after="0" w:line="360" w:lineRule="auto"/>
        <w:jc w:val="left"/>
      </w:pPr>
    </w:p>
    <w:p w14:paraId="78AB914D" w14:textId="44136F38" w:rsidR="000C3233" w:rsidRDefault="000C3233" w:rsidP="00CA38E1">
      <w:pPr>
        <w:pStyle w:val="ParaText"/>
        <w:spacing w:after="0" w:line="360" w:lineRule="auto"/>
        <w:jc w:val="left"/>
      </w:pPr>
      <w:r>
        <w:t xml:space="preserve">Ultimate authority to determine whether a particular practice violates the CAISO Tariff rests with FERC.  Market Participants may contact </w:t>
      </w:r>
      <w:r w:rsidR="00B37577">
        <w:t xml:space="preserve">staff of </w:t>
      </w:r>
      <w:r>
        <w:t xml:space="preserve">FERC’s </w:t>
      </w:r>
      <w:r w:rsidR="00B37577">
        <w:t>Office of Enforc</w:t>
      </w:r>
      <w:r w:rsidR="007400A3">
        <w:t>e</w:t>
      </w:r>
      <w:r w:rsidR="00B37577">
        <w:t xml:space="preserve">ment </w:t>
      </w:r>
      <w:r>
        <w:t>directly via the FERC hotline to inquire about staffs</w:t>
      </w:r>
      <w:r w:rsidR="007400A3">
        <w:t>’</w:t>
      </w:r>
      <w:r>
        <w:t xml:space="preserve"> views regarding the permissibility of specific behavior </w:t>
      </w:r>
      <w:r w:rsidR="00DF3D96">
        <w:t>(</w:t>
      </w:r>
      <w:hyperlink r:id="rId22" w:history="1">
        <w:r w:rsidR="00ED53E9">
          <w:rPr>
            <w:rStyle w:val="Hyperlink"/>
            <w:color w:val="2F5496" w:themeColor="accent5" w:themeShade="BF"/>
          </w:rPr>
          <w:t>https://www.ferc.gov/enforcement-legal/enforcement/enforcement-hotline/contact-hotline-staff-anonymously</w:t>
        </w:r>
      </w:hyperlink>
      <w:r>
        <w:t>).  Market Participants may also request a no-action letter from FERC regarding whether proposed conduct violates the CAISO Tariff or other applicable rules or regulations (</w:t>
      </w:r>
      <w:hyperlink r:id="rId23" w:history="1">
        <w:r w:rsidR="00ED53E9">
          <w:rPr>
            <w:rStyle w:val="Hyperlink"/>
            <w:color w:val="2F5496" w:themeColor="accent5" w:themeShade="BF"/>
          </w:rPr>
          <w:t>https://www.ferc.gov/no-action-letters-0</w:t>
        </w:r>
      </w:hyperlink>
      <w:r>
        <w:t>).</w:t>
      </w:r>
    </w:p>
    <w:p w14:paraId="4C27D93D" w14:textId="77777777" w:rsidR="00ED53E9" w:rsidRDefault="00ED53E9" w:rsidP="00CA38E1">
      <w:pPr>
        <w:pStyle w:val="ParaText"/>
        <w:spacing w:after="0" w:line="360" w:lineRule="auto"/>
        <w:jc w:val="left"/>
      </w:pPr>
    </w:p>
    <w:p w14:paraId="68F22FFB" w14:textId="77777777" w:rsidR="000C3233" w:rsidRDefault="000C3233" w:rsidP="00CA38E1">
      <w:pPr>
        <w:pStyle w:val="ParaText"/>
        <w:spacing w:after="0" w:line="360" w:lineRule="auto"/>
        <w:jc w:val="left"/>
      </w:pPr>
      <w:r>
        <w:t xml:space="preserve">This BPM describes the procedures that CAISO uses to administer </w:t>
      </w:r>
      <w:r w:rsidR="006345C0">
        <w:t>the Rules of Conduct</w:t>
      </w:r>
      <w:r>
        <w:t>, including:</w:t>
      </w:r>
    </w:p>
    <w:p w14:paraId="2E279783" w14:textId="77777777" w:rsidR="000C3233" w:rsidRDefault="000C3233" w:rsidP="00CA38E1">
      <w:pPr>
        <w:pStyle w:val="Bullet1"/>
        <w:numPr>
          <w:ilvl w:val="0"/>
          <w:numId w:val="27"/>
        </w:numPr>
        <w:spacing w:line="360" w:lineRule="auto"/>
        <w:ind w:left="720"/>
        <w:jc w:val="left"/>
      </w:pPr>
      <w:r>
        <w:rPr>
          <w:rFonts w:cs="Arial"/>
        </w:rPr>
        <w:t>Monitoring and review of behavior</w:t>
      </w:r>
    </w:p>
    <w:p w14:paraId="3FEC4293" w14:textId="77777777" w:rsidR="000C3233" w:rsidRDefault="000C3233" w:rsidP="00CA38E1">
      <w:pPr>
        <w:pStyle w:val="Bullet1"/>
        <w:numPr>
          <w:ilvl w:val="0"/>
          <w:numId w:val="27"/>
        </w:numPr>
        <w:spacing w:line="360" w:lineRule="auto"/>
        <w:ind w:left="720"/>
        <w:jc w:val="left"/>
      </w:pPr>
      <w:r>
        <w:rPr>
          <w:rFonts w:cs="Arial"/>
        </w:rPr>
        <w:t>Referrals to FERC</w:t>
      </w:r>
    </w:p>
    <w:p w14:paraId="65C2CDE7" w14:textId="77777777" w:rsidR="000C3233" w:rsidRDefault="000C3233" w:rsidP="00CA38E1">
      <w:pPr>
        <w:pStyle w:val="Bullet1"/>
        <w:numPr>
          <w:ilvl w:val="0"/>
          <w:numId w:val="27"/>
        </w:numPr>
        <w:spacing w:line="360" w:lineRule="auto"/>
        <w:ind w:left="720"/>
        <w:jc w:val="left"/>
      </w:pPr>
      <w:r>
        <w:rPr>
          <w:rFonts w:cs="Arial"/>
        </w:rPr>
        <w:t>Conducting investigations</w:t>
      </w:r>
    </w:p>
    <w:p w14:paraId="7D620236" w14:textId="77777777" w:rsidR="000C3233" w:rsidRDefault="000C3233" w:rsidP="00CA38E1">
      <w:pPr>
        <w:pStyle w:val="Bullet1"/>
        <w:numPr>
          <w:ilvl w:val="0"/>
          <w:numId w:val="27"/>
        </w:numPr>
        <w:spacing w:line="360" w:lineRule="auto"/>
        <w:ind w:left="720"/>
        <w:jc w:val="left"/>
      </w:pPr>
      <w:r>
        <w:rPr>
          <w:rFonts w:cs="Arial"/>
        </w:rPr>
        <w:t>Administ</w:t>
      </w:r>
      <w:r>
        <w:t xml:space="preserve">ering </w:t>
      </w:r>
      <w:r w:rsidR="00A721C7">
        <w:t>Sanction</w:t>
      </w:r>
      <w:r>
        <w:t>s</w:t>
      </w:r>
    </w:p>
    <w:p w14:paraId="33FBD604" w14:textId="77777777" w:rsidR="000C3233" w:rsidRDefault="000C3233" w:rsidP="00CA38E1">
      <w:pPr>
        <w:pStyle w:val="Bullet1HRt"/>
        <w:numPr>
          <w:ilvl w:val="0"/>
          <w:numId w:val="27"/>
        </w:numPr>
        <w:spacing w:after="0" w:line="360" w:lineRule="auto"/>
        <w:ind w:left="720"/>
        <w:jc w:val="left"/>
      </w:pPr>
      <w:r>
        <w:t xml:space="preserve">Record </w:t>
      </w:r>
      <w:r w:rsidR="00F63BF2">
        <w:t>keeping</w:t>
      </w:r>
    </w:p>
    <w:p w14:paraId="051259F4" w14:textId="0C03123F" w:rsidR="000C3233" w:rsidRDefault="000C3233" w:rsidP="00CA38E1">
      <w:pPr>
        <w:pStyle w:val="ParaText"/>
        <w:spacing w:after="0" w:line="360" w:lineRule="auto"/>
        <w:jc w:val="left"/>
      </w:pPr>
      <w:r>
        <w:t>These processes are described in more detail in the following sections</w:t>
      </w:r>
    </w:p>
    <w:p w14:paraId="374EE68D" w14:textId="33FBD7E1" w:rsidR="000C3233" w:rsidRPr="00CA38E1" w:rsidRDefault="000C3233" w:rsidP="00CA38E1">
      <w:pPr>
        <w:pStyle w:val="Heading1"/>
        <w:pBdr>
          <w:top w:val="single" w:sz="12" w:space="1" w:color="2F5496" w:themeColor="accent5" w:themeShade="BF"/>
          <w:bottom w:val="single" w:sz="12" w:space="1" w:color="2F5496" w:themeColor="accent5" w:themeShade="BF"/>
        </w:pBdr>
        <w:tabs>
          <w:tab w:val="clear" w:pos="1080"/>
          <w:tab w:val="num" w:pos="720"/>
        </w:tabs>
        <w:ind w:left="720" w:hanging="720"/>
        <w:jc w:val="left"/>
        <w:rPr>
          <w:color w:val="2F5496" w:themeColor="accent5" w:themeShade="BF"/>
          <w:sz w:val="32"/>
          <w:szCs w:val="32"/>
        </w:rPr>
      </w:pPr>
      <w:bookmarkStart w:id="32" w:name="_Toc181699706"/>
      <w:bookmarkStart w:id="33" w:name="_Toc188947207"/>
      <w:r w:rsidRPr="00CA38E1">
        <w:rPr>
          <w:color w:val="2F5496" w:themeColor="accent5" w:themeShade="BF"/>
          <w:sz w:val="32"/>
          <w:szCs w:val="32"/>
        </w:rPr>
        <w:lastRenderedPageBreak/>
        <w:t>CAISO A</w:t>
      </w:r>
      <w:r w:rsidR="00CA38E1">
        <w:rPr>
          <w:color w:val="2F5496" w:themeColor="accent5" w:themeShade="BF"/>
          <w:sz w:val="32"/>
          <w:szCs w:val="32"/>
        </w:rPr>
        <w:t>DMINISTRATION PROCEDURES FOR RULES OF CONDUCT</w:t>
      </w:r>
      <w:bookmarkEnd w:id="32"/>
      <w:bookmarkEnd w:id="33"/>
    </w:p>
    <w:p w14:paraId="68EF714F" w14:textId="77777777" w:rsidR="000C3233" w:rsidRDefault="000C3233" w:rsidP="00CA38E1">
      <w:pPr>
        <w:pStyle w:val="ParaText"/>
        <w:spacing w:after="0" w:line="360" w:lineRule="auto"/>
        <w:jc w:val="left"/>
      </w:pPr>
      <w:r>
        <w:t xml:space="preserve">Welcome to the </w:t>
      </w:r>
      <w:r>
        <w:rPr>
          <w:i/>
        </w:rPr>
        <w:t>CAISO Administration Procedures for Rules of Conduct</w:t>
      </w:r>
      <w:r>
        <w:t xml:space="preserve"> section of the CAISO </w:t>
      </w:r>
      <w:r>
        <w:rPr>
          <w:i/>
        </w:rPr>
        <w:t>BPM for Rules of Conduct Administration</w:t>
      </w:r>
      <w:r>
        <w:t>.  In this section you will find the following information:</w:t>
      </w:r>
    </w:p>
    <w:p w14:paraId="44DAC57B" w14:textId="73C99895" w:rsidR="000C3233" w:rsidRDefault="000C3233" w:rsidP="00CA38E1">
      <w:pPr>
        <w:pStyle w:val="Bullet1HRt"/>
        <w:numPr>
          <w:ilvl w:val="0"/>
          <w:numId w:val="28"/>
        </w:numPr>
        <w:spacing w:after="0" w:line="360" w:lineRule="auto"/>
        <w:ind w:left="720"/>
        <w:jc w:val="left"/>
      </w:pPr>
      <w:r>
        <w:rPr>
          <w:rFonts w:cs="Arial"/>
        </w:rPr>
        <w:t>How CAISO carries out its Rules of Conduct monitoring and</w:t>
      </w:r>
      <w:r w:rsidR="00896440">
        <w:rPr>
          <w:rFonts w:cs="Arial"/>
        </w:rPr>
        <w:t xml:space="preserve"> conducts</w:t>
      </w:r>
      <w:r>
        <w:rPr>
          <w:rFonts w:cs="Arial"/>
        </w:rPr>
        <w:t xml:space="preserve"> </w:t>
      </w:r>
      <w:r w:rsidR="009F0AC3">
        <w:rPr>
          <w:rFonts w:cs="Arial"/>
        </w:rPr>
        <w:t>preliminary investigation</w:t>
      </w:r>
      <w:r w:rsidR="00896440">
        <w:rPr>
          <w:rFonts w:cs="Arial"/>
        </w:rPr>
        <w:t>s</w:t>
      </w:r>
      <w:r w:rsidR="004D013A">
        <w:rPr>
          <w:rFonts w:cs="Arial"/>
        </w:rPr>
        <w:t>.</w:t>
      </w:r>
    </w:p>
    <w:p w14:paraId="17D6DB19" w14:textId="12473498" w:rsidR="000C3233" w:rsidRDefault="000C3233" w:rsidP="00CA38E1">
      <w:pPr>
        <w:pStyle w:val="Bullet1HRt"/>
        <w:numPr>
          <w:ilvl w:val="0"/>
          <w:numId w:val="28"/>
        </w:numPr>
        <w:spacing w:after="0" w:line="360" w:lineRule="auto"/>
        <w:ind w:left="720"/>
        <w:jc w:val="left"/>
      </w:pPr>
      <w:r>
        <w:rPr>
          <w:rFonts w:cs="Arial"/>
        </w:rPr>
        <w:t>How CAISO investigates potential Rules of Con</w:t>
      </w:r>
      <w:r w:rsidR="00F31498">
        <w:rPr>
          <w:rFonts w:cs="Arial"/>
        </w:rPr>
        <w:t>duct violations</w:t>
      </w:r>
      <w:r w:rsidR="00896440">
        <w:rPr>
          <w:rFonts w:cs="Arial"/>
        </w:rPr>
        <w:t xml:space="preserve"> with Scheduling Coordinators and, as applicable, Market Participants</w:t>
      </w:r>
      <w:r w:rsidR="004D013A">
        <w:rPr>
          <w:rFonts w:cs="Arial"/>
        </w:rPr>
        <w:t>.</w:t>
      </w:r>
    </w:p>
    <w:p w14:paraId="28A018A3" w14:textId="77777777" w:rsidR="000C3233" w:rsidRDefault="000C3233" w:rsidP="00CA38E1">
      <w:pPr>
        <w:pStyle w:val="Bullet1HRt"/>
        <w:numPr>
          <w:ilvl w:val="0"/>
          <w:numId w:val="28"/>
        </w:numPr>
        <w:tabs>
          <w:tab w:val="right" w:pos="720"/>
        </w:tabs>
        <w:spacing w:after="0" w:line="360" w:lineRule="auto"/>
        <w:ind w:left="360" w:firstLine="0"/>
        <w:jc w:val="left"/>
      </w:pPr>
      <w:r>
        <w:rPr>
          <w:rFonts w:cs="Arial"/>
        </w:rPr>
        <w:t>How CA</w:t>
      </w:r>
      <w:r>
        <w:t xml:space="preserve">ISO administers </w:t>
      </w:r>
      <w:r w:rsidR="00A721C7">
        <w:t>Sanction</w:t>
      </w:r>
      <w:r>
        <w:t xml:space="preserve">s </w:t>
      </w:r>
      <w:r w:rsidR="00F31498">
        <w:t>for Rules of Conduct Violations</w:t>
      </w:r>
      <w:r w:rsidR="004D013A">
        <w:t>.</w:t>
      </w:r>
    </w:p>
    <w:p w14:paraId="20DDF4CA" w14:textId="77777777" w:rsidR="003464C7" w:rsidRDefault="003464C7" w:rsidP="00CA38E1">
      <w:pPr>
        <w:pStyle w:val="Bullet1HRt"/>
        <w:numPr>
          <w:ilvl w:val="0"/>
          <w:numId w:val="0"/>
        </w:numPr>
        <w:spacing w:after="0" w:line="360" w:lineRule="auto"/>
        <w:ind w:left="360"/>
        <w:jc w:val="left"/>
      </w:pPr>
    </w:p>
    <w:p w14:paraId="7E04BF79" w14:textId="77777777" w:rsidR="000C3233" w:rsidRPr="00CA38E1" w:rsidRDefault="000C3233" w:rsidP="00CA38E1">
      <w:pPr>
        <w:pStyle w:val="Heading2"/>
        <w:tabs>
          <w:tab w:val="clear" w:pos="1080"/>
          <w:tab w:val="num" w:pos="720"/>
        </w:tabs>
        <w:spacing w:after="0" w:line="360" w:lineRule="auto"/>
        <w:jc w:val="left"/>
        <w:rPr>
          <w:color w:val="2F5496" w:themeColor="accent5" w:themeShade="BF"/>
        </w:rPr>
      </w:pPr>
      <w:bookmarkStart w:id="34" w:name="_Toc181699707"/>
      <w:bookmarkStart w:id="35" w:name="_Toc188947208"/>
      <w:r w:rsidRPr="00CA38E1">
        <w:rPr>
          <w:color w:val="2F5496" w:themeColor="accent5" w:themeShade="BF"/>
        </w:rPr>
        <w:t>Overview</w:t>
      </w:r>
      <w:bookmarkEnd w:id="34"/>
      <w:bookmarkEnd w:id="35"/>
    </w:p>
    <w:p w14:paraId="173279D9" w14:textId="77777777" w:rsidR="000C3233" w:rsidRDefault="000C3233" w:rsidP="00CA38E1">
      <w:pPr>
        <w:pStyle w:val="ParaText"/>
        <w:spacing w:after="0" w:line="360" w:lineRule="auto"/>
        <w:jc w:val="left"/>
      </w:pPr>
      <w:r>
        <w:t>CAISO Tariff Section 37.8, Process for Investigation and Enforcement</w:t>
      </w:r>
    </w:p>
    <w:p w14:paraId="67E0E868" w14:textId="77777777" w:rsidR="000D0BA8" w:rsidRDefault="000D0BA8" w:rsidP="00CA38E1">
      <w:pPr>
        <w:pStyle w:val="ParaText"/>
        <w:spacing w:after="0" w:line="360" w:lineRule="auto"/>
        <w:jc w:val="left"/>
      </w:pPr>
    </w:p>
    <w:p w14:paraId="06793B19" w14:textId="2DD53863" w:rsidR="000C3233" w:rsidRDefault="000C3233" w:rsidP="00CA38E1">
      <w:pPr>
        <w:pStyle w:val="ParaText"/>
        <w:spacing w:after="0" w:line="360" w:lineRule="auto"/>
        <w:jc w:val="left"/>
      </w:pPr>
      <w:r>
        <w:t xml:space="preserve">FERC orders require the </w:t>
      </w:r>
      <w:r w:rsidR="0029446F">
        <w:t>CAISO</w:t>
      </w:r>
      <w:r>
        <w:t xml:space="preserve"> </w:t>
      </w:r>
      <w:r w:rsidR="000D7102">
        <w:t xml:space="preserve">to </w:t>
      </w:r>
      <w:r>
        <w:t xml:space="preserve">independently and objectively administer the Rules of Conduct.  </w:t>
      </w:r>
      <w:r w:rsidR="00E832FC">
        <w:t>Various CAISO</w:t>
      </w:r>
      <w:r w:rsidR="00C620A8">
        <w:t xml:space="preserve"> business units</w:t>
      </w:r>
      <w:r>
        <w:t xml:space="preserve"> monitor Market Participants’ behavior in the CAISO Markets and in real-time operations.  </w:t>
      </w:r>
      <w:r w:rsidR="00C620A8">
        <w:t xml:space="preserve">When a potential violation is discovered, </w:t>
      </w:r>
      <w:r>
        <w:t xml:space="preserve">the investigation process </w:t>
      </w:r>
      <w:r w:rsidR="00E832FC">
        <w:t xml:space="preserve">is conducted </w:t>
      </w:r>
      <w:r>
        <w:t xml:space="preserve">in accordance with tariff requirements that include notifying Market Participants of any investigation </w:t>
      </w:r>
      <w:r w:rsidR="000C7F86">
        <w:t xml:space="preserve">and providing </w:t>
      </w:r>
      <w:r>
        <w:t>Market Participants an opportunity to present evidence and issues of fact regarding the matter being investigated.</w:t>
      </w:r>
      <w:r w:rsidR="005050F2">
        <w:t xml:space="preserve">  </w:t>
      </w:r>
    </w:p>
    <w:p w14:paraId="7FD18871" w14:textId="77777777" w:rsidR="00CA38E1" w:rsidRDefault="00CA38E1" w:rsidP="00CA38E1">
      <w:pPr>
        <w:pStyle w:val="ParaText"/>
        <w:spacing w:after="0" w:line="360" w:lineRule="auto"/>
        <w:jc w:val="left"/>
      </w:pPr>
    </w:p>
    <w:p w14:paraId="73DCE992" w14:textId="77777777" w:rsidR="000C3233" w:rsidRDefault="000C3233" w:rsidP="00CA38E1">
      <w:pPr>
        <w:pStyle w:val="ParaText"/>
        <w:spacing w:after="0" w:line="360" w:lineRule="auto"/>
        <w:jc w:val="left"/>
      </w:pPr>
      <w:r>
        <w:t>Exhibit 3-1 shows an overview of the process to enforce</w:t>
      </w:r>
      <w:r w:rsidR="006217E0">
        <w:t xml:space="preserve"> the</w:t>
      </w:r>
      <w:r>
        <w:t xml:space="preserve"> Rules of Conduct.  The process comprises three steps:</w:t>
      </w:r>
    </w:p>
    <w:p w14:paraId="7CF98EC8" w14:textId="7C203757" w:rsidR="000C3233" w:rsidRDefault="000C3233" w:rsidP="00CA38E1">
      <w:pPr>
        <w:pStyle w:val="1"/>
        <w:numPr>
          <w:ilvl w:val="0"/>
          <w:numId w:val="29"/>
        </w:numPr>
        <w:tabs>
          <w:tab w:val="clear" w:pos="1440"/>
        </w:tabs>
        <w:spacing w:after="0" w:line="360" w:lineRule="auto"/>
        <w:ind w:left="720"/>
        <w:jc w:val="left"/>
      </w:pPr>
      <w:r>
        <w:rPr>
          <w:rFonts w:cs="Arial"/>
          <w:b/>
        </w:rPr>
        <w:t>Monitoring</w:t>
      </w:r>
      <w:r w:rsidR="00D81D3B">
        <w:rPr>
          <w:rFonts w:cs="Arial"/>
          <w:b/>
        </w:rPr>
        <w:t>,</w:t>
      </w:r>
      <w:r>
        <w:rPr>
          <w:rFonts w:cs="Arial"/>
          <w:b/>
        </w:rPr>
        <w:t xml:space="preserve"> </w:t>
      </w:r>
      <w:r w:rsidR="009F0AC3">
        <w:rPr>
          <w:rFonts w:cs="Arial"/>
          <w:b/>
        </w:rPr>
        <w:t>Preliminary Investigation</w:t>
      </w:r>
      <w:r w:rsidR="00C620A8">
        <w:rPr>
          <w:rFonts w:cs="Arial"/>
          <w:b/>
        </w:rPr>
        <w:t xml:space="preserve">, and Possible </w:t>
      </w:r>
      <w:r>
        <w:rPr>
          <w:rFonts w:cs="Arial"/>
          <w:b/>
        </w:rPr>
        <w:t>Referral to FERC</w:t>
      </w:r>
      <w:r>
        <w:rPr>
          <w:rFonts w:cs="Arial"/>
        </w:rPr>
        <w:t xml:space="preserve"> – </w:t>
      </w:r>
      <w:r w:rsidR="006217E0">
        <w:rPr>
          <w:rFonts w:cs="Arial"/>
        </w:rPr>
        <w:t>D</w:t>
      </w:r>
      <w:r>
        <w:rPr>
          <w:rFonts w:cs="Arial"/>
        </w:rPr>
        <w:t xml:space="preserve">uring this stage, </w:t>
      </w:r>
      <w:r w:rsidR="00E832FC">
        <w:rPr>
          <w:rFonts w:cs="Arial"/>
        </w:rPr>
        <w:t>various CAISO</w:t>
      </w:r>
      <w:r w:rsidR="00C620A8">
        <w:rPr>
          <w:rFonts w:cs="Arial"/>
        </w:rPr>
        <w:t xml:space="preserve"> business units</w:t>
      </w:r>
      <w:r>
        <w:rPr>
          <w:rFonts w:cs="Arial"/>
        </w:rPr>
        <w:t xml:space="preserve"> monitor CAISO markets and operational activities</w:t>
      </w:r>
      <w:r w:rsidR="006217E0">
        <w:rPr>
          <w:rFonts w:cs="Arial"/>
        </w:rPr>
        <w:t xml:space="preserve">.  Based on this </w:t>
      </w:r>
      <w:r w:rsidR="00E832FC">
        <w:rPr>
          <w:rFonts w:cs="Arial"/>
        </w:rPr>
        <w:t>monitoring effort</w:t>
      </w:r>
      <w:r w:rsidR="006217E0">
        <w:rPr>
          <w:rFonts w:cs="Arial"/>
        </w:rPr>
        <w:t xml:space="preserve">, a </w:t>
      </w:r>
      <w:r w:rsidR="009F0AC3">
        <w:rPr>
          <w:rFonts w:cs="Arial"/>
        </w:rPr>
        <w:t>preliminary investigation</w:t>
      </w:r>
      <w:r w:rsidR="006217E0">
        <w:rPr>
          <w:rFonts w:cs="Arial"/>
        </w:rPr>
        <w:t xml:space="preserve"> of</w:t>
      </w:r>
      <w:r>
        <w:t xml:space="preserve"> potential Rules of Conduct violations</w:t>
      </w:r>
      <w:r w:rsidR="00E832FC">
        <w:t xml:space="preserve"> is conducted</w:t>
      </w:r>
      <w:r w:rsidR="006217E0">
        <w:t xml:space="preserve">.  At this stage, DMM </w:t>
      </w:r>
      <w:r w:rsidR="00E832FC">
        <w:t xml:space="preserve">will be informed </w:t>
      </w:r>
      <w:r w:rsidR="006217E0">
        <w:t xml:space="preserve">if the potential violation is of a Rule of Conduct that FERC, rather than the </w:t>
      </w:r>
      <w:r w:rsidR="007400A3">
        <w:t>CA</w:t>
      </w:r>
      <w:r w:rsidR="006217E0">
        <w:t>ISO, is responsible for administering.</w:t>
      </w:r>
      <w:r>
        <w:t xml:space="preserve">  </w:t>
      </w:r>
      <w:r>
        <w:rPr>
          <w:rFonts w:cs="Arial"/>
        </w:rPr>
        <w:t>The details of th</w:t>
      </w:r>
      <w:r>
        <w:t xml:space="preserve">ese activities are described in Section </w:t>
      </w:r>
      <w:r w:rsidR="009F10B2">
        <w:fldChar w:fldCharType="begin"/>
      </w:r>
      <w:r w:rsidR="009F10B2">
        <w:instrText xml:space="preserve"> REF _Ref141582849 \r \h  \* MERGEFORMAT </w:instrText>
      </w:r>
      <w:r w:rsidR="009F10B2">
        <w:fldChar w:fldCharType="separate"/>
      </w:r>
      <w:r w:rsidR="00E4751E">
        <w:t>3.2</w:t>
      </w:r>
      <w:r w:rsidR="009F10B2">
        <w:fldChar w:fldCharType="end"/>
      </w:r>
      <w:r>
        <w:t>.</w:t>
      </w:r>
    </w:p>
    <w:p w14:paraId="0CE77B88" w14:textId="167E9ABA" w:rsidR="000C3233" w:rsidRDefault="000C3233" w:rsidP="00CA38E1">
      <w:pPr>
        <w:pStyle w:val="1"/>
        <w:numPr>
          <w:ilvl w:val="0"/>
          <w:numId w:val="29"/>
        </w:numPr>
        <w:tabs>
          <w:tab w:val="clear" w:pos="1440"/>
        </w:tabs>
        <w:spacing w:after="0" w:line="360" w:lineRule="auto"/>
        <w:ind w:left="720"/>
        <w:jc w:val="left"/>
        <w:rPr>
          <w:rFonts w:cs="Arial"/>
        </w:rPr>
      </w:pPr>
      <w:r>
        <w:rPr>
          <w:rFonts w:cs="Arial"/>
          <w:b/>
        </w:rPr>
        <w:t>Investigation</w:t>
      </w:r>
      <w:r>
        <w:rPr>
          <w:rFonts w:cs="Arial"/>
        </w:rPr>
        <w:t xml:space="preserve"> </w:t>
      </w:r>
      <w:r>
        <w:rPr>
          <w:b/>
        </w:rPr>
        <w:t>and Market Participant Notification</w:t>
      </w:r>
      <w:r>
        <w:t xml:space="preserve"> </w:t>
      </w:r>
      <w:r>
        <w:rPr>
          <w:rFonts w:cs="Arial"/>
        </w:rPr>
        <w:t>– In the event</w:t>
      </w:r>
      <w:r w:rsidR="00C620A8">
        <w:rPr>
          <w:rFonts w:cs="Arial"/>
        </w:rPr>
        <w:t xml:space="preserve"> that</w:t>
      </w:r>
      <w:r w:rsidR="00DD5C51">
        <w:rPr>
          <w:rFonts w:cs="Arial"/>
        </w:rPr>
        <w:t xml:space="preserve"> </w:t>
      </w:r>
      <w:r>
        <w:rPr>
          <w:rFonts w:cs="Arial"/>
        </w:rPr>
        <w:t xml:space="preserve">monitoring and </w:t>
      </w:r>
      <w:r w:rsidR="009F0AC3">
        <w:rPr>
          <w:rFonts w:cs="Arial"/>
        </w:rPr>
        <w:t>preliminary investigation</w:t>
      </w:r>
      <w:r>
        <w:rPr>
          <w:rFonts w:cs="Arial"/>
        </w:rPr>
        <w:t xml:space="preserve"> activities identif</w:t>
      </w:r>
      <w:r w:rsidR="00C620A8">
        <w:rPr>
          <w:rFonts w:cs="Arial"/>
        </w:rPr>
        <w:t>y</w:t>
      </w:r>
      <w:r>
        <w:rPr>
          <w:rFonts w:cs="Arial"/>
        </w:rPr>
        <w:t xml:space="preserve"> that </w:t>
      </w:r>
      <w:r>
        <w:t xml:space="preserve">an objectively verifiable violation of the Rules of Conduct may have occurred, </w:t>
      </w:r>
      <w:r w:rsidR="00085E1D">
        <w:t>the CAISO</w:t>
      </w:r>
      <w:r>
        <w:t xml:space="preserve"> investigates the matter, including notifying the Market Participant and providing the Market Participant the opportunity to provide relevant information, </w:t>
      </w:r>
      <w:r>
        <w:rPr>
          <w:rFonts w:cs="Arial"/>
        </w:rPr>
        <w:t xml:space="preserve">as described in Section </w:t>
      </w:r>
      <w:r w:rsidR="009F10B2">
        <w:fldChar w:fldCharType="begin"/>
      </w:r>
      <w:r w:rsidR="009F10B2">
        <w:instrText xml:space="preserve"> REF _Ref140455469 \r \h  \* MERGEFORMAT </w:instrText>
      </w:r>
      <w:r w:rsidR="009F10B2">
        <w:fldChar w:fldCharType="separate"/>
      </w:r>
      <w:r w:rsidR="00E4751E" w:rsidRPr="00E4751E">
        <w:rPr>
          <w:rFonts w:cs="Arial"/>
        </w:rPr>
        <w:t>3.3</w:t>
      </w:r>
      <w:r w:rsidR="009F10B2">
        <w:fldChar w:fldCharType="end"/>
      </w:r>
      <w:r>
        <w:rPr>
          <w:rFonts w:cs="Arial"/>
        </w:rPr>
        <w:t>.</w:t>
      </w:r>
    </w:p>
    <w:p w14:paraId="277AC109" w14:textId="12028FB0" w:rsidR="000C3233" w:rsidRDefault="000C3233" w:rsidP="00CA38E1">
      <w:pPr>
        <w:pStyle w:val="1"/>
        <w:numPr>
          <w:ilvl w:val="0"/>
          <w:numId w:val="29"/>
        </w:numPr>
        <w:tabs>
          <w:tab w:val="clear" w:pos="1440"/>
          <w:tab w:val="num" w:pos="720"/>
        </w:tabs>
        <w:ind w:left="720"/>
        <w:jc w:val="left"/>
      </w:pPr>
      <w:r>
        <w:rPr>
          <w:rFonts w:cs="Arial"/>
          <w:b/>
        </w:rPr>
        <w:lastRenderedPageBreak/>
        <w:t xml:space="preserve">Sanction Administration </w:t>
      </w:r>
      <w:r>
        <w:rPr>
          <w:rFonts w:cs="Arial"/>
        </w:rPr>
        <w:t xml:space="preserve">– </w:t>
      </w:r>
      <w:r>
        <w:t xml:space="preserve">In the event that </w:t>
      </w:r>
      <w:r w:rsidR="00085E1D">
        <w:t>the</w:t>
      </w:r>
      <w:r>
        <w:t xml:space="preserve"> investigation reveals that a Rules of Conduct violation occurred, </w:t>
      </w:r>
      <w:r w:rsidR="00085E1D">
        <w:t>the CAISO</w:t>
      </w:r>
      <w:r>
        <w:t xml:space="preserve"> determines the tariff-required Sanction.  Financial penalties are invoiced to the applicable Scheduling Coordinator through the Settlement process.</w:t>
      </w:r>
      <w:r>
        <w:rPr>
          <w:b/>
        </w:rPr>
        <w:t xml:space="preserve">  </w:t>
      </w:r>
      <w:r>
        <w:t xml:space="preserve">Market Participants have the right to appeal penalties to </w:t>
      </w:r>
      <w:r w:rsidRPr="00971D5A">
        <w:t>FERC, as desc</w:t>
      </w:r>
      <w:r w:rsidR="00971D5A" w:rsidRPr="00971D5A">
        <w:t>r</w:t>
      </w:r>
      <w:r w:rsidRPr="00971D5A">
        <w:t>ibed</w:t>
      </w:r>
      <w:r>
        <w:t xml:space="preserve"> in Section </w:t>
      </w:r>
      <w:r w:rsidR="009F10B2">
        <w:rPr>
          <w:b/>
        </w:rPr>
        <w:fldChar w:fldCharType="begin"/>
      </w:r>
      <w:r>
        <w:instrText xml:space="preserve"> REF _Ref141583013 \r \h </w:instrText>
      </w:r>
      <w:r w:rsidR="009F10B2">
        <w:rPr>
          <w:b/>
        </w:rPr>
      </w:r>
      <w:r w:rsidR="009F10B2">
        <w:rPr>
          <w:b/>
        </w:rPr>
        <w:fldChar w:fldCharType="separate"/>
      </w:r>
      <w:r w:rsidR="00E4751E">
        <w:t>3.2</w:t>
      </w:r>
      <w:r w:rsidR="009F10B2">
        <w:rPr>
          <w:b/>
        </w:rPr>
        <w:fldChar w:fldCharType="end"/>
      </w:r>
      <w:r w:rsidR="006C2880">
        <w:rPr>
          <w:b/>
        </w:rPr>
        <w:t>,</w:t>
      </w:r>
      <w:r>
        <w:rPr>
          <w:b/>
        </w:rPr>
        <w:t xml:space="preserve"> </w:t>
      </w:r>
      <w:bookmarkStart w:id="36" w:name="_Ref140455439"/>
      <w:r>
        <w:t xml:space="preserve">Monitoring and </w:t>
      </w:r>
      <w:bookmarkEnd w:id="36"/>
      <w:r w:rsidR="009F0AC3">
        <w:t>Preliminary Investigation</w:t>
      </w:r>
      <w:r w:rsidR="006C2880">
        <w:t>.</w:t>
      </w:r>
    </w:p>
    <w:p w14:paraId="2B4C4BB0" w14:textId="6DF9C3DD" w:rsidR="000C3233" w:rsidRDefault="000C3233" w:rsidP="00CA38E1">
      <w:pPr>
        <w:pStyle w:val="ParaText"/>
        <w:spacing w:after="0" w:line="360" w:lineRule="auto"/>
        <w:jc w:val="left"/>
      </w:pPr>
      <w:r>
        <w:t xml:space="preserve">Exhibit 3-1 below summarizes the process that </w:t>
      </w:r>
      <w:r w:rsidR="00085E1D">
        <w:t>the CAISO</w:t>
      </w:r>
      <w:r w:rsidR="00C620A8">
        <w:t xml:space="preserve"> </w:t>
      </w:r>
      <w:r>
        <w:t>follows to identify and investigate potential Rules of Conduct violations and administer any required Sanctions.  These processes are described in more detail in the following sections.</w:t>
      </w:r>
    </w:p>
    <w:p w14:paraId="21DBE827" w14:textId="77777777" w:rsidR="00497E64" w:rsidRPr="00CD6CB2" w:rsidRDefault="00497E64">
      <w:pPr>
        <w:pStyle w:val="ParaText"/>
        <w:jc w:val="left"/>
        <w:rPr>
          <w:sz w:val="10"/>
        </w:rPr>
      </w:pPr>
    </w:p>
    <w:p w14:paraId="29007B7A" w14:textId="23CA65D3" w:rsidR="000C3233" w:rsidRDefault="00AA038D" w:rsidP="00CA38E1">
      <w:pPr>
        <w:pStyle w:val="Caption"/>
      </w:pPr>
      <w:bookmarkStart w:id="37" w:name="_Toc141856687"/>
      <w:bookmarkStart w:id="38" w:name="_Toc181699733"/>
      <w:bookmarkStart w:id="39" w:name="_Toc188946934"/>
      <w:r>
        <w:rPr>
          <w:noProof/>
        </w:rPr>
        <w:object w:dxaOrig="1440" w:dyaOrig="1440" w14:anchorId="7A33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5pt;margin-top:25.05pt;width:239.85pt;height:47.8pt;z-index:251657728">
            <v:imagedata r:id="rId24" o:title=""/>
            <w10:wrap type="topAndBottom"/>
          </v:shape>
          <o:OLEObject Type="Embed" ProgID="Visio.Drawing.11" ShapeID="_x0000_s1027" DrawAspect="Content" ObjectID="_1799649670" r:id="rId25"/>
        </w:object>
      </w:r>
      <w:r w:rsidR="000C3233">
        <w:t xml:space="preserve">Exhibit </w:t>
      </w:r>
      <w:r>
        <w:fldChar w:fldCharType="begin"/>
      </w:r>
      <w:r>
        <w:instrText xml:space="preserve"> STYLEREF 1 \s </w:instrText>
      </w:r>
      <w:r>
        <w:fldChar w:fldCharType="separate"/>
      </w:r>
      <w:r w:rsidR="00E4751E">
        <w:rPr>
          <w:noProof/>
        </w:rPr>
        <w:t>3</w:t>
      </w:r>
      <w:r>
        <w:rPr>
          <w:noProof/>
        </w:rPr>
        <w:fldChar w:fldCharType="end"/>
      </w:r>
      <w:r w:rsidR="000C3233">
        <w:noBreakHyphen/>
      </w:r>
      <w:r>
        <w:fldChar w:fldCharType="begin"/>
      </w:r>
      <w:r>
        <w:instrText xml:space="preserve"> SEQ Exhibit \* ARABIC \s 1 </w:instrText>
      </w:r>
      <w:r>
        <w:fldChar w:fldCharType="separate"/>
      </w:r>
      <w:r w:rsidR="00E4751E">
        <w:rPr>
          <w:noProof/>
        </w:rPr>
        <w:t>1</w:t>
      </w:r>
      <w:r>
        <w:rPr>
          <w:noProof/>
        </w:rPr>
        <w:fldChar w:fldCharType="end"/>
      </w:r>
      <w:r w:rsidR="000C3233">
        <w:t xml:space="preserve">: Overview of </w:t>
      </w:r>
      <w:r w:rsidR="00D83771">
        <w:t xml:space="preserve">Rules of Conduct </w:t>
      </w:r>
      <w:r w:rsidR="000C3233">
        <w:t>Process</w:t>
      </w:r>
      <w:bookmarkEnd w:id="37"/>
      <w:bookmarkEnd w:id="38"/>
      <w:bookmarkEnd w:id="39"/>
    </w:p>
    <w:p w14:paraId="128DB750" w14:textId="77777777" w:rsidR="000C3233" w:rsidRDefault="000C3233">
      <w:pPr>
        <w:pStyle w:val="ParaText"/>
      </w:pPr>
    </w:p>
    <w:p w14:paraId="584B56C9" w14:textId="10FAB195" w:rsidR="000C3233" w:rsidRPr="00CA38E1" w:rsidRDefault="000C3233" w:rsidP="00CA38E1">
      <w:pPr>
        <w:pStyle w:val="Heading2"/>
        <w:tabs>
          <w:tab w:val="clear" w:pos="1080"/>
          <w:tab w:val="num" w:pos="720"/>
        </w:tabs>
        <w:jc w:val="left"/>
        <w:rPr>
          <w:color w:val="2F5496" w:themeColor="accent5" w:themeShade="BF"/>
        </w:rPr>
      </w:pPr>
      <w:bookmarkStart w:id="40" w:name="_Toc181699004"/>
      <w:bookmarkStart w:id="41" w:name="_Toc181699708"/>
      <w:bookmarkStart w:id="42" w:name="_Toc188946908"/>
      <w:bookmarkStart w:id="43" w:name="_Toc188947209"/>
      <w:bookmarkStart w:id="44" w:name="_Ref141582849"/>
      <w:bookmarkStart w:id="45" w:name="_Ref141583013"/>
      <w:bookmarkStart w:id="46" w:name="_Toc181699709"/>
      <w:bookmarkStart w:id="47" w:name="_Toc188947210"/>
      <w:bookmarkEnd w:id="40"/>
      <w:bookmarkEnd w:id="41"/>
      <w:bookmarkEnd w:id="42"/>
      <w:bookmarkEnd w:id="43"/>
      <w:r w:rsidRPr="00CA38E1">
        <w:rPr>
          <w:color w:val="2F5496" w:themeColor="accent5" w:themeShade="BF"/>
        </w:rPr>
        <w:t xml:space="preserve">Monitoring &amp; </w:t>
      </w:r>
      <w:bookmarkEnd w:id="44"/>
      <w:bookmarkEnd w:id="45"/>
      <w:r w:rsidR="009F0AC3" w:rsidRPr="00CA38E1">
        <w:rPr>
          <w:color w:val="2F5496" w:themeColor="accent5" w:themeShade="BF"/>
        </w:rPr>
        <w:t>Preliminary Investigation</w:t>
      </w:r>
      <w:bookmarkEnd w:id="46"/>
      <w:bookmarkEnd w:id="47"/>
    </w:p>
    <w:p w14:paraId="5D4D4372" w14:textId="77777777" w:rsidR="000C3233" w:rsidRDefault="00085E1D" w:rsidP="004E2E83">
      <w:pPr>
        <w:pStyle w:val="ParaText"/>
        <w:spacing w:after="0" w:line="360" w:lineRule="auto"/>
        <w:jc w:val="left"/>
      </w:pPr>
      <w:r>
        <w:t>The CAISO</w:t>
      </w:r>
      <w:r w:rsidR="000C3233">
        <w:t xml:space="preserve"> continuously monitors for potential Rules of Conduct violations.  A complete and detailed description of </w:t>
      </w:r>
      <w:r w:rsidR="00C620A8">
        <w:t>it</w:t>
      </w:r>
      <w:r w:rsidR="000C3233">
        <w:t xml:space="preserve">s monitoring practices is outside the scope of this BPM; however, </w:t>
      </w:r>
      <w:r w:rsidR="004A57AC">
        <w:t xml:space="preserve">at a high-level, </w:t>
      </w:r>
      <w:r>
        <w:t>the</w:t>
      </w:r>
      <w:r w:rsidR="000C3233">
        <w:t xml:space="preserve"> monitoring practices </w:t>
      </w:r>
      <w:r w:rsidR="00F31498">
        <w:t>consist of the following</w:t>
      </w:r>
      <w:r w:rsidR="000C3233">
        <w:t>:</w:t>
      </w:r>
    </w:p>
    <w:p w14:paraId="782151DD" w14:textId="77777777" w:rsidR="000C3233" w:rsidRDefault="000C3233" w:rsidP="004E2E83">
      <w:pPr>
        <w:pStyle w:val="Bullet1HRt"/>
        <w:numPr>
          <w:ilvl w:val="0"/>
          <w:numId w:val="31"/>
        </w:numPr>
        <w:spacing w:after="0" w:line="360" w:lineRule="auto"/>
        <w:ind w:left="720"/>
        <w:jc w:val="left"/>
        <w:rPr>
          <w:rFonts w:cs="Arial"/>
        </w:rPr>
      </w:pPr>
      <w:r>
        <w:rPr>
          <w:rFonts w:cs="Arial"/>
        </w:rPr>
        <w:t xml:space="preserve">Reviews in response to referrals from other CAISO </w:t>
      </w:r>
      <w:r w:rsidR="0063722A">
        <w:rPr>
          <w:rFonts w:cs="Arial"/>
        </w:rPr>
        <w:t xml:space="preserve">business units </w:t>
      </w:r>
      <w:r>
        <w:rPr>
          <w:rFonts w:cs="Arial"/>
        </w:rPr>
        <w:t>responsible for Grid and Market operati</w:t>
      </w:r>
      <w:r>
        <w:t>ons</w:t>
      </w:r>
      <w:r w:rsidR="00C620A8">
        <w:t>.</w:t>
      </w:r>
      <w:r>
        <w:rPr>
          <w:rFonts w:cs="Arial"/>
        </w:rPr>
        <w:t xml:space="preserve"> </w:t>
      </w:r>
    </w:p>
    <w:p w14:paraId="314E893E" w14:textId="6F64E501" w:rsidR="000C3233" w:rsidRPr="00B90685" w:rsidRDefault="000C3233" w:rsidP="004E2E83">
      <w:pPr>
        <w:pStyle w:val="Bullet1HRt"/>
        <w:numPr>
          <w:ilvl w:val="0"/>
          <w:numId w:val="31"/>
        </w:numPr>
        <w:spacing w:after="0" w:line="360" w:lineRule="auto"/>
        <w:ind w:left="720"/>
        <w:jc w:val="left"/>
      </w:pPr>
      <w:r>
        <w:rPr>
          <w:rFonts w:cs="Arial"/>
        </w:rPr>
        <w:t>Computer-automated review of market data.</w:t>
      </w:r>
    </w:p>
    <w:p w14:paraId="0CB25AF1" w14:textId="56BF9EFA" w:rsidR="00B90685" w:rsidRDefault="00B90685" w:rsidP="004E2E83">
      <w:pPr>
        <w:pStyle w:val="Bullet1HRt"/>
        <w:numPr>
          <w:ilvl w:val="0"/>
          <w:numId w:val="31"/>
        </w:numPr>
        <w:spacing w:after="0" w:line="360" w:lineRule="auto"/>
        <w:ind w:left="720"/>
        <w:jc w:val="left"/>
      </w:pPr>
      <w:r>
        <w:rPr>
          <w:rFonts w:cs="Arial"/>
        </w:rPr>
        <w:t>Self-repor</w:t>
      </w:r>
      <w:r w:rsidR="00540769">
        <w:rPr>
          <w:rFonts w:cs="Arial"/>
        </w:rPr>
        <w:t xml:space="preserve">ts of </w:t>
      </w:r>
      <w:r w:rsidR="00540769">
        <w:t>conduct that potentially violates the Rules of Conduct</w:t>
      </w:r>
    </w:p>
    <w:p w14:paraId="2CF3D00A" w14:textId="49069744" w:rsidR="000C3233" w:rsidRDefault="000C3233" w:rsidP="004E2E83">
      <w:pPr>
        <w:pStyle w:val="Caption"/>
        <w:spacing w:before="0" w:after="0" w:line="360" w:lineRule="auto"/>
      </w:pPr>
      <w:r>
        <w:br w:type="page"/>
      </w:r>
      <w:bookmarkStart w:id="48" w:name="_Toc141856688"/>
      <w:bookmarkStart w:id="49" w:name="_Toc181699734"/>
      <w:bookmarkStart w:id="50" w:name="_Toc188946935"/>
      <w:r>
        <w:lastRenderedPageBreak/>
        <w:t xml:space="preserve">Exhibit </w:t>
      </w:r>
      <w:r w:rsidR="00AA038D">
        <w:fldChar w:fldCharType="begin"/>
      </w:r>
      <w:r w:rsidR="00AA038D">
        <w:instrText xml:space="preserve"> STYLEREF 1 \s </w:instrText>
      </w:r>
      <w:r w:rsidR="00AA038D">
        <w:fldChar w:fldCharType="separate"/>
      </w:r>
      <w:r w:rsidR="00E4751E">
        <w:rPr>
          <w:noProof/>
        </w:rPr>
        <w:t>3</w:t>
      </w:r>
      <w:r w:rsidR="00AA038D">
        <w:rPr>
          <w:noProof/>
        </w:rPr>
        <w:fldChar w:fldCharType="end"/>
      </w:r>
      <w:r>
        <w:noBreakHyphen/>
      </w:r>
      <w:r w:rsidR="00AA038D">
        <w:fldChar w:fldCharType="begin"/>
      </w:r>
      <w:r w:rsidR="00AA038D">
        <w:instrText xml:space="preserve"> SEQ Exhibit \* ARABIC \s 1 </w:instrText>
      </w:r>
      <w:r w:rsidR="00AA038D">
        <w:fldChar w:fldCharType="separate"/>
      </w:r>
      <w:r w:rsidR="00E4751E">
        <w:rPr>
          <w:noProof/>
        </w:rPr>
        <w:t>2</w:t>
      </w:r>
      <w:r w:rsidR="00AA038D">
        <w:rPr>
          <w:noProof/>
        </w:rPr>
        <w:fldChar w:fldCharType="end"/>
      </w:r>
      <w:r>
        <w:t xml:space="preserve">: Monitoring &amp; </w:t>
      </w:r>
      <w:r w:rsidR="009F0AC3">
        <w:t>Preliminary Investigation</w:t>
      </w:r>
      <w:r>
        <w:t xml:space="preserve"> Process</w:t>
      </w:r>
      <w:bookmarkEnd w:id="48"/>
      <w:bookmarkEnd w:id="49"/>
      <w:bookmarkEnd w:id="50"/>
    </w:p>
    <w:p w14:paraId="2080D22C" w14:textId="2C68A041" w:rsidR="000C3233" w:rsidRPr="00DD5C51" w:rsidRDefault="003B123A">
      <w:pPr>
        <w:pStyle w:val="ParaText"/>
        <w:jc w:val="left"/>
      </w:pPr>
      <w:r>
        <w:rPr>
          <w:noProof/>
        </w:rPr>
        <w:drawing>
          <wp:inline distT="0" distB="0" distL="0" distR="0" wp14:anchorId="2A4064F0" wp14:editId="036D276E">
            <wp:extent cx="5943600" cy="21824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182495"/>
                    </a:xfrm>
                    <a:prstGeom prst="rect">
                      <a:avLst/>
                    </a:prstGeom>
                  </pic:spPr>
                </pic:pic>
              </a:graphicData>
            </a:graphic>
          </wp:inline>
        </w:drawing>
      </w:r>
      <w:r w:rsidRPr="00796A20" w:rsidDel="00A30B49">
        <w:rPr>
          <w:noProof/>
        </w:rPr>
        <w:t xml:space="preserve"> </w:t>
      </w:r>
    </w:p>
    <w:p w14:paraId="090BA0DA" w14:textId="77777777" w:rsidR="00232B82" w:rsidRDefault="00232B82" w:rsidP="004E2E83">
      <w:pPr>
        <w:pStyle w:val="ParaText"/>
        <w:spacing w:after="0" w:line="360" w:lineRule="auto"/>
        <w:jc w:val="left"/>
      </w:pPr>
    </w:p>
    <w:p w14:paraId="1E268DE2" w14:textId="56B1C7C3" w:rsidR="000C3233" w:rsidRDefault="000C3233" w:rsidP="004E2E83">
      <w:pPr>
        <w:pStyle w:val="ParaText"/>
        <w:spacing w:after="0" w:line="360" w:lineRule="auto"/>
        <w:jc w:val="left"/>
      </w:pPr>
      <w:r>
        <w:t>When a potential Rules of Conduct violation</w:t>
      </w:r>
      <w:r w:rsidR="00085E1D">
        <w:t xml:space="preserve"> is identified</w:t>
      </w:r>
      <w:r>
        <w:t xml:space="preserve">, through either routine monitoring or referral, </w:t>
      </w:r>
      <w:r w:rsidR="00085E1D">
        <w:t>the CAISO</w:t>
      </w:r>
      <w:r>
        <w:t xml:space="preserve"> </w:t>
      </w:r>
      <w:r w:rsidR="00CF2893">
        <w:t xml:space="preserve">initially </w:t>
      </w:r>
      <w:r>
        <w:t xml:space="preserve">reviews available information to determine </w:t>
      </w:r>
      <w:r w:rsidR="00FC55AA">
        <w:t>if there is a reasonable potential that a violation occurred, making further investigation appropriate</w:t>
      </w:r>
      <w:r w:rsidR="00C620A8">
        <w:t>.</w:t>
      </w:r>
      <w:r w:rsidR="00FC55AA">
        <w:t xml:space="preserve"> </w:t>
      </w:r>
      <w:r>
        <w:t xml:space="preserve"> </w:t>
      </w:r>
      <w:r w:rsidR="00EA67EF">
        <w:t>In</w:t>
      </w:r>
      <w:r>
        <w:t xml:space="preserve"> the </w:t>
      </w:r>
      <w:r w:rsidR="00FC55AA">
        <w:t xml:space="preserve">course of collecting information, </w:t>
      </w:r>
      <w:r w:rsidR="00085E1D">
        <w:t>the CAISO</w:t>
      </w:r>
      <w:r w:rsidR="00C620A8">
        <w:t xml:space="preserve"> </w:t>
      </w:r>
      <w:r w:rsidR="00643346">
        <w:t xml:space="preserve">may </w:t>
      </w:r>
      <w:r w:rsidR="00E21070">
        <w:t>contact</w:t>
      </w:r>
      <w:r w:rsidR="0087241B">
        <w:t xml:space="preserve"> </w:t>
      </w:r>
      <w:r w:rsidR="00CF2893">
        <w:t xml:space="preserve">any </w:t>
      </w:r>
      <w:r>
        <w:t xml:space="preserve">Market Participant that is the subject of </w:t>
      </w:r>
      <w:r w:rsidR="00EA67EF">
        <w:t xml:space="preserve">this </w:t>
      </w:r>
      <w:r w:rsidR="009F0AC3">
        <w:t>preliminary investigation</w:t>
      </w:r>
      <w:r w:rsidR="00CF2893">
        <w:t>, except in case</w:t>
      </w:r>
      <w:r w:rsidR="0087241B">
        <w:t xml:space="preserve">s such as </w:t>
      </w:r>
      <w:r w:rsidR="00CF2893" w:rsidRPr="00CF2893">
        <w:t xml:space="preserve">potential violations of routine information submittal requirements, when individually contacting each </w:t>
      </w:r>
      <w:r w:rsidR="006C2880">
        <w:t>M</w:t>
      </w:r>
      <w:r w:rsidR="00CF2893" w:rsidRPr="00CF2893">
        <w:t xml:space="preserve">arket </w:t>
      </w:r>
      <w:r w:rsidR="006C2880">
        <w:t>P</w:t>
      </w:r>
      <w:r w:rsidR="00CF2893" w:rsidRPr="00CF2893">
        <w:t>articipant prior to sending a notice of investigation would not be practical.</w:t>
      </w:r>
      <w:r>
        <w:t xml:space="preserve"> </w:t>
      </w:r>
    </w:p>
    <w:p w14:paraId="027E59AF" w14:textId="77777777" w:rsidR="004E2E83" w:rsidRDefault="004E2E83" w:rsidP="004E2E83">
      <w:pPr>
        <w:pStyle w:val="ParaText"/>
        <w:spacing w:after="0" w:line="360" w:lineRule="auto"/>
        <w:jc w:val="left"/>
      </w:pPr>
    </w:p>
    <w:p w14:paraId="481DE3E7" w14:textId="7D4972F5" w:rsidR="000C3233" w:rsidRDefault="000C3233" w:rsidP="004E2E83">
      <w:pPr>
        <w:pStyle w:val="ParaText"/>
        <w:spacing w:after="0" w:line="360" w:lineRule="auto"/>
        <w:jc w:val="left"/>
      </w:pPr>
      <w:r>
        <w:t xml:space="preserve">Based on this </w:t>
      </w:r>
      <w:r w:rsidR="009F0AC3">
        <w:t>preliminary investigation</w:t>
      </w:r>
      <w:r>
        <w:t xml:space="preserve">, </w:t>
      </w:r>
      <w:r w:rsidR="00085E1D">
        <w:t>the CAISO</w:t>
      </w:r>
      <w:r>
        <w:t xml:space="preserve"> proceeds with one of </w:t>
      </w:r>
      <w:r w:rsidR="00AE26E7">
        <w:t xml:space="preserve">three </w:t>
      </w:r>
      <w:r>
        <w:t>actions:</w:t>
      </w:r>
    </w:p>
    <w:p w14:paraId="3DBCF5BA" w14:textId="05CC0928" w:rsidR="000C3233" w:rsidRDefault="000C3233" w:rsidP="004E2E83">
      <w:pPr>
        <w:pStyle w:val="Bullet1HRt"/>
        <w:numPr>
          <w:ilvl w:val="0"/>
          <w:numId w:val="32"/>
        </w:numPr>
        <w:spacing w:after="0" w:line="360" w:lineRule="auto"/>
        <w:ind w:left="720"/>
        <w:jc w:val="left"/>
      </w:pPr>
      <w:r>
        <w:rPr>
          <w:rFonts w:cs="Arial"/>
        </w:rPr>
        <w:t>Initiate</w:t>
      </w:r>
      <w:r w:rsidR="00625D47">
        <w:rPr>
          <w:rFonts w:cs="Arial"/>
        </w:rPr>
        <w:t>s</w:t>
      </w:r>
      <w:r>
        <w:rPr>
          <w:rFonts w:cs="Arial"/>
        </w:rPr>
        <w:t xml:space="preserve"> an investigation, if the result</w:t>
      </w:r>
      <w:r>
        <w:t xml:space="preserve">s of the </w:t>
      </w:r>
      <w:r w:rsidR="009F0AC3">
        <w:t>preliminary investigation</w:t>
      </w:r>
      <w:r>
        <w:t xml:space="preserve"> reveal that a</w:t>
      </w:r>
      <w:r w:rsidR="00085E1D">
        <w:t>n</w:t>
      </w:r>
      <w:r>
        <w:t xml:space="preserve"> </w:t>
      </w:r>
      <w:r w:rsidR="00085E1D">
        <w:t xml:space="preserve">enforceable </w:t>
      </w:r>
      <w:r>
        <w:t xml:space="preserve">Rules of Conduct violation may have occurred. </w:t>
      </w:r>
    </w:p>
    <w:p w14:paraId="152BAE20" w14:textId="7F880996" w:rsidR="000C3233" w:rsidRDefault="00E74AE5" w:rsidP="004E2E83">
      <w:pPr>
        <w:pStyle w:val="Bullet1HRt"/>
        <w:numPr>
          <w:ilvl w:val="0"/>
          <w:numId w:val="32"/>
        </w:numPr>
        <w:spacing w:after="0" w:line="360" w:lineRule="auto"/>
        <w:ind w:left="720"/>
        <w:jc w:val="left"/>
        <w:rPr>
          <w:rFonts w:cs="Arial"/>
        </w:rPr>
      </w:pPr>
      <w:r>
        <w:rPr>
          <w:rFonts w:cs="Arial"/>
        </w:rPr>
        <w:t>Notif</w:t>
      </w:r>
      <w:r w:rsidR="00625D47">
        <w:rPr>
          <w:rFonts w:cs="Arial"/>
        </w:rPr>
        <w:t>ies</w:t>
      </w:r>
      <w:r>
        <w:rPr>
          <w:rFonts w:cs="Arial"/>
        </w:rPr>
        <w:t xml:space="preserve"> DMM </w:t>
      </w:r>
      <w:r w:rsidR="00625D47">
        <w:rPr>
          <w:rFonts w:cs="Arial"/>
        </w:rPr>
        <w:t xml:space="preserve">(as detailed in section 3.2.2) </w:t>
      </w:r>
      <w:r>
        <w:rPr>
          <w:rFonts w:cs="Arial"/>
        </w:rPr>
        <w:t xml:space="preserve">if the conduct involves a potential violation of </w:t>
      </w:r>
      <w:r w:rsidR="00625D47">
        <w:rPr>
          <w:rFonts w:cs="Arial"/>
        </w:rPr>
        <w:t xml:space="preserve">CAISO Tariff </w:t>
      </w:r>
      <w:r>
        <w:rPr>
          <w:rFonts w:cs="Arial"/>
        </w:rPr>
        <w:t xml:space="preserve">Sections </w:t>
      </w:r>
      <w:r w:rsidR="00AE26E7">
        <w:rPr>
          <w:rFonts w:cs="Arial"/>
        </w:rPr>
        <w:t xml:space="preserve">37.2.1, </w:t>
      </w:r>
      <w:r>
        <w:rPr>
          <w:rFonts w:cs="Arial"/>
        </w:rPr>
        <w:t xml:space="preserve">37.2.3, </w:t>
      </w:r>
      <w:r w:rsidR="00AE26E7">
        <w:rPr>
          <w:rFonts w:cs="Arial"/>
        </w:rPr>
        <w:t xml:space="preserve">37.2.4 </w:t>
      </w:r>
      <w:r w:rsidR="00042C77">
        <w:rPr>
          <w:rFonts w:cs="Arial"/>
        </w:rPr>
        <w:t>or</w:t>
      </w:r>
      <w:r w:rsidR="00AE26E7">
        <w:rPr>
          <w:rFonts w:cs="Arial"/>
        </w:rPr>
        <w:t xml:space="preserve"> 37.3.1</w:t>
      </w:r>
      <w:r>
        <w:rPr>
          <w:rFonts w:cs="Arial"/>
        </w:rPr>
        <w:t>.  DMM then potentially refer</w:t>
      </w:r>
      <w:r w:rsidR="00126AC5">
        <w:rPr>
          <w:rFonts w:cs="Arial"/>
        </w:rPr>
        <w:t>s</w:t>
      </w:r>
      <w:r>
        <w:rPr>
          <w:rFonts w:cs="Arial"/>
        </w:rPr>
        <w:t xml:space="preserve"> the matter to FERC’s Office of Enforcement pursuant to DMM’s general obligation to refer Market Violations to the Office of Enforcement.</w:t>
      </w:r>
    </w:p>
    <w:p w14:paraId="47C3B507" w14:textId="01A68C7C" w:rsidR="000C3233" w:rsidRDefault="000C3233" w:rsidP="004E2E83">
      <w:pPr>
        <w:pStyle w:val="Bullet1HRt"/>
        <w:numPr>
          <w:ilvl w:val="0"/>
          <w:numId w:val="32"/>
        </w:numPr>
        <w:spacing w:after="0" w:line="360" w:lineRule="auto"/>
        <w:ind w:left="720"/>
        <w:jc w:val="left"/>
        <w:rPr>
          <w:rFonts w:cs="Arial"/>
        </w:rPr>
      </w:pPr>
      <w:r>
        <w:rPr>
          <w:rFonts w:cs="Arial"/>
        </w:rPr>
        <w:t>No further action</w:t>
      </w:r>
      <w:r w:rsidR="00625D47">
        <w:rPr>
          <w:rFonts w:cs="Arial"/>
        </w:rPr>
        <w:t xml:space="preserve"> taken</w:t>
      </w:r>
      <w:r>
        <w:rPr>
          <w:rFonts w:cs="Arial"/>
        </w:rPr>
        <w:t xml:space="preserve">, if the </w:t>
      </w:r>
      <w:r w:rsidR="009F0AC3">
        <w:rPr>
          <w:rFonts w:cs="Arial"/>
        </w:rPr>
        <w:t>preliminary investigation</w:t>
      </w:r>
      <w:r>
        <w:rPr>
          <w:rFonts w:cs="Arial"/>
        </w:rPr>
        <w:t xml:space="preserve"> indicates </w:t>
      </w:r>
      <w:r w:rsidR="00625D47">
        <w:t>that an enforceable</w:t>
      </w:r>
      <w:r w:rsidR="008759A4">
        <w:rPr>
          <w:rFonts w:cs="Arial"/>
        </w:rPr>
        <w:t xml:space="preserve"> </w:t>
      </w:r>
      <w:r>
        <w:rPr>
          <w:rFonts w:cs="Arial"/>
        </w:rPr>
        <w:t>Rules of Conduct violation did not occur.</w:t>
      </w:r>
    </w:p>
    <w:p w14:paraId="3A04983F" w14:textId="77777777" w:rsidR="003464C7" w:rsidRDefault="003464C7" w:rsidP="003464C7">
      <w:pPr>
        <w:pStyle w:val="Bullet1HRt"/>
        <w:numPr>
          <w:ilvl w:val="0"/>
          <w:numId w:val="0"/>
        </w:numPr>
        <w:ind w:left="360"/>
        <w:jc w:val="left"/>
        <w:rPr>
          <w:rFonts w:cs="Arial"/>
        </w:rPr>
      </w:pPr>
    </w:p>
    <w:p w14:paraId="5D518665" w14:textId="77777777" w:rsidR="000C3233" w:rsidRPr="004E2E83" w:rsidRDefault="000C3233">
      <w:pPr>
        <w:pStyle w:val="Heading3"/>
        <w:jc w:val="left"/>
        <w:rPr>
          <w:color w:val="2F5496" w:themeColor="accent5" w:themeShade="BF"/>
          <w:sz w:val="30"/>
          <w:szCs w:val="30"/>
        </w:rPr>
      </w:pPr>
      <w:bookmarkStart w:id="51" w:name="_Toc181699710"/>
      <w:bookmarkStart w:id="52" w:name="_Toc188947211"/>
      <w:r w:rsidRPr="004E2E83">
        <w:rPr>
          <w:color w:val="2F5496" w:themeColor="accent5" w:themeShade="BF"/>
          <w:sz w:val="30"/>
          <w:szCs w:val="30"/>
        </w:rPr>
        <w:lastRenderedPageBreak/>
        <w:t>Referrals to FERC</w:t>
      </w:r>
      <w:bookmarkEnd w:id="51"/>
      <w:bookmarkEnd w:id="52"/>
    </w:p>
    <w:p w14:paraId="1B9DC4E8" w14:textId="4C543CA0" w:rsidR="00E74AE5" w:rsidRDefault="000C3233" w:rsidP="004E2E83">
      <w:pPr>
        <w:pStyle w:val="ParaText"/>
        <w:spacing w:after="0" w:line="360" w:lineRule="auto"/>
        <w:jc w:val="left"/>
      </w:pPr>
      <w:r>
        <w:t xml:space="preserve">Based on the results of </w:t>
      </w:r>
      <w:r w:rsidR="00C63741">
        <w:t xml:space="preserve">its </w:t>
      </w:r>
      <w:r w:rsidR="009F0AC3">
        <w:t>preliminary investigation</w:t>
      </w:r>
      <w:r>
        <w:t xml:space="preserve">, </w:t>
      </w:r>
      <w:r w:rsidR="00643346">
        <w:t xml:space="preserve">if </w:t>
      </w:r>
      <w:r w:rsidR="00085E1D">
        <w:t>the CAISO</w:t>
      </w:r>
      <w:r w:rsidR="00643346">
        <w:t xml:space="preserve"> discovers </w:t>
      </w:r>
      <w:r w:rsidR="00E74AE5">
        <w:t xml:space="preserve">that </w:t>
      </w:r>
      <w:r w:rsidR="00232B82">
        <w:t>the circumstances preclude the objective determination of a Rules of Conduct violation</w:t>
      </w:r>
      <w:r w:rsidR="00643346">
        <w:t xml:space="preserve">, it </w:t>
      </w:r>
      <w:r w:rsidR="002D69AA">
        <w:t xml:space="preserve">may refer </w:t>
      </w:r>
      <w:r w:rsidR="00643346">
        <w:t xml:space="preserve">the matter to </w:t>
      </w:r>
      <w:r w:rsidR="00E74AE5">
        <w:t>FERC</w:t>
      </w:r>
      <w:r w:rsidR="006345C0">
        <w:t xml:space="preserve"> through DMM</w:t>
      </w:r>
      <w:r w:rsidR="00E74AE5">
        <w:t>.</w:t>
      </w:r>
    </w:p>
    <w:p w14:paraId="03362FAD" w14:textId="77777777" w:rsidR="004E2E83" w:rsidRDefault="004E2E83" w:rsidP="004E2E83">
      <w:pPr>
        <w:pStyle w:val="ParaText"/>
        <w:spacing w:after="0" w:line="360" w:lineRule="auto"/>
        <w:jc w:val="left"/>
      </w:pPr>
    </w:p>
    <w:p w14:paraId="6FCF732A" w14:textId="56A696AC" w:rsidR="00E74AE5" w:rsidRPr="004E2E83" w:rsidRDefault="00E74AE5" w:rsidP="00CD6CB2">
      <w:pPr>
        <w:pStyle w:val="Heading3"/>
        <w:rPr>
          <w:color w:val="2F5496" w:themeColor="accent5" w:themeShade="BF"/>
          <w:sz w:val="30"/>
          <w:szCs w:val="30"/>
        </w:rPr>
      </w:pPr>
      <w:bookmarkStart w:id="53" w:name="_Toc181699711"/>
      <w:bookmarkStart w:id="54" w:name="_Toc188946911"/>
      <w:bookmarkStart w:id="55" w:name="_Toc188947212"/>
      <w:bookmarkStart w:id="56" w:name="_Toc181699712"/>
      <w:bookmarkStart w:id="57" w:name="_Toc188947213"/>
      <w:bookmarkEnd w:id="53"/>
      <w:bookmarkEnd w:id="54"/>
      <w:bookmarkEnd w:id="55"/>
      <w:r w:rsidRPr="004E2E83">
        <w:rPr>
          <w:color w:val="2F5496" w:themeColor="accent5" w:themeShade="BF"/>
          <w:sz w:val="30"/>
          <w:szCs w:val="30"/>
        </w:rPr>
        <w:t>Notifying DMM of Potential Market Violations</w:t>
      </w:r>
      <w:bookmarkEnd w:id="56"/>
      <w:bookmarkEnd w:id="57"/>
    </w:p>
    <w:p w14:paraId="048217A2" w14:textId="3CAD77D5" w:rsidR="00126AC5" w:rsidRDefault="00E74AE5" w:rsidP="004E2E83">
      <w:pPr>
        <w:pStyle w:val="ParaText"/>
        <w:spacing w:after="0" w:line="360" w:lineRule="auto"/>
        <w:jc w:val="left"/>
        <w:rPr>
          <w:rFonts w:cs="Arial"/>
        </w:rPr>
      </w:pPr>
      <w:r>
        <w:t xml:space="preserve">Based on the results of its </w:t>
      </w:r>
      <w:r w:rsidR="009F0AC3">
        <w:t>preliminary investigation</w:t>
      </w:r>
      <w:r>
        <w:t xml:space="preserve">, if </w:t>
      </w:r>
      <w:r w:rsidR="00085E1D">
        <w:t>CAISO business units</w:t>
      </w:r>
      <w:r>
        <w:t xml:space="preserve"> discover a potential violation of </w:t>
      </w:r>
      <w:r>
        <w:rPr>
          <w:rFonts w:cs="Arial"/>
        </w:rPr>
        <w:t xml:space="preserve">Sections </w:t>
      </w:r>
      <w:r w:rsidR="00FB548F">
        <w:rPr>
          <w:rFonts w:cs="Arial"/>
        </w:rPr>
        <w:t xml:space="preserve">37.2.1, 37.2.3, 37.2.4 </w:t>
      </w:r>
      <w:r w:rsidR="00E93CA0">
        <w:rPr>
          <w:rFonts w:cs="Arial"/>
        </w:rPr>
        <w:t>or</w:t>
      </w:r>
      <w:r w:rsidR="00FB548F">
        <w:rPr>
          <w:rFonts w:cs="Arial"/>
        </w:rPr>
        <w:t xml:space="preserve"> 37.3.1</w:t>
      </w:r>
      <w:r>
        <w:rPr>
          <w:rFonts w:cs="Arial"/>
        </w:rPr>
        <w:t xml:space="preserve">, </w:t>
      </w:r>
      <w:r w:rsidR="00F37433">
        <w:rPr>
          <w:rFonts w:cs="Arial"/>
        </w:rPr>
        <w:t>DMM</w:t>
      </w:r>
      <w:r w:rsidR="00085E1D">
        <w:rPr>
          <w:rFonts w:cs="Arial"/>
        </w:rPr>
        <w:t xml:space="preserve"> will be notified</w:t>
      </w:r>
      <w:r>
        <w:rPr>
          <w:rFonts w:cs="Arial"/>
        </w:rPr>
        <w:t xml:space="preserve">.  </w:t>
      </w:r>
      <w:r w:rsidR="00F37433">
        <w:rPr>
          <w:rFonts w:cs="Arial"/>
        </w:rPr>
        <w:t>Under Section</w:t>
      </w:r>
      <w:r w:rsidR="00274C21">
        <w:rPr>
          <w:rFonts w:cs="Arial"/>
        </w:rPr>
        <w:t xml:space="preserve"> 11.1 </w:t>
      </w:r>
      <w:r w:rsidR="00F37433">
        <w:rPr>
          <w:rFonts w:cs="Arial"/>
        </w:rPr>
        <w:t xml:space="preserve">of Appendix P, DMM has a general obligation to refer to FERC suspected Market Violations, with the exception of Rules of Conduct violations that carry specified </w:t>
      </w:r>
      <w:r w:rsidR="006217E0">
        <w:rPr>
          <w:rFonts w:cs="Arial"/>
        </w:rPr>
        <w:t>Sanctions</w:t>
      </w:r>
      <w:r w:rsidR="00F37433">
        <w:rPr>
          <w:rFonts w:cs="Arial"/>
        </w:rPr>
        <w:t xml:space="preserve"> </w:t>
      </w:r>
      <w:r w:rsidR="00126AC5">
        <w:rPr>
          <w:rFonts w:cs="Arial"/>
        </w:rPr>
        <w:t>administered</w:t>
      </w:r>
      <w:r w:rsidR="00F37433">
        <w:rPr>
          <w:rFonts w:cs="Arial"/>
        </w:rPr>
        <w:t xml:space="preserve"> by the CAISO.  Where </w:t>
      </w:r>
      <w:r w:rsidR="00085E1D">
        <w:rPr>
          <w:rFonts w:cs="Arial"/>
        </w:rPr>
        <w:t>a CAISO</w:t>
      </w:r>
      <w:r w:rsidR="006E051A">
        <w:rPr>
          <w:rFonts w:cs="Arial"/>
        </w:rPr>
        <w:t xml:space="preserve"> business unit </w:t>
      </w:r>
      <w:r w:rsidR="00F37433">
        <w:rPr>
          <w:rFonts w:cs="Arial"/>
        </w:rPr>
        <w:t xml:space="preserve">notifies DMM of a potential violation of Sections </w:t>
      </w:r>
      <w:r w:rsidR="00FB548F">
        <w:rPr>
          <w:rFonts w:cs="Arial"/>
        </w:rPr>
        <w:t xml:space="preserve">37.2.1, 37.2.3, 37.2.4 </w:t>
      </w:r>
      <w:r w:rsidR="00E93CA0">
        <w:rPr>
          <w:rFonts w:cs="Arial"/>
        </w:rPr>
        <w:t>or</w:t>
      </w:r>
      <w:r w:rsidR="00FB548F">
        <w:rPr>
          <w:rFonts w:cs="Arial"/>
        </w:rPr>
        <w:t xml:space="preserve"> 37.3.1</w:t>
      </w:r>
      <w:r w:rsidR="00F37433">
        <w:rPr>
          <w:rFonts w:cs="Arial"/>
        </w:rPr>
        <w:t>, DMM will refer the matter to FERC if DMM determines</w:t>
      </w:r>
      <w:r w:rsidR="00126AC5">
        <w:rPr>
          <w:rFonts w:cs="Arial"/>
        </w:rPr>
        <w:t>, in its sole discretion,</w:t>
      </w:r>
      <w:r w:rsidR="00F37433">
        <w:rPr>
          <w:rFonts w:cs="Arial"/>
        </w:rPr>
        <w:t xml:space="preserve"> that </w:t>
      </w:r>
      <w:r w:rsidR="00126AC5">
        <w:rPr>
          <w:rFonts w:cs="Arial"/>
        </w:rPr>
        <w:t xml:space="preserve">there is </w:t>
      </w:r>
      <w:r w:rsidR="00126AC5">
        <w:t xml:space="preserve">sufficient credible information to warrant further investigation by the </w:t>
      </w:r>
      <w:r w:rsidR="00126AC5">
        <w:rPr>
          <w:rFonts w:cs="Arial"/>
        </w:rPr>
        <w:t>Office of Enforcement.</w:t>
      </w:r>
    </w:p>
    <w:p w14:paraId="3F27FA77" w14:textId="77777777" w:rsidR="004E2E83" w:rsidRDefault="004E2E83" w:rsidP="004E2E83">
      <w:pPr>
        <w:pStyle w:val="ParaText"/>
        <w:spacing w:after="0" w:line="360" w:lineRule="auto"/>
        <w:jc w:val="left"/>
        <w:rPr>
          <w:rFonts w:cs="Arial"/>
        </w:rPr>
      </w:pPr>
    </w:p>
    <w:p w14:paraId="1519BCCB" w14:textId="71E2697B" w:rsidR="000C3233" w:rsidRPr="004E2E83" w:rsidRDefault="000C3233" w:rsidP="004E2E83">
      <w:pPr>
        <w:pStyle w:val="Heading2"/>
        <w:tabs>
          <w:tab w:val="clear" w:pos="1080"/>
          <w:tab w:val="num" w:pos="720"/>
        </w:tabs>
        <w:rPr>
          <w:color w:val="2F5496" w:themeColor="accent5" w:themeShade="BF"/>
          <w:szCs w:val="30"/>
        </w:rPr>
      </w:pPr>
      <w:bookmarkStart w:id="58" w:name="_Toc181699008"/>
      <w:bookmarkStart w:id="59" w:name="_Toc181699713"/>
      <w:bookmarkStart w:id="60" w:name="_Toc188946913"/>
      <w:bookmarkStart w:id="61" w:name="_Toc188947214"/>
      <w:bookmarkStart w:id="62" w:name="_Toc181699009"/>
      <w:bookmarkStart w:id="63" w:name="_Toc181699714"/>
      <w:bookmarkStart w:id="64" w:name="_Toc188946914"/>
      <w:bookmarkStart w:id="65" w:name="_Toc188947215"/>
      <w:bookmarkStart w:id="66" w:name="_Toc181699010"/>
      <w:bookmarkStart w:id="67" w:name="_Toc181699715"/>
      <w:bookmarkStart w:id="68" w:name="_Toc188946915"/>
      <w:bookmarkStart w:id="69" w:name="_Toc188947216"/>
      <w:bookmarkStart w:id="70" w:name="_Ref140455469"/>
      <w:bookmarkStart w:id="71" w:name="_Toc181699717"/>
      <w:bookmarkStart w:id="72" w:name="_Toc188947218"/>
      <w:bookmarkEnd w:id="58"/>
      <w:bookmarkEnd w:id="59"/>
      <w:bookmarkEnd w:id="60"/>
      <w:bookmarkEnd w:id="61"/>
      <w:bookmarkEnd w:id="62"/>
      <w:bookmarkEnd w:id="63"/>
      <w:bookmarkEnd w:id="64"/>
      <w:bookmarkEnd w:id="65"/>
      <w:bookmarkEnd w:id="66"/>
      <w:bookmarkEnd w:id="67"/>
      <w:bookmarkEnd w:id="68"/>
      <w:bookmarkEnd w:id="69"/>
      <w:r w:rsidRPr="004E2E83">
        <w:rPr>
          <w:color w:val="2F5496" w:themeColor="accent5" w:themeShade="BF"/>
          <w:szCs w:val="30"/>
        </w:rPr>
        <w:t>Investigation</w:t>
      </w:r>
      <w:bookmarkEnd w:id="70"/>
      <w:bookmarkEnd w:id="71"/>
      <w:bookmarkEnd w:id="72"/>
    </w:p>
    <w:p w14:paraId="176C806E" w14:textId="17DEB119" w:rsidR="000C3233" w:rsidRDefault="000C3233" w:rsidP="004E2E83">
      <w:pPr>
        <w:pStyle w:val="ParaText"/>
        <w:spacing w:line="360" w:lineRule="auto"/>
        <w:jc w:val="left"/>
      </w:pPr>
      <w:r>
        <w:t xml:space="preserve">If the </w:t>
      </w:r>
      <w:r w:rsidR="009F0AC3">
        <w:t>preliminary investigation</w:t>
      </w:r>
      <w:r>
        <w:t xml:space="preserve"> by </w:t>
      </w:r>
      <w:r w:rsidR="00085E1D">
        <w:t>the CAISO</w:t>
      </w:r>
      <w:r w:rsidR="00643346">
        <w:t xml:space="preserve"> </w:t>
      </w:r>
      <w:r>
        <w:t xml:space="preserve">reveals that an objectively verifiable violation of the Rules of Conduct may have occurred, </w:t>
      </w:r>
      <w:r w:rsidR="00085E1D">
        <w:t>the CAISO</w:t>
      </w:r>
      <w:r>
        <w:t xml:space="preserve"> </w:t>
      </w:r>
      <w:r w:rsidR="00AA6151">
        <w:t xml:space="preserve">more formally </w:t>
      </w:r>
      <w:r>
        <w:t xml:space="preserve">investigates the </w:t>
      </w:r>
      <w:r w:rsidR="003707E5">
        <w:t>matter</w:t>
      </w:r>
      <w:r w:rsidR="00AA6151">
        <w:t xml:space="preserve"> pursuant to the process described in this section and CAISO Tariff Section 37.8.3</w:t>
      </w:r>
      <w:r>
        <w:t xml:space="preserve">.  Exhibit 3-3 describes the process used by </w:t>
      </w:r>
      <w:r w:rsidR="00085E1D">
        <w:t>the CAISO</w:t>
      </w:r>
      <w:r>
        <w:t xml:space="preserve"> to investigate potential Rules of Conduct violations.</w:t>
      </w:r>
    </w:p>
    <w:p w14:paraId="503A234A" w14:textId="18B2A9EC" w:rsidR="0041430C" w:rsidRDefault="000C3233" w:rsidP="00C5104B">
      <w:pPr>
        <w:pStyle w:val="Caption"/>
      </w:pPr>
      <w:bookmarkStart w:id="73" w:name="_Toc141856689"/>
      <w:bookmarkStart w:id="74" w:name="_Toc181699735"/>
      <w:bookmarkStart w:id="75" w:name="_Toc188946936"/>
      <w:r w:rsidRPr="00E4751E">
        <w:t xml:space="preserve">Exhibit </w:t>
      </w:r>
      <w:r w:rsidR="00F06EFC" w:rsidRPr="00E4751E">
        <w:fldChar w:fldCharType="begin"/>
      </w:r>
      <w:r w:rsidR="00F06EFC" w:rsidRPr="00CD6CB2">
        <w:instrText xml:space="preserve"> STYLEREF 1 \s </w:instrText>
      </w:r>
      <w:r w:rsidR="00F06EFC" w:rsidRPr="00E4751E">
        <w:fldChar w:fldCharType="separate"/>
      </w:r>
      <w:r w:rsidR="00E4751E">
        <w:rPr>
          <w:noProof/>
        </w:rPr>
        <w:t>3</w:t>
      </w:r>
      <w:r w:rsidR="00F06EFC" w:rsidRPr="00E4751E">
        <w:rPr>
          <w:noProof/>
        </w:rPr>
        <w:fldChar w:fldCharType="end"/>
      </w:r>
      <w:r w:rsidRPr="00E4751E">
        <w:noBreakHyphen/>
      </w:r>
      <w:r w:rsidR="00F06EFC" w:rsidRPr="00E4751E">
        <w:fldChar w:fldCharType="begin"/>
      </w:r>
      <w:r w:rsidR="00F06EFC" w:rsidRPr="00CD6CB2">
        <w:instrText xml:space="preserve"> SEQ Exhibit \* ARABIC \s 1 </w:instrText>
      </w:r>
      <w:r w:rsidR="00F06EFC" w:rsidRPr="00E4751E">
        <w:fldChar w:fldCharType="separate"/>
      </w:r>
      <w:r w:rsidR="00E4751E">
        <w:rPr>
          <w:noProof/>
        </w:rPr>
        <w:t>3</w:t>
      </w:r>
      <w:r w:rsidR="00F06EFC" w:rsidRPr="00E4751E">
        <w:rPr>
          <w:noProof/>
        </w:rPr>
        <w:fldChar w:fldCharType="end"/>
      </w:r>
      <w:r w:rsidRPr="00E4751E">
        <w:t>:</w:t>
      </w:r>
      <w:r>
        <w:t xml:space="preserve"> Investigation Process</w:t>
      </w:r>
      <w:bookmarkEnd w:id="73"/>
      <w:bookmarkEnd w:id="74"/>
      <w:bookmarkEnd w:id="75"/>
    </w:p>
    <w:p w14:paraId="71DCBD34" w14:textId="5C40F58A" w:rsidR="00EA6F8B" w:rsidRPr="00DB234D" w:rsidRDefault="00EA6F8B" w:rsidP="00CD6CB2">
      <w:pPr>
        <w:pStyle w:val="ParaText"/>
      </w:pPr>
      <w:r>
        <w:rPr>
          <w:noProof/>
        </w:rPr>
        <w:drawing>
          <wp:inline distT="0" distB="0" distL="0" distR="0" wp14:anchorId="4318A0E0" wp14:editId="7C84AFB0">
            <wp:extent cx="5943600" cy="2162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162175"/>
                    </a:xfrm>
                    <a:prstGeom prst="rect">
                      <a:avLst/>
                    </a:prstGeom>
                  </pic:spPr>
                </pic:pic>
              </a:graphicData>
            </a:graphic>
          </wp:inline>
        </w:drawing>
      </w:r>
    </w:p>
    <w:p w14:paraId="4CE9BE5C" w14:textId="20CE5DBC" w:rsidR="008B1A97" w:rsidRDefault="008B1A97" w:rsidP="00C5104B">
      <w:pPr>
        <w:pStyle w:val="Caption"/>
      </w:pPr>
    </w:p>
    <w:p w14:paraId="30678519" w14:textId="550C15F8" w:rsidR="000C3233" w:rsidRDefault="000C3233" w:rsidP="00C5104B">
      <w:pPr>
        <w:pStyle w:val="ParaText"/>
        <w:spacing w:after="0" w:line="360" w:lineRule="auto"/>
        <w:jc w:val="left"/>
      </w:pPr>
      <w:r>
        <w:lastRenderedPageBreak/>
        <w:t xml:space="preserve">When </w:t>
      </w:r>
      <w:r w:rsidR="00085E1D">
        <w:t>the CAISO</w:t>
      </w:r>
      <w:r>
        <w:t xml:space="preserve"> begins an investigation into a potential Rules of Conduct violation, it reviews applicable information, notifies the</w:t>
      </w:r>
      <w:r w:rsidR="003707E5">
        <w:t xml:space="preserve"> relevant Market Participant</w:t>
      </w:r>
      <w:r w:rsidR="00B80D55">
        <w:t>s</w:t>
      </w:r>
      <w:r w:rsidR="003707E5">
        <w:t xml:space="preserve"> </w:t>
      </w:r>
      <w:r>
        <w:t xml:space="preserve">of the investigation and provides an opportunity for </w:t>
      </w:r>
      <w:r w:rsidR="003707E5">
        <w:t>Market Participants</w:t>
      </w:r>
      <w:r>
        <w:t xml:space="preserve"> to respond to the allegations. </w:t>
      </w:r>
      <w:r w:rsidR="00B80D55">
        <w:t>Market Participants have 30 calendar days to respond to the allegations before the CAISO determines the results of the investigation including whether a Sanction is required.</w:t>
      </w:r>
    </w:p>
    <w:p w14:paraId="4BB3BEEF" w14:textId="77777777" w:rsidR="00C5104B" w:rsidRDefault="00C5104B" w:rsidP="00C5104B">
      <w:pPr>
        <w:pStyle w:val="ParaText"/>
        <w:spacing w:after="0" w:line="360" w:lineRule="auto"/>
        <w:jc w:val="left"/>
      </w:pPr>
    </w:p>
    <w:p w14:paraId="388E05D3" w14:textId="77777777" w:rsidR="00C5104B" w:rsidRDefault="000C3233" w:rsidP="00C5104B">
      <w:pPr>
        <w:pStyle w:val="ParaText"/>
        <w:spacing w:after="0" w:line="360" w:lineRule="auto"/>
        <w:jc w:val="left"/>
      </w:pPr>
      <w:r>
        <w:t xml:space="preserve">On completion of </w:t>
      </w:r>
      <w:r w:rsidR="003707E5">
        <w:t>an</w:t>
      </w:r>
      <w:r>
        <w:t xml:space="preserve"> investigation, </w:t>
      </w:r>
      <w:r w:rsidR="00085E1D">
        <w:t>the CAISO</w:t>
      </w:r>
      <w:r>
        <w:t xml:space="preserve"> notifies </w:t>
      </w:r>
      <w:r w:rsidR="003707E5">
        <w:t>relevant Market Participant</w:t>
      </w:r>
      <w:r>
        <w:t xml:space="preserve">s of </w:t>
      </w:r>
      <w:r w:rsidR="008759A4">
        <w:t xml:space="preserve">the </w:t>
      </w:r>
      <w:r>
        <w:t>results of its investigation</w:t>
      </w:r>
      <w:r w:rsidR="00B80D55">
        <w:t xml:space="preserve"> and of any applicable Sanctions</w:t>
      </w:r>
      <w:r>
        <w:t xml:space="preserve">.  </w:t>
      </w:r>
      <w:r w:rsidR="00731314">
        <w:t>If the investigation does not identify a violation, the CAISO informs relevant Market Participants that no action is being taken by the CAISO.</w:t>
      </w:r>
    </w:p>
    <w:p w14:paraId="0E69DCA9" w14:textId="2D06A288" w:rsidR="000C3233" w:rsidRDefault="000C3233" w:rsidP="00C5104B">
      <w:pPr>
        <w:pStyle w:val="ParaText"/>
        <w:spacing w:after="0" w:line="360" w:lineRule="auto"/>
        <w:jc w:val="left"/>
      </w:pPr>
    </w:p>
    <w:p w14:paraId="1779CC7E" w14:textId="00473FC1" w:rsidR="00C5104B" w:rsidRDefault="000C3233" w:rsidP="00C5104B">
      <w:pPr>
        <w:pStyle w:val="ParaText"/>
        <w:spacing w:after="0" w:line="360" w:lineRule="auto"/>
        <w:jc w:val="left"/>
      </w:pPr>
      <w:r>
        <w:t>If the investigation concludes that a Rule of Conduct was violated</w:t>
      </w:r>
      <w:r w:rsidR="008B1A97">
        <w:t xml:space="preserve"> and that a Sanction is required by the Tariff</w:t>
      </w:r>
      <w:r>
        <w:t xml:space="preserve">, </w:t>
      </w:r>
      <w:r w:rsidR="008B1A97">
        <w:t xml:space="preserve">the results of its investigation state that the Market Participant whose conduct gave rise to the Sanction may obtain immediate review of the CAISO’s determination by directly appealing to FERC within 30 days from the </w:t>
      </w:r>
      <w:r w:rsidR="006F7016">
        <w:t xml:space="preserve">date of the results of review </w:t>
      </w:r>
      <w:r w:rsidR="008B1A97">
        <w:t>notice</w:t>
      </w:r>
      <w:r w:rsidR="006F7016">
        <w:t xml:space="preserve"> as described in Section 37.8.10 of the CAISO Tariff</w:t>
      </w:r>
      <w:r w:rsidR="008B1A97">
        <w:t xml:space="preserve">. If the Market Participant appeals with FERC within 30 days and communicates the </w:t>
      </w:r>
      <w:r w:rsidR="006F7016">
        <w:t xml:space="preserve">FERC </w:t>
      </w:r>
      <w:r w:rsidR="008B1A97">
        <w:t>Docket number to the CAISO</w:t>
      </w:r>
      <w:r w:rsidR="006F7016">
        <w:t xml:space="preserve">, </w:t>
      </w:r>
      <w:r w:rsidR="00385174">
        <w:t xml:space="preserve">any financial </w:t>
      </w:r>
      <w:r w:rsidR="006F7016">
        <w:t xml:space="preserve">penalty </w:t>
      </w:r>
      <w:r w:rsidR="00385174">
        <w:t xml:space="preserve">associated with the Sanction </w:t>
      </w:r>
      <w:r w:rsidR="006F7016">
        <w:t>is tolled pending FERC’s ruling on the appeal</w:t>
      </w:r>
      <w:r w:rsidR="009643C5">
        <w:t>.  Otherwise</w:t>
      </w:r>
      <w:r w:rsidR="006F7016">
        <w:t xml:space="preserve">, </w:t>
      </w:r>
      <w:r w:rsidR="00085E1D">
        <w:t>the CAISO</w:t>
      </w:r>
      <w:r w:rsidR="00643346">
        <w:t xml:space="preserve"> </w:t>
      </w:r>
      <w:r>
        <w:t xml:space="preserve">proceeds to administer </w:t>
      </w:r>
      <w:r w:rsidR="00A721C7">
        <w:t>Sanction</w:t>
      </w:r>
      <w:r>
        <w:t xml:space="preserve">s as described in Section </w:t>
      </w:r>
      <w:r w:rsidR="009F10B2">
        <w:fldChar w:fldCharType="begin"/>
      </w:r>
      <w:r w:rsidR="009F10B2">
        <w:instrText xml:space="preserve"> REF _Ref140456996 \r \h  \* MERGEFORMAT </w:instrText>
      </w:r>
      <w:r w:rsidR="009F10B2">
        <w:fldChar w:fldCharType="separate"/>
      </w:r>
      <w:r w:rsidR="00E4751E">
        <w:t>3.4</w:t>
      </w:r>
      <w:r w:rsidR="009F10B2">
        <w:fldChar w:fldCharType="end"/>
      </w:r>
      <w:r>
        <w:t xml:space="preserve">.  </w:t>
      </w:r>
    </w:p>
    <w:p w14:paraId="72BFB951" w14:textId="77777777" w:rsidR="003464C7" w:rsidRDefault="003464C7" w:rsidP="00C5104B">
      <w:pPr>
        <w:pStyle w:val="ParaText"/>
        <w:spacing w:after="0" w:line="360" w:lineRule="auto"/>
        <w:jc w:val="left"/>
      </w:pPr>
    </w:p>
    <w:p w14:paraId="4035540F" w14:textId="77777777" w:rsidR="000C3233" w:rsidRPr="00C5104B" w:rsidRDefault="000C3233" w:rsidP="00C5104B">
      <w:pPr>
        <w:pStyle w:val="Heading3"/>
        <w:spacing w:after="0" w:line="360" w:lineRule="auto"/>
        <w:jc w:val="left"/>
        <w:rPr>
          <w:color w:val="2F5496" w:themeColor="accent5" w:themeShade="BF"/>
          <w:sz w:val="30"/>
          <w:szCs w:val="30"/>
        </w:rPr>
      </w:pPr>
      <w:bookmarkStart w:id="76" w:name="_Toc181699718"/>
      <w:bookmarkStart w:id="77" w:name="_Toc188947219"/>
      <w:r w:rsidRPr="00C5104B">
        <w:rPr>
          <w:color w:val="2F5496" w:themeColor="accent5" w:themeShade="BF"/>
          <w:sz w:val="30"/>
          <w:szCs w:val="30"/>
        </w:rPr>
        <w:t>Conducting Investigation</w:t>
      </w:r>
      <w:bookmarkEnd w:id="76"/>
      <w:bookmarkEnd w:id="77"/>
    </w:p>
    <w:p w14:paraId="58E69233" w14:textId="27D720B7" w:rsidR="000C3233" w:rsidRDefault="000C3233" w:rsidP="00C5104B">
      <w:pPr>
        <w:pStyle w:val="ParaText"/>
        <w:spacing w:after="0" w:line="360" w:lineRule="auto"/>
        <w:jc w:val="left"/>
      </w:pPr>
      <w:r>
        <w:t>CAISO Tariff 37.8.3, Investigation</w:t>
      </w:r>
    </w:p>
    <w:p w14:paraId="030ED2EB" w14:textId="77777777" w:rsidR="00C5104B" w:rsidRDefault="00C5104B" w:rsidP="00C5104B">
      <w:pPr>
        <w:pStyle w:val="ParaText"/>
        <w:spacing w:after="0" w:line="360" w:lineRule="auto"/>
        <w:jc w:val="left"/>
      </w:pPr>
    </w:p>
    <w:p w14:paraId="208384B2" w14:textId="054174B5" w:rsidR="000C3233" w:rsidRDefault="000C3233" w:rsidP="00C5104B">
      <w:pPr>
        <w:pStyle w:val="ParaText"/>
        <w:spacing w:after="0" w:line="360" w:lineRule="auto"/>
        <w:jc w:val="left"/>
      </w:pPr>
      <w:r>
        <w:t xml:space="preserve">When investigating potential Rules of Conduct violations, </w:t>
      </w:r>
      <w:r w:rsidR="00085E1D">
        <w:t xml:space="preserve">the </w:t>
      </w:r>
      <w:r w:rsidR="00643346">
        <w:t xml:space="preserve">CAISO </w:t>
      </w:r>
      <w:r>
        <w:t>seeks available facts, data, and other relevant information.  This typically includes a review of the available data relevant to the matter including logs and electronic forms of available information – such as market data, discussions with relevant internal CAISO personnel and applicable Market Participant</w:t>
      </w:r>
      <w:r w:rsidR="003707E5">
        <w:t>s</w:t>
      </w:r>
      <w:r>
        <w:t xml:space="preserve">, and reviews of pertinent tariff provisions.  </w:t>
      </w:r>
      <w:r w:rsidR="00085E1D">
        <w:t xml:space="preserve">The </w:t>
      </w:r>
      <w:r w:rsidR="00643346">
        <w:t>CAISO</w:t>
      </w:r>
      <w:r>
        <w:t xml:space="preserve"> notifies applicable Market Participant</w:t>
      </w:r>
      <w:r w:rsidR="003707E5">
        <w:t>s</w:t>
      </w:r>
      <w:r>
        <w:t xml:space="preserve"> and provides an opportunity for Market Participant</w:t>
      </w:r>
      <w:r w:rsidR="003707E5">
        <w:t>s</w:t>
      </w:r>
      <w:r>
        <w:t xml:space="preserve"> to provide any relevant information, such as information</w:t>
      </w:r>
      <w:r w:rsidR="00E93CA0">
        <w:t xml:space="preserve"> that</w:t>
      </w:r>
      <w:r>
        <w:t xml:space="preserve"> demonstrate</w:t>
      </w:r>
      <w:r w:rsidR="00D60B99">
        <w:t>s</w:t>
      </w:r>
      <w:r>
        <w:t xml:space="preserve"> that no violation occurred.  In addition, </w:t>
      </w:r>
      <w:r w:rsidR="00085E1D">
        <w:t xml:space="preserve">the </w:t>
      </w:r>
      <w:r w:rsidR="00643346">
        <w:t>CAISO</w:t>
      </w:r>
      <w:r>
        <w:t xml:space="preserve"> may require Market Participants to provide specific requested information to be used in its investigation, as described in Section </w:t>
      </w:r>
      <w:r w:rsidR="009F10B2">
        <w:fldChar w:fldCharType="begin"/>
      </w:r>
      <w:r w:rsidR="009F10B2">
        <w:instrText xml:space="preserve"> REF _Ref140457128 \r \h  \* MERGEFORMAT </w:instrText>
      </w:r>
      <w:r w:rsidR="009F10B2">
        <w:fldChar w:fldCharType="separate"/>
      </w:r>
      <w:r w:rsidR="00E4751E">
        <w:t>3.3.3</w:t>
      </w:r>
      <w:r w:rsidR="009F10B2">
        <w:fldChar w:fldCharType="end"/>
      </w:r>
      <w:r>
        <w:t xml:space="preserve">, below.  </w:t>
      </w:r>
      <w:r w:rsidR="00085E1D">
        <w:t xml:space="preserve">The </w:t>
      </w:r>
      <w:r w:rsidR="00643346">
        <w:t xml:space="preserve">CAISO </w:t>
      </w:r>
      <w:r>
        <w:t xml:space="preserve">maintains a record of the investigation including relevant information. </w:t>
      </w:r>
    </w:p>
    <w:p w14:paraId="70867628" w14:textId="77777777" w:rsidR="003464C7" w:rsidRDefault="003464C7" w:rsidP="00C5104B">
      <w:pPr>
        <w:pStyle w:val="ParaText"/>
        <w:spacing w:after="0" w:line="360" w:lineRule="auto"/>
        <w:jc w:val="left"/>
      </w:pPr>
    </w:p>
    <w:p w14:paraId="716FC009" w14:textId="6822E212" w:rsidR="000C3233" w:rsidRPr="00C5104B" w:rsidRDefault="000C3233" w:rsidP="00C5104B">
      <w:pPr>
        <w:pStyle w:val="Heading3"/>
        <w:spacing w:after="0" w:line="360" w:lineRule="auto"/>
        <w:jc w:val="left"/>
        <w:rPr>
          <w:color w:val="2F5496" w:themeColor="accent5" w:themeShade="BF"/>
          <w:sz w:val="30"/>
          <w:szCs w:val="30"/>
        </w:rPr>
      </w:pPr>
      <w:bookmarkStart w:id="78" w:name="_Ref141584437"/>
      <w:bookmarkStart w:id="79" w:name="_Toc181699719"/>
      <w:bookmarkStart w:id="80" w:name="_Toc188947220"/>
      <w:r w:rsidRPr="00C5104B">
        <w:rPr>
          <w:color w:val="2F5496" w:themeColor="accent5" w:themeShade="BF"/>
          <w:sz w:val="30"/>
          <w:szCs w:val="30"/>
        </w:rPr>
        <w:lastRenderedPageBreak/>
        <w:t xml:space="preserve">Notice of </w:t>
      </w:r>
      <w:bookmarkEnd w:id="78"/>
      <w:r w:rsidR="00731314" w:rsidRPr="00C5104B">
        <w:rPr>
          <w:color w:val="2F5496" w:themeColor="accent5" w:themeShade="BF"/>
          <w:sz w:val="30"/>
          <w:szCs w:val="30"/>
        </w:rPr>
        <w:t>Review</w:t>
      </w:r>
      <w:bookmarkEnd w:id="79"/>
      <w:bookmarkEnd w:id="80"/>
    </w:p>
    <w:p w14:paraId="6726FB80" w14:textId="201EA9DA" w:rsidR="000C3233" w:rsidRDefault="000C3233" w:rsidP="00C5104B">
      <w:pPr>
        <w:pStyle w:val="ParaText"/>
        <w:spacing w:after="0" w:line="360" w:lineRule="auto"/>
        <w:jc w:val="left"/>
      </w:pPr>
      <w:r>
        <w:t>CAISO Tariff 37.8.4, Notice</w:t>
      </w:r>
      <w:r w:rsidR="00731314">
        <w:t xml:space="preserve"> of Review</w:t>
      </w:r>
    </w:p>
    <w:p w14:paraId="5366D55A" w14:textId="77777777" w:rsidR="00C5104B" w:rsidRDefault="00C5104B" w:rsidP="00C5104B">
      <w:pPr>
        <w:pStyle w:val="ParaText"/>
        <w:spacing w:after="0" w:line="360" w:lineRule="auto"/>
        <w:jc w:val="left"/>
      </w:pPr>
    </w:p>
    <w:p w14:paraId="7E1B9616" w14:textId="3F6C18C8" w:rsidR="000C3233" w:rsidRDefault="00085E1D" w:rsidP="00CD6CB2">
      <w:pPr>
        <w:pStyle w:val="Bullet1HRt"/>
        <w:numPr>
          <w:ilvl w:val="0"/>
          <w:numId w:val="0"/>
        </w:numPr>
        <w:spacing w:after="0" w:line="360" w:lineRule="auto"/>
        <w:jc w:val="left"/>
      </w:pPr>
      <w:r>
        <w:rPr>
          <w:rFonts w:cs="Arial"/>
        </w:rPr>
        <w:t>The CAISO</w:t>
      </w:r>
      <w:r w:rsidR="000C3233">
        <w:rPr>
          <w:rFonts w:cs="Arial"/>
        </w:rPr>
        <w:t xml:space="preserve"> makes </w:t>
      </w:r>
      <w:r w:rsidR="00731314">
        <w:rPr>
          <w:rFonts w:cs="Arial"/>
        </w:rPr>
        <w:t>a</w:t>
      </w:r>
      <w:r w:rsidR="000C3233">
        <w:rPr>
          <w:rFonts w:cs="Arial"/>
        </w:rPr>
        <w:t xml:space="preserve"> notification </w:t>
      </w:r>
      <w:r w:rsidR="00731314">
        <w:rPr>
          <w:rFonts w:cs="Arial"/>
        </w:rPr>
        <w:t xml:space="preserve">to Market Participants </w:t>
      </w:r>
      <w:r w:rsidR="000C3233">
        <w:t xml:space="preserve">when it initiates an investigation.  This </w:t>
      </w:r>
      <w:r w:rsidR="009643C5">
        <w:t xml:space="preserve">notice of review </w:t>
      </w:r>
      <w:r w:rsidR="000C3233">
        <w:t xml:space="preserve">states that </w:t>
      </w:r>
      <w:r>
        <w:t xml:space="preserve">the </w:t>
      </w:r>
      <w:r w:rsidR="00643346">
        <w:t>CAISO</w:t>
      </w:r>
      <w:r w:rsidR="000C3233">
        <w:t xml:space="preserve"> is undertaking an investigation of a potential Rules of Conduct violation, describes the allegation in sufficient detail to allow for a response by a Market Participant that is the subject of an investigation, and that </w:t>
      </w:r>
      <w:r>
        <w:t>the CAISO</w:t>
      </w:r>
      <w:r w:rsidR="000C3233">
        <w:t xml:space="preserve"> will consider any relevant information provided by the Market Participant</w:t>
      </w:r>
      <w:r w:rsidR="005D1481">
        <w:t xml:space="preserve"> </w:t>
      </w:r>
      <w:r w:rsidR="00731314">
        <w:t>within</w:t>
      </w:r>
      <w:r w:rsidR="00D51EC5">
        <w:t xml:space="preserve"> 30 </w:t>
      </w:r>
      <w:r w:rsidR="002C5853">
        <w:t xml:space="preserve">calendar </w:t>
      </w:r>
      <w:r w:rsidR="00D51EC5">
        <w:t>days.</w:t>
      </w:r>
    </w:p>
    <w:p w14:paraId="6D785AAF" w14:textId="77777777" w:rsidR="00C5104B" w:rsidRDefault="00C5104B" w:rsidP="00C5104B">
      <w:pPr>
        <w:pStyle w:val="Bullet1HRt"/>
        <w:numPr>
          <w:ilvl w:val="0"/>
          <w:numId w:val="0"/>
        </w:numPr>
        <w:spacing w:after="0" w:line="360" w:lineRule="auto"/>
        <w:jc w:val="left"/>
      </w:pPr>
    </w:p>
    <w:p w14:paraId="232DDA43" w14:textId="380BF2C1" w:rsidR="000C3233" w:rsidRDefault="00085E1D" w:rsidP="00C5104B">
      <w:pPr>
        <w:pStyle w:val="Bullet1HRt"/>
        <w:numPr>
          <w:ilvl w:val="0"/>
          <w:numId w:val="0"/>
        </w:numPr>
        <w:spacing w:after="0" w:line="360" w:lineRule="auto"/>
        <w:jc w:val="left"/>
      </w:pPr>
      <w:r>
        <w:t>The CAISO</w:t>
      </w:r>
      <w:r w:rsidR="00643346">
        <w:t xml:space="preserve"> </w:t>
      </w:r>
      <w:r w:rsidR="000C3233">
        <w:t>generally makes th</w:t>
      </w:r>
      <w:r w:rsidR="00731314">
        <w:t>is</w:t>
      </w:r>
      <w:r w:rsidR="000C3233">
        <w:t xml:space="preserve"> notification to the applicable Scheduling Coordinator.  </w:t>
      </w:r>
      <w:r>
        <w:t xml:space="preserve">The </w:t>
      </w:r>
      <w:r w:rsidR="000C3233">
        <w:t>CAISO also notifies any Market Participant</w:t>
      </w:r>
      <w:r w:rsidR="003F4F53">
        <w:t>s</w:t>
      </w:r>
      <w:r w:rsidR="000C3233">
        <w:t xml:space="preserve"> that may be the subject of an investigation</w:t>
      </w:r>
      <w:r w:rsidR="003E4CD1">
        <w:t xml:space="preserve"> if: (1)</w:t>
      </w:r>
      <w:r w:rsidR="000C3233">
        <w:t xml:space="preserve"> </w:t>
      </w:r>
      <w:r w:rsidR="003E4CD1">
        <w:t xml:space="preserve">the Market Participant is </w:t>
      </w:r>
      <w:r w:rsidR="000C3233">
        <w:t xml:space="preserve">a separate entity from </w:t>
      </w:r>
      <w:r w:rsidR="003E4CD1">
        <w:t>the</w:t>
      </w:r>
      <w:r w:rsidR="000C3233">
        <w:t xml:space="preserve"> S</w:t>
      </w:r>
      <w:r w:rsidR="00D921BB">
        <w:t xml:space="preserve">cheduling </w:t>
      </w:r>
      <w:r w:rsidR="000C3233">
        <w:t>C</w:t>
      </w:r>
      <w:r w:rsidR="00D921BB">
        <w:t>oordinator</w:t>
      </w:r>
      <w:r w:rsidR="000C3233">
        <w:t xml:space="preserve"> that represents it with </w:t>
      </w:r>
      <w:r>
        <w:t xml:space="preserve">the </w:t>
      </w:r>
      <w:r w:rsidR="000C3233">
        <w:t>CAISO</w:t>
      </w:r>
      <w:r w:rsidR="003E4CD1">
        <w:t xml:space="preserve">; (2) </w:t>
      </w:r>
      <w:r>
        <w:t>the CAISO</w:t>
      </w:r>
      <w:r w:rsidR="000C3233">
        <w:t xml:space="preserve"> is able to identify the separate role of</w:t>
      </w:r>
      <w:r w:rsidR="003E4CD1">
        <w:t xml:space="preserve"> the</w:t>
      </w:r>
      <w:r w:rsidR="000C3233">
        <w:t xml:space="preserve"> Market Participant in the potential Rules of Conduct violation</w:t>
      </w:r>
      <w:r w:rsidR="003E4CD1">
        <w:t>; and (3)</w:t>
      </w:r>
      <w:r w:rsidR="000C3233">
        <w:t xml:space="preserve"> </w:t>
      </w:r>
      <w:r>
        <w:t xml:space="preserve">the </w:t>
      </w:r>
      <w:r w:rsidR="000C3233">
        <w:t>CAISO has access to the identity of</w:t>
      </w:r>
      <w:r w:rsidR="003E4CD1">
        <w:t>,</w:t>
      </w:r>
      <w:r w:rsidR="000C3233">
        <w:t xml:space="preserve"> and contact information for</w:t>
      </w:r>
      <w:r w:rsidR="003E4CD1">
        <w:t>,</w:t>
      </w:r>
      <w:r w:rsidR="000C3233">
        <w:t xml:space="preserve"> </w:t>
      </w:r>
      <w:r w:rsidR="003F4F53">
        <w:t>a</w:t>
      </w:r>
      <w:r w:rsidR="000C3233">
        <w:t xml:space="preserve"> Market Participant.</w:t>
      </w:r>
      <w:r w:rsidR="003E4CD1">
        <w:t xml:space="preserve">  </w:t>
      </w:r>
      <w:r w:rsidR="000C3233">
        <w:t xml:space="preserve">Market Participants </w:t>
      </w:r>
      <w:r w:rsidR="003E4CD1">
        <w:t xml:space="preserve">meeting these requirements </w:t>
      </w:r>
      <w:r w:rsidR="000C3233">
        <w:t xml:space="preserve">likely have an existing contractual relationship with </w:t>
      </w:r>
      <w:r>
        <w:t xml:space="preserve">the </w:t>
      </w:r>
      <w:r w:rsidR="000C3233">
        <w:t>CAISO as described in CAISO Tariff Section 37.8.4.</w:t>
      </w:r>
    </w:p>
    <w:p w14:paraId="551DF10B" w14:textId="77777777" w:rsidR="00C5104B" w:rsidRDefault="00C5104B" w:rsidP="00C5104B">
      <w:pPr>
        <w:pStyle w:val="Bullet1HRt"/>
        <w:numPr>
          <w:ilvl w:val="0"/>
          <w:numId w:val="0"/>
        </w:numPr>
        <w:spacing w:after="0" w:line="360" w:lineRule="auto"/>
        <w:jc w:val="left"/>
      </w:pPr>
    </w:p>
    <w:p w14:paraId="311B0A1E" w14:textId="0195382B" w:rsidR="000C3233" w:rsidRDefault="00085E1D" w:rsidP="00C5104B">
      <w:pPr>
        <w:pStyle w:val="ParaText"/>
        <w:spacing w:after="0" w:line="360" w:lineRule="auto"/>
        <w:jc w:val="left"/>
      </w:pPr>
      <w:r>
        <w:t>The CAISO</w:t>
      </w:r>
      <w:r w:rsidR="000C3233">
        <w:t xml:space="preserve"> makes </w:t>
      </w:r>
      <w:r w:rsidR="008867A6">
        <w:t xml:space="preserve">this </w:t>
      </w:r>
      <w:r w:rsidR="006345C0">
        <w:t>notification through email</w:t>
      </w:r>
      <w:r w:rsidR="000C3233">
        <w:t xml:space="preserve"> </w:t>
      </w:r>
      <w:r w:rsidR="004A57AC">
        <w:t>to the Scheduling Coordinator</w:t>
      </w:r>
      <w:r w:rsidR="00FB3EFF">
        <w:t>’</w:t>
      </w:r>
      <w:r w:rsidR="004A57AC">
        <w:t xml:space="preserve">s appropriate business contact, if known, and </w:t>
      </w:r>
      <w:r w:rsidR="00253400">
        <w:t>otherwise</w:t>
      </w:r>
      <w:r w:rsidR="004A57AC">
        <w:t xml:space="preserve"> </w:t>
      </w:r>
      <w:r w:rsidR="000C3233">
        <w:t xml:space="preserve">to the primary </w:t>
      </w:r>
      <w:r w:rsidR="00253400">
        <w:t xml:space="preserve">contact </w:t>
      </w:r>
      <w:r w:rsidR="000C3233">
        <w:t xml:space="preserve">representative of the Scheduling Coordinator or separate Market Participant as listed in the relevant contract agreements with </w:t>
      </w:r>
      <w:r>
        <w:t xml:space="preserve">the </w:t>
      </w:r>
      <w:r w:rsidR="000C3233">
        <w:t xml:space="preserve">CAISO. </w:t>
      </w:r>
      <w:r w:rsidR="004A57AC">
        <w:t xml:space="preserve"> Scheduling Coordinators may make a written request t</w:t>
      </w:r>
      <w:r w:rsidR="009460C2">
        <w:t>hat</w:t>
      </w:r>
      <w:r w:rsidR="004A57AC">
        <w:t xml:space="preserve"> </w:t>
      </w:r>
      <w:r>
        <w:t>the CAISO</w:t>
      </w:r>
      <w:r w:rsidR="004A57AC">
        <w:t xml:space="preserve"> </w:t>
      </w:r>
      <w:r w:rsidR="009460C2">
        <w:t>use</w:t>
      </w:r>
      <w:r w:rsidR="004A57AC">
        <w:t xml:space="preserve"> a different contact</w:t>
      </w:r>
      <w:r w:rsidR="009460C2">
        <w:t>,</w:t>
      </w:r>
      <w:r w:rsidR="004A57AC">
        <w:t xml:space="preserve"> </w:t>
      </w:r>
      <w:r w:rsidR="009460C2">
        <w:t xml:space="preserve">for matters under </w:t>
      </w:r>
      <w:r w:rsidR="00120821">
        <w:t>CAISO Tariff Section 37</w:t>
      </w:r>
      <w:r w:rsidR="009460C2">
        <w:t xml:space="preserve">, </w:t>
      </w:r>
      <w:r w:rsidR="004A57AC">
        <w:t xml:space="preserve">than </w:t>
      </w:r>
      <w:r w:rsidR="009460C2">
        <w:t xml:space="preserve">the person who is </w:t>
      </w:r>
      <w:r w:rsidR="004A57AC">
        <w:t xml:space="preserve">listed on the contract agreements with </w:t>
      </w:r>
      <w:r>
        <w:t xml:space="preserve">the </w:t>
      </w:r>
      <w:r w:rsidR="004A57AC">
        <w:t>CAISO.</w:t>
      </w:r>
    </w:p>
    <w:p w14:paraId="755FE934" w14:textId="50CCDB75" w:rsidR="00C5104B" w:rsidRDefault="00C5104B">
      <w:pPr>
        <w:spacing w:after="0"/>
        <w:jc w:val="left"/>
      </w:pPr>
      <w:r>
        <w:br w:type="page"/>
      </w:r>
    </w:p>
    <w:p w14:paraId="5E0BE6DA" w14:textId="77777777" w:rsidR="003464C7" w:rsidRDefault="003464C7" w:rsidP="00C5104B">
      <w:pPr>
        <w:pStyle w:val="ParaText"/>
        <w:spacing w:after="0" w:line="360" w:lineRule="auto"/>
        <w:jc w:val="left"/>
      </w:pPr>
    </w:p>
    <w:p w14:paraId="7B825497" w14:textId="77777777" w:rsidR="000C3233" w:rsidRPr="00C5104B" w:rsidRDefault="000C3233" w:rsidP="00C5104B">
      <w:pPr>
        <w:pStyle w:val="Heading3"/>
        <w:spacing w:after="0" w:line="360" w:lineRule="auto"/>
        <w:jc w:val="left"/>
        <w:rPr>
          <w:color w:val="2F5496" w:themeColor="accent5" w:themeShade="BF"/>
          <w:sz w:val="30"/>
          <w:szCs w:val="30"/>
        </w:rPr>
      </w:pPr>
      <w:bookmarkStart w:id="81" w:name="_Toc181699720"/>
      <w:bookmarkStart w:id="82" w:name="_Toc188947221"/>
      <w:bookmarkStart w:id="83" w:name="_Ref140457128"/>
      <w:r w:rsidRPr="00C5104B">
        <w:rPr>
          <w:color w:val="2F5496" w:themeColor="accent5" w:themeShade="BF"/>
          <w:sz w:val="30"/>
          <w:szCs w:val="30"/>
        </w:rPr>
        <w:t>Information Requests</w:t>
      </w:r>
      <w:bookmarkEnd w:id="81"/>
      <w:bookmarkEnd w:id="82"/>
    </w:p>
    <w:p w14:paraId="51F429DA" w14:textId="77777777" w:rsidR="000C3233" w:rsidRDefault="000C3233" w:rsidP="00C5104B">
      <w:pPr>
        <w:pStyle w:val="ParaText"/>
        <w:spacing w:after="0" w:line="360" w:lineRule="auto"/>
        <w:jc w:val="left"/>
      </w:pPr>
      <w:r>
        <w:t>CAISO Tariff 37.6.2, Investigation Information</w:t>
      </w:r>
    </w:p>
    <w:p w14:paraId="1EF679EC" w14:textId="22531C5A" w:rsidR="000C3233" w:rsidRDefault="000C3233" w:rsidP="00C5104B">
      <w:pPr>
        <w:pStyle w:val="ParaText"/>
        <w:spacing w:after="0" w:line="360" w:lineRule="auto"/>
        <w:jc w:val="left"/>
      </w:pPr>
      <w:r>
        <w:t>CAISO Tariff 37.6.4, Review by FERC</w:t>
      </w:r>
    </w:p>
    <w:p w14:paraId="69735BB8" w14:textId="77777777" w:rsidR="00C5104B" w:rsidRDefault="00C5104B" w:rsidP="00C5104B">
      <w:pPr>
        <w:pStyle w:val="ParaText"/>
        <w:spacing w:after="0" w:line="360" w:lineRule="auto"/>
        <w:jc w:val="left"/>
      </w:pPr>
    </w:p>
    <w:p w14:paraId="70B01186" w14:textId="319BB36F" w:rsidR="000C3233" w:rsidRDefault="00085E1D" w:rsidP="00C5104B">
      <w:pPr>
        <w:pStyle w:val="ParaText"/>
        <w:spacing w:after="0" w:line="360" w:lineRule="auto"/>
        <w:jc w:val="left"/>
      </w:pPr>
      <w:r>
        <w:t xml:space="preserve">The </w:t>
      </w:r>
      <w:r w:rsidR="00FE4E5B">
        <w:t>CAISO</w:t>
      </w:r>
      <w:r w:rsidR="00FE4E5B" w:rsidRPr="00FE4E5B">
        <w:t xml:space="preserve"> </w:t>
      </w:r>
      <w:r w:rsidR="000C3233" w:rsidRPr="00FE4E5B">
        <w:t>may</w:t>
      </w:r>
      <w:r w:rsidR="000C3233">
        <w:t xml:space="preserve"> request specific information that it requires as part of its investigation from Market Participant</w:t>
      </w:r>
      <w:r w:rsidR="003F4F53">
        <w:t>s</w:t>
      </w:r>
      <w:r w:rsidR="000C3233">
        <w:t xml:space="preserve">.  CAISO Tariff Section 37.6.2 specifies that Market Participants are subject to financial penalty if they do not provide such requested information within the timeline specified by </w:t>
      </w:r>
      <w:r>
        <w:t xml:space="preserve">the </w:t>
      </w:r>
      <w:r w:rsidR="00FE4E5B" w:rsidRPr="00FE4E5B">
        <w:t>CAISO</w:t>
      </w:r>
      <w:r w:rsidR="00F26E38">
        <w:t>.</w:t>
      </w:r>
      <w:r w:rsidR="000C3233">
        <w:t xml:space="preserve">  Market Participants that object to providing this information may – no later than the due date for the information – seek FERC’s immediate review of the obligation, pursuant to CAISO Tariff Section 37.6.4.  The obligation to respond to </w:t>
      </w:r>
      <w:r>
        <w:t xml:space="preserve">the </w:t>
      </w:r>
      <w:r w:rsidR="000725A6">
        <w:t>CAISO</w:t>
      </w:r>
      <w:r w:rsidR="000C3233">
        <w:t xml:space="preserve"> is tolled pending a decision from FERC.</w:t>
      </w:r>
    </w:p>
    <w:p w14:paraId="3D3F6B1D" w14:textId="77777777" w:rsidR="00253400" w:rsidRDefault="00253400" w:rsidP="00C5104B">
      <w:pPr>
        <w:pStyle w:val="ParaText"/>
        <w:spacing w:after="0" w:line="360" w:lineRule="auto"/>
        <w:jc w:val="left"/>
      </w:pPr>
    </w:p>
    <w:p w14:paraId="2D9D23C3" w14:textId="77777777" w:rsidR="000C3233" w:rsidRPr="00C5104B" w:rsidRDefault="000C3233" w:rsidP="00C5104B">
      <w:pPr>
        <w:pStyle w:val="Heading3"/>
        <w:spacing w:after="0" w:line="360" w:lineRule="auto"/>
        <w:jc w:val="left"/>
        <w:rPr>
          <w:color w:val="2F5496" w:themeColor="accent5" w:themeShade="BF"/>
          <w:sz w:val="30"/>
          <w:szCs w:val="30"/>
        </w:rPr>
      </w:pPr>
      <w:bookmarkStart w:id="84" w:name="_Toc181699721"/>
      <w:bookmarkStart w:id="85" w:name="_Toc188947222"/>
      <w:r w:rsidRPr="00C5104B">
        <w:rPr>
          <w:color w:val="2F5496" w:themeColor="accent5" w:themeShade="BF"/>
          <w:sz w:val="30"/>
          <w:szCs w:val="30"/>
        </w:rPr>
        <w:t>Time Limitation</w:t>
      </w:r>
      <w:bookmarkEnd w:id="83"/>
      <w:bookmarkEnd w:id="84"/>
      <w:bookmarkEnd w:id="85"/>
    </w:p>
    <w:p w14:paraId="0071C0D7" w14:textId="0090DE3A" w:rsidR="000C3233" w:rsidRDefault="000C3233" w:rsidP="00C5104B">
      <w:pPr>
        <w:pStyle w:val="ParaText"/>
        <w:spacing w:after="0" w:line="360" w:lineRule="auto"/>
        <w:jc w:val="left"/>
      </w:pPr>
      <w:r>
        <w:t>CAISO Tariff 37.10.1, Time Limitation</w:t>
      </w:r>
    </w:p>
    <w:p w14:paraId="50AA12F0" w14:textId="77777777" w:rsidR="00C5104B" w:rsidRDefault="00C5104B" w:rsidP="00C5104B">
      <w:pPr>
        <w:pStyle w:val="ParaText"/>
        <w:spacing w:after="0" w:line="360" w:lineRule="auto"/>
        <w:jc w:val="left"/>
      </w:pPr>
    </w:p>
    <w:p w14:paraId="26FFB925" w14:textId="730D83D2" w:rsidR="000C3233" w:rsidRDefault="00253400" w:rsidP="00C5104B">
      <w:pPr>
        <w:pStyle w:val="ParaText"/>
        <w:spacing w:after="0" w:line="360" w:lineRule="auto"/>
        <w:jc w:val="left"/>
      </w:pPr>
      <w:r>
        <w:t>Sanctions may only be assessed if the CAISO issues a notice of review</w:t>
      </w:r>
      <w:r w:rsidR="000C3233">
        <w:t xml:space="preserve"> within 90 </w:t>
      </w:r>
      <w:r w:rsidR="002C5853">
        <w:t xml:space="preserve">calendar </w:t>
      </w:r>
      <w:r w:rsidR="000C3233">
        <w:t xml:space="preserve">days of the CAISO’s discovery of the events subject to investigation.  </w:t>
      </w:r>
      <w:r w:rsidR="00085E1D">
        <w:t xml:space="preserve">The </w:t>
      </w:r>
      <w:r w:rsidR="00FE4E5B">
        <w:t xml:space="preserve">CAISO </w:t>
      </w:r>
      <w:r w:rsidR="000C3233">
        <w:t xml:space="preserve">may assess Sanctions under </w:t>
      </w:r>
      <w:r w:rsidR="00730ECC">
        <w:t xml:space="preserve">CAISO Tariff Section 37 </w:t>
      </w:r>
      <w:r w:rsidR="000C3233">
        <w:t>up to one year after discovery of the events constituting a violation of the Rules of Conduct, but no later than three years after the date of the violation.</w:t>
      </w:r>
      <w:r w:rsidR="009D1A48">
        <w:t xml:space="preserve"> The CAISO’s discovery date for Rules of Conduct violations is recorded as the date that the CAISO business unit responsible for the Rule of Conduct in question became aware of the violation</w:t>
      </w:r>
      <w:r w:rsidR="009643C5">
        <w:t xml:space="preserve">.  That awareness is established </w:t>
      </w:r>
      <w:r w:rsidR="009D1A48">
        <w:t xml:space="preserve">either through </w:t>
      </w:r>
      <w:r w:rsidR="009643C5">
        <w:t xml:space="preserve">business unit review (manual or automated) of market data </w:t>
      </w:r>
      <w:r w:rsidR="009D1A48">
        <w:t xml:space="preserve">or via a self-report. </w:t>
      </w:r>
    </w:p>
    <w:p w14:paraId="2C74731B" w14:textId="4BC0886E" w:rsidR="003464C7" w:rsidRDefault="00C5104B" w:rsidP="00C5104B">
      <w:pPr>
        <w:spacing w:after="0"/>
        <w:jc w:val="left"/>
      </w:pPr>
      <w:r>
        <w:br w:type="page"/>
      </w:r>
    </w:p>
    <w:p w14:paraId="1B332F94" w14:textId="688715A2" w:rsidR="000C3233" w:rsidRPr="00C5104B" w:rsidRDefault="00253400" w:rsidP="00C5104B">
      <w:pPr>
        <w:pStyle w:val="Heading3"/>
        <w:spacing w:after="0" w:line="360" w:lineRule="auto"/>
        <w:jc w:val="left"/>
        <w:rPr>
          <w:color w:val="2F5496" w:themeColor="accent5" w:themeShade="BF"/>
        </w:rPr>
      </w:pPr>
      <w:bookmarkStart w:id="86" w:name="_Toc181699722"/>
      <w:bookmarkStart w:id="87" w:name="_Toc188947223"/>
      <w:r w:rsidRPr="00C5104B">
        <w:rPr>
          <w:color w:val="2F5496" w:themeColor="accent5" w:themeShade="BF"/>
        </w:rPr>
        <w:lastRenderedPageBreak/>
        <w:t>Results of Review</w:t>
      </w:r>
      <w:bookmarkEnd w:id="86"/>
      <w:bookmarkEnd w:id="87"/>
    </w:p>
    <w:p w14:paraId="046EAD4C" w14:textId="138232DB" w:rsidR="00C5104B" w:rsidRDefault="000C3233" w:rsidP="00C5104B">
      <w:pPr>
        <w:pStyle w:val="ParaText"/>
        <w:spacing w:after="0" w:line="360" w:lineRule="auto"/>
        <w:jc w:val="left"/>
      </w:pPr>
      <w:r>
        <w:t>CAISO Tariff 37.8.</w:t>
      </w:r>
      <w:r w:rsidR="008867A6">
        <w:t>5</w:t>
      </w:r>
      <w:r>
        <w:t>, Results of</w:t>
      </w:r>
      <w:r w:rsidR="008867A6">
        <w:t xml:space="preserve"> Review</w:t>
      </w:r>
    </w:p>
    <w:p w14:paraId="15B4EE53" w14:textId="04E5AF30" w:rsidR="000C3233" w:rsidRDefault="000C3233" w:rsidP="00C5104B">
      <w:pPr>
        <w:pStyle w:val="ParaText"/>
        <w:spacing w:after="0" w:line="360" w:lineRule="auto"/>
        <w:jc w:val="left"/>
      </w:pPr>
    </w:p>
    <w:p w14:paraId="61C16A30" w14:textId="1944866B" w:rsidR="000C3233" w:rsidRDefault="000C3233" w:rsidP="00C5104B">
      <w:pPr>
        <w:pStyle w:val="Bullet1HRt"/>
        <w:numPr>
          <w:ilvl w:val="0"/>
          <w:numId w:val="0"/>
        </w:numPr>
        <w:spacing w:after="0" w:line="360" w:lineRule="auto"/>
        <w:jc w:val="left"/>
      </w:pPr>
      <w:r>
        <w:t xml:space="preserve">At the conclusion of its investigations, </w:t>
      </w:r>
      <w:r w:rsidR="00085E1D">
        <w:t>the CAISO</w:t>
      </w:r>
      <w:r w:rsidR="0037544E">
        <w:t xml:space="preserve"> </w:t>
      </w:r>
      <w:r>
        <w:t>determines whether a violation occurred</w:t>
      </w:r>
      <w:r w:rsidR="00F006F5">
        <w:t xml:space="preserve"> or not and notifies the Market Participant in its results of review notice</w:t>
      </w:r>
      <w:r w:rsidR="00126AC5">
        <w:t xml:space="preserve">.  </w:t>
      </w:r>
      <w:r w:rsidR="000F0FEB">
        <w:t xml:space="preserve">If the CAISO determines that no violation occurred, the </w:t>
      </w:r>
      <w:r w:rsidR="00F006F5">
        <w:t>results of review states “no violation”</w:t>
      </w:r>
      <w:r w:rsidR="000F0FEB">
        <w:t xml:space="preserve"> and that the </w:t>
      </w:r>
      <w:r w:rsidR="00F006F5">
        <w:t xml:space="preserve">CAISO considers the </w:t>
      </w:r>
      <w:r w:rsidR="009D1A71">
        <w:t xml:space="preserve">matter </w:t>
      </w:r>
      <w:r w:rsidR="000F0FEB">
        <w:t>closed.</w:t>
      </w:r>
      <w:r w:rsidR="00F006F5">
        <w:t xml:space="preserve">  </w:t>
      </w:r>
      <w:r>
        <w:t xml:space="preserve">If </w:t>
      </w:r>
      <w:r w:rsidR="00F006F5">
        <w:t>a violation did occur</w:t>
      </w:r>
      <w:r>
        <w:t xml:space="preserve">, </w:t>
      </w:r>
      <w:r w:rsidR="00085E1D">
        <w:t xml:space="preserve">the </w:t>
      </w:r>
      <w:r w:rsidR="00F006F5">
        <w:t xml:space="preserve">results of review states </w:t>
      </w:r>
      <w:r w:rsidR="00DB3706">
        <w:t>that the</w:t>
      </w:r>
      <w:r w:rsidR="00F006F5">
        <w:t xml:space="preserve"> investigation f</w:t>
      </w:r>
      <w:r w:rsidR="00DB3706">
        <w:t>ound that a violation did occur</w:t>
      </w:r>
      <w:r w:rsidR="00F006F5">
        <w:t xml:space="preserve"> and </w:t>
      </w:r>
      <w:r w:rsidR="00DB3706">
        <w:t>describes</w:t>
      </w:r>
      <w:r w:rsidR="00F006F5">
        <w:t xml:space="preserve"> any applicable Sanction </w:t>
      </w:r>
      <w:r w:rsidR="009D1A71">
        <w:t xml:space="preserve">required by the CAISO Tariff. </w:t>
      </w:r>
    </w:p>
    <w:p w14:paraId="1FFAC3B7" w14:textId="30EA3CA2" w:rsidR="00B6294D" w:rsidRDefault="00B6294D" w:rsidP="00C5104B">
      <w:pPr>
        <w:pStyle w:val="Bullet1HRt"/>
        <w:numPr>
          <w:ilvl w:val="0"/>
          <w:numId w:val="0"/>
        </w:numPr>
        <w:spacing w:after="0" w:line="360" w:lineRule="auto"/>
        <w:jc w:val="left"/>
      </w:pPr>
    </w:p>
    <w:p w14:paraId="1272312B" w14:textId="77777777" w:rsidR="000C3233" w:rsidRPr="00C5104B" w:rsidRDefault="000C3233" w:rsidP="00C5104B">
      <w:pPr>
        <w:pStyle w:val="Heading2"/>
        <w:tabs>
          <w:tab w:val="clear" w:pos="1080"/>
          <w:tab w:val="num" w:pos="720"/>
        </w:tabs>
        <w:spacing w:after="0" w:line="360" w:lineRule="auto"/>
        <w:jc w:val="left"/>
        <w:rPr>
          <w:color w:val="2F5496" w:themeColor="accent5" w:themeShade="BF"/>
        </w:rPr>
      </w:pPr>
      <w:bookmarkStart w:id="88" w:name="_Ref140456996"/>
      <w:bookmarkStart w:id="89" w:name="_Toc181699723"/>
      <w:bookmarkStart w:id="90" w:name="_Toc188947224"/>
      <w:r w:rsidRPr="00C5104B">
        <w:rPr>
          <w:color w:val="2F5496" w:themeColor="accent5" w:themeShade="BF"/>
        </w:rPr>
        <w:t>Sanction Administration</w:t>
      </w:r>
      <w:bookmarkEnd w:id="88"/>
      <w:bookmarkEnd w:id="89"/>
      <w:bookmarkEnd w:id="90"/>
    </w:p>
    <w:p w14:paraId="4580B450" w14:textId="77777777" w:rsidR="00DB3706" w:rsidRDefault="00DB3706" w:rsidP="00C5104B">
      <w:pPr>
        <w:pStyle w:val="ParaText"/>
        <w:spacing w:after="0" w:line="360" w:lineRule="auto"/>
        <w:jc w:val="left"/>
      </w:pPr>
      <w:r>
        <w:t>CAISO Tariff 37.8.6, Assessment of Sanctions</w:t>
      </w:r>
    </w:p>
    <w:p w14:paraId="479C350A" w14:textId="440F21B8" w:rsidR="00F21D87" w:rsidRDefault="00B6294D" w:rsidP="00C5104B">
      <w:pPr>
        <w:pStyle w:val="ParaText"/>
        <w:spacing w:after="0" w:line="360" w:lineRule="auto"/>
        <w:jc w:val="left"/>
      </w:pPr>
      <w:r>
        <w:t>CAISO Tariff 37.9</w:t>
      </w:r>
      <w:r w:rsidR="00F21D87">
        <w:t>, A</w:t>
      </w:r>
      <w:r>
        <w:t>dministration o</w:t>
      </w:r>
      <w:r w:rsidR="00F21D87">
        <w:t>f Sanctions</w:t>
      </w:r>
    </w:p>
    <w:p w14:paraId="0D38A7A8" w14:textId="77777777" w:rsidR="000D0BA8" w:rsidRDefault="000D0BA8" w:rsidP="00C5104B">
      <w:pPr>
        <w:pStyle w:val="ParaText"/>
        <w:spacing w:after="0" w:line="360" w:lineRule="auto"/>
        <w:jc w:val="left"/>
      </w:pPr>
    </w:p>
    <w:p w14:paraId="41D4F4CB" w14:textId="0B9C36BD" w:rsidR="000C3233" w:rsidRDefault="004D013A" w:rsidP="00C5104B">
      <w:pPr>
        <w:pStyle w:val="ParaText"/>
        <w:spacing w:after="0" w:line="360" w:lineRule="auto"/>
        <w:jc w:val="left"/>
      </w:pPr>
      <w:r>
        <w:t xml:space="preserve">Where </w:t>
      </w:r>
      <w:r w:rsidR="00085E1D">
        <w:t>the CAISO</w:t>
      </w:r>
      <w:r w:rsidR="000C3233">
        <w:t xml:space="preserve"> has determined that a violation occurred</w:t>
      </w:r>
      <w:r w:rsidR="005049E2">
        <w:t xml:space="preserve"> and where that violation requires a Sanction, </w:t>
      </w:r>
      <w:r w:rsidR="00085E1D">
        <w:t>the CAISO</w:t>
      </w:r>
      <w:r w:rsidR="000C3233">
        <w:t xml:space="preserve"> administers </w:t>
      </w:r>
      <w:r w:rsidR="005049E2">
        <w:t>the</w:t>
      </w:r>
      <w:r w:rsidR="000C3233">
        <w:t xml:space="preserve"> Sanction through a process that includes the following steps:</w:t>
      </w:r>
    </w:p>
    <w:p w14:paraId="21BFF61A" w14:textId="02ECAD5B" w:rsidR="000C3233" w:rsidRDefault="000C3233" w:rsidP="00C5104B">
      <w:pPr>
        <w:pStyle w:val="Bullet1HRt"/>
        <w:numPr>
          <w:ilvl w:val="0"/>
          <w:numId w:val="33"/>
        </w:numPr>
        <w:spacing w:after="0" w:line="360" w:lineRule="auto"/>
        <w:ind w:left="720"/>
        <w:jc w:val="left"/>
      </w:pPr>
      <w:r>
        <w:t>Determin</w:t>
      </w:r>
      <w:r w:rsidR="009D1A71">
        <w:t>ation of</w:t>
      </w:r>
      <w:r>
        <w:t xml:space="preserve"> Sanction</w:t>
      </w:r>
      <w:r w:rsidR="009D1A71">
        <w:t>s</w:t>
      </w:r>
      <w:r w:rsidR="005049E2">
        <w:t xml:space="preserve"> (Section 3.4.1)</w:t>
      </w:r>
      <w:r w:rsidR="00722938">
        <w:t>.</w:t>
      </w:r>
    </w:p>
    <w:p w14:paraId="634520F4" w14:textId="211C01F4" w:rsidR="00DB3706" w:rsidRDefault="00DB3706" w:rsidP="00C5104B">
      <w:pPr>
        <w:pStyle w:val="Bullet1HRt"/>
        <w:numPr>
          <w:ilvl w:val="0"/>
          <w:numId w:val="33"/>
        </w:numPr>
        <w:spacing w:after="0" w:line="360" w:lineRule="auto"/>
        <w:ind w:left="720"/>
        <w:jc w:val="left"/>
      </w:pPr>
      <w:r>
        <w:t>Notification of Affected Parties (Section 3.4.2).</w:t>
      </w:r>
    </w:p>
    <w:p w14:paraId="29CFC564" w14:textId="555C7F13" w:rsidR="000C3233" w:rsidRDefault="00961065" w:rsidP="00C5104B">
      <w:pPr>
        <w:pStyle w:val="Bullet1HRt"/>
        <w:numPr>
          <w:ilvl w:val="0"/>
          <w:numId w:val="33"/>
        </w:numPr>
        <w:spacing w:after="0" w:line="360" w:lineRule="auto"/>
        <w:ind w:left="720"/>
      </w:pPr>
      <w:r>
        <w:t xml:space="preserve">Settlement </w:t>
      </w:r>
      <w:r w:rsidR="001424BA">
        <w:t>of Penalties</w:t>
      </w:r>
      <w:r w:rsidR="000C3233">
        <w:t xml:space="preserve"> </w:t>
      </w:r>
      <w:r w:rsidR="00B6294D">
        <w:t>(Section 3.4.3</w:t>
      </w:r>
      <w:r w:rsidR="00350C55">
        <w:t>.1</w:t>
      </w:r>
      <w:r w:rsidR="00B6294D">
        <w:t>)</w:t>
      </w:r>
      <w:r w:rsidR="000C3233">
        <w:t xml:space="preserve">. </w:t>
      </w:r>
    </w:p>
    <w:p w14:paraId="22D44D65" w14:textId="26F3A596" w:rsidR="000C3233" w:rsidRDefault="001424BA" w:rsidP="00C5104B">
      <w:pPr>
        <w:pStyle w:val="Bullet1HRt"/>
        <w:numPr>
          <w:ilvl w:val="0"/>
          <w:numId w:val="33"/>
        </w:numPr>
        <w:spacing w:after="0" w:line="360" w:lineRule="auto"/>
        <w:ind w:left="720"/>
      </w:pPr>
      <w:r>
        <w:t xml:space="preserve">Market Participant Appeals to FERC </w:t>
      </w:r>
      <w:r w:rsidR="00350C55">
        <w:t>(Section 3.4.3.2)</w:t>
      </w:r>
      <w:r w:rsidR="000C3233">
        <w:t>.</w:t>
      </w:r>
    </w:p>
    <w:p w14:paraId="14CD209D" w14:textId="77777777" w:rsidR="00C5104B" w:rsidRDefault="00C5104B" w:rsidP="00C5104B">
      <w:pPr>
        <w:pStyle w:val="Bullet1HRt"/>
        <w:numPr>
          <w:ilvl w:val="0"/>
          <w:numId w:val="0"/>
        </w:numPr>
        <w:spacing w:after="0" w:line="360" w:lineRule="auto"/>
        <w:ind w:left="720"/>
      </w:pPr>
    </w:p>
    <w:p w14:paraId="37C2343D" w14:textId="43FB4268" w:rsidR="00C87DF9" w:rsidRDefault="000C3233" w:rsidP="00C5104B">
      <w:pPr>
        <w:pStyle w:val="ParaText"/>
        <w:spacing w:after="0" w:line="360" w:lineRule="auto"/>
        <w:jc w:val="left"/>
      </w:pPr>
      <w:r>
        <w:t xml:space="preserve">Exhibit 3-4 describes the process </w:t>
      </w:r>
      <w:r w:rsidR="00DC4BBA">
        <w:t xml:space="preserve">the </w:t>
      </w:r>
      <w:r>
        <w:t xml:space="preserve">CAISO uses to administer Sanctions.  </w:t>
      </w:r>
      <w:r w:rsidR="00DC4BBA">
        <w:t>The CAISO</w:t>
      </w:r>
      <w:r w:rsidR="0037544E">
        <w:t xml:space="preserve"> </w:t>
      </w:r>
      <w:r>
        <w:t>first determines the appropriate Sanction in accordance with the CAISO Tariff and notifies the S</w:t>
      </w:r>
      <w:r w:rsidR="00E60FF5">
        <w:t xml:space="preserve">cheduling </w:t>
      </w:r>
      <w:r>
        <w:t>C</w:t>
      </w:r>
      <w:r w:rsidR="00E60FF5">
        <w:t>oordinator</w:t>
      </w:r>
      <w:r>
        <w:t>/M</w:t>
      </w:r>
      <w:r w:rsidR="00E60FF5">
        <w:t xml:space="preserve">arket </w:t>
      </w:r>
      <w:r>
        <w:t>P</w:t>
      </w:r>
      <w:r w:rsidR="00E60FF5">
        <w:t>articipant</w:t>
      </w:r>
      <w:r>
        <w:t xml:space="preserve"> of the Sanction along with its </w:t>
      </w:r>
      <w:r w:rsidR="00B6294D">
        <w:t>results of review</w:t>
      </w:r>
      <w:r>
        <w:t xml:space="preserve">.  </w:t>
      </w:r>
      <w:r w:rsidR="00DF4D30">
        <w:t xml:space="preserve">The Market Participant has the </w:t>
      </w:r>
      <w:r w:rsidR="003B123A">
        <w:t>right</w:t>
      </w:r>
      <w:r w:rsidR="00DF4D30">
        <w:t xml:space="preserve"> to directly appeal </w:t>
      </w:r>
      <w:r w:rsidR="003B123A">
        <w:t xml:space="preserve">Rules of Conduct Sanctions imposed by the CAISO </w:t>
      </w:r>
      <w:r w:rsidR="00C87DF9">
        <w:t>to FERC</w:t>
      </w:r>
      <w:r w:rsidR="003B123A">
        <w:t>.  F</w:t>
      </w:r>
      <w:r>
        <w:t>inancial penalt</w:t>
      </w:r>
      <w:r w:rsidR="003B123A">
        <w:t xml:space="preserve">ies </w:t>
      </w:r>
      <w:r w:rsidR="00C87DF9">
        <w:t xml:space="preserve">which are not appealed to FERC within 30 days of the results of review notice </w:t>
      </w:r>
      <w:r w:rsidR="003B123A">
        <w:t>are</w:t>
      </w:r>
      <w:r>
        <w:t xml:space="preserve"> subsequently invoiced through the CAISO Settlement Process</w:t>
      </w:r>
      <w:r w:rsidR="00DA331D">
        <w:t>, but</w:t>
      </w:r>
      <w:r w:rsidR="003B123A">
        <w:t xml:space="preserve"> no sooner than 30 days from the results of review notice</w:t>
      </w:r>
      <w:r>
        <w:t>.</w:t>
      </w:r>
      <w:r w:rsidR="00C87DF9">
        <w:t xml:space="preserve"> </w:t>
      </w:r>
      <w:r>
        <w:t xml:space="preserve"> </w:t>
      </w:r>
      <w:r w:rsidR="00C87DF9">
        <w:t>Further details of this process are provided in the following sections.</w:t>
      </w:r>
    </w:p>
    <w:p w14:paraId="3BD1F734" w14:textId="327D5D60" w:rsidR="00C5104B" w:rsidRDefault="00C5104B">
      <w:pPr>
        <w:spacing w:after="0"/>
        <w:jc w:val="left"/>
      </w:pPr>
      <w:r>
        <w:br w:type="page"/>
      </w:r>
    </w:p>
    <w:p w14:paraId="12D211B1" w14:textId="5A011C9E" w:rsidR="000C3233" w:rsidRDefault="000C3233" w:rsidP="00CA38E1">
      <w:pPr>
        <w:pStyle w:val="Caption"/>
      </w:pPr>
      <w:bookmarkStart w:id="91" w:name="_Toc141856690"/>
      <w:bookmarkStart w:id="92" w:name="_Toc181699736"/>
      <w:bookmarkStart w:id="93" w:name="_Toc188946937"/>
      <w:r>
        <w:lastRenderedPageBreak/>
        <w:t xml:space="preserve">Exhibit </w:t>
      </w:r>
      <w:r w:rsidR="00AA038D">
        <w:fldChar w:fldCharType="begin"/>
      </w:r>
      <w:r w:rsidR="00AA038D">
        <w:instrText xml:space="preserve"> STYLEREF 1 \s </w:instrText>
      </w:r>
      <w:r w:rsidR="00AA038D">
        <w:fldChar w:fldCharType="separate"/>
      </w:r>
      <w:r w:rsidR="00E4751E">
        <w:rPr>
          <w:noProof/>
        </w:rPr>
        <w:t>3</w:t>
      </w:r>
      <w:r w:rsidR="00AA038D">
        <w:rPr>
          <w:noProof/>
        </w:rPr>
        <w:fldChar w:fldCharType="end"/>
      </w:r>
      <w:r>
        <w:noBreakHyphen/>
      </w:r>
      <w:r w:rsidR="00AA038D">
        <w:fldChar w:fldCharType="begin"/>
      </w:r>
      <w:r w:rsidR="00AA038D">
        <w:instrText xml:space="preserve"> SEQ Exhibit \* ARABIC \s 1 </w:instrText>
      </w:r>
      <w:r w:rsidR="00AA038D">
        <w:fldChar w:fldCharType="separate"/>
      </w:r>
      <w:r w:rsidR="00E4751E">
        <w:rPr>
          <w:noProof/>
        </w:rPr>
        <w:t>4</w:t>
      </w:r>
      <w:r w:rsidR="00AA038D">
        <w:rPr>
          <w:noProof/>
        </w:rPr>
        <w:fldChar w:fldCharType="end"/>
      </w:r>
      <w:r>
        <w:t>: Sanction Administration Process</w:t>
      </w:r>
      <w:bookmarkEnd w:id="91"/>
      <w:bookmarkEnd w:id="92"/>
      <w:bookmarkEnd w:id="93"/>
      <w:r>
        <w:t xml:space="preserve"> </w:t>
      </w:r>
    </w:p>
    <w:p w14:paraId="1FFD6EDF" w14:textId="192F796F" w:rsidR="00616057" w:rsidRDefault="00C5104B" w:rsidP="00C5104B">
      <w:pPr>
        <w:pStyle w:val="ParaText"/>
      </w:pPr>
      <w:r>
        <w:rPr>
          <w:noProof/>
        </w:rPr>
        <w:drawing>
          <wp:inline distT="0" distB="0" distL="0" distR="0" wp14:anchorId="286E1CC8" wp14:editId="4484AF4E">
            <wp:extent cx="5943600" cy="21723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2172335"/>
                    </a:xfrm>
                    <a:prstGeom prst="rect">
                      <a:avLst/>
                    </a:prstGeom>
                  </pic:spPr>
                </pic:pic>
              </a:graphicData>
            </a:graphic>
          </wp:inline>
        </w:drawing>
      </w:r>
    </w:p>
    <w:p w14:paraId="7FD47921" w14:textId="77777777" w:rsidR="000C3233" w:rsidRPr="00C5104B" w:rsidRDefault="000C3233">
      <w:pPr>
        <w:pStyle w:val="Heading3"/>
        <w:jc w:val="left"/>
        <w:rPr>
          <w:color w:val="2F5496" w:themeColor="accent5" w:themeShade="BF"/>
          <w:sz w:val="30"/>
          <w:szCs w:val="30"/>
        </w:rPr>
      </w:pPr>
      <w:bookmarkStart w:id="94" w:name="_Toc179994174"/>
      <w:bookmarkStart w:id="95" w:name="_Toc181699019"/>
      <w:bookmarkStart w:id="96" w:name="_Toc181699724"/>
      <w:bookmarkStart w:id="97" w:name="_Toc188946924"/>
      <w:bookmarkStart w:id="98" w:name="_Toc188947225"/>
      <w:bookmarkStart w:id="99" w:name="_Toc179994175"/>
      <w:bookmarkStart w:id="100" w:name="_Toc181699020"/>
      <w:bookmarkStart w:id="101" w:name="_Toc181699725"/>
      <w:bookmarkStart w:id="102" w:name="_Toc188946925"/>
      <w:bookmarkStart w:id="103" w:name="_Toc188947226"/>
      <w:bookmarkStart w:id="104" w:name="_Toc179994177"/>
      <w:bookmarkStart w:id="105" w:name="_Toc181699022"/>
      <w:bookmarkStart w:id="106" w:name="_Toc181699727"/>
      <w:bookmarkStart w:id="107" w:name="_Toc188946927"/>
      <w:bookmarkStart w:id="108" w:name="_Toc188947228"/>
      <w:bookmarkStart w:id="109" w:name="_Toc181699728"/>
      <w:bookmarkStart w:id="110" w:name="_Toc18894722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C5104B">
        <w:rPr>
          <w:color w:val="2F5496" w:themeColor="accent5" w:themeShade="BF"/>
          <w:sz w:val="30"/>
          <w:szCs w:val="30"/>
        </w:rPr>
        <w:t>Determination of Sanctions</w:t>
      </w:r>
      <w:bookmarkEnd w:id="109"/>
      <w:bookmarkEnd w:id="110"/>
    </w:p>
    <w:p w14:paraId="1537D25D" w14:textId="1B427593" w:rsidR="000C3233" w:rsidRDefault="000C3233" w:rsidP="00C5104B">
      <w:pPr>
        <w:pStyle w:val="ParaText"/>
        <w:spacing w:after="0" w:line="360" w:lineRule="auto"/>
        <w:jc w:val="left"/>
      </w:pPr>
      <w:r>
        <w:t>CAISO Tariff Section 37.9, Administration of Sanctions</w:t>
      </w:r>
    </w:p>
    <w:p w14:paraId="5FA53761" w14:textId="77777777" w:rsidR="00C5104B" w:rsidRDefault="00C5104B" w:rsidP="00C5104B">
      <w:pPr>
        <w:pStyle w:val="ParaText"/>
        <w:spacing w:after="0" w:line="360" w:lineRule="auto"/>
        <w:jc w:val="left"/>
      </w:pPr>
    </w:p>
    <w:p w14:paraId="198DF881" w14:textId="4DB0642C" w:rsidR="000C3233" w:rsidRDefault="00DC4BBA" w:rsidP="00C5104B">
      <w:pPr>
        <w:pStyle w:val="ParaText"/>
        <w:spacing w:after="0" w:line="360" w:lineRule="auto"/>
        <w:jc w:val="left"/>
      </w:pPr>
      <w:r>
        <w:t>The CAISO</w:t>
      </w:r>
      <w:r w:rsidR="0037544E">
        <w:t xml:space="preserve"> </w:t>
      </w:r>
      <w:r w:rsidR="000C3233">
        <w:t>determines the appropriate Sanction for a Rules of Conduct violation pursuant to the criteria specified in CAISO Tariff 37</w:t>
      </w:r>
      <w:r w:rsidR="005A091A">
        <w:t>.</w:t>
      </w:r>
      <w:r w:rsidR="000C3233">
        <w:t xml:space="preserve">  The criteria differ for violations of the different Rules of Conduct.  By way of example, </w:t>
      </w:r>
      <w:r>
        <w:t xml:space="preserve">the Sanction </w:t>
      </w:r>
      <w:r w:rsidR="000C3233">
        <w:t>depend</w:t>
      </w:r>
      <w:r>
        <w:t>s</w:t>
      </w:r>
      <w:r w:rsidR="000C3233">
        <w:t xml:space="preserve"> on variables such as the number of previous violations or the number of days </w:t>
      </w:r>
      <w:r w:rsidR="00E93CA0">
        <w:t xml:space="preserve">that </w:t>
      </w:r>
      <w:r w:rsidR="000C3233">
        <w:t>information is late.  For certain violations, penalties are increased if the violation occurs during a System Emergency, as described below. Sanctions may include a financial penalty or a warning letter.</w:t>
      </w:r>
    </w:p>
    <w:p w14:paraId="02FFC694" w14:textId="77777777" w:rsidR="00C5104B" w:rsidRDefault="00C5104B" w:rsidP="00C5104B">
      <w:pPr>
        <w:pStyle w:val="ParaText"/>
        <w:spacing w:after="0" w:line="360" w:lineRule="auto"/>
        <w:jc w:val="left"/>
      </w:pPr>
    </w:p>
    <w:p w14:paraId="7683219C" w14:textId="7105CCD3" w:rsidR="000C3233" w:rsidRDefault="00173939" w:rsidP="00C5104B">
      <w:pPr>
        <w:pStyle w:val="ParaText"/>
        <w:spacing w:after="0" w:line="360" w:lineRule="auto"/>
        <w:jc w:val="left"/>
      </w:pPr>
      <w:r>
        <w:t>Financial p</w:t>
      </w:r>
      <w:r w:rsidR="00E21070">
        <w:t>enalty</w:t>
      </w:r>
      <w:r w:rsidR="000C3233">
        <w:t xml:space="preserve"> amounts are tripled for violations of CAISO Tariff Section 37.4 (Comply with Availability Reporting Requirements) if the violation occurred during a System Emergency.  </w:t>
      </w:r>
      <w:r w:rsidR="00DC4BBA">
        <w:t>The CAISO</w:t>
      </w:r>
      <w:r w:rsidR="0037544E">
        <w:t xml:space="preserve"> </w:t>
      </w:r>
      <w:r w:rsidR="000C3233">
        <w:t xml:space="preserve">determines that a System Emergency existed </w:t>
      </w:r>
      <w:r w:rsidR="00DC4BBA">
        <w:t xml:space="preserve">when </w:t>
      </w:r>
      <w:r w:rsidR="000C3233">
        <w:t xml:space="preserve">a Rules of Conduct violation occurred within the time period listed as part of a System Emergency or Transmission Emergency notice issued by </w:t>
      </w:r>
      <w:r w:rsidR="00DC4BBA">
        <w:t xml:space="preserve">the </w:t>
      </w:r>
      <w:r w:rsidR="000C3233">
        <w:t xml:space="preserve">CAISO.  </w:t>
      </w:r>
    </w:p>
    <w:p w14:paraId="068FA607" w14:textId="77777777" w:rsidR="00C5104B" w:rsidRDefault="00C5104B" w:rsidP="00C5104B">
      <w:pPr>
        <w:pStyle w:val="ParaText"/>
        <w:spacing w:after="0" w:line="360" w:lineRule="auto"/>
        <w:jc w:val="left"/>
      </w:pPr>
    </w:p>
    <w:p w14:paraId="1FAD5915" w14:textId="53514294" w:rsidR="000C3233" w:rsidRDefault="000C3233" w:rsidP="00C5104B">
      <w:pPr>
        <w:pStyle w:val="ParaText"/>
        <w:spacing w:after="0" w:line="360" w:lineRule="auto"/>
        <w:jc w:val="left"/>
      </w:pPr>
      <w:r>
        <w:t xml:space="preserve">Violations of </w:t>
      </w:r>
      <w:r w:rsidR="0022557F">
        <w:t>37.</w:t>
      </w:r>
      <w:r>
        <w:t xml:space="preserve">5.2, </w:t>
      </w:r>
      <w:r w:rsidR="006D5B6B">
        <w:t>Accurate and Timely SQMD</w:t>
      </w:r>
      <w:r>
        <w:t xml:space="preserve">, may involve a market adjustment, which is a charge separate from any financial penalty amount that approximates the value of </w:t>
      </w:r>
      <w:r w:rsidR="00780C57" w:rsidRPr="00780C57">
        <w:t xml:space="preserve">inaccurate, late, or missing </w:t>
      </w:r>
      <w:r w:rsidR="00CF6798">
        <w:t xml:space="preserve">Meter </w:t>
      </w:r>
      <w:r w:rsidR="00CF6798" w:rsidRPr="00780C57">
        <w:t>Data</w:t>
      </w:r>
      <w:r>
        <w:t xml:space="preserve"> (See CAISO Tariff</w:t>
      </w:r>
      <w:r w:rsidR="00722938">
        <w:t xml:space="preserve"> Sections</w:t>
      </w:r>
      <w:r>
        <w:t xml:space="preserve"> 37.5.2</w:t>
      </w:r>
      <w:r w:rsidR="00780C57">
        <w:t>.2.4</w:t>
      </w:r>
      <w:r w:rsidR="00722938">
        <w:t>)</w:t>
      </w:r>
      <w:r w:rsidR="00D76560">
        <w:t>.</w:t>
      </w:r>
      <w:r w:rsidR="00753D15">
        <w:t xml:space="preserve"> </w:t>
      </w:r>
      <w:r w:rsidR="00CF6798">
        <w:t xml:space="preserve"> Note that not every violation of section 37.5.2 necessarily triggers a market adjustment.</w:t>
      </w:r>
    </w:p>
    <w:p w14:paraId="3AC05800" w14:textId="0D623697" w:rsidR="00C5104B" w:rsidRDefault="00C5104B" w:rsidP="00C5104B">
      <w:pPr>
        <w:spacing w:after="0"/>
        <w:jc w:val="left"/>
      </w:pPr>
      <w:r>
        <w:br w:type="page"/>
      </w:r>
    </w:p>
    <w:p w14:paraId="0BCA089F" w14:textId="79820DCB" w:rsidR="003464C7" w:rsidRDefault="000C3233" w:rsidP="00C5104B">
      <w:pPr>
        <w:pStyle w:val="ParaText"/>
        <w:spacing w:after="0" w:line="360" w:lineRule="auto"/>
        <w:jc w:val="left"/>
      </w:pPr>
      <w:r>
        <w:lastRenderedPageBreak/>
        <w:t xml:space="preserve">When </w:t>
      </w:r>
      <w:r w:rsidR="00D04898">
        <w:t xml:space="preserve">a </w:t>
      </w:r>
      <w:r>
        <w:t xml:space="preserve">separate Market Participant, distinct from the Scheduling Coordinator representing the Market Participant, </w:t>
      </w:r>
      <w:r w:rsidR="00D04898">
        <w:t>is</w:t>
      </w:r>
      <w:r>
        <w:t xml:space="preserve"> </w:t>
      </w:r>
      <w:r w:rsidR="00D04898">
        <w:t>solely responsible for</w:t>
      </w:r>
      <w:r>
        <w:t xml:space="preserve"> a Rules of Conduct violation, the applicable Sanction specified in </w:t>
      </w:r>
      <w:r w:rsidR="00120821">
        <w:t xml:space="preserve">CAISO Tariff Section 37 </w:t>
      </w:r>
      <w:r>
        <w:t>is levied against the responsible Market Participant</w:t>
      </w:r>
      <w:r w:rsidR="006B5D10">
        <w:t xml:space="preserve"> through the Scheduling Coordinator</w:t>
      </w:r>
      <w:r>
        <w:t xml:space="preserve">.  When </w:t>
      </w:r>
      <w:r w:rsidR="006B5D10">
        <w:t xml:space="preserve">the </w:t>
      </w:r>
      <w:r>
        <w:t>CAISO cannot delineate responsibility for a Rules of Conduct violation between a Scheduling Coordinator and a separate Market Participant represented by the Scheduling Coordinator, the applicable Sanction is levied against the Scheduling Coordinator and the Market Participant jointly</w:t>
      </w:r>
      <w:r w:rsidR="006B5D10">
        <w:t xml:space="preserve"> through the Scheduling Coordinator</w:t>
      </w:r>
      <w:r>
        <w:t>.</w:t>
      </w:r>
    </w:p>
    <w:p w14:paraId="0D582B78" w14:textId="77777777" w:rsidR="00C5104B" w:rsidRDefault="00C5104B" w:rsidP="00C5104B">
      <w:pPr>
        <w:pStyle w:val="ParaText"/>
        <w:spacing w:after="0" w:line="360" w:lineRule="auto"/>
        <w:jc w:val="left"/>
      </w:pPr>
    </w:p>
    <w:p w14:paraId="60B96DE3" w14:textId="77777777" w:rsidR="000C3233" w:rsidRPr="00C5104B" w:rsidRDefault="000C3233">
      <w:pPr>
        <w:pStyle w:val="Heading3"/>
        <w:jc w:val="left"/>
        <w:rPr>
          <w:color w:val="2F5496" w:themeColor="accent5" w:themeShade="BF"/>
          <w:sz w:val="30"/>
          <w:szCs w:val="30"/>
        </w:rPr>
      </w:pPr>
      <w:bookmarkStart w:id="111" w:name="_Ref140458443"/>
      <w:bookmarkStart w:id="112" w:name="_Toc181699729"/>
      <w:bookmarkStart w:id="113" w:name="_Toc188947230"/>
      <w:r w:rsidRPr="00C5104B">
        <w:rPr>
          <w:color w:val="2F5496" w:themeColor="accent5" w:themeShade="BF"/>
          <w:sz w:val="30"/>
          <w:szCs w:val="30"/>
        </w:rPr>
        <w:t>Notification of Affected Parties</w:t>
      </w:r>
      <w:bookmarkEnd w:id="111"/>
      <w:bookmarkEnd w:id="112"/>
      <w:bookmarkEnd w:id="113"/>
    </w:p>
    <w:p w14:paraId="1D1C7ABD" w14:textId="25B7A7A6" w:rsidR="000C3233" w:rsidRDefault="000C3233" w:rsidP="00C5104B">
      <w:pPr>
        <w:pStyle w:val="ParaText"/>
        <w:spacing w:after="0" w:line="360" w:lineRule="auto"/>
        <w:jc w:val="left"/>
      </w:pPr>
      <w:r>
        <w:t>CAISO Tariff Section 37.9, Administration of Sanctions</w:t>
      </w:r>
    </w:p>
    <w:p w14:paraId="11A7484D" w14:textId="77777777" w:rsidR="00C5104B" w:rsidRDefault="00C5104B" w:rsidP="00C5104B">
      <w:pPr>
        <w:pStyle w:val="ParaText"/>
        <w:spacing w:after="0" w:line="360" w:lineRule="auto"/>
        <w:jc w:val="left"/>
      </w:pPr>
    </w:p>
    <w:p w14:paraId="689D6C24" w14:textId="03BF8E7B" w:rsidR="000C3233" w:rsidRDefault="003A5A78" w:rsidP="00C5104B">
      <w:pPr>
        <w:pStyle w:val="ParaText"/>
        <w:spacing w:after="0" w:line="360" w:lineRule="auto"/>
        <w:jc w:val="left"/>
      </w:pPr>
      <w:r>
        <w:t>As stated in Section 3.3.5, at the conclusion of its investigation the CAISO determines whether a violation occurred</w:t>
      </w:r>
      <w:r w:rsidR="00B503A9">
        <w:t xml:space="preserve"> and communicates the result</w:t>
      </w:r>
      <w:r>
        <w:t>s of its review including any applicable Sanction</w:t>
      </w:r>
      <w:r w:rsidR="00E029CC">
        <w:t xml:space="preserve"> </w:t>
      </w:r>
      <w:r w:rsidR="00E029CC" w:rsidRPr="005C364F">
        <w:t>to the responsible Scheduling Coordinator and all Market Participants the Scheduling Coordinator represents that are liable for the penalty</w:t>
      </w:r>
      <w:r w:rsidR="00E029CC">
        <w:rPr>
          <w:rStyle w:val="FootnoteReference"/>
        </w:rPr>
        <w:footnoteReference w:id="1"/>
      </w:r>
      <w:r w:rsidR="00E029CC">
        <w:t>.</w:t>
      </w:r>
      <w:r w:rsidR="00E029CC" w:rsidRPr="005C364F">
        <w:t xml:space="preserve">  </w:t>
      </w:r>
      <w:r w:rsidR="000C3233">
        <w:t>If the Sanction is a financial penalty</w:t>
      </w:r>
      <w:r w:rsidR="00E029CC">
        <w:t xml:space="preserve">, </w:t>
      </w:r>
      <w:r w:rsidR="000A715E">
        <w:t xml:space="preserve">the CAISO </w:t>
      </w:r>
      <w:r w:rsidR="000C3233">
        <w:t>also provides the following information</w:t>
      </w:r>
      <w:r w:rsidR="000A715E">
        <w:t>:</w:t>
      </w:r>
    </w:p>
    <w:p w14:paraId="70B1F025" w14:textId="66C9B6E2" w:rsidR="00101ED8" w:rsidRDefault="000C3233" w:rsidP="00CD6CB2">
      <w:pPr>
        <w:pStyle w:val="Bullet1HRt"/>
        <w:numPr>
          <w:ilvl w:val="0"/>
          <w:numId w:val="34"/>
        </w:numPr>
        <w:spacing w:after="0" w:line="360" w:lineRule="auto"/>
        <w:ind w:left="720"/>
        <w:jc w:val="left"/>
      </w:pPr>
      <w:r>
        <w:t>Description of the penalty, including identity of the Market Participant(s) that committed the violation and the amount of the penalty</w:t>
      </w:r>
      <w:r w:rsidR="00015971">
        <w:t>.</w:t>
      </w:r>
    </w:p>
    <w:p w14:paraId="078BF26D" w14:textId="7B51025E" w:rsidR="003464C7" w:rsidRDefault="000C3233" w:rsidP="00C5104B">
      <w:pPr>
        <w:pStyle w:val="Bullet1HRt"/>
        <w:numPr>
          <w:ilvl w:val="0"/>
          <w:numId w:val="34"/>
        </w:numPr>
        <w:spacing w:after="0" w:line="360" w:lineRule="auto"/>
        <w:ind w:left="720"/>
        <w:jc w:val="left"/>
      </w:pPr>
      <w:r>
        <w:t xml:space="preserve">Specification of whether penalty is modified pursuant to </w:t>
      </w:r>
      <w:r w:rsidR="007F70AE">
        <w:t xml:space="preserve">CAISO Tariff Section </w:t>
      </w:r>
      <w:r>
        <w:t>37.4.4</w:t>
      </w:r>
      <w:r w:rsidR="004E222F">
        <w:t>.</w:t>
      </w:r>
    </w:p>
    <w:p w14:paraId="6DD4D12C" w14:textId="77777777" w:rsidR="00C5104B" w:rsidRDefault="00C5104B" w:rsidP="00C5104B">
      <w:pPr>
        <w:pStyle w:val="Bullet1HRt"/>
        <w:numPr>
          <w:ilvl w:val="0"/>
          <w:numId w:val="0"/>
        </w:numPr>
        <w:spacing w:after="0" w:line="360" w:lineRule="auto"/>
        <w:ind w:left="720"/>
        <w:jc w:val="left"/>
      </w:pPr>
    </w:p>
    <w:p w14:paraId="1EDFF7CC" w14:textId="77777777" w:rsidR="000C3233" w:rsidRPr="00C5104B" w:rsidRDefault="000C3233">
      <w:pPr>
        <w:pStyle w:val="Heading3"/>
        <w:jc w:val="left"/>
        <w:rPr>
          <w:color w:val="2F5496" w:themeColor="accent5" w:themeShade="BF"/>
          <w:sz w:val="30"/>
          <w:szCs w:val="30"/>
        </w:rPr>
      </w:pPr>
      <w:bookmarkStart w:id="114" w:name="_Toc181699730"/>
      <w:bookmarkStart w:id="115" w:name="_Toc188947231"/>
      <w:r w:rsidRPr="00C5104B">
        <w:rPr>
          <w:color w:val="2F5496" w:themeColor="accent5" w:themeShade="BF"/>
          <w:sz w:val="30"/>
          <w:szCs w:val="30"/>
        </w:rPr>
        <w:t>Settlement</w:t>
      </w:r>
      <w:bookmarkEnd w:id="114"/>
      <w:bookmarkEnd w:id="115"/>
    </w:p>
    <w:p w14:paraId="1132096E" w14:textId="6379F0C3" w:rsidR="000C3233" w:rsidRDefault="000C3233" w:rsidP="002A0954">
      <w:pPr>
        <w:pStyle w:val="ParaText"/>
        <w:spacing w:after="0" w:line="360" w:lineRule="auto"/>
        <w:jc w:val="left"/>
      </w:pPr>
      <w:r>
        <w:t xml:space="preserve">Penalties for </w:t>
      </w:r>
      <w:r w:rsidR="0022557F">
        <w:t xml:space="preserve">Rules of Conduct </w:t>
      </w:r>
      <w:r>
        <w:t>violations</w:t>
      </w:r>
      <w:r w:rsidR="00173939">
        <w:t xml:space="preserve">, as well as </w:t>
      </w:r>
      <w:r w:rsidR="00346042">
        <w:t xml:space="preserve">market adjustments for </w:t>
      </w:r>
      <w:r w:rsidR="00830208" w:rsidRPr="00830208">
        <w:t xml:space="preserve">inaccurate, late, or missing </w:t>
      </w:r>
      <w:r w:rsidR="00CF6798" w:rsidRPr="00830208">
        <w:t>Meter Data</w:t>
      </w:r>
      <w:r w:rsidR="00EA3B6C">
        <w:t>,</w:t>
      </w:r>
      <w:r>
        <w:t xml:space="preserve"> are invoiced through the CAISO Settlement Process</w:t>
      </w:r>
      <w:r w:rsidR="00D83771">
        <w:t xml:space="preserve"> and will appear on </w:t>
      </w:r>
      <w:r w:rsidR="00101ED8">
        <w:t>a</w:t>
      </w:r>
      <w:r w:rsidR="00D83771">
        <w:t xml:space="preserve"> Settlement Statement</w:t>
      </w:r>
      <w:r w:rsidR="00101ED8">
        <w:t xml:space="preserve"> </w:t>
      </w:r>
      <w:r w:rsidR="00101ED8" w:rsidRPr="00B6294D">
        <w:t xml:space="preserve">no sooner than 30 days after </w:t>
      </w:r>
      <w:r w:rsidR="00101ED8">
        <w:t xml:space="preserve">the CAISO has </w:t>
      </w:r>
      <w:r w:rsidR="00101ED8" w:rsidRPr="00B6294D">
        <w:t>provid</w:t>
      </w:r>
      <w:r w:rsidR="00101ED8">
        <w:t>ed its</w:t>
      </w:r>
      <w:r w:rsidR="00101ED8" w:rsidRPr="00B6294D">
        <w:t xml:space="preserve"> results of review</w:t>
      </w:r>
      <w:r w:rsidR="00D83771">
        <w:t>.</w:t>
      </w:r>
      <w:r>
        <w:t xml:space="preserve">  Market Participants may appeal penalties assessed by </w:t>
      </w:r>
      <w:r w:rsidR="006B5D10">
        <w:t xml:space="preserve">the </w:t>
      </w:r>
      <w:r>
        <w:t xml:space="preserve">CAISO to FERC. </w:t>
      </w:r>
      <w:r w:rsidR="006B5D10">
        <w:t xml:space="preserve"> The </w:t>
      </w:r>
      <w:r>
        <w:t xml:space="preserve">CAISO holds the proceeds of penalties collected in a trust account, allocating them </w:t>
      </w:r>
      <w:r w:rsidR="00B568C3">
        <w:t xml:space="preserve">after the completion of the calendar year during which they were assessed to </w:t>
      </w:r>
      <w:r>
        <w:t xml:space="preserve">Market Participants that have not incurred a penalty </w:t>
      </w:r>
      <w:r w:rsidR="00425CCF">
        <w:t xml:space="preserve">during that calendar year </w:t>
      </w:r>
      <w:r>
        <w:t xml:space="preserve">under </w:t>
      </w:r>
      <w:r w:rsidR="00120821">
        <w:t xml:space="preserve">CAISO Tariff </w:t>
      </w:r>
      <w:r w:rsidR="00B547BA">
        <w:t>Section 37</w:t>
      </w:r>
      <w:r w:rsidR="0022557F">
        <w:t>, in proportion to GMC paid</w:t>
      </w:r>
      <w:r w:rsidR="00B503A9">
        <w:t xml:space="preserve"> per CAISO Tariff Section 37.9.4</w:t>
      </w:r>
      <w:r w:rsidR="00E21070">
        <w:t>.</w:t>
      </w:r>
      <w:r>
        <w:t xml:space="preserve"> </w:t>
      </w:r>
    </w:p>
    <w:p w14:paraId="47A07CE7" w14:textId="1C1A7C90" w:rsidR="000C3233" w:rsidRDefault="000C3233" w:rsidP="005859AB">
      <w:pPr>
        <w:pStyle w:val="ParaText"/>
        <w:spacing w:after="0" w:line="360" w:lineRule="auto"/>
        <w:jc w:val="left"/>
      </w:pPr>
      <w:bookmarkStart w:id="116" w:name="OLE_LINK5"/>
      <w:bookmarkStart w:id="117" w:name="OLE_LINK6"/>
      <w:r>
        <w:lastRenderedPageBreak/>
        <w:t xml:space="preserve">Violations of </w:t>
      </w:r>
      <w:r w:rsidR="007F70AE">
        <w:t xml:space="preserve">CAISO Tariff Section </w:t>
      </w:r>
      <w:r>
        <w:t>37.5.2</w:t>
      </w:r>
      <w:r w:rsidR="00CE003D">
        <w:t>,</w:t>
      </w:r>
      <w:r>
        <w:t xml:space="preserve"> </w:t>
      </w:r>
      <w:r w:rsidR="006D5B6B">
        <w:t>Accurate and Timely SQMD</w:t>
      </w:r>
      <w:r w:rsidR="00CE003D">
        <w:t>,</w:t>
      </w:r>
      <w:r>
        <w:t xml:space="preserve"> may include a market adjustment, which is a charge under </w:t>
      </w:r>
      <w:r w:rsidR="00120821">
        <w:t>CAISO Tariff Section 37</w:t>
      </w:r>
      <w:r>
        <w:t xml:space="preserve"> to provide an approximate settlement for the value of the </w:t>
      </w:r>
      <w:r w:rsidR="00CF6798" w:rsidRPr="00CF6798">
        <w:t>inaccurate, late, or missing Meter Data</w:t>
      </w:r>
      <w:r>
        <w:t xml:space="preserve">.  The market adjustment is calculated based on the MWh value of the </w:t>
      </w:r>
      <w:r w:rsidR="00CF6798" w:rsidRPr="00CF6798">
        <w:t>inaccurate, late, or missing Meter Data</w:t>
      </w:r>
      <w:r w:rsidR="00CF6798">
        <w:t xml:space="preserve"> in each hour of the applicable period</w:t>
      </w:r>
      <w:r w:rsidR="00CF6798" w:rsidRPr="00CF6798">
        <w:t xml:space="preserve"> </w:t>
      </w:r>
      <w:r w:rsidR="00CF6798">
        <w:t>that was not processed in the CAISO’s regular market settlements process.  The market adjustment charge is calculated on an hourly basis.  The charge is the product of the applicable MWh value in the hour and the average RTD LMP during the hour, subject to a minimum price for the hour of $10/MWh.</w:t>
      </w:r>
      <w:r w:rsidR="00753D15">
        <w:t xml:space="preserve">  </w:t>
      </w:r>
      <w:r w:rsidR="00A241D7">
        <w:t xml:space="preserve">Note that the CAISO does not assess a market adjustment when the initial error was to the Scheduling Coordinator’s detriment or if the Scheduling Coordinator, under a single SCID, is the only Scheduling Coordinator in the utility service area during the </w:t>
      </w:r>
      <w:r w:rsidR="00D76560">
        <w:t>M</w:t>
      </w:r>
      <w:r w:rsidR="00A241D7">
        <w:t xml:space="preserve">eter </w:t>
      </w:r>
      <w:r w:rsidR="00D76560">
        <w:t>D</w:t>
      </w:r>
      <w:r w:rsidR="00A241D7">
        <w:t xml:space="preserve">ata event.  </w:t>
      </w:r>
      <w:r w:rsidR="00776F25">
        <w:t xml:space="preserve">The </w:t>
      </w:r>
      <w:r>
        <w:t xml:space="preserve">CAISO allocates market adjustment proceeds to Scheduling Coordinators, in proportion to average UFE charges </w:t>
      </w:r>
      <w:r w:rsidR="007442A1">
        <w:t>for</w:t>
      </w:r>
      <w:r w:rsidR="00182F0C">
        <w:t xml:space="preserve"> the corresponding UDC territory </w:t>
      </w:r>
      <w:r>
        <w:t>during the period of the inaccurate</w:t>
      </w:r>
      <w:r w:rsidR="00753D15">
        <w:t>, late, or missing</w:t>
      </w:r>
      <w:r>
        <w:t xml:space="preserve"> Meter Data.</w:t>
      </w:r>
      <w:r w:rsidR="00512FF1">
        <w:rPr>
          <w:rStyle w:val="FootnoteReference"/>
        </w:rPr>
        <w:footnoteReference w:id="2"/>
      </w:r>
      <w:r>
        <w:t xml:space="preserve">  The allocation is included on the Settlement Statements for the same Trading Day that </w:t>
      </w:r>
      <w:r w:rsidR="006B5D10">
        <w:t xml:space="preserve">the </w:t>
      </w:r>
      <w:r>
        <w:t xml:space="preserve">CAISO includes the </w:t>
      </w:r>
      <w:r w:rsidR="006B5D10">
        <w:t xml:space="preserve">market </w:t>
      </w:r>
      <w:r>
        <w:t>adjustment charge on the Settlement Statement.</w:t>
      </w:r>
    </w:p>
    <w:p w14:paraId="0DE0F8E2" w14:textId="1169EB46" w:rsidR="00E800AA" w:rsidRDefault="00E800AA" w:rsidP="005859AB">
      <w:pPr>
        <w:pStyle w:val="ParaText"/>
        <w:spacing w:after="0" w:line="360" w:lineRule="auto"/>
        <w:jc w:val="left"/>
      </w:pPr>
    </w:p>
    <w:bookmarkEnd w:id="116"/>
    <w:bookmarkEnd w:id="117"/>
    <w:p w14:paraId="456B6675" w14:textId="07529B3B" w:rsidR="000C3233" w:rsidRPr="002A0954" w:rsidRDefault="000C3233">
      <w:pPr>
        <w:pStyle w:val="Heading4"/>
        <w:jc w:val="left"/>
        <w:rPr>
          <w:color w:val="2F5496" w:themeColor="accent5" w:themeShade="BF"/>
          <w:sz w:val="30"/>
          <w:szCs w:val="30"/>
        </w:rPr>
      </w:pPr>
      <w:r w:rsidRPr="002A0954">
        <w:rPr>
          <w:color w:val="2F5496" w:themeColor="accent5" w:themeShade="BF"/>
          <w:sz w:val="30"/>
          <w:szCs w:val="30"/>
        </w:rPr>
        <w:t xml:space="preserve">Settlement </w:t>
      </w:r>
      <w:r w:rsidR="001424BA" w:rsidRPr="002A0954">
        <w:rPr>
          <w:color w:val="2F5496" w:themeColor="accent5" w:themeShade="BF"/>
          <w:sz w:val="30"/>
          <w:szCs w:val="30"/>
        </w:rPr>
        <w:t>of Penalties</w:t>
      </w:r>
    </w:p>
    <w:p w14:paraId="444668DA" w14:textId="77777777" w:rsidR="000C3233" w:rsidRDefault="000C3233" w:rsidP="002A0954">
      <w:pPr>
        <w:pStyle w:val="ParaText"/>
        <w:spacing w:after="0" w:line="360" w:lineRule="auto"/>
        <w:jc w:val="left"/>
      </w:pPr>
      <w:r>
        <w:t xml:space="preserve">Charges and allocations made pursuant to </w:t>
      </w:r>
      <w:r w:rsidR="00730ECC">
        <w:t xml:space="preserve">CAISO Tariff </w:t>
      </w:r>
      <w:r w:rsidR="00B547BA">
        <w:t>Section 37</w:t>
      </w:r>
      <w:r>
        <w:t xml:space="preserve"> are ordinarily made by CAISO once a month, and ordinarily are included as a special adjustment on </w:t>
      </w:r>
      <w:r w:rsidR="00D83771">
        <w:t>a</w:t>
      </w:r>
      <w:r w:rsidR="008236B0">
        <w:t xml:space="preserve"> </w:t>
      </w:r>
      <w:r>
        <w:t>Settlement Statement</w:t>
      </w:r>
      <w:r w:rsidR="00E82486">
        <w:t>.</w:t>
      </w:r>
      <w:r w:rsidR="00B014A6">
        <w:t xml:space="preserve"> </w:t>
      </w:r>
      <w:r>
        <w:t xml:space="preserve"> These charges and allocations appear under the following Settlement Statement Charge Codes (see also related Settlement BPMs): </w:t>
      </w:r>
    </w:p>
    <w:p w14:paraId="683A5CE6" w14:textId="0953EC43" w:rsidR="002E5300" w:rsidRDefault="000C3233" w:rsidP="002A0954">
      <w:pPr>
        <w:pStyle w:val="Bullet1"/>
        <w:numPr>
          <w:ilvl w:val="0"/>
          <w:numId w:val="35"/>
        </w:numPr>
        <w:spacing w:line="360" w:lineRule="auto"/>
        <w:jc w:val="left"/>
      </w:pPr>
      <w:bookmarkStart w:id="118" w:name="OLE_LINK8"/>
      <w:bookmarkStart w:id="119" w:name="OLE_LINK9"/>
      <w:r>
        <w:t xml:space="preserve">CC 1591 </w:t>
      </w:r>
      <w:r w:rsidR="00120821">
        <w:t>CAISO Tariff Section 37</w:t>
      </w:r>
      <w:r>
        <w:t xml:space="preserve"> Penalty Charge</w:t>
      </w:r>
    </w:p>
    <w:p w14:paraId="15354DA5" w14:textId="0719D0D9" w:rsidR="002E5300" w:rsidRPr="002A0954" w:rsidRDefault="000C3233" w:rsidP="002A0954">
      <w:pPr>
        <w:pStyle w:val="Bullet1"/>
        <w:numPr>
          <w:ilvl w:val="0"/>
          <w:numId w:val="35"/>
        </w:numPr>
        <w:spacing w:line="360" w:lineRule="auto"/>
        <w:jc w:val="left"/>
        <w:rPr>
          <w:rFonts w:cs="Arial"/>
        </w:rPr>
      </w:pPr>
      <w:r>
        <w:rPr>
          <w:rFonts w:cs="Arial"/>
        </w:rPr>
        <w:t xml:space="preserve">CC 1592 </w:t>
      </w:r>
      <w:r w:rsidR="00120821">
        <w:rPr>
          <w:rFonts w:cs="Arial"/>
        </w:rPr>
        <w:t>CAISO Tariff Section 37</w:t>
      </w:r>
      <w:r>
        <w:rPr>
          <w:rFonts w:cs="Arial"/>
        </w:rPr>
        <w:t xml:space="preserve"> Penalty Allocation Payment (i.e. end of year allocation of penalty funds</w:t>
      </w:r>
      <w:r w:rsidR="00512FF1">
        <w:rPr>
          <w:rFonts w:cs="Arial"/>
        </w:rPr>
        <w:t>, as described in Section 3.4.</w:t>
      </w:r>
      <w:r w:rsidR="00E800AA">
        <w:rPr>
          <w:rFonts w:cs="Arial"/>
        </w:rPr>
        <w:t>4</w:t>
      </w:r>
      <w:r>
        <w:rPr>
          <w:rFonts w:cs="Arial"/>
        </w:rPr>
        <w:t>)</w:t>
      </w:r>
    </w:p>
    <w:p w14:paraId="38F073D4" w14:textId="34DDFEA0" w:rsidR="000C3233" w:rsidRDefault="000C3233" w:rsidP="002A0954">
      <w:pPr>
        <w:pStyle w:val="Bullet1HRt"/>
        <w:numPr>
          <w:ilvl w:val="0"/>
          <w:numId w:val="35"/>
        </w:numPr>
        <w:spacing w:after="0" w:line="360" w:lineRule="auto"/>
        <w:jc w:val="left"/>
      </w:pPr>
      <w:r>
        <w:rPr>
          <w:rFonts w:cs="Arial"/>
        </w:rPr>
        <w:t>CC 15</w:t>
      </w:r>
      <w:r>
        <w:t xml:space="preserve">93 </w:t>
      </w:r>
      <w:r w:rsidR="00120821">
        <w:t>CAISO Tariff Section 37</w:t>
      </w:r>
      <w:r>
        <w:t xml:space="preserve"> Charge/Allocation for Inaccurate</w:t>
      </w:r>
      <w:r w:rsidR="00CF6798">
        <w:t>, Late, or Missing</w:t>
      </w:r>
      <w:r>
        <w:t xml:space="preserve"> Meter Data (i.e. </w:t>
      </w:r>
      <w:r w:rsidR="00D76560">
        <w:t xml:space="preserve">the </w:t>
      </w:r>
      <w:r>
        <w:t>market adjustment charge</w:t>
      </w:r>
      <w:r w:rsidR="00512FF1">
        <w:t>, as described in Section 3.4.</w:t>
      </w:r>
      <w:r w:rsidR="00D76560">
        <w:t>3</w:t>
      </w:r>
      <w:r w:rsidR="00512FF1">
        <w:t>.</w:t>
      </w:r>
      <w:r>
        <w:t>)</w:t>
      </w:r>
    </w:p>
    <w:p w14:paraId="437E1279" w14:textId="0A2E4365" w:rsidR="002A0954" w:rsidRDefault="002A0954" w:rsidP="002A0954">
      <w:pPr>
        <w:pStyle w:val="Bullet1HRt"/>
        <w:numPr>
          <w:ilvl w:val="0"/>
          <w:numId w:val="0"/>
        </w:numPr>
        <w:spacing w:after="0" w:line="360" w:lineRule="auto"/>
        <w:jc w:val="left"/>
      </w:pPr>
    </w:p>
    <w:bookmarkEnd w:id="118"/>
    <w:bookmarkEnd w:id="119"/>
    <w:p w14:paraId="1836A6F4" w14:textId="42256C64" w:rsidR="002A0954" w:rsidRDefault="000C3233" w:rsidP="005859AB">
      <w:pPr>
        <w:pStyle w:val="ParaText"/>
        <w:spacing w:after="0" w:line="360" w:lineRule="auto"/>
        <w:jc w:val="left"/>
      </w:pPr>
      <w:r>
        <w:t>As described in Section 3.4.</w:t>
      </w:r>
      <w:r w:rsidR="007F70AE">
        <w:t>2</w:t>
      </w:r>
      <w:r>
        <w:t xml:space="preserve">, </w:t>
      </w:r>
      <w:r w:rsidR="006B5D10">
        <w:t>the CAISO</w:t>
      </w:r>
      <w:r w:rsidR="00E8348D">
        <w:t xml:space="preserve"> </w:t>
      </w:r>
      <w:r>
        <w:t>provides a notification to the applicable S</w:t>
      </w:r>
      <w:r w:rsidR="002E5300">
        <w:t>cheduling Coordinator</w:t>
      </w:r>
      <w:r>
        <w:t xml:space="preserve">, and </w:t>
      </w:r>
      <w:r w:rsidR="002E5300">
        <w:t>any separate Market Participants</w:t>
      </w:r>
      <w:r>
        <w:t xml:space="preserve">, before a penalty is included on a </w:t>
      </w:r>
      <w:r w:rsidR="002E5300">
        <w:t>Settlement Statement.  This notification includes</w:t>
      </w:r>
      <w:r>
        <w:t xml:space="preserve"> a description of the penalty, including </w:t>
      </w:r>
      <w:r w:rsidR="002E5300">
        <w:t xml:space="preserve">the </w:t>
      </w:r>
      <w:r>
        <w:t xml:space="preserve">identity of </w:t>
      </w:r>
      <w:r w:rsidR="002E5300">
        <w:t xml:space="preserve">any </w:t>
      </w:r>
      <w:r w:rsidR="002E5300">
        <w:lastRenderedPageBreak/>
        <w:t>separate Market Participants</w:t>
      </w:r>
      <w:r>
        <w:t xml:space="preserve"> that committed the violation, the amount of the penalty</w:t>
      </w:r>
      <w:r w:rsidR="002E5300">
        <w:t>,</w:t>
      </w:r>
      <w:r>
        <w:t xml:space="preserve"> and specification of any modifications.</w:t>
      </w:r>
    </w:p>
    <w:p w14:paraId="30BC0368" w14:textId="77777777" w:rsidR="005859AB" w:rsidRDefault="005859AB" w:rsidP="005859AB">
      <w:pPr>
        <w:pStyle w:val="ParaText"/>
        <w:spacing w:after="0" w:line="360" w:lineRule="auto"/>
        <w:jc w:val="left"/>
      </w:pPr>
    </w:p>
    <w:p w14:paraId="22430051" w14:textId="0C7AA9B4" w:rsidR="00E21070" w:rsidRDefault="00E21070" w:rsidP="002A0954">
      <w:pPr>
        <w:pStyle w:val="ParaText"/>
        <w:spacing w:after="0" w:line="360" w:lineRule="auto"/>
      </w:pPr>
      <w:r>
        <w:t xml:space="preserve">The following data related to a charge or allocation </w:t>
      </w:r>
      <w:r w:rsidR="002E5300">
        <w:t>appear</w:t>
      </w:r>
      <w:r w:rsidR="00613A77">
        <w:t>s</w:t>
      </w:r>
      <w:r w:rsidR="008236B0">
        <w:t xml:space="preserve"> </w:t>
      </w:r>
      <w:r>
        <w:t>on Settlement Statements</w:t>
      </w:r>
      <w:r w:rsidR="00A16A4E">
        <w:t xml:space="preserve"> in the appropriate Billing Determinant by Charge Code</w:t>
      </w:r>
      <w:r>
        <w:t>:</w:t>
      </w:r>
    </w:p>
    <w:p w14:paraId="7F6FE7FB" w14:textId="77777777" w:rsidR="00E82486" w:rsidRDefault="00E82486" w:rsidP="002A0954">
      <w:pPr>
        <w:pStyle w:val="Bullet1HRt"/>
        <w:numPr>
          <w:ilvl w:val="0"/>
          <w:numId w:val="36"/>
        </w:numPr>
        <w:spacing w:after="0" w:line="360" w:lineRule="auto"/>
        <w:jc w:val="left"/>
      </w:pPr>
      <w:r w:rsidRPr="00A16A4E">
        <w:rPr>
          <w:b/>
        </w:rPr>
        <w:t xml:space="preserve">ATTRIBUTE1 </w:t>
      </w:r>
      <w:r>
        <w:t xml:space="preserve">field – </w:t>
      </w:r>
      <w:r w:rsidR="000302F3">
        <w:t>Business Associate ID</w:t>
      </w:r>
      <w:r>
        <w:t>.</w:t>
      </w:r>
    </w:p>
    <w:p w14:paraId="0323901C" w14:textId="34CB13CD" w:rsidR="00E82486" w:rsidRDefault="00E82486" w:rsidP="002A0954">
      <w:pPr>
        <w:pStyle w:val="Bullet1HRt"/>
        <w:numPr>
          <w:ilvl w:val="0"/>
          <w:numId w:val="36"/>
        </w:numPr>
        <w:spacing w:after="0" w:line="360" w:lineRule="auto"/>
        <w:jc w:val="left"/>
      </w:pPr>
      <w:r w:rsidRPr="00A16A4E">
        <w:rPr>
          <w:b/>
        </w:rPr>
        <w:t>ATTRIBUTE</w:t>
      </w:r>
      <w:r w:rsidR="00270CDB">
        <w:rPr>
          <w:b/>
        </w:rPr>
        <w:t>9</w:t>
      </w:r>
      <w:r w:rsidRPr="00A16A4E">
        <w:rPr>
          <w:b/>
        </w:rPr>
        <w:t xml:space="preserve"> </w:t>
      </w:r>
      <w:r>
        <w:t>field –Pass Through Bill (PTB)</w:t>
      </w:r>
      <w:r w:rsidR="000302F3">
        <w:t xml:space="preserve"> ID.</w:t>
      </w:r>
    </w:p>
    <w:p w14:paraId="065C2278" w14:textId="3550F586" w:rsidR="000C3233" w:rsidRPr="00E82486" w:rsidRDefault="00E82486" w:rsidP="002A0954">
      <w:pPr>
        <w:pStyle w:val="Bullet1HRt"/>
        <w:numPr>
          <w:ilvl w:val="0"/>
          <w:numId w:val="36"/>
        </w:numPr>
        <w:spacing w:after="0" w:line="360" w:lineRule="auto"/>
        <w:jc w:val="left"/>
      </w:pPr>
      <w:r>
        <w:rPr>
          <w:rFonts w:cs="Arial"/>
          <w:b/>
        </w:rPr>
        <w:t>DATA</w:t>
      </w:r>
      <w:r w:rsidR="00A16A4E">
        <w:rPr>
          <w:rFonts w:cs="Arial"/>
        </w:rPr>
        <w:t xml:space="preserve"> </w:t>
      </w:r>
      <w:r w:rsidR="000C3233">
        <w:rPr>
          <w:rFonts w:cs="Arial"/>
        </w:rPr>
        <w:t>field</w:t>
      </w:r>
      <w:r w:rsidR="00A16A4E">
        <w:rPr>
          <w:rFonts w:cs="Arial"/>
        </w:rPr>
        <w:t>s</w:t>
      </w:r>
      <w:r w:rsidR="00DA331D">
        <w:rPr>
          <w:b/>
        </w:rPr>
        <w:t>INT001</w:t>
      </w:r>
      <w:r w:rsidR="000C3233">
        <w:rPr>
          <w:rFonts w:cs="Arial"/>
        </w:rPr>
        <w:t xml:space="preserve"> </w:t>
      </w:r>
      <w:r w:rsidR="00DA331D">
        <w:rPr>
          <w:rFonts w:cs="Arial"/>
        </w:rPr>
        <w:t xml:space="preserve">field </w:t>
      </w:r>
      <w:r w:rsidR="000C3233">
        <w:t>–</w:t>
      </w:r>
      <w:r w:rsidR="000C3233">
        <w:rPr>
          <w:rFonts w:cs="Arial"/>
        </w:rPr>
        <w:t xml:space="preserve"> Total amount of penalty</w:t>
      </w:r>
      <w:r w:rsidR="00E06AD6">
        <w:rPr>
          <w:rFonts w:cs="Arial"/>
        </w:rPr>
        <w:t>,</w:t>
      </w:r>
      <w:r w:rsidR="000C3233">
        <w:rPr>
          <w:rFonts w:cs="Arial"/>
        </w:rPr>
        <w:t xml:space="preserve"> market adjustment charge</w:t>
      </w:r>
      <w:r w:rsidR="00E06AD6">
        <w:rPr>
          <w:rFonts w:cs="Arial"/>
        </w:rPr>
        <w:t>, or allocation</w:t>
      </w:r>
      <w:r w:rsidR="000C3233">
        <w:rPr>
          <w:rFonts w:cs="Arial"/>
        </w:rPr>
        <w:t>.</w:t>
      </w:r>
    </w:p>
    <w:p w14:paraId="17A31417" w14:textId="77777777" w:rsidR="00270CDB" w:rsidRDefault="00E82486" w:rsidP="002A0954">
      <w:pPr>
        <w:pStyle w:val="Bullet1HRt"/>
        <w:numPr>
          <w:ilvl w:val="0"/>
          <w:numId w:val="36"/>
        </w:numPr>
        <w:spacing w:after="0" w:line="360" w:lineRule="auto"/>
        <w:jc w:val="left"/>
      </w:pPr>
      <w:r w:rsidRPr="00A16A4E">
        <w:rPr>
          <w:rFonts w:cs="Arial"/>
          <w:b/>
        </w:rPr>
        <w:t>PTB_COMMENTS</w:t>
      </w:r>
      <w:r>
        <w:rPr>
          <w:rFonts w:cs="Arial"/>
        </w:rPr>
        <w:t xml:space="preserve"> field </w:t>
      </w:r>
      <w:r>
        <w:t>–</w:t>
      </w:r>
      <w:r w:rsidR="00270CDB">
        <w:t xml:space="preserve"> </w:t>
      </w:r>
    </w:p>
    <w:p w14:paraId="66466D31" w14:textId="721FB1E8" w:rsidR="00E82486" w:rsidRPr="00270CDB" w:rsidRDefault="00205384" w:rsidP="00CD6CB2">
      <w:pPr>
        <w:pStyle w:val="Bullet1HRt"/>
        <w:numPr>
          <w:ilvl w:val="0"/>
          <w:numId w:val="37"/>
        </w:numPr>
        <w:spacing w:after="0" w:line="360" w:lineRule="auto"/>
        <w:jc w:val="left"/>
      </w:pPr>
      <w:r>
        <w:rPr>
          <w:rFonts w:cs="Arial"/>
          <w:b/>
        </w:rPr>
        <w:t>PENALTY</w:t>
      </w:r>
      <w:r w:rsidR="00270CDB">
        <w:rPr>
          <w:rFonts w:cs="Arial"/>
          <w:b/>
        </w:rPr>
        <w:t xml:space="preserve"> </w:t>
      </w:r>
      <w:r w:rsidR="00DF193F" w:rsidRPr="00270CDB">
        <w:t>-</w:t>
      </w:r>
      <w:r w:rsidR="00DF193F">
        <w:t xml:space="preserve"> “</w:t>
      </w:r>
      <w:r w:rsidR="00E82486">
        <w:t>RoC ID [unique identification number assigned to the violation] per letter dated [date of letter], Rules of Conduct penalty issued in accordance with CAISO Tariff Section</w:t>
      </w:r>
      <w:r w:rsidR="0004694F">
        <w:t xml:space="preserve"> </w:t>
      </w:r>
      <w:r w:rsidR="00E82486">
        <w:t>[relevant tariff section included].</w:t>
      </w:r>
      <w:r w:rsidR="003E3999">
        <w:t>”</w:t>
      </w:r>
      <w:r w:rsidR="00E82486">
        <w:t xml:space="preserve"> </w:t>
      </w:r>
    </w:p>
    <w:p w14:paraId="3121989F" w14:textId="6AAE879E" w:rsidR="002A0954" w:rsidRPr="002A0954" w:rsidRDefault="00270CDB" w:rsidP="00CD6CB2">
      <w:pPr>
        <w:pStyle w:val="Bullet1HRt"/>
        <w:numPr>
          <w:ilvl w:val="0"/>
          <w:numId w:val="37"/>
        </w:numPr>
        <w:spacing w:after="0" w:line="360" w:lineRule="auto"/>
        <w:jc w:val="left"/>
      </w:pPr>
      <w:r>
        <w:rPr>
          <w:rFonts w:cs="Arial"/>
          <w:b/>
        </w:rPr>
        <w:t>A</w:t>
      </w:r>
      <w:r w:rsidR="00205384">
        <w:rPr>
          <w:rFonts w:cs="Arial"/>
          <w:b/>
        </w:rPr>
        <w:t>LLOCATION</w:t>
      </w:r>
      <w:r>
        <w:rPr>
          <w:rFonts w:cs="Arial"/>
          <w:b/>
        </w:rPr>
        <w:t xml:space="preserve"> </w:t>
      </w:r>
      <w:r w:rsidR="00205384">
        <w:rPr>
          <w:rFonts w:cs="Arial"/>
          <w:b/>
        </w:rPr>
        <w:t>–</w:t>
      </w:r>
      <w:r>
        <w:rPr>
          <w:rFonts w:cs="Arial"/>
          <w:b/>
        </w:rPr>
        <w:t xml:space="preserve"> </w:t>
      </w:r>
      <w:r w:rsidR="00205384" w:rsidRPr="00C1718B">
        <w:rPr>
          <w:rFonts w:cs="Arial"/>
        </w:rPr>
        <w:t>“</w:t>
      </w:r>
      <w:r w:rsidR="0004694F">
        <w:rPr>
          <w:rFonts w:cs="Arial"/>
        </w:rPr>
        <w:t>Distribution</w:t>
      </w:r>
      <w:r w:rsidR="0004694F" w:rsidRPr="00C1718B">
        <w:rPr>
          <w:rFonts w:cs="Arial"/>
        </w:rPr>
        <w:t xml:space="preserve"> </w:t>
      </w:r>
      <w:r w:rsidR="00205384" w:rsidRPr="00C1718B">
        <w:rPr>
          <w:rFonts w:cs="Arial"/>
        </w:rPr>
        <w:t xml:space="preserve">of Rules of Conduct penalty </w:t>
      </w:r>
      <w:r w:rsidR="0004694F">
        <w:rPr>
          <w:rFonts w:cs="Arial"/>
        </w:rPr>
        <w:t xml:space="preserve">proceeds for [penalty year] </w:t>
      </w:r>
      <w:r w:rsidR="00205384" w:rsidRPr="00C1718B">
        <w:rPr>
          <w:rFonts w:cs="Arial"/>
        </w:rPr>
        <w:t xml:space="preserve">in accordance with CAISO Tariff 37.9.4 per </w:t>
      </w:r>
      <w:r w:rsidR="0004694F" w:rsidRPr="00C1718B">
        <w:rPr>
          <w:rFonts w:cs="Arial"/>
        </w:rPr>
        <w:t>[</w:t>
      </w:r>
      <w:r w:rsidR="00DA331D">
        <w:rPr>
          <w:rFonts w:cs="Arial"/>
        </w:rPr>
        <w:t>mm/dd/yyyy</w:t>
      </w:r>
      <w:r w:rsidR="0004694F" w:rsidRPr="00C1718B">
        <w:rPr>
          <w:rFonts w:cs="Arial"/>
        </w:rPr>
        <w:t>]</w:t>
      </w:r>
      <w:r w:rsidR="0004694F">
        <w:rPr>
          <w:rFonts w:cs="Arial"/>
        </w:rPr>
        <w:t xml:space="preserve"> </w:t>
      </w:r>
      <w:r w:rsidR="00205384" w:rsidRPr="00C1718B">
        <w:rPr>
          <w:rFonts w:cs="Arial"/>
        </w:rPr>
        <w:t>Market Notice</w:t>
      </w:r>
      <w:r w:rsidR="0004694F">
        <w:rPr>
          <w:rFonts w:cs="Arial"/>
        </w:rPr>
        <w:t>.</w:t>
      </w:r>
      <w:r w:rsidR="003E3999">
        <w:rPr>
          <w:rFonts w:cs="Arial"/>
        </w:rPr>
        <w:t>”</w:t>
      </w:r>
    </w:p>
    <w:p w14:paraId="36D7E042" w14:textId="4495AFC2" w:rsidR="00270CDB" w:rsidRDefault="00270CDB" w:rsidP="002A0954">
      <w:pPr>
        <w:pStyle w:val="Bullet1HRt"/>
        <w:numPr>
          <w:ilvl w:val="0"/>
          <w:numId w:val="0"/>
        </w:numPr>
        <w:spacing w:after="0" w:line="360" w:lineRule="auto"/>
        <w:ind w:left="1080"/>
        <w:jc w:val="left"/>
      </w:pPr>
    </w:p>
    <w:p w14:paraId="6092A129" w14:textId="3D848CE1" w:rsidR="000C3233" w:rsidRPr="002A0954" w:rsidRDefault="00350C55" w:rsidP="002A0954">
      <w:pPr>
        <w:pStyle w:val="Heading4"/>
        <w:spacing w:after="0" w:line="360" w:lineRule="auto"/>
        <w:jc w:val="left"/>
        <w:rPr>
          <w:color w:val="2F5496" w:themeColor="accent5" w:themeShade="BF"/>
          <w:sz w:val="30"/>
          <w:szCs w:val="30"/>
        </w:rPr>
      </w:pPr>
      <w:r w:rsidRPr="002A0954">
        <w:rPr>
          <w:color w:val="2F5496" w:themeColor="accent5" w:themeShade="BF"/>
          <w:sz w:val="30"/>
          <w:szCs w:val="30"/>
        </w:rPr>
        <w:t>Market Participant</w:t>
      </w:r>
      <w:r w:rsidR="000C3233" w:rsidRPr="002A0954">
        <w:rPr>
          <w:color w:val="2F5496" w:themeColor="accent5" w:themeShade="BF"/>
          <w:sz w:val="30"/>
          <w:szCs w:val="30"/>
        </w:rPr>
        <w:t xml:space="preserve"> Appeals to FERC</w:t>
      </w:r>
    </w:p>
    <w:p w14:paraId="743D7E5A" w14:textId="356EF435" w:rsidR="000C3233" w:rsidRDefault="000C3233" w:rsidP="002A0954">
      <w:pPr>
        <w:pStyle w:val="ParaText"/>
        <w:spacing w:after="0" w:line="360" w:lineRule="auto"/>
        <w:jc w:val="left"/>
      </w:pPr>
      <w:r>
        <w:t>CAISO Tariff Section 37.8.10, Review of Determination</w:t>
      </w:r>
    </w:p>
    <w:p w14:paraId="7C9B5910" w14:textId="77777777" w:rsidR="002A0954" w:rsidRDefault="002A0954" w:rsidP="002A0954">
      <w:pPr>
        <w:pStyle w:val="ParaText"/>
        <w:spacing w:after="0" w:line="360" w:lineRule="auto"/>
        <w:jc w:val="left"/>
      </w:pPr>
    </w:p>
    <w:p w14:paraId="3FBCE0D6" w14:textId="355F2BE5" w:rsidR="002A0954" w:rsidRDefault="000C3233" w:rsidP="002A0954">
      <w:pPr>
        <w:pStyle w:val="ParaText"/>
        <w:spacing w:after="0" w:line="360" w:lineRule="auto"/>
        <w:jc w:val="left"/>
      </w:pPr>
      <w:r>
        <w:t xml:space="preserve">Penalties assessed under </w:t>
      </w:r>
      <w:r w:rsidR="00120821">
        <w:t>CAISO Tariff Section 37</w:t>
      </w:r>
      <w:r>
        <w:t xml:space="preserve"> may be appealed to FERC</w:t>
      </w:r>
      <w:r w:rsidR="00A16A4E">
        <w:t xml:space="preserve"> as outlined in CAISO Tariff section 37.8.10</w:t>
      </w:r>
      <w:r>
        <w:t>.  If a</w:t>
      </w:r>
      <w:r w:rsidR="00EA67EF">
        <w:t xml:space="preserve"> S</w:t>
      </w:r>
      <w:r w:rsidR="002E5300">
        <w:t>cheduling Coordinator</w:t>
      </w:r>
      <w:r w:rsidR="00EA67EF">
        <w:t xml:space="preserve"> or a separate responsible </w:t>
      </w:r>
      <w:r>
        <w:t xml:space="preserve">Market Participant desires to appeal </w:t>
      </w:r>
      <w:r w:rsidR="00A16A4E">
        <w:t xml:space="preserve">the </w:t>
      </w:r>
      <w:r w:rsidR="00E8348D">
        <w:t xml:space="preserve">CAISO’s </w:t>
      </w:r>
      <w:r>
        <w:t xml:space="preserve">determination that the tariff requires a financial penalty for a particular matter, the </w:t>
      </w:r>
      <w:r w:rsidR="00EA67EF">
        <w:t xml:space="preserve">applicable </w:t>
      </w:r>
      <w:r>
        <w:t>S</w:t>
      </w:r>
      <w:r w:rsidR="002E5300">
        <w:t xml:space="preserve">cheduling </w:t>
      </w:r>
      <w:r>
        <w:t>C</w:t>
      </w:r>
      <w:r w:rsidR="002E5300">
        <w:t>oordinator</w:t>
      </w:r>
      <w:r>
        <w:t xml:space="preserve"> must </w:t>
      </w:r>
      <w:r w:rsidR="00350C55">
        <w:t xml:space="preserve">provide the FERC Docket number for the appeal to the CAISO </w:t>
      </w:r>
      <w:r w:rsidR="000A223D">
        <w:t>within the CIDI c</w:t>
      </w:r>
      <w:r w:rsidR="00350C55">
        <w:t>ase for the Rules of Conduct event within 30 days from the results of review notice</w:t>
      </w:r>
      <w:r w:rsidR="00E62695">
        <w:t xml:space="preserve"> to qualify for penalty tolling</w:t>
      </w:r>
      <w:r w:rsidR="00350C55">
        <w:t xml:space="preserve">. </w:t>
      </w:r>
      <w:r w:rsidR="000A223D">
        <w:t xml:space="preserve"> </w:t>
      </w:r>
      <w:r w:rsidR="002E5300">
        <w:t>A</w:t>
      </w:r>
      <w:r w:rsidR="000A223D">
        <w:t>dditionally, a</w:t>
      </w:r>
      <w:r>
        <w:t xml:space="preserve"> </w:t>
      </w:r>
      <w:r w:rsidR="002E5300">
        <w:t>Scheduling Coordinator</w:t>
      </w:r>
      <w:r>
        <w:t xml:space="preserve"> that </w:t>
      </w:r>
      <w:r w:rsidR="00E15A6A">
        <w:t xml:space="preserve">appeals to FERC is requested to direct service of its appeal to </w:t>
      </w:r>
      <w:r w:rsidR="00296035">
        <w:t xml:space="preserve">the CAISO Legal Department via </w:t>
      </w:r>
      <w:hyperlink r:id="rId29" w:history="1">
        <w:r w:rsidRPr="006F7A6E">
          <w:rPr>
            <w:rStyle w:val="Hyperlink"/>
            <w:color w:val="2F5496" w:themeColor="accent5" w:themeShade="BF"/>
          </w:rPr>
          <w:t>e-recipient@caiso.com</w:t>
        </w:r>
      </w:hyperlink>
      <w:r>
        <w:t xml:space="preserve">. </w:t>
      </w:r>
      <w:r w:rsidR="00E15A6A">
        <w:t xml:space="preserve"> </w:t>
      </w:r>
      <w:r w:rsidR="000A223D" w:rsidRPr="000A223D">
        <w:t xml:space="preserve">Serving the Legal Department, however, does not substitute for providing the Docket number in the CIDI </w:t>
      </w:r>
      <w:r w:rsidR="000A223D">
        <w:t>c</w:t>
      </w:r>
      <w:r w:rsidR="000A223D" w:rsidRPr="000A223D">
        <w:t>ase.</w:t>
      </w:r>
    </w:p>
    <w:p w14:paraId="76254870" w14:textId="017B76C9" w:rsidR="000C3233" w:rsidRPr="003276BF" w:rsidRDefault="000C3233" w:rsidP="002A0954">
      <w:pPr>
        <w:pStyle w:val="ParaText"/>
        <w:spacing w:after="0" w:line="360" w:lineRule="auto"/>
        <w:jc w:val="left"/>
      </w:pPr>
    </w:p>
    <w:p w14:paraId="0F58F9BC" w14:textId="3E992EC1" w:rsidR="000C3233" w:rsidRDefault="000C3233" w:rsidP="002A0954">
      <w:pPr>
        <w:pStyle w:val="ParaText"/>
        <w:spacing w:after="0" w:line="360" w:lineRule="auto"/>
        <w:jc w:val="left"/>
      </w:pPr>
      <w:r>
        <w:t xml:space="preserve">If FERC denies </w:t>
      </w:r>
      <w:r w:rsidR="002E5300">
        <w:t>an</w:t>
      </w:r>
      <w:r>
        <w:t xml:space="preserve"> appeal, </w:t>
      </w:r>
      <w:r w:rsidR="00A16A4E">
        <w:t xml:space="preserve">the </w:t>
      </w:r>
      <w:r>
        <w:t xml:space="preserve">CAISO </w:t>
      </w:r>
      <w:r w:rsidR="00E93CA0">
        <w:t xml:space="preserve">will assess </w:t>
      </w:r>
      <w:r>
        <w:t xml:space="preserve">the penalty on a subsequent Settlement Statement, after notice </w:t>
      </w:r>
      <w:r w:rsidR="000A223D">
        <w:t>(ordinarily within the CIDI c</w:t>
      </w:r>
      <w:r w:rsidR="00286B42">
        <w:t xml:space="preserve">ase for the Rules of Conduct event) </w:t>
      </w:r>
      <w:r>
        <w:t xml:space="preserve">to the relevant </w:t>
      </w:r>
      <w:r w:rsidR="002E5300">
        <w:t xml:space="preserve">Scheduling Coordinator </w:t>
      </w:r>
      <w:r w:rsidR="00E93CA0">
        <w:t>has been given</w:t>
      </w:r>
      <w:r>
        <w:t>.</w:t>
      </w:r>
    </w:p>
    <w:p w14:paraId="6642D8C3" w14:textId="7A31E5D4" w:rsidR="002A0954" w:rsidRDefault="002A0954" w:rsidP="002A0954">
      <w:pPr>
        <w:spacing w:after="0"/>
        <w:jc w:val="left"/>
      </w:pPr>
      <w:r>
        <w:br w:type="page"/>
      </w:r>
    </w:p>
    <w:p w14:paraId="63715D50" w14:textId="77777777" w:rsidR="000C3233" w:rsidRPr="002A0954" w:rsidRDefault="000C3233">
      <w:pPr>
        <w:pStyle w:val="Heading4"/>
        <w:jc w:val="left"/>
        <w:rPr>
          <w:color w:val="2F5496" w:themeColor="accent5" w:themeShade="BF"/>
          <w:sz w:val="30"/>
          <w:szCs w:val="30"/>
        </w:rPr>
      </w:pPr>
      <w:r w:rsidRPr="002A0954">
        <w:rPr>
          <w:color w:val="2F5496" w:themeColor="accent5" w:themeShade="BF"/>
          <w:sz w:val="30"/>
          <w:szCs w:val="30"/>
        </w:rPr>
        <w:lastRenderedPageBreak/>
        <w:t>Nonpayment by Market Participant</w:t>
      </w:r>
    </w:p>
    <w:p w14:paraId="41A6063C" w14:textId="77777777" w:rsidR="002A0954" w:rsidRDefault="000C3233" w:rsidP="002A0954">
      <w:pPr>
        <w:pStyle w:val="ParaText"/>
        <w:spacing w:after="0" w:line="360" w:lineRule="auto"/>
        <w:jc w:val="left"/>
      </w:pPr>
      <w:r>
        <w:t>CAISO Tariff Section 37.9.3.3, Other Responsible Party</w:t>
      </w:r>
    </w:p>
    <w:p w14:paraId="0F15B2DD" w14:textId="42AB5343" w:rsidR="000C3233" w:rsidRDefault="000C3233" w:rsidP="002A0954">
      <w:pPr>
        <w:pStyle w:val="ParaText"/>
        <w:spacing w:after="0" w:line="360" w:lineRule="auto"/>
        <w:jc w:val="left"/>
      </w:pPr>
    </w:p>
    <w:p w14:paraId="70CC4A94" w14:textId="01A1239D" w:rsidR="00D81D3B" w:rsidRDefault="00D75C72" w:rsidP="002A0954">
      <w:pPr>
        <w:pStyle w:val="ParaText"/>
        <w:spacing w:after="0" w:line="360" w:lineRule="auto"/>
        <w:jc w:val="left"/>
      </w:pPr>
      <w:r>
        <w:t xml:space="preserve">Where a party or parties other than the </w:t>
      </w:r>
      <w:r w:rsidR="000C3233">
        <w:t xml:space="preserve">Scheduling Coordinator </w:t>
      </w:r>
      <w:r>
        <w:t>is</w:t>
      </w:r>
      <w:r w:rsidR="00D14BF1">
        <w:t xml:space="preserve"> responsible for</w:t>
      </w:r>
      <w:r w:rsidR="000C3233">
        <w:t xml:space="preserve"> </w:t>
      </w:r>
      <w:r>
        <w:t xml:space="preserve">the conduct giving rise to a </w:t>
      </w:r>
      <w:r w:rsidR="000C3233">
        <w:t>penalty charge</w:t>
      </w:r>
      <w:r>
        <w:t>, and where the</w:t>
      </w:r>
      <w:r w:rsidR="00D14BF1">
        <w:t xml:space="preserve"> Scheduling Coordinator bears no responsibility for the conduct</w:t>
      </w:r>
      <w:r>
        <w:t>, such other party or parties are ultimately liable for the penalty.  If the Scheduling Coordinator</w:t>
      </w:r>
      <w:r w:rsidR="00D14BF1">
        <w:t xml:space="preserve"> is</w:t>
      </w:r>
      <w:r w:rsidR="000C3233">
        <w:t xml:space="preserve"> unable through reasonable efforts to obtain payment from a separate Market </w:t>
      </w:r>
      <w:r w:rsidR="000C3233" w:rsidRPr="00C8727A">
        <w:t>Participant</w:t>
      </w:r>
      <w:r w:rsidR="000C5EAE">
        <w:t>,</w:t>
      </w:r>
      <w:r w:rsidR="000C3233" w:rsidRPr="00C8727A">
        <w:t xml:space="preserve"> </w:t>
      </w:r>
      <w:r w:rsidR="00DB5993" w:rsidRPr="00C8727A">
        <w:t xml:space="preserve">the Scheduling Coordinator should notify </w:t>
      </w:r>
      <w:r w:rsidR="000C5EAE">
        <w:t>the CAISO</w:t>
      </w:r>
      <w:r w:rsidR="00DB5993" w:rsidRPr="00C8727A">
        <w:t xml:space="preserve">.  </w:t>
      </w:r>
      <w:r w:rsidR="00DB5993" w:rsidRPr="005050F2">
        <w:t xml:space="preserve">If </w:t>
      </w:r>
      <w:r w:rsidR="000C5EAE">
        <w:t>the CAISO</w:t>
      </w:r>
      <w:r w:rsidR="00DB5993" w:rsidRPr="005050F2">
        <w:t xml:space="preserve"> find</w:t>
      </w:r>
      <w:r w:rsidR="00E8348D" w:rsidRPr="005050F2">
        <w:t>s</w:t>
      </w:r>
      <w:r w:rsidR="00DB5993" w:rsidRPr="005050F2">
        <w:t xml:space="preserve"> </w:t>
      </w:r>
      <w:r w:rsidR="000C3233" w:rsidRPr="005050F2">
        <w:t xml:space="preserve">that </w:t>
      </w:r>
      <w:r w:rsidR="00DB5993" w:rsidRPr="005050F2">
        <w:t>the separate party (or parties) is</w:t>
      </w:r>
      <w:r w:rsidR="000C3233" w:rsidRPr="005050F2">
        <w:t xml:space="preserve"> </w:t>
      </w:r>
      <w:r w:rsidR="00D14BF1" w:rsidRPr="005050F2">
        <w:t xml:space="preserve">solely </w:t>
      </w:r>
      <w:r w:rsidR="000C3233" w:rsidRPr="005050F2">
        <w:t xml:space="preserve">responsible for </w:t>
      </w:r>
      <w:r w:rsidR="00DB5993" w:rsidRPr="005050F2">
        <w:t>the</w:t>
      </w:r>
      <w:r w:rsidR="000C3233" w:rsidRPr="005050F2">
        <w:t xml:space="preserve"> penalty</w:t>
      </w:r>
      <w:r w:rsidR="00DB5993">
        <w:t xml:space="preserve">, then the Scheduling Coordinator should </w:t>
      </w:r>
      <w:r w:rsidR="00D14BF1">
        <w:t>dispute the Settlement Statement that includes the penalty.</w:t>
      </w:r>
      <w:r w:rsidR="000C3233">
        <w:t xml:space="preserve">  In the event of such a dispute, </w:t>
      </w:r>
      <w:r w:rsidR="000C5EAE">
        <w:t xml:space="preserve">the </w:t>
      </w:r>
      <w:r w:rsidR="000C3233">
        <w:t>CAISO notifies FERC and reverse</w:t>
      </w:r>
      <w:r w:rsidR="000457A9">
        <w:t>s</w:t>
      </w:r>
      <w:r w:rsidR="000C3233">
        <w:t xml:space="preserve"> the charge on a subsequent Settlement </w:t>
      </w:r>
      <w:r w:rsidR="00D81D3B">
        <w:t>Statement.</w:t>
      </w:r>
      <w:r w:rsidR="00972729">
        <w:rPr>
          <w:rStyle w:val="FootnoteReference"/>
        </w:rPr>
        <w:footnoteReference w:id="3"/>
      </w:r>
      <w:r w:rsidR="000C3233">
        <w:t xml:space="preserve">  The CAISO may refuse to offer further service to any responsible party that fails to pay a penalty by providing notice to the relevant </w:t>
      </w:r>
      <w:r w:rsidR="003E229E">
        <w:t xml:space="preserve">Scheduling Coordinator </w:t>
      </w:r>
      <w:r w:rsidR="00B62E80">
        <w:t xml:space="preserve">– </w:t>
      </w:r>
      <w:r w:rsidR="00FC763A">
        <w:t xml:space="preserve">in such case </w:t>
      </w:r>
      <w:r w:rsidR="000C3233">
        <w:t xml:space="preserve">the relevant </w:t>
      </w:r>
      <w:r w:rsidR="003E229E">
        <w:t>Scheduling Coordinator</w:t>
      </w:r>
      <w:r w:rsidR="000C3233">
        <w:t xml:space="preserve"> </w:t>
      </w:r>
      <w:r w:rsidR="00FC763A">
        <w:t xml:space="preserve">will be </w:t>
      </w:r>
      <w:r w:rsidR="000C3233">
        <w:t>responsible for any subsequent penalties assessed</w:t>
      </w:r>
      <w:r w:rsidR="00FC763A">
        <w:t xml:space="preserve"> on account of such responsible party</w:t>
      </w:r>
      <w:r w:rsidR="000C3233">
        <w:t>.</w:t>
      </w:r>
      <w:r w:rsidR="00E93CA0">
        <w:t xml:space="preserve"> </w:t>
      </w:r>
    </w:p>
    <w:p w14:paraId="1DDFF6D5" w14:textId="77777777" w:rsidR="002A0954" w:rsidRDefault="002A0954" w:rsidP="002A0954">
      <w:pPr>
        <w:pStyle w:val="ParaText"/>
        <w:spacing w:after="0" w:line="360" w:lineRule="auto"/>
        <w:jc w:val="left"/>
      </w:pPr>
    </w:p>
    <w:p w14:paraId="68561669" w14:textId="77777777" w:rsidR="000C3233" w:rsidRPr="002A0954" w:rsidRDefault="000C3233">
      <w:pPr>
        <w:pStyle w:val="Heading3"/>
        <w:jc w:val="left"/>
        <w:rPr>
          <w:color w:val="2F5496" w:themeColor="accent5" w:themeShade="BF"/>
          <w:sz w:val="30"/>
          <w:szCs w:val="30"/>
        </w:rPr>
      </w:pPr>
      <w:bookmarkStart w:id="120" w:name="_Toc181699731"/>
      <w:bookmarkStart w:id="121" w:name="_Toc188947232"/>
      <w:r w:rsidRPr="002A0954">
        <w:rPr>
          <w:color w:val="2F5496" w:themeColor="accent5" w:themeShade="BF"/>
          <w:sz w:val="30"/>
          <w:szCs w:val="30"/>
        </w:rPr>
        <w:t>Disposition of Sanction Proceeds</w:t>
      </w:r>
      <w:bookmarkEnd w:id="120"/>
      <w:bookmarkEnd w:id="121"/>
    </w:p>
    <w:p w14:paraId="49A6A3B8" w14:textId="452F67B7" w:rsidR="000C3233" w:rsidRDefault="000C3233" w:rsidP="002A0954">
      <w:pPr>
        <w:pStyle w:val="ParaText"/>
        <w:spacing w:after="0" w:line="360" w:lineRule="auto"/>
        <w:jc w:val="left"/>
      </w:pPr>
      <w:r>
        <w:t>CAISO Tariff Section 37.9.4, Disposition of Proceeds</w:t>
      </w:r>
    </w:p>
    <w:p w14:paraId="46AAACD3" w14:textId="77777777" w:rsidR="002A0954" w:rsidRDefault="002A0954" w:rsidP="002A0954">
      <w:pPr>
        <w:pStyle w:val="ParaText"/>
        <w:spacing w:after="0" w:line="360" w:lineRule="auto"/>
        <w:jc w:val="left"/>
      </w:pPr>
    </w:p>
    <w:p w14:paraId="18E3A110" w14:textId="2294CE20" w:rsidR="001F273E" w:rsidRDefault="000C3233" w:rsidP="002A0954">
      <w:pPr>
        <w:pStyle w:val="ParaText"/>
        <w:spacing w:after="0" w:line="360" w:lineRule="auto"/>
        <w:jc w:val="left"/>
      </w:pPr>
      <w:r>
        <w:t xml:space="preserve">Payments received for </w:t>
      </w:r>
      <w:r w:rsidR="00D83771">
        <w:t>Rules of Conduct</w:t>
      </w:r>
      <w:r>
        <w:t xml:space="preserve"> penalties are credited to an interest bearing trust account where they are held until </w:t>
      </w:r>
      <w:r w:rsidR="000C5EAE">
        <w:t>allocated</w:t>
      </w:r>
      <w:r>
        <w:t xml:space="preserve">. </w:t>
      </w:r>
      <w:r w:rsidR="00B756D5">
        <w:t xml:space="preserve"> </w:t>
      </w:r>
      <w:r>
        <w:t xml:space="preserve">CAISO distributes these funds to </w:t>
      </w:r>
      <w:r w:rsidR="007A59E9">
        <w:t xml:space="preserve">eligible </w:t>
      </w:r>
      <w:r>
        <w:t xml:space="preserve">Market Participants, through </w:t>
      </w:r>
      <w:r w:rsidR="003E229E">
        <w:t>Scheduling Coordinator</w:t>
      </w:r>
      <w:r>
        <w:t>s</w:t>
      </w:r>
      <w:r w:rsidR="007A59E9">
        <w:t xml:space="preserve">.  Ineligible Market Participants are generally those Market Participants </w:t>
      </w:r>
      <w:r>
        <w:t>that were assessed a financial penalty during the calendar year</w:t>
      </w:r>
      <w:r w:rsidR="007A59E9">
        <w:t>, and are described in detail in CAISO Tariff Section 37.9.4</w:t>
      </w:r>
      <w:r w:rsidR="001F273E">
        <w:t>.</w:t>
      </w:r>
      <w:r w:rsidR="000C5EAE">
        <w:t xml:space="preserve"> </w:t>
      </w:r>
    </w:p>
    <w:p w14:paraId="3A0FFDB2" w14:textId="76514B31" w:rsidR="002A0954" w:rsidRDefault="002A0954" w:rsidP="002A0954">
      <w:pPr>
        <w:spacing w:after="0"/>
        <w:jc w:val="left"/>
      </w:pPr>
      <w:r>
        <w:br w:type="page"/>
      </w:r>
    </w:p>
    <w:p w14:paraId="6FA6A6C5" w14:textId="77777777" w:rsidR="000C3233" w:rsidRDefault="000C3233" w:rsidP="002A0954">
      <w:pPr>
        <w:pStyle w:val="ParaText"/>
        <w:spacing w:after="0" w:line="360" w:lineRule="auto"/>
        <w:jc w:val="left"/>
      </w:pPr>
      <w:r>
        <w:lastRenderedPageBreak/>
        <w:t>The penalty funds are distributed by CAISO as follows:</w:t>
      </w:r>
    </w:p>
    <w:p w14:paraId="6758CA1A" w14:textId="610309F0" w:rsidR="000C3233" w:rsidRDefault="000C3233" w:rsidP="00CD6CB2">
      <w:pPr>
        <w:pStyle w:val="1"/>
        <w:numPr>
          <w:ilvl w:val="0"/>
          <w:numId w:val="38"/>
        </w:numPr>
        <w:tabs>
          <w:tab w:val="clear" w:pos="1440"/>
          <w:tab w:val="num" w:pos="720"/>
        </w:tabs>
        <w:spacing w:after="0" w:line="360" w:lineRule="auto"/>
        <w:ind w:left="720"/>
        <w:jc w:val="left"/>
      </w:pPr>
      <w:r>
        <w:t xml:space="preserve">After the </w:t>
      </w:r>
      <w:r w:rsidR="00120821">
        <w:t xml:space="preserve">end of </w:t>
      </w:r>
      <w:r>
        <w:t xml:space="preserve">each calendar year, each </w:t>
      </w:r>
      <w:r w:rsidR="003E229E">
        <w:t>Scheduling Coordinator</w:t>
      </w:r>
      <w:r>
        <w:t xml:space="preserve"> </w:t>
      </w:r>
      <w:r w:rsidR="001C28A3">
        <w:t>that is an ineligible Market Participant or that represented an ineligible Market Participant</w:t>
      </w:r>
      <w:r w:rsidR="001C28A3" w:rsidDel="001C28A3">
        <w:t xml:space="preserve"> </w:t>
      </w:r>
      <w:r w:rsidR="00120821">
        <w:t xml:space="preserve"> during that calendar year </w:t>
      </w:r>
      <w:r w:rsidR="003B16EB">
        <w:t xml:space="preserve">will identify </w:t>
      </w:r>
      <w:r>
        <w:t>the amount of GMC paid by each Market Participant that the S</w:t>
      </w:r>
      <w:r w:rsidR="00422718">
        <w:t xml:space="preserve">cheduling </w:t>
      </w:r>
      <w:r>
        <w:t>C</w:t>
      </w:r>
      <w:r w:rsidR="00422718">
        <w:t>oordinator</w:t>
      </w:r>
      <w:r>
        <w:t xml:space="preserve"> represented during that year</w:t>
      </w:r>
      <w:r w:rsidR="00047CC9">
        <w:t xml:space="preserve"> and the GMC paid by the </w:t>
      </w:r>
      <w:r w:rsidR="003E229E">
        <w:t>Scheduling Coordinator</w:t>
      </w:r>
      <w:r w:rsidR="00047CC9">
        <w:t xml:space="preserve"> itself for services provided on its own behalf</w:t>
      </w:r>
      <w:r>
        <w:t>.</w:t>
      </w:r>
      <w:r w:rsidR="003E229E">
        <w:t xml:space="preserve"> </w:t>
      </w:r>
      <w:r w:rsidR="00B756D5">
        <w:t xml:space="preserve"> </w:t>
      </w:r>
      <w:r w:rsidR="003E229E">
        <w:t>T</w:t>
      </w:r>
      <w:r>
        <w:t>he total amount assigned to all Market Participants shall equal the total GMC paid by that Scheduling Coordinator.</w:t>
      </w:r>
    </w:p>
    <w:p w14:paraId="544E2F12" w14:textId="77777777" w:rsidR="003E229E" w:rsidRPr="003E229E" w:rsidRDefault="000C5EAE" w:rsidP="002A0954">
      <w:pPr>
        <w:pStyle w:val="1"/>
        <w:numPr>
          <w:ilvl w:val="0"/>
          <w:numId w:val="38"/>
        </w:numPr>
        <w:tabs>
          <w:tab w:val="clear" w:pos="1440"/>
          <w:tab w:val="num" w:pos="720"/>
        </w:tabs>
        <w:spacing w:after="0" w:line="360" w:lineRule="auto"/>
        <w:ind w:left="720"/>
        <w:jc w:val="left"/>
      </w:pPr>
      <w:r>
        <w:t xml:space="preserve">The </w:t>
      </w:r>
      <w:r w:rsidR="003E229E" w:rsidRPr="004757F7">
        <w:t xml:space="preserve">CAISO calculates the payment due each </w:t>
      </w:r>
      <w:r w:rsidR="003E229E">
        <w:t>Scheduling Coordinator</w:t>
      </w:r>
      <w:r w:rsidR="003E229E" w:rsidRPr="004757F7">
        <w:t xml:space="preserve"> as a pro-rata share of the total</w:t>
      </w:r>
      <w:r w:rsidR="003E229E">
        <w:t xml:space="preserve"> amount in the trust account determined by the ratio of the GMC paid by the S</w:t>
      </w:r>
      <w:r w:rsidR="00422718">
        <w:t>cheduling Coordinator</w:t>
      </w:r>
      <w:r w:rsidR="003E229E">
        <w:t xml:space="preserve"> on behalf of eligible Market Participants to the total GMC paid by all S</w:t>
      </w:r>
      <w:r w:rsidR="00422718">
        <w:t xml:space="preserve">cheduling </w:t>
      </w:r>
      <w:r w:rsidR="003E229E">
        <w:t>C</w:t>
      </w:r>
      <w:r w:rsidR="00422718">
        <w:t>oordinator</w:t>
      </w:r>
      <w:r w:rsidR="003E229E">
        <w:t>s on behalf of eligible Market Participants.  The payment due to each Scheduling Coordinator shall not exceed the GMC actually paid by all eligible Market Participants represented by that Scheduling Coordinator.</w:t>
      </w:r>
    </w:p>
    <w:p w14:paraId="3AD2B013" w14:textId="0AA42F43" w:rsidR="000C3233" w:rsidRPr="00B40026" w:rsidRDefault="00B40026" w:rsidP="002A0954">
      <w:pPr>
        <w:pStyle w:val="1"/>
        <w:numPr>
          <w:ilvl w:val="0"/>
          <w:numId w:val="38"/>
        </w:numPr>
        <w:tabs>
          <w:tab w:val="clear" w:pos="1440"/>
          <w:tab w:val="num" w:pos="720"/>
        </w:tabs>
        <w:spacing w:after="0" w:line="360" w:lineRule="auto"/>
        <w:ind w:left="720"/>
        <w:jc w:val="left"/>
      </w:pPr>
      <w:r>
        <w:rPr>
          <w:rFonts w:cs="Arial"/>
        </w:rPr>
        <w:t>T</w:t>
      </w:r>
      <w:r w:rsidR="000C5EAE">
        <w:t xml:space="preserve">he </w:t>
      </w:r>
      <w:r w:rsidR="000C3233">
        <w:t>CAISO includes the payment on Settlement Statements, as Charge Code 1592.</w:t>
      </w:r>
      <w:r w:rsidR="00CF4664">
        <w:t xml:space="preserve">  Each </w:t>
      </w:r>
      <w:r w:rsidR="003E229E">
        <w:t>Scheduling Coordinator</w:t>
      </w:r>
      <w:r w:rsidR="00CF4664">
        <w:t xml:space="preserve"> is responsible for distributing payments to the eligible Market Participants it represents in </w:t>
      </w:r>
      <w:r w:rsidR="007F70AE">
        <w:t xml:space="preserve">accordance with the </w:t>
      </w:r>
      <w:r w:rsidR="007F70AE">
        <w:rPr>
          <w:rFonts w:cs="Arial"/>
        </w:rPr>
        <w:t>FERC approved determination of eligible Market Participants and their respective shares of the trust account proceeds.</w:t>
      </w:r>
    </w:p>
    <w:p w14:paraId="3FB98F56" w14:textId="6A61EF00" w:rsidR="00B40026" w:rsidRDefault="00B40026" w:rsidP="002A0954">
      <w:pPr>
        <w:pStyle w:val="1"/>
        <w:numPr>
          <w:ilvl w:val="0"/>
          <w:numId w:val="38"/>
        </w:numPr>
        <w:tabs>
          <w:tab w:val="clear" w:pos="1440"/>
          <w:tab w:val="num" w:pos="720"/>
        </w:tabs>
        <w:spacing w:after="0" w:line="360" w:lineRule="auto"/>
        <w:ind w:left="720"/>
      </w:pPr>
      <w:r w:rsidRPr="00B40026">
        <w:t>After allocating the penalty proceeds, the CAISO posts an informational report to the CAISO Website providing information about the financial Sanctions assessed for the calendar year, including the number of violations and total financial Sanctions assessed for each category of violation, and issues a Market Notice informing Scheduling Coordinators and Market Participants of the availability of the report.</w:t>
      </w:r>
    </w:p>
    <w:p w14:paraId="4A1AC8DD" w14:textId="77777777" w:rsidR="002A0954" w:rsidRDefault="002A0954" w:rsidP="002A0954">
      <w:pPr>
        <w:pStyle w:val="1"/>
        <w:numPr>
          <w:ilvl w:val="0"/>
          <w:numId w:val="0"/>
        </w:numPr>
        <w:spacing w:after="0" w:line="360" w:lineRule="auto"/>
        <w:ind w:left="720"/>
      </w:pPr>
    </w:p>
    <w:p w14:paraId="4CBCA631" w14:textId="77777777" w:rsidR="00453958" w:rsidRDefault="00453958" w:rsidP="002A0954">
      <w:pPr>
        <w:pStyle w:val="ParaText"/>
        <w:spacing w:after="0" w:line="360" w:lineRule="auto"/>
        <w:jc w:val="left"/>
      </w:pPr>
      <w:r>
        <w:t>A simplified example of the penalty distribution methodology</w:t>
      </w:r>
      <w:r w:rsidR="00CF4664">
        <w:t xml:space="preserve">, assuming $1,000 in penalties </w:t>
      </w:r>
      <w:r w:rsidR="001F273E">
        <w:t xml:space="preserve">were </w:t>
      </w:r>
      <w:r w:rsidR="00CF4664">
        <w:t>collected over the calendar year</w:t>
      </w:r>
      <w:r w:rsidR="0045269F">
        <w:t>,</w:t>
      </w:r>
      <w:r>
        <w:t xml:space="preserve"> is as follows:</w:t>
      </w:r>
    </w:p>
    <w:p w14:paraId="2962B952" w14:textId="0ED28E95" w:rsidR="00A241D7" w:rsidRPr="0045269F" w:rsidRDefault="00B756D5" w:rsidP="002A0954">
      <w:pPr>
        <w:pStyle w:val="Caption"/>
      </w:pPr>
      <w:r w:rsidRPr="00796A20">
        <w:rPr>
          <w:noProof/>
        </w:rPr>
        <w:drawing>
          <wp:inline distT="0" distB="0" distL="0" distR="0" wp14:anchorId="6CD0126E" wp14:editId="65C69304">
            <wp:extent cx="5507355" cy="18542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07355" cy="1854200"/>
                    </a:xfrm>
                    <a:prstGeom prst="rect">
                      <a:avLst/>
                    </a:prstGeom>
                    <a:noFill/>
                    <a:ln>
                      <a:noFill/>
                    </a:ln>
                  </pic:spPr>
                </pic:pic>
              </a:graphicData>
            </a:graphic>
          </wp:inline>
        </w:drawing>
      </w:r>
    </w:p>
    <w:p w14:paraId="4B6C5601" w14:textId="08F7E6FE" w:rsidR="000C3233" w:rsidRPr="002E506B" w:rsidRDefault="000C3233" w:rsidP="002E506B">
      <w:pPr>
        <w:pStyle w:val="Heading2"/>
        <w:tabs>
          <w:tab w:val="clear" w:pos="1080"/>
          <w:tab w:val="num" w:pos="720"/>
        </w:tabs>
        <w:jc w:val="left"/>
        <w:rPr>
          <w:color w:val="2F5496" w:themeColor="accent5" w:themeShade="BF"/>
        </w:rPr>
      </w:pPr>
      <w:bookmarkStart w:id="122" w:name="_Toc181699732"/>
      <w:bookmarkStart w:id="123" w:name="_Toc188947233"/>
      <w:r w:rsidRPr="002E506B">
        <w:rPr>
          <w:color w:val="2F5496" w:themeColor="accent5" w:themeShade="BF"/>
        </w:rPr>
        <w:lastRenderedPageBreak/>
        <w:t>Record Keeping</w:t>
      </w:r>
      <w:bookmarkEnd w:id="122"/>
      <w:bookmarkEnd w:id="123"/>
    </w:p>
    <w:p w14:paraId="6790E04C" w14:textId="77777777" w:rsidR="002E506B" w:rsidRDefault="000C3233" w:rsidP="002E506B">
      <w:pPr>
        <w:pStyle w:val="ParaText"/>
        <w:spacing w:after="0" w:line="360" w:lineRule="auto"/>
        <w:jc w:val="left"/>
      </w:pPr>
      <w:r>
        <w:t>CAISO Tariff Section 37.8.9, Record of Investigation</w:t>
      </w:r>
    </w:p>
    <w:p w14:paraId="162C4EB0" w14:textId="769FB287" w:rsidR="000C3233" w:rsidRDefault="000C3233" w:rsidP="002E506B">
      <w:pPr>
        <w:pStyle w:val="ParaText"/>
        <w:spacing w:after="0" w:line="360" w:lineRule="auto"/>
        <w:jc w:val="left"/>
      </w:pPr>
    </w:p>
    <w:p w14:paraId="3CD3861C" w14:textId="1483B4FF" w:rsidR="000C3233" w:rsidRDefault="000C5EAE" w:rsidP="002E506B">
      <w:pPr>
        <w:pStyle w:val="ParaText"/>
        <w:spacing w:after="0" w:line="360" w:lineRule="auto"/>
        <w:jc w:val="left"/>
      </w:pPr>
      <w:r>
        <w:t>The CAISO</w:t>
      </w:r>
      <w:r w:rsidR="00E8348D">
        <w:t xml:space="preserve"> </w:t>
      </w:r>
      <w:r w:rsidR="000C3233">
        <w:t xml:space="preserve">retains </w:t>
      </w:r>
      <w:r w:rsidR="008005A7">
        <w:t xml:space="preserve">records of Rules of Conduct investigations per CAISO Tariff Section 37.8.9 and </w:t>
      </w:r>
      <w:r w:rsidR="000C3233">
        <w:t xml:space="preserve">as required by the CAISO </w:t>
      </w:r>
      <w:bookmarkStart w:id="124" w:name="OLE_LINK4"/>
      <w:bookmarkStart w:id="125" w:name="OLE_LINK7"/>
      <w:r w:rsidR="00AD6EC8">
        <w:t xml:space="preserve">Record </w:t>
      </w:r>
      <w:r w:rsidR="00E8348D">
        <w:t>Retention</w:t>
      </w:r>
      <w:r w:rsidR="000C3233">
        <w:t xml:space="preserve"> Policy</w:t>
      </w:r>
      <w:bookmarkEnd w:id="124"/>
      <w:bookmarkEnd w:id="125"/>
      <w:r w:rsidR="008005A7">
        <w:t xml:space="preserve">,  </w:t>
      </w:r>
      <w:r w:rsidR="000C3233">
        <w:t xml:space="preserve">The record of investigation includes </w:t>
      </w:r>
      <w:r w:rsidR="008005A7">
        <w:t xml:space="preserve">copies of the notifications issued to Market Participants and </w:t>
      </w:r>
      <w:r w:rsidR="000C3233">
        <w:t xml:space="preserve">all data that </w:t>
      </w:r>
      <w:r>
        <w:t xml:space="preserve">the </w:t>
      </w:r>
      <w:r w:rsidR="000C3233">
        <w:t xml:space="preserve">CAISO considered </w:t>
      </w:r>
      <w:r w:rsidR="00015971">
        <w:t>relating to the following issues:</w:t>
      </w:r>
      <w:r w:rsidR="000C3233">
        <w:t xml:space="preserve"> a) </w:t>
      </w:r>
      <w:r w:rsidR="00015971">
        <w:t xml:space="preserve">whether </w:t>
      </w:r>
      <w:r w:rsidR="000C3233">
        <w:t>the Rules of Conduct were violated</w:t>
      </w:r>
      <w:r w:rsidR="00015971">
        <w:t>;</w:t>
      </w:r>
      <w:r w:rsidR="000C3233">
        <w:t xml:space="preserve"> b) any </w:t>
      </w:r>
      <w:r w:rsidR="00A77307">
        <w:t xml:space="preserve">information that the Market Participant provided to indicate that a violation did </w:t>
      </w:r>
      <w:r w:rsidR="008005A7">
        <w:t xml:space="preserve">or did </w:t>
      </w:r>
      <w:r w:rsidR="00A77307">
        <w:t>not occur</w:t>
      </w:r>
      <w:r w:rsidR="00015971">
        <w:t>;</w:t>
      </w:r>
      <w:r w:rsidR="000C3233">
        <w:t xml:space="preserve"> </w:t>
      </w:r>
      <w:r w:rsidR="003E1B23">
        <w:t xml:space="preserve">and </w:t>
      </w:r>
      <w:r w:rsidR="000C3233">
        <w:t xml:space="preserve">c) </w:t>
      </w:r>
      <w:r w:rsidR="00015971">
        <w:t xml:space="preserve">whether </w:t>
      </w:r>
      <w:r w:rsidR="000C3233">
        <w:t>any separate Market Participant was responsible for the violation.</w:t>
      </w:r>
    </w:p>
    <w:p w14:paraId="19CCC7A7" w14:textId="4A0B70BC" w:rsidR="00DE24B0" w:rsidRDefault="00DE24B0">
      <w:pPr>
        <w:spacing w:after="0"/>
        <w:jc w:val="left"/>
      </w:pPr>
      <w:r>
        <w:br w:type="page"/>
      </w:r>
    </w:p>
    <w:p w14:paraId="3C7AEFFB" w14:textId="25A52288" w:rsidR="00DE24B0" w:rsidRPr="002E506B" w:rsidRDefault="00DE24B0" w:rsidP="00DE24B0">
      <w:pPr>
        <w:pStyle w:val="Heading1"/>
        <w:pBdr>
          <w:top w:val="single" w:sz="12" w:space="1" w:color="2F5496" w:themeColor="accent5" w:themeShade="BF"/>
          <w:bottom w:val="single" w:sz="12" w:space="1" w:color="2F5496" w:themeColor="accent5" w:themeShade="BF"/>
        </w:pBdr>
        <w:tabs>
          <w:tab w:val="clear" w:pos="1080"/>
          <w:tab w:val="num" w:pos="720"/>
        </w:tabs>
        <w:rPr>
          <w:color w:val="2F5496" w:themeColor="accent5" w:themeShade="BF"/>
          <w:sz w:val="32"/>
          <w:szCs w:val="32"/>
        </w:rPr>
      </w:pPr>
      <w:bookmarkStart w:id="126" w:name="_Toc188947234"/>
      <w:r w:rsidRPr="002E506B">
        <w:rPr>
          <w:color w:val="2F5496" w:themeColor="accent5" w:themeShade="BF"/>
          <w:sz w:val="32"/>
          <w:szCs w:val="32"/>
        </w:rPr>
        <w:lastRenderedPageBreak/>
        <w:t>R</w:t>
      </w:r>
      <w:r w:rsidR="002E506B" w:rsidRPr="002E506B">
        <w:rPr>
          <w:color w:val="2F5496" w:themeColor="accent5" w:themeShade="BF"/>
          <w:sz w:val="32"/>
          <w:szCs w:val="32"/>
        </w:rPr>
        <w:t>EVISION HISTORY</w:t>
      </w:r>
      <w:bookmarkEnd w:id="1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10"/>
        <w:gridCol w:w="1410"/>
        <w:gridCol w:w="5940"/>
      </w:tblGrid>
      <w:tr w:rsidR="00DE24B0" w14:paraId="5DFE4782" w14:textId="77777777" w:rsidTr="002E506B">
        <w:trPr>
          <w:tblHeader/>
        </w:trPr>
        <w:tc>
          <w:tcPr>
            <w:tcW w:w="1200" w:type="dxa"/>
            <w:shd w:val="clear" w:color="auto" w:fill="2F5496" w:themeFill="accent5" w:themeFillShade="BF"/>
          </w:tcPr>
          <w:p w14:paraId="53553EA2" w14:textId="77777777" w:rsidR="00DE24B0" w:rsidRDefault="00DE24B0" w:rsidP="00DE24B0">
            <w:pPr>
              <w:spacing w:before="60" w:after="60"/>
              <w:jc w:val="left"/>
              <w:rPr>
                <w:color w:val="FFFFFF"/>
                <w:sz w:val="28"/>
              </w:rPr>
            </w:pPr>
            <w:r>
              <w:rPr>
                <w:color w:val="FFFFFF"/>
                <w:sz w:val="28"/>
              </w:rPr>
              <w:t>Version</w:t>
            </w:r>
          </w:p>
        </w:tc>
        <w:tc>
          <w:tcPr>
            <w:tcW w:w="1410" w:type="dxa"/>
            <w:shd w:val="clear" w:color="auto" w:fill="2F5496" w:themeFill="accent5" w:themeFillShade="BF"/>
          </w:tcPr>
          <w:p w14:paraId="0850AD83" w14:textId="77777777" w:rsidR="00DE24B0" w:rsidRDefault="00DE24B0" w:rsidP="00DE24B0">
            <w:pPr>
              <w:spacing w:before="60" w:after="60"/>
              <w:jc w:val="center"/>
              <w:rPr>
                <w:color w:val="FFFFFF"/>
                <w:sz w:val="28"/>
              </w:rPr>
            </w:pPr>
            <w:r>
              <w:rPr>
                <w:color w:val="FFFFFF"/>
                <w:sz w:val="28"/>
              </w:rPr>
              <w:t>PRR</w:t>
            </w:r>
          </w:p>
        </w:tc>
        <w:tc>
          <w:tcPr>
            <w:tcW w:w="1410" w:type="dxa"/>
            <w:shd w:val="clear" w:color="auto" w:fill="2F5496" w:themeFill="accent5" w:themeFillShade="BF"/>
          </w:tcPr>
          <w:p w14:paraId="1A1D3A35" w14:textId="77777777" w:rsidR="00DE24B0" w:rsidRDefault="00DE24B0" w:rsidP="00DE24B0">
            <w:pPr>
              <w:spacing w:before="60" w:after="60"/>
              <w:jc w:val="left"/>
              <w:rPr>
                <w:color w:val="FFFFFF"/>
                <w:sz w:val="28"/>
              </w:rPr>
            </w:pPr>
            <w:r>
              <w:rPr>
                <w:color w:val="FFFFFF"/>
                <w:sz w:val="28"/>
              </w:rPr>
              <w:t>Date</w:t>
            </w:r>
          </w:p>
        </w:tc>
        <w:tc>
          <w:tcPr>
            <w:tcW w:w="5940" w:type="dxa"/>
            <w:shd w:val="clear" w:color="auto" w:fill="2F5496" w:themeFill="accent5" w:themeFillShade="BF"/>
          </w:tcPr>
          <w:p w14:paraId="6E4EBEE5" w14:textId="77777777" w:rsidR="00DE24B0" w:rsidRDefault="00DE24B0" w:rsidP="00DE24B0">
            <w:pPr>
              <w:spacing w:before="60" w:after="60"/>
              <w:jc w:val="left"/>
              <w:rPr>
                <w:color w:val="FFFFFF"/>
                <w:sz w:val="28"/>
              </w:rPr>
            </w:pPr>
            <w:r>
              <w:rPr>
                <w:color w:val="FFFFFF"/>
                <w:sz w:val="28"/>
              </w:rPr>
              <w:t>Description</w:t>
            </w:r>
          </w:p>
        </w:tc>
      </w:tr>
      <w:tr w:rsidR="00DE24B0" w14:paraId="24254C7F" w14:textId="77777777" w:rsidTr="00DE24B0">
        <w:tc>
          <w:tcPr>
            <w:tcW w:w="1200" w:type="dxa"/>
          </w:tcPr>
          <w:p w14:paraId="7F0A2ADA" w14:textId="77777777" w:rsidR="00DE24B0" w:rsidRDefault="00DE24B0" w:rsidP="00DE24B0">
            <w:pPr>
              <w:spacing w:before="60" w:after="60"/>
              <w:jc w:val="center"/>
            </w:pPr>
            <w:r>
              <w:t>8</w:t>
            </w:r>
          </w:p>
        </w:tc>
        <w:tc>
          <w:tcPr>
            <w:tcW w:w="1410" w:type="dxa"/>
          </w:tcPr>
          <w:p w14:paraId="441AEB3A" w14:textId="24206C55" w:rsidR="00DE24B0" w:rsidRPr="00AE5C1D" w:rsidRDefault="00F06EFC" w:rsidP="00DE24B0">
            <w:pPr>
              <w:spacing w:before="60" w:after="60"/>
              <w:jc w:val="center"/>
            </w:pPr>
            <w:r>
              <w:t>1600</w:t>
            </w:r>
          </w:p>
        </w:tc>
        <w:tc>
          <w:tcPr>
            <w:tcW w:w="1410" w:type="dxa"/>
          </w:tcPr>
          <w:p w14:paraId="57BED7A0" w14:textId="691D2BDE" w:rsidR="00DE24B0" w:rsidRDefault="00D80EF1" w:rsidP="00DE24B0">
            <w:pPr>
              <w:spacing w:before="60" w:after="60"/>
              <w:jc w:val="left"/>
            </w:pPr>
            <w:r>
              <w:t>1/6</w:t>
            </w:r>
            <w:r w:rsidR="00DE24B0">
              <w:t>/2025</w:t>
            </w:r>
          </w:p>
        </w:tc>
        <w:tc>
          <w:tcPr>
            <w:tcW w:w="5940" w:type="dxa"/>
          </w:tcPr>
          <w:p w14:paraId="4F6300DF" w14:textId="0B8D4900" w:rsidR="00DE24B0" w:rsidRDefault="00F06EFC" w:rsidP="00DE24B0">
            <w:pPr>
              <w:pStyle w:val="ParaText"/>
              <w:spacing w:before="60" w:after="60" w:line="240" w:lineRule="auto"/>
              <w:jc w:val="left"/>
              <w:rPr>
                <w:rFonts w:cs="Arial"/>
                <w:szCs w:val="22"/>
              </w:rPr>
            </w:pPr>
            <w:r>
              <w:rPr>
                <w:rFonts w:cs="Arial"/>
                <w:szCs w:val="22"/>
              </w:rPr>
              <w:t>Updated in support of the PEDRIT initiative Tariff changes related to the creation of demand response monitoring data penalties, s</w:t>
            </w:r>
            <w:r w:rsidRPr="00414EEF">
              <w:rPr>
                <w:rFonts w:cs="Arial"/>
                <w:szCs w:val="22"/>
              </w:rPr>
              <w:t xml:space="preserve">treamlining </w:t>
            </w:r>
            <w:r>
              <w:rPr>
                <w:rFonts w:cs="Arial"/>
                <w:szCs w:val="22"/>
              </w:rPr>
              <w:t xml:space="preserve">the </w:t>
            </w:r>
            <w:r w:rsidRPr="00414EEF">
              <w:rPr>
                <w:rFonts w:cs="Arial"/>
                <w:szCs w:val="22"/>
              </w:rPr>
              <w:t xml:space="preserve">Rules of Conduct </w:t>
            </w:r>
            <w:r>
              <w:rPr>
                <w:rFonts w:cs="Arial"/>
                <w:szCs w:val="22"/>
              </w:rPr>
              <w:t>i</w:t>
            </w:r>
            <w:r w:rsidRPr="00414EEF">
              <w:rPr>
                <w:rFonts w:cs="Arial"/>
                <w:szCs w:val="22"/>
              </w:rPr>
              <w:t xml:space="preserve">nvestigative </w:t>
            </w:r>
            <w:r>
              <w:rPr>
                <w:rFonts w:cs="Arial"/>
                <w:szCs w:val="22"/>
              </w:rPr>
              <w:t>p</w:t>
            </w:r>
            <w:r w:rsidRPr="00414EEF">
              <w:rPr>
                <w:rFonts w:cs="Arial"/>
                <w:szCs w:val="22"/>
              </w:rPr>
              <w:t>rocess</w:t>
            </w:r>
            <w:r>
              <w:rPr>
                <w:rFonts w:cs="Arial"/>
                <w:szCs w:val="22"/>
              </w:rPr>
              <w:t>, u</w:t>
            </w:r>
            <w:r w:rsidRPr="00414EEF">
              <w:rPr>
                <w:rFonts w:cs="Arial"/>
                <w:szCs w:val="22"/>
              </w:rPr>
              <w:t>pdating</w:t>
            </w:r>
            <w:r>
              <w:rPr>
                <w:rFonts w:cs="Arial"/>
                <w:szCs w:val="22"/>
              </w:rPr>
              <w:t xml:space="preserve"> the</w:t>
            </w:r>
            <w:r w:rsidRPr="00414EEF">
              <w:rPr>
                <w:rFonts w:cs="Arial"/>
                <w:szCs w:val="22"/>
              </w:rPr>
              <w:t xml:space="preserve"> </w:t>
            </w:r>
            <w:r>
              <w:rPr>
                <w:rFonts w:cs="Arial"/>
                <w:szCs w:val="22"/>
              </w:rPr>
              <w:t>p</w:t>
            </w:r>
            <w:r w:rsidRPr="00414EEF">
              <w:rPr>
                <w:rFonts w:cs="Arial"/>
                <w:szCs w:val="22"/>
              </w:rPr>
              <w:t xml:space="preserve">enalty </w:t>
            </w:r>
            <w:r>
              <w:rPr>
                <w:rFonts w:cs="Arial"/>
                <w:szCs w:val="22"/>
              </w:rPr>
              <w:t>t</w:t>
            </w:r>
            <w:r w:rsidRPr="00414EEF">
              <w:rPr>
                <w:rFonts w:cs="Arial"/>
                <w:szCs w:val="22"/>
              </w:rPr>
              <w:t xml:space="preserve">olling </w:t>
            </w:r>
            <w:r>
              <w:rPr>
                <w:rFonts w:cs="Arial"/>
                <w:szCs w:val="22"/>
              </w:rPr>
              <w:t>p</w:t>
            </w:r>
            <w:r w:rsidRPr="00414EEF">
              <w:rPr>
                <w:rFonts w:cs="Arial"/>
                <w:szCs w:val="22"/>
              </w:rPr>
              <w:t>rocess</w:t>
            </w:r>
            <w:r>
              <w:rPr>
                <w:rFonts w:cs="Arial"/>
                <w:szCs w:val="22"/>
              </w:rPr>
              <w:t>.</w:t>
            </w:r>
          </w:p>
        </w:tc>
      </w:tr>
      <w:tr w:rsidR="00DE24B0" w14:paraId="3157735C" w14:textId="77777777" w:rsidTr="00DE24B0">
        <w:tc>
          <w:tcPr>
            <w:tcW w:w="1200" w:type="dxa"/>
          </w:tcPr>
          <w:p w14:paraId="45F463AD" w14:textId="77777777" w:rsidR="00DE24B0" w:rsidRDefault="00DE24B0" w:rsidP="00DE24B0">
            <w:pPr>
              <w:spacing w:before="60" w:after="60"/>
              <w:jc w:val="center"/>
            </w:pPr>
            <w:r>
              <w:t>7</w:t>
            </w:r>
          </w:p>
        </w:tc>
        <w:tc>
          <w:tcPr>
            <w:tcW w:w="1410" w:type="dxa"/>
          </w:tcPr>
          <w:p w14:paraId="4BA0BEE3" w14:textId="77777777" w:rsidR="00DE24B0" w:rsidRPr="00AE5C1D" w:rsidRDefault="00DE24B0" w:rsidP="00DE24B0">
            <w:pPr>
              <w:spacing w:before="60" w:after="60"/>
              <w:jc w:val="center"/>
            </w:pPr>
            <w:r w:rsidRPr="00AE5C1D">
              <w:t>1555</w:t>
            </w:r>
          </w:p>
        </w:tc>
        <w:tc>
          <w:tcPr>
            <w:tcW w:w="1410" w:type="dxa"/>
          </w:tcPr>
          <w:p w14:paraId="70C7D88A" w14:textId="77777777" w:rsidR="00DE24B0" w:rsidRDefault="00DE24B0" w:rsidP="00DE24B0">
            <w:pPr>
              <w:spacing w:before="60" w:after="60"/>
              <w:jc w:val="left"/>
            </w:pPr>
            <w:r>
              <w:t>4/1/2024</w:t>
            </w:r>
          </w:p>
        </w:tc>
        <w:tc>
          <w:tcPr>
            <w:tcW w:w="5940" w:type="dxa"/>
          </w:tcPr>
          <w:p w14:paraId="3DCB0A50" w14:textId="77777777" w:rsidR="00DE24B0" w:rsidRPr="006D5B6B" w:rsidRDefault="00DE24B0" w:rsidP="00DE24B0">
            <w:pPr>
              <w:pStyle w:val="ParaText"/>
              <w:spacing w:before="60" w:after="60" w:line="240" w:lineRule="auto"/>
              <w:jc w:val="left"/>
              <w:rPr>
                <w:rFonts w:cs="Arial"/>
                <w:szCs w:val="22"/>
              </w:rPr>
            </w:pPr>
            <w:r>
              <w:rPr>
                <w:rFonts w:cs="Arial"/>
                <w:szCs w:val="22"/>
              </w:rPr>
              <w:t>Updated Tariff Section reference from 37.11 to 37.5.2.2, and Section 3.4 to support FERC approved Tariff changes related to the Disposition of Proceeds process approved in FERC Docket ER24-872.</w:t>
            </w:r>
          </w:p>
        </w:tc>
      </w:tr>
      <w:tr w:rsidR="00DE24B0" w14:paraId="320887F4" w14:textId="77777777" w:rsidTr="00DE24B0">
        <w:tc>
          <w:tcPr>
            <w:tcW w:w="1200" w:type="dxa"/>
          </w:tcPr>
          <w:p w14:paraId="02F1512A" w14:textId="77777777" w:rsidR="00DE24B0" w:rsidRDefault="00DE24B0" w:rsidP="00DE24B0">
            <w:pPr>
              <w:spacing w:before="60" w:after="60"/>
              <w:jc w:val="center"/>
            </w:pPr>
            <w:r>
              <w:t>6</w:t>
            </w:r>
          </w:p>
        </w:tc>
        <w:tc>
          <w:tcPr>
            <w:tcW w:w="1410" w:type="dxa"/>
          </w:tcPr>
          <w:p w14:paraId="7EC36955" w14:textId="77777777" w:rsidR="00DE24B0" w:rsidRDefault="00DE24B0" w:rsidP="00DE24B0">
            <w:pPr>
              <w:spacing w:before="60" w:after="60"/>
              <w:jc w:val="center"/>
            </w:pPr>
            <w:r>
              <w:t>1469</w:t>
            </w:r>
          </w:p>
        </w:tc>
        <w:tc>
          <w:tcPr>
            <w:tcW w:w="1410" w:type="dxa"/>
          </w:tcPr>
          <w:p w14:paraId="29ACE11C" w14:textId="77777777" w:rsidR="00DE24B0" w:rsidRDefault="00DE24B0" w:rsidP="00DE24B0">
            <w:pPr>
              <w:spacing w:before="60" w:after="60"/>
              <w:jc w:val="left"/>
            </w:pPr>
            <w:r>
              <w:t>2/11/2023</w:t>
            </w:r>
          </w:p>
        </w:tc>
        <w:tc>
          <w:tcPr>
            <w:tcW w:w="5940" w:type="dxa"/>
          </w:tcPr>
          <w:p w14:paraId="6844CA0F" w14:textId="77777777" w:rsidR="00DE24B0" w:rsidRDefault="00DE24B0" w:rsidP="00DE24B0">
            <w:pPr>
              <w:pStyle w:val="ParaText"/>
              <w:spacing w:before="60" w:after="60" w:line="240" w:lineRule="auto"/>
              <w:jc w:val="left"/>
              <w:rPr>
                <w:rFonts w:cs="Arial"/>
                <w:szCs w:val="22"/>
              </w:rPr>
            </w:pPr>
            <w:r w:rsidRPr="006D5B6B">
              <w:rPr>
                <w:rFonts w:cs="Arial"/>
                <w:szCs w:val="22"/>
              </w:rPr>
              <w:t xml:space="preserve">Updated reference to Tariff Section 37.5.2 to </w:t>
            </w:r>
            <w:r>
              <w:rPr>
                <w:rFonts w:cs="Arial"/>
                <w:szCs w:val="22"/>
              </w:rPr>
              <w:t>‘</w:t>
            </w:r>
            <w:r w:rsidRPr="006D5B6B">
              <w:rPr>
                <w:rFonts w:cs="Arial"/>
                <w:szCs w:val="22"/>
              </w:rPr>
              <w:t>Accurate and Timely Actual SQMD</w:t>
            </w:r>
            <w:r>
              <w:rPr>
                <w:rFonts w:cs="Arial"/>
                <w:szCs w:val="22"/>
              </w:rPr>
              <w:t>’</w:t>
            </w:r>
            <w:r w:rsidRPr="006D5B6B">
              <w:rPr>
                <w:rFonts w:cs="Arial"/>
                <w:szCs w:val="22"/>
              </w:rPr>
              <w:t xml:space="preserve"> to align with CAISO Tariff bucket filing language change.</w:t>
            </w:r>
          </w:p>
        </w:tc>
      </w:tr>
      <w:tr w:rsidR="00DE24B0" w14:paraId="4B8E9BB3" w14:textId="77777777" w:rsidTr="00DE24B0">
        <w:tc>
          <w:tcPr>
            <w:tcW w:w="1200" w:type="dxa"/>
          </w:tcPr>
          <w:p w14:paraId="0C5461B4" w14:textId="77777777" w:rsidR="00DE24B0" w:rsidRDefault="00DE24B0" w:rsidP="00DE24B0">
            <w:pPr>
              <w:spacing w:before="60" w:after="60"/>
              <w:jc w:val="center"/>
            </w:pPr>
            <w:r>
              <w:t>5</w:t>
            </w:r>
          </w:p>
        </w:tc>
        <w:tc>
          <w:tcPr>
            <w:tcW w:w="1410" w:type="dxa"/>
          </w:tcPr>
          <w:p w14:paraId="1C34E380" w14:textId="77777777" w:rsidR="00DE24B0" w:rsidRDefault="00DE24B0" w:rsidP="00DE24B0">
            <w:pPr>
              <w:spacing w:before="60" w:after="60"/>
              <w:jc w:val="center"/>
            </w:pPr>
            <w:r>
              <w:t>474</w:t>
            </w:r>
          </w:p>
        </w:tc>
        <w:tc>
          <w:tcPr>
            <w:tcW w:w="1410" w:type="dxa"/>
          </w:tcPr>
          <w:p w14:paraId="34086650" w14:textId="77777777" w:rsidR="00DE24B0" w:rsidRDefault="00DE24B0" w:rsidP="00DE24B0">
            <w:pPr>
              <w:spacing w:before="60" w:after="60"/>
              <w:jc w:val="left"/>
            </w:pPr>
            <w:r>
              <w:t>10/04/2011</w:t>
            </w:r>
          </w:p>
        </w:tc>
        <w:tc>
          <w:tcPr>
            <w:tcW w:w="5940" w:type="dxa"/>
          </w:tcPr>
          <w:p w14:paraId="4149E979" w14:textId="77777777" w:rsidR="00DE24B0" w:rsidRPr="00BA5357" w:rsidRDefault="00DE24B0" w:rsidP="00DE24B0">
            <w:pPr>
              <w:pStyle w:val="ParaText"/>
              <w:spacing w:before="60" w:after="60" w:line="240" w:lineRule="auto"/>
              <w:jc w:val="left"/>
              <w:rPr>
                <w:rFonts w:cs="Arial"/>
                <w:szCs w:val="22"/>
              </w:rPr>
            </w:pPr>
            <w:r>
              <w:rPr>
                <w:rFonts w:cs="Arial"/>
                <w:szCs w:val="22"/>
              </w:rPr>
              <w:t xml:space="preserve">Revisions related to the CAISO’s April 20, 2011 Compliance Filing which was made in response to FERC’s Compliance Order of January 2011.  FERC issued their order July 5, 2011.  </w:t>
            </w:r>
          </w:p>
        </w:tc>
      </w:tr>
      <w:tr w:rsidR="00DE24B0" w14:paraId="69FADC4C" w14:textId="77777777" w:rsidTr="00DE24B0">
        <w:tc>
          <w:tcPr>
            <w:tcW w:w="1200" w:type="dxa"/>
          </w:tcPr>
          <w:p w14:paraId="38F80C93" w14:textId="77777777" w:rsidR="00DE24B0" w:rsidRDefault="00DE24B0" w:rsidP="00DE24B0">
            <w:pPr>
              <w:spacing w:before="60" w:after="60"/>
              <w:jc w:val="center"/>
            </w:pPr>
            <w:r>
              <w:t>4</w:t>
            </w:r>
          </w:p>
        </w:tc>
        <w:tc>
          <w:tcPr>
            <w:tcW w:w="1410" w:type="dxa"/>
          </w:tcPr>
          <w:p w14:paraId="1F07487C" w14:textId="77777777" w:rsidR="00DE24B0" w:rsidRDefault="00DE24B0" w:rsidP="00DE24B0">
            <w:pPr>
              <w:spacing w:before="60" w:after="60"/>
              <w:jc w:val="center"/>
            </w:pPr>
            <w:r>
              <w:t>273</w:t>
            </w:r>
          </w:p>
        </w:tc>
        <w:tc>
          <w:tcPr>
            <w:tcW w:w="1410" w:type="dxa"/>
          </w:tcPr>
          <w:p w14:paraId="757471CB" w14:textId="77777777" w:rsidR="00DE24B0" w:rsidRDefault="00DE24B0" w:rsidP="00DE24B0">
            <w:pPr>
              <w:spacing w:before="60" w:after="60"/>
              <w:jc w:val="left"/>
            </w:pPr>
            <w:r>
              <w:t xml:space="preserve"> 8/2/2010</w:t>
            </w:r>
          </w:p>
        </w:tc>
        <w:tc>
          <w:tcPr>
            <w:tcW w:w="5940" w:type="dxa"/>
          </w:tcPr>
          <w:p w14:paraId="0F3E7428" w14:textId="77777777" w:rsidR="00DE24B0" w:rsidRPr="00BA5357" w:rsidRDefault="00DE24B0" w:rsidP="00DE24B0">
            <w:pPr>
              <w:pStyle w:val="ParaText"/>
              <w:spacing w:before="60" w:after="60" w:line="240" w:lineRule="auto"/>
              <w:jc w:val="left"/>
              <w:rPr>
                <w:rFonts w:cs="Arial"/>
                <w:szCs w:val="22"/>
              </w:rPr>
            </w:pPr>
            <w:r w:rsidRPr="00BA5357">
              <w:rPr>
                <w:rFonts w:cs="Arial"/>
                <w:szCs w:val="22"/>
              </w:rPr>
              <w:t xml:space="preserve">Revisions related to the CAISO’s February 18, 2010 compliance filing, which was made in response to FERC’s November 19, 2009 </w:t>
            </w:r>
            <w:r w:rsidRPr="00BA5357">
              <w:rPr>
                <w:rFonts w:cs="Arial"/>
                <w:i/>
                <w:iCs/>
                <w:szCs w:val="22"/>
              </w:rPr>
              <w:t>Order on Compliance Filing</w:t>
            </w:r>
            <w:r w:rsidRPr="00BA5357">
              <w:rPr>
                <w:rFonts w:cs="Arial"/>
                <w:iCs/>
                <w:szCs w:val="22"/>
              </w:rPr>
              <w:t xml:space="preserve"> concerning the CAISO’s initial Order 719 compliance filing</w:t>
            </w:r>
            <w:r>
              <w:rPr>
                <w:rFonts w:cs="Arial"/>
                <w:iCs/>
                <w:szCs w:val="22"/>
              </w:rPr>
              <w:t xml:space="preserve"> </w:t>
            </w:r>
            <w:r>
              <w:rPr>
                <w:rFonts w:cs="Arial"/>
                <w:szCs w:val="22"/>
              </w:rPr>
              <w:t>and PTB updates.</w:t>
            </w:r>
          </w:p>
        </w:tc>
      </w:tr>
      <w:tr w:rsidR="00DE24B0" w14:paraId="68A78112" w14:textId="77777777" w:rsidTr="00DE24B0">
        <w:tc>
          <w:tcPr>
            <w:tcW w:w="1200" w:type="dxa"/>
          </w:tcPr>
          <w:p w14:paraId="57E25189" w14:textId="77777777" w:rsidR="00DE24B0" w:rsidRDefault="00DE24B0" w:rsidP="00DE24B0">
            <w:pPr>
              <w:spacing w:before="60" w:after="60"/>
              <w:jc w:val="center"/>
            </w:pPr>
            <w:r>
              <w:t>3</w:t>
            </w:r>
          </w:p>
        </w:tc>
        <w:tc>
          <w:tcPr>
            <w:tcW w:w="1410" w:type="dxa"/>
          </w:tcPr>
          <w:p w14:paraId="205ECD43" w14:textId="77777777" w:rsidR="00DE24B0" w:rsidRDefault="00DE24B0" w:rsidP="00DE24B0">
            <w:pPr>
              <w:spacing w:before="60" w:after="60"/>
              <w:jc w:val="center"/>
            </w:pPr>
            <w:r>
              <w:t>74</w:t>
            </w:r>
          </w:p>
        </w:tc>
        <w:tc>
          <w:tcPr>
            <w:tcW w:w="1410" w:type="dxa"/>
          </w:tcPr>
          <w:p w14:paraId="6FF54AAB" w14:textId="77777777" w:rsidR="00DE24B0" w:rsidRDefault="00DE24B0" w:rsidP="00DE24B0">
            <w:pPr>
              <w:spacing w:before="60" w:after="60"/>
              <w:jc w:val="left"/>
            </w:pPr>
            <w:r>
              <w:t xml:space="preserve"> 11/1/09</w:t>
            </w:r>
          </w:p>
        </w:tc>
        <w:tc>
          <w:tcPr>
            <w:tcW w:w="5940" w:type="dxa"/>
          </w:tcPr>
          <w:p w14:paraId="303E7F54" w14:textId="77777777" w:rsidR="00DE24B0" w:rsidRDefault="00DE24B0" w:rsidP="00DE24B0">
            <w:pPr>
              <w:pStyle w:val="ParaText"/>
              <w:spacing w:before="60" w:after="60" w:line="240" w:lineRule="auto"/>
              <w:jc w:val="left"/>
            </w:pPr>
            <w:r>
              <w:t>Revisions related to Payment Acceleration. PRR 74</w:t>
            </w:r>
          </w:p>
        </w:tc>
      </w:tr>
      <w:tr w:rsidR="00DE24B0" w14:paraId="005ED8F9" w14:textId="77777777" w:rsidTr="00DE24B0">
        <w:tc>
          <w:tcPr>
            <w:tcW w:w="1200" w:type="dxa"/>
          </w:tcPr>
          <w:p w14:paraId="7D0F7B48" w14:textId="77777777" w:rsidR="00DE24B0" w:rsidRDefault="00DE24B0" w:rsidP="00DE24B0">
            <w:pPr>
              <w:spacing w:before="60" w:after="60"/>
              <w:jc w:val="center"/>
            </w:pPr>
            <w:r>
              <w:t>2</w:t>
            </w:r>
          </w:p>
        </w:tc>
        <w:tc>
          <w:tcPr>
            <w:tcW w:w="1410" w:type="dxa"/>
          </w:tcPr>
          <w:p w14:paraId="55F98100" w14:textId="77777777" w:rsidR="00DE24B0" w:rsidRDefault="00DE24B0" w:rsidP="00DE24B0">
            <w:pPr>
              <w:spacing w:before="60" w:after="60"/>
              <w:jc w:val="center"/>
            </w:pPr>
            <w:r>
              <w:t>15</w:t>
            </w:r>
          </w:p>
        </w:tc>
        <w:tc>
          <w:tcPr>
            <w:tcW w:w="1410" w:type="dxa"/>
          </w:tcPr>
          <w:p w14:paraId="5FD6C2FA" w14:textId="77777777" w:rsidR="00DE24B0" w:rsidRDefault="00DE24B0" w:rsidP="00DE24B0">
            <w:pPr>
              <w:spacing w:before="60" w:after="60"/>
              <w:jc w:val="left"/>
            </w:pPr>
            <w:r>
              <w:t xml:space="preserve"> 5/7/2009</w:t>
            </w:r>
          </w:p>
        </w:tc>
        <w:tc>
          <w:tcPr>
            <w:tcW w:w="5940" w:type="dxa"/>
          </w:tcPr>
          <w:p w14:paraId="4D02D2D3" w14:textId="77777777" w:rsidR="00DE24B0" w:rsidRDefault="00DE24B0" w:rsidP="00DE24B0">
            <w:pPr>
              <w:pStyle w:val="TOC9"/>
              <w:spacing w:before="60" w:after="60"/>
            </w:pPr>
            <w:r>
              <w:t>Revisions to implement CAISO’s April 28, 2009 compliance filing in response to FERC Order 719 regarding market monitoring unit roles.</w:t>
            </w:r>
          </w:p>
        </w:tc>
      </w:tr>
      <w:tr w:rsidR="00DE24B0" w14:paraId="08345EAC" w14:textId="77777777" w:rsidTr="00DE24B0">
        <w:tc>
          <w:tcPr>
            <w:tcW w:w="1200" w:type="dxa"/>
          </w:tcPr>
          <w:p w14:paraId="51B686A6" w14:textId="77777777" w:rsidR="00DE24B0" w:rsidRDefault="00DE24B0" w:rsidP="00DE24B0">
            <w:pPr>
              <w:spacing w:before="60" w:after="60"/>
              <w:jc w:val="center"/>
            </w:pPr>
            <w:r>
              <w:t>1</w:t>
            </w:r>
          </w:p>
        </w:tc>
        <w:tc>
          <w:tcPr>
            <w:tcW w:w="1410" w:type="dxa"/>
          </w:tcPr>
          <w:p w14:paraId="62585F01" w14:textId="77777777" w:rsidR="00DE24B0" w:rsidRDefault="00DE24B0" w:rsidP="00DE24B0">
            <w:pPr>
              <w:spacing w:before="60" w:after="60"/>
              <w:jc w:val="center"/>
            </w:pPr>
          </w:p>
        </w:tc>
        <w:tc>
          <w:tcPr>
            <w:tcW w:w="1410" w:type="dxa"/>
          </w:tcPr>
          <w:p w14:paraId="73418346" w14:textId="77777777" w:rsidR="00DE24B0" w:rsidRDefault="00DE24B0" w:rsidP="00DE24B0">
            <w:pPr>
              <w:spacing w:before="60" w:after="60"/>
              <w:jc w:val="left"/>
            </w:pPr>
            <w:r>
              <w:t xml:space="preserve"> 3/13/2009</w:t>
            </w:r>
          </w:p>
        </w:tc>
        <w:tc>
          <w:tcPr>
            <w:tcW w:w="5940" w:type="dxa"/>
          </w:tcPr>
          <w:p w14:paraId="3356136F" w14:textId="77777777" w:rsidR="00DE24B0" w:rsidRDefault="00DE24B0" w:rsidP="00DE24B0">
            <w:pPr>
              <w:pStyle w:val="TOC9"/>
              <w:spacing w:before="60" w:after="60"/>
            </w:pPr>
            <w:r>
              <w:t xml:space="preserve"> Original version</w:t>
            </w:r>
          </w:p>
        </w:tc>
      </w:tr>
    </w:tbl>
    <w:p w14:paraId="33F0CB7E" w14:textId="77777777" w:rsidR="000C3233" w:rsidRDefault="000C3233">
      <w:pPr>
        <w:pStyle w:val="ParaText"/>
        <w:jc w:val="left"/>
      </w:pPr>
    </w:p>
    <w:sectPr w:rsidR="000C3233" w:rsidSect="00CA38E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EA34" w14:textId="77777777" w:rsidR="00AE3C9C" w:rsidRDefault="00AE3C9C">
      <w:r>
        <w:separator/>
      </w:r>
    </w:p>
  </w:endnote>
  <w:endnote w:type="continuationSeparator" w:id="0">
    <w:p w14:paraId="3FE3563B" w14:textId="77777777" w:rsidR="00AE3C9C" w:rsidRDefault="00A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5F4F" w14:textId="77777777" w:rsidR="00AE3C9C" w:rsidRDefault="00AE3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F066E" w14:textId="77777777" w:rsidR="00AE3C9C" w:rsidRDefault="00AE3C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7A30" w14:textId="77777777" w:rsidR="00AE3C9C" w:rsidRDefault="00AE3C9C" w:rsidP="0013038E"/>
  <w:p w14:paraId="15B24FCB" w14:textId="0389F74D" w:rsidR="00AE3C9C" w:rsidRDefault="00AE3C9C" w:rsidP="00CD6CB2">
    <w:pPr>
      <w:pStyle w:val="Footer"/>
    </w:pPr>
    <w:r w:rsidRPr="00A447B4">
      <w:rPr>
        <w:b/>
        <w:iCs/>
        <w:sz w:val="20"/>
      </w:rPr>
      <w:t xml:space="preserve">VERSION </w:t>
    </w:r>
    <w:r>
      <w:rPr>
        <w:b/>
        <w:iCs/>
        <w:sz w:val="20"/>
      </w:rPr>
      <w:t xml:space="preserve">8                             </w:t>
    </w:r>
    <w:r w:rsidRPr="00A447B4">
      <w:rPr>
        <w:b/>
        <w:iCs/>
        <w:sz w:val="20"/>
      </w:rPr>
      <w:t xml:space="preserve">LAST REVISED: </w:t>
    </w:r>
    <w:r>
      <w:rPr>
        <w:b/>
        <w:iCs/>
        <w:sz w:val="20"/>
      </w:rPr>
      <w:t>JANUARY 6</w:t>
    </w:r>
    <w:r w:rsidRPr="00A447B4">
      <w:rPr>
        <w:b/>
        <w:iCs/>
        <w:sz w:val="20"/>
      </w:rPr>
      <w:t>, 202</w:t>
    </w:r>
    <w:r>
      <w:rPr>
        <w:b/>
        <w:iCs/>
        <w:sz w:val="20"/>
      </w:rPr>
      <w:t>5</w:t>
    </w:r>
    <w:r w:rsidRPr="00436BE8">
      <w:t xml:space="preserve"> </w:t>
    </w:r>
    <w:r>
      <w:t xml:space="preserve">                                                         </w:t>
    </w:r>
    <w:sdt>
      <w:sdtPr>
        <w:id w:val="44806788"/>
        <w:docPartObj>
          <w:docPartGallery w:val="Page Numbers (Bottom of Page)"/>
          <w:docPartUnique/>
        </w:docPartObj>
      </w:sdtPr>
      <w:sdtEndPr/>
      <w:sdtContent>
        <w:r w:rsidRPr="00F72296">
          <w:rPr>
            <w:rFonts w:cs="Arial"/>
            <w:iCs/>
            <w:smallCaps/>
            <w:sz w:val="16"/>
          </w:rPr>
          <w:t xml:space="preserve">Page </w:t>
        </w:r>
        <w:r w:rsidRPr="00F72296">
          <w:rPr>
            <w:rFonts w:cs="Arial"/>
            <w:smallCaps/>
            <w:sz w:val="16"/>
            <w:szCs w:val="16"/>
          </w:rPr>
          <w:fldChar w:fldCharType="begin"/>
        </w:r>
        <w:r w:rsidRPr="00F72296">
          <w:rPr>
            <w:rFonts w:cs="Arial"/>
            <w:smallCaps/>
            <w:sz w:val="16"/>
            <w:szCs w:val="16"/>
          </w:rPr>
          <w:instrText xml:space="preserve"> PAGE </w:instrText>
        </w:r>
        <w:r w:rsidRPr="00F72296">
          <w:rPr>
            <w:rFonts w:cs="Arial"/>
            <w:smallCaps/>
            <w:sz w:val="16"/>
            <w:szCs w:val="16"/>
          </w:rPr>
          <w:fldChar w:fldCharType="separate"/>
        </w:r>
        <w:r w:rsidR="00AA038D">
          <w:rPr>
            <w:rFonts w:cs="Arial"/>
            <w:smallCaps/>
            <w:noProof/>
            <w:sz w:val="16"/>
            <w:szCs w:val="16"/>
          </w:rPr>
          <w:t>i</w:t>
        </w:r>
        <w:r w:rsidRPr="00F72296">
          <w:rPr>
            <w:rFonts w:cs="Arial"/>
            <w:smallCaps/>
            <w:sz w:val="16"/>
            <w:szCs w:val="16"/>
          </w:rPr>
          <w:fldChar w:fldCharType="end"/>
        </w:r>
        <w:r>
          <w:rPr>
            <w:rFonts w:cs="Arial"/>
            <w:smallCaps/>
            <w:sz w:val="16"/>
            <w:szCs w:val="16"/>
          </w:rPr>
          <w:t xml:space="preserve"> </w:t>
        </w:r>
      </w:sdtContent>
    </w:sdt>
  </w:p>
  <w:p w14:paraId="7D41E40B" w14:textId="77777777" w:rsidR="00AE3C9C" w:rsidRDefault="00AE3C9C">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9F0D" w14:textId="578DB9B8" w:rsidR="00AE3C9C" w:rsidRDefault="00AE3C9C" w:rsidP="00CD6CB2">
    <w:pPr>
      <w:pStyle w:val="Footer"/>
      <w:pBdr>
        <w:top w:val="none" w:sz="0" w:space="0" w:color="auto"/>
      </w:pBd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95CF" w14:textId="6AE9DF42" w:rsidR="00AE3C9C" w:rsidRDefault="00AE3C9C" w:rsidP="00CD6CB2">
    <w:pPr>
      <w:pStyle w:val="Footer"/>
    </w:pPr>
    <w:r w:rsidRPr="00A447B4">
      <w:rPr>
        <w:b/>
        <w:iCs/>
        <w:sz w:val="20"/>
      </w:rPr>
      <w:t xml:space="preserve">VERSION </w:t>
    </w:r>
    <w:r>
      <w:rPr>
        <w:b/>
        <w:iCs/>
        <w:sz w:val="20"/>
      </w:rPr>
      <w:t xml:space="preserve">8                             </w:t>
    </w:r>
    <w:r w:rsidRPr="00A447B4">
      <w:rPr>
        <w:b/>
        <w:iCs/>
        <w:sz w:val="20"/>
      </w:rPr>
      <w:t xml:space="preserve">LAST REVISED: </w:t>
    </w:r>
    <w:r>
      <w:rPr>
        <w:b/>
        <w:iCs/>
        <w:sz w:val="20"/>
      </w:rPr>
      <w:t>JANUARY 6</w:t>
    </w:r>
    <w:r w:rsidRPr="00A447B4">
      <w:rPr>
        <w:b/>
        <w:iCs/>
        <w:sz w:val="20"/>
      </w:rPr>
      <w:t>, 202</w:t>
    </w:r>
    <w:r>
      <w:rPr>
        <w:b/>
        <w:iCs/>
        <w:sz w:val="20"/>
      </w:rPr>
      <w:t>5</w:t>
    </w:r>
    <w:r w:rsidRPr="00436BE8">
      <w:t xml:space="preserve"> </w:t>
    </w:r>
    <w:r>
      <w:t xml:space="preserve">                                                       </w:t>
    </w:r>
    <w:sdt>
      <w:sdtPr>
        <w:id w:val="1234053547"/>
        <w:docPartObj>
          <w:docPartGallery w:val="Page Numbers (Bottom of Page)"/>
          <w:docPartUnique/>
        </w:docPartObj>
      </w:sdtPr>
      <w:sdtEndPr/>
      <w:sdtContent>
        <w:r w:rsidRPr="00F72296">
          <w:rPr>
            <w:rFonts w:cs="Arial"/>
            <w:iCs/>
            <w:smallCaps/>
            <w:sz w:val="16"/>
          </w:rPr>
          <w:t xml:space="preserve">Page </w:t>
        </w:r>
        <w:r w:rsidRPr="00F72296">
          <w:rPr>
            <w:rFonts w:cs="Arial"/>
            <w:smallCaps/>
            <w:sz w:val="16"/>
            <w:szCs w:val="16"/>
          </w:rPr>
          <w:fldChar w:fldCharType="begin"/>
        </w:r>
        <w:r w:rsidRPr="00F72296">
          <w:rPr>
            <w:rFonts w:cs="Arial"/>
            <w:smallCaps/>
            <w:sz w:val="16"/>
            <w:szCs w:val="16"/>
          </w:rPr>
          <w:instrText xml:space="preserve"> PAGE </w:instrText>
        </w:r>
        <w:r w:rsidRPr="00F72296">
          <w:rPr>
            <w:rFonts w:cs="Arial"/>
            <w:smallCaps/>
            <w:sz w:val="16"/>
            <w:szCs w:val="16"/>
          </w:rPr>
          <w:fldChar w:fldCharType="separate"/>
        </w:r>
        <w:r w:rsidR="00AA038D">
          <w:rPr>
            <w:rFonts w:cs="Arial"/>
            <w:smallCaps/>
            <w:noProof/>
            <w:sz w:val="16"/>
            <w:szCs w:val="16"/>
          </w:rPr>
          <w:t>21</w:t>
        </w:r>
        <w:r w:rsidRPr="00F72296">
          <w:rPr>
            <w:rFonts w:cs="Arial"/>
            <w:smallCaps/>
            <w:sz w:val="16"/>
            <w:szCs w:val="16"/>
          </w:rPr>
          <w:fldChar w:fldCharType="end"/>
        </w:r>
        <w:r>
          <w:rPr>
            <w:rFonts w:cs="Arial"/>
            <w:smallCaps/>
            <w:sz w:val="16"/>
            <w:szCs w:val="16"/>
          </w:rPr>
          <w:t xml:space="preserve"> </w:t>
        </w:r>
      </w:sdtContent>
    </w:sdt>
  </w:p>
  <w:p w14:paraId="76C833B9" w14:textId="00E36174" w:rsidR="00AE3C9C" w:rsidRPr="00BB4E3D" w:rsidRDefault="00AE3C9C">
    <w:pPr>
      <w:pStyle w:val="Footer"/>
      <w:tabs>
        <w:tab w:val="center" w:pos="4680"/>
      </w:tabs>
      <w:rPr>
        <w:i w:val="0"/>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1D7E7" w14:textId="77777777" w:rsidR="00AE3C9C" w:rsidRDefault="00AE3C9C">
      <w:r>
        <w:separator/>
      </w:r>
    </w:p>
  </w:footnote>
  <w:footnote w:type="continuationSeparator" w:id="0">
    <w:p w14:paraId="0C9A6DA2" w14:textId="77777777" w:rsidR="00AE3C9C" w:rsidRDefault="00AE3C9C">
      <w:r>
        <w:continuationSeparator/>
      </w:r>
    </w:p>
  </w:footnote>
  <w:footnote w:id="1">
    <w:p w14:paraId="4BFDD0D4" w14:textId="77777777" w:rsidR="00AE3C9C" w:rsidRDefault="00AE3C9C" w:rsidP="00E029CC">
      <w:pPr>
        <w:pStyle w:val="FootnoteText"/>
        <w:ind w:left="90" w:hanging="90"/>
      </w:pPr>
      <w:r>
        <w:rPr>
          <w:rStyle w:val="FootnoteReference"/>
        </w:rPr>
        <w:footnoteRef/>
      </w:r>
      <w:r>
        <w:t xml:space="preserve"> Provided the CAISO has sufficient objective information to identify and verify the responsibility of such Market Participants.</w:t>
      </w:r>
    </w:p>
  </w:footnote>
  <w:footnote w:id="2">
    <w:p w14:paraId="6ADDBF61" w14:textId="74FB3741" w:rsidR="00AE3C9C" w:rsidRDefault="00AE3C9C">
      <w:pPr>
        <w:pStyle w:val="FootnoteText"/>
      </w:pPr>
      <w:r>
        <w:rPr>
          <w:rStyle w:val="FootnoteReference"/>
        </w:rPr>
        <w:footnoteRef/>
      </w:r>
      <w:r>
        <w:t xml:space="preserve"> The calculations for the market adjustment charges and allocations are defined in CAISO Tariff Section 37.5.2.2.4.</w:t>
      </w:r>
    </w:p>
  </w:footnote>
  <w:footnote w:id="3">
    <w:p w14:paraId="5803EEFD" w14:textId="77777777" w:rsidR="00AE3C9C" w:rsidRDefault="00AE3C9C">
      <w:pPr>
        <w:pStyle w:val="FootnoteText"/>
      </w:pPr>
      <w:r>
        <w:rPr>
          <w:rStyle w:val="FootnoteReference"/>
        </w:rPr>
        <w:footnoteRef/>
      </w:r>
      <w:r>
        <w:t xml:space="preserve"> Under Section 37.9.3.3, the Scheduling Coordinator also has the option of netting its invoice by the amount of the</w:t>
      </w:r>
    </w:p>
    <w:p w14:paraId="29F43867" w14:textId="77777777" w:rsidR="00AE3C9C" w:rsidRDefault="00AE3C9C">
      <w:pPr>
        <w:pStyle w:val="FootnoteText"/>
      </w:pPr>
      <w:r>
        <w:t>penalty in question.  However, where the CAISO reverses the charge, such netting would not be permitted because</w:t>
      </w:r>
    </w:p>
    <w:p w14:paraId="19248EC1" w14:textId="77777777" w:rsidR="00AE3C9C" w:rsidRDefault="00AE3C9C">
      <w:pPr>
        <w:pStyle w:val="FootnoteText"/>
      </w:pPr>
      <w:r>
        <w:t>the Scheduling Coordinator would then be netting its invoice of a charge that no longer appeared on its invoice.</w:t>
      </w:r>
    </w:p>
    <w:p w14:paraId="2A853298" w14:textId="77777777" w:rsidR="00AE3C9C" w:rsidRDefault="00AE3C9C" w:rsidP="00972729">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D1DE" w14:textId="77777777" w:rsidR="00AE3C9C" w:rsidRDefault="00AE3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7A4A" w14:textId="1BC34978" w:rsidR="00AE3C9C" w:rsidRPr="00CD6CB2" w:rsidRDefault="00AE3C9C" w:rsidP="00CD6CB2">
    <w:pPr>
      <w:pStyle w:val="Header"/>
      <w:pBdr>
        <w:bottom w:val="single" w:sz="12" w:space="2" w:color="auto"/>
      </w:pBdr>
      <w:tabs>
        <w:tab w:val="clear" w:pos="8640"/>
        <w:tab w:val="right" w:pos="9360"/>
      </w:tabs>
      <w:spacing w:after="0"/>
      <w:rPr>
        <w:b w:val="0"/>
        <w:bCs/>
        <w:sz w:val="16"/>
      </w:rPr>
    </w:pPr>
    <w:r w:rsidRPr="00A447B4">
      <w:rPr>
        <w:bCs/>
        <w:sz w:val="20"/>
      </w:rPr>
      <w:t>CAISO Business Practice Manual</w:t>
    </w:r>
    <w:r w:rsidRPr="00A447B4">
      <w:rPr>
        <w:bCs/>
        <w:sz w:val="20"/>
      </w:rPr>
      <w:tab/>
    </w:r>
    <w:r>
      <w:rPr>
        <w:bCs/>
        <w:sz w:val="20"/>
      </w:rPr>
      <w:t xml:space="preserve">                                        </w:t>
    </w:r>
    <w:r w:rsidRPr="00A447B4">
      <w:rPr>
        <w:bCs/>
        <w:sz w:val="20"/>
      </w:rPr>
      <w:t xml:space="preserve">BPM for </w:t>
    </w:r>
    <w:r>
      <w:rPr>
        <w:bCs/>
        <w:sz w:val="20"/>
      </w:rPr>
      <w:t>Rules of Conduct Administration</w:t>
    </w:r>
  </w:p>
  <w:p w14:paraId="5668C903" w14:textId="6A801D64" w:rsidR="00AE3C9C" w:rsidRPr="00B62FEA" w:rsidRDefault="00AE3C9C" w:rsidP="00B6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EAA9" w14:textId="43EADE75" w:rsidR="00AE3C9C" w:rsidRDefault="00AE3C9C">
    <w:pPr>
      <w:pStyle w:val="Header"/>
    </w:pPr>
    <w:r>
      <w:rPr>
        <w:noProof/>
      </w:rPr>
      <w:drawing>
        <wp:inline distT="0" distB="0" distL="0" distR="0" wp14:anchorId="2DA52EC9" wp14:editId="3500B335">
          <wp:extent cx="2060575" cy="382270"/>
          <wp:effectExtent l="0" t="0" r="0" b="0"/>
          <wp:docPr id="13" name="Picture 13"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382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1F78"/>
    <w:multiLevelType w:val="hybridMultilevel"/>
    <w:tmpl w:val="ECFAC6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2" w15:restartNumberingAfterBreak="0">
    <w:nsid w:val="198951C4"/>
    <w:multiLevelType w:val="multilevel"/>
    <w:tmpl w:val="327C2928"/>
    <w:lvl w:ilvl="0">
      <w:start w:val="1"/>
      <w:numFmt w:val="decimal"/>
      <w:lvlText w:val="%1."/>
      <w:lvlJc w:val="left"/>
      <w:pPr>
        <w:tabs>
          <w:tab w:val="num" w:pos="1440"/>
        </w:tabs>
        <w:ind w:left="1440" w:hanging="360"/>
      </w:pPr>
      <w:rPr>
        <w:rFonts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CA6DEE"/>
    <w:multiLevelType w:val="hybridMultilevel"/>
    <w:tmpl w:val="0F5C96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3F11EE"/>
    <w:multiLevelType w:val="hybridMultilevel"/>
    <w:tmpl w:val="F3C8CB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6453F4"/>
    <w:multiLevelType w:val="hybridMultilevel"/>
    <w:tmpl w:val="12E08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3185"/>
    <w:multiLevelType w:val="hybridMultilevel"/>
    <w:tmpl w:val="E06A06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1D6DD7"/>
    <w:multiLevelType w:val="hybridMultilevel"/>
    <w:tmpl w:val="3FDC6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77D04"/>
    <w:multiLevelType w:val="hybridMultilevel"/>
    <w:tmpl w:val="B31E2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0" w15:restartNumberingAfterBreak="0">
    <w:nsid w:val="33E76532"/>
    <w:multiLevelType w:val="hybridMultilevel"/>
    <w:tmpl w:val="F7B0B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30277"/>
    <w:multiLevelType w:val="hybridMultilevel"/>
    <w:tmpl w:val="910E639A"/>
    <w:lvl w:ilvl="0" w:tplc="EC2C0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35A40007"/>
    <w:multiLevelType w:val="hybridMultilevel"/>
    <w:tmpl w:val="98C2CB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DD7089"/>
    <w:multiLevelType w:val="multilevel"/>
    <w:tmpl w:val="081C5A02"/>
    <w:lvl w:ilvl="0">
      <w:start w:val="1"/>
      <w:numFmt w:val="decimal"/>
      <w:lvlText w:val="%1."/>
      <w:lvlJc w:val="left"/>
      <w:pPr>
        <w:tabs>
          <w:tab w:val="num" w:pos="1440"/>
        </w:tabs>
        <w:ind w:left="1440" w:hanging="360"/>
      </w:pPr>
      <w:rPr>
        <w:rFonts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0181DD4"/>
    <w:multiLevelType w:val="hybridMultilevel"/>
    <w:tmpl w:val="07A4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E4A22"/>
    <w:multiLevelType w:val="multilevel"/>
    <w:tmpl w:val="3BBE40B6"/>
    <w:lvl w:ilvl="0">
      <w:start w:val="1"/>
      <w:numFmt w:val="decimal"/>
      <w:pStyle w:val="Heading1"/>
      <w:lvlText w:val="%1."/>
      <w:lvlJc w:val="left"/>
      <w:pPr>
        <w:tabs>
          <w:tab w:val="num" w:pos="1080"/>
        </w:tabs>
        <w:ind w:left="1080" w:hanging="1080"/>
      </w:pPr>
      <w:rPr>
        <w:rFonts w:ascii="Arial" w:hAnsi="Arial" w:hint="default"/>
        <w:b/>
        <w:i w:val="0"/>
        <w:color w:val="2F5496" w:themeColor="accent5" w:themeShade="BF"/>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30"/>
        <w:szCs w:val="30"/>
      </w:rPr>
    </w:lvl>
    <w:lvl w:ilvl="3">
      <w:start w:val="1"/>
      <w:numFmt w:val="decimal"/>
      <w:pStyle w:val="Heading4"/>
      <w:lvlText w:val="%1.%2.%3.%4"/>
      <w:lvlJc w:val="left"/>
      <w:pPr>
        <w:tabs>
          <w:tab w:val="num" w:pos="1080"/>
        </w:tabs>
        <w:ind w:left="1080" w:hanging="1080"/>
      </w:pPr>
      <w:rPr>
        <w:rFonts w:ascii="Arial" w:hAnsi="Arial" w:hint="default"/>
        <w:b/>
        <w:i w:val="0"/>
        <w:sz w:val="30"/>
        <w:szCs w:val="30"/>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AC94698"/>
    <w:multiLevelType w:val="multilevel"/>
    <w:tmpl w:val="95E29970"/>
    <w:lvl w:ilvl="0">
      <w:start w:val="1"/>
      <w:numFmt w:val="decimal"/>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11B6D"/>
    <w:multiLevelType w:val="hybridMultilevel"/>
    <w:tmpl w:val="BAFE20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AF2450"/>
    <w:multiLevelType w:val="hybridMultilevel"/>
    <w:tmpl w:val="77E05D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4B498D"/>
    <w:multiLevelType w:val="hybridMultilevel"/>
    <w:tmpl w:val="B04624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22" w15:restartNumberingAfterBreak="0">
    <w:nsid w:val="5E733897"/>
    <w:multiLevelType w:val="hybridMultilevel"/>
    <w:tmpl w:val="71BC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84FE6"/>
    <w:multiLevelType w:val="hybridMultilevel"/>
    <w:tmpl w:val="E7264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D1E87"/>
    <w:multiLevelType w:val="hybridMultilevel"/>
    <w:tmpl w:val="B4383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14221"/>
    <w:multiLevelType w:val="multilevel"/>
    <w:tmpl w:val="65969DE8"/>
    <w:lvl w:ilvl="0">
      <w:start w:val="1"/>
      <w:numFmt w:val="decimal"/>
      <w:lvlText w:val="%1."/>
      <w:lvlJc w:val="left"/>
      <w:pPr>
        <w:tabs>
          <w:tab w:val="num" w:pos="1440"/>
        </w:tabs>
        <w:ind w:left="1440" w:hanging="360"/>
      </w:pPr>
      <w:rPr>
        <w:rFonts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F0A1C"/>
    <w:multiLevelType w:val="hybridMultilevel"/>
    <w:tmpl w:val="23C46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29" w15:restartNumberingAfterBreak="0">
    <w:nsid w:val="7EEB51EC"/>
    <w:multiLevelType w:val="hybridMultilevel"/>
    <w:tmpl w:val="0A14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
  </w:num>
  <w:num w:numId="4">
    <w:abstractNumId w:val="9"/>
  </w:num>
  <w:num w:numId="5">
    <w:abstractNumId w:val="21"/>
  </w:num>
  <w:num w:numId="6">
    <w:abstractNumId w:val="16"/>
  </w:num>
  <w:num w:numId="7">
    <w:abstractNumId w:val="26"/>
  </w:num>
  <w:num w:numId="8">
    <w:abstractNumId w:val="10"/>
  </w:num>
  <w:num w:numId="9">
    <w:abstractNumId w:val="1"/>
  </w:num>
  <w:num w:numId="10">
    <w:abstractNumId w:val="11"/>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14"/>
  </w:num>
  <w:num w:numId="16">
    <w:abstractNumId w:val="14"/>
  </w:num>
  <w:num w:numId="17">
    <w:abstractNumId w:val="14"/>
  </w:num>
  <w:num w:numId="18">
    <w:abstractNumId w:val="14"/>
  </w:num>
  <w:num w:numId="19">
    <w:abstractNumId w:val="29"/>
  </w:num>
  <w:num w:numId="20">
    <w:abstractNumId w:val="22"/>
  </w:num>
  <w:num w:numId="21">
    <w:abstractNumId w:val="15"/>
  </w:num>
  <w:num w:numId="22">
    <w:abstractNumId w:val="12"/>
  </w:num>
  <w:num w:numId="23">
    <w:abstractNumId w:val="23"/>
  </w:num>
  <w:num w:numId="24">
    <w:abstractNumId w:val="7"/>
  </w:num>
  <w:num w:numId="25">
    <w:abstractNumId w:val="8"/>
  </w:num>
  <w:num w:numId="26">
    <w:abstractNumId w:val="27"/>
  </w:num>
  <w:num w:numId="27">
    <w:abstractNumId w:val="6"/>
  </w:num>
  <w:num w:numId="28">
    <w:abstractNumId w:val="18"/>
  </w:num>
  <w:num w:numId="29">
    <w:abstractNumId w:val="2"/>
  </w:num>
  <w:num w:numId="30">
    <w:abstractNumId w:val="13"/>
  </w:num>
  <w:num w:numId="31">
    <w:abstractNumId w:val="0"/>
  </w:num>
  <w:num w:numId="32">
    <w:abstractNumId w:val="20"/>
  </w:num>
  <w:num w:numId="33">
    <w:abstractNumId w:val="4"/>
  </w:num>
  <w:num w:numId="34">
    <w:abstractNumId w:val="3"/>
  </w:num>
  <w:num w:numId="35">
    <w:abstractNumId w:val="24"/>
  </w:num>
  <w:num w:numId="36">
    <w:abstractNumId w:val="5"/>
  </w:num>
  <w:num w:numId="37">
    <w:abstractNumId w:val="19"/>
  </w:num>
  <w:num w:numId="38">
    <w:abstractNumId w:val="25"/>
  </w:num>
  <w:num w:numId="39">
    <w:abstractNumId w:val="1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o:colormru v:ext="edit" colors="#2106c6,#1d05ab,#1052c8,#137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dgnword-docGUID" w:val="{E18343C0-F342-4366-A0E5-7A0495F2CAB6}"/>
    <w:docVar w:name="dgnword-eventsink" w:val="62131528"/>
    <w:docVar w:name="OLE_LINK1"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s>
  <w:rsids>
    <w:rsidRoot w:val="00D20A78"/>
    <w:rsid w:val="00007D50"/>
    <w:rsid w:val="00015971"/>
    <w:rsid w:val="00027F0C"/>
    <w:rsid w:val="000302F3"/>
    <w:rsid w:val="00031797"/>
    <w:rsid w:val="00035619"/>
    <w:rsid w:val="00041E54"/>
    <w:rsid w:val="00042C77"/>
    <w:rsid w:val="000457A9"/>
    <w:rsid w:val="00045C4E"/>
    <w:rsid w:val="0004694F"/>
    <w:rsid w:val="00047CC9"/>
    <w:rsid w:val="0005358D"/>
    <w:rsid w:val="00056507"/>
    <w:rsid w:val="00057B46"/>
    <w:rsid w:val="00067DB8"/>
    <w:rsid w:val="000725A6"/>
    <w:rsid w:val="00083F7B"/>
    <w:rsid w:val="00085E1D"/>
    <w:rsid w:val="000A219B"/>
    <w:rsid w:val="000A223D"/>
    <w:rsid w:val="000A715E"/>
    <w:rsid w:val="000B0050"/>
    <w:rsid w:val="000B5F51"/>
    <w:rsid w:val="000C3233"/>
    <w:rsid w:val="000C5EAE"/>
    <w:rsid w:val="000C7F86"/>
    <w:rsid w:val="000D0BA8"/>
    <w:rsid w:val="000D104C"/>
    <w:rsid w:val="000D6AB5"/>
    <w:rsid w:val="000D7102"/>
    <w:rsid w:val="000E1074"/>
    <w:rsid w:val="000E7685"/>
    <w:rsid w:val="000E78B8"/>
    <w:rsid w:val="000F0FEB"/>
    <w:rsid w:val="00101ED8"/>
    <w:rsid w:val="00102DC2"/>
    <w:rsid w:val="0010650D"/>
    <w:rsid w:val="00120821"/>
    <w:rsid w:val="00126AC5"/>
    <w:rsid w:val="0013038E"/>
    <w:rsid w:val="001320DF"/>
    <w:rsid w:val="00132BBC"/>
    <w:rsid w:val="0013505D"/>
    <w:rsid w:val="0013729A"/>
    <w:rsid w:val="001424BA"/>
    <w:rsid w:val="00151FBC"/>
    <w:rsid w:val="00173939"/>
    <w:rsid w:val="0017781A"/>
    <w:rsid w:val="00182F0C"/>
    <w:rsid w:val="00185AD9"/>
    <w:rsid w:val="00196466"/>
    <w:rsid w:val="001B4C16"/>
    <w:rsid w:val="001B578B"/>
    <w:rsid w:val="001B5987"/>
    <w:rsid w:val="001C019B"/>
    <w:rsid w:val="001C0716"/>
    <w:rsid w:val="001C28A3"/>
    <w:rsid w:val="001C724B"/>
    <w:rsid w:val="001F273E"/>
    <w:rsid w:val="00205384"/>
    <w:rsid w:val="00210204"/>
    <w:rsid w:val="00212B5F"/>
    <w:rsid w:val="00213CA9"/>
    <w:rsid w:val="00214DD4"/>
    <w:rsid w:val="00220A18"/>
    <w:rsid w:val="0022557F"/>
    <w:rsid w:val="00232B82"/>
    <w:rsid w:val="00234E5D"/>
    <w:rsid w:val="00242A25"/>
    <w:rsid w:val="00247802"/>
    <w:rsid w:val="002531CB"/>
    <w:rsid w:val="00253400"/>
    <w:rsid w:val="002537F9"/>
    <w:rsid w:val="00270CDB"/>
    <w:rsid w:val="0027141B"/>
    <w:rsid w:val="00274C21"/>
    <w:rsid w:val="00286B42"/>
    <w:rsid w:val="0029446F"/>
    <w:rsid w:val="00296035"/>
    <w:rsid w:val="002A0954"/>
    <w:rsid w:val="002A1580"/>
    <w:rsid w:val="002A2497"/>
    <w:rsid w:val="002A3321"/>
    <w:rsid w:val="002A3FF9"/>
    <w:rsid w:val="002A4EB2"/>
    <w:rsid w:val="002A5379"/>
    <w:rsid w:val="002C5853"/>
    <w:rsid w:val="002D0558"/>
    <w:rsid w:val="002D2732"/>
    <w:rsid w:val="002D43B9"/>
    <w:rsid w:val="002D4BD2"/>
    <w:rsid w:val="002D69AA"/>
    <w:rsid w:val="002E506B"/>
    <w:rsid w:val="002E5300"/>
    <w:rsid w:val="002F69F9"/>
    <w:rsid w:val="00305130"/>
    <w:rsid w:val="00315382"/>
    <w:rsid w:val="00327632"/>
    <w:rsid w:val="003276BF"/>
    <w:rsid w:val="00330226"/>
    <w:rsid w:val="00331304"/>
    <w:rsid w:val="00332B99"/>
    <w:rsid w:val="003370AE"/>
    <w:rsid w:val="00346042"/>
    <w:rsid w:val="003464C7"/>
    <w:rsid w:val="00350C55"/>
    <w:rsid w:val="00357A49"/>
    <w:rsid w:val="00362B04"/>
    <w:rsid w:val="0036489B"/>
    <w:rsid w:val="003707E5"/>
    <w:rsid w:val="0037544E"/>
    <w:rsid w:val="0037769F"/>
    <w:rsid w:val="00385174"/>
    <w:rsid w:val="00393685"/>
    <w:rsid w:val="00395255"/>
    <w:rsid w:val="003967B1"/>
    <w:rsid w:val="003A5A78"/>
    <w:rsid w:val="003A7407"/>
    <w:rsid w:val="003B123A"/>
    <w:rsid w:val="003B16EB"/>
    <w:rsid w:val="003B42C9"/>
    <w:rsid w:val="003C3AA4"/>
    <w:rsid w:val="003C5E80"/>
    <w:rsid w:val="003E1B23"/>
    <w:rsid w:val="003E229E"/>
    <w:rsid w:val="003E3999"/>
    <w:rsid w:val="003E4CD1"/>
    <w:rsid w:val="003E6C04"/>
    <w:rsid w:val="003F4F53"/>
    <w:rsid w:val="004135A3"/>
    <w:rsid w:val="0041430C"/>
    <w:rsid w:val="00414EEF"/>
    <w:rsid w:val="00422718"/>
    <w:rsid w:val="00424A12"/>
    <w:rsid w:val="00425CCF"/>
    <w:rsid w:val="00440D18"/>
    <w:rsid w:val="004525D4"/>
    <w:rsid w:val="0045269F"/>
    <w:rsid w:val="00453958"/>
    <w:rsid w:val="00455371"/>
    <w:rsid w:val="00457ED3"/>
    <w:rsid w:val="00466CED"/>
    <w:rsid w:val="004757F7"/>
    <w:rsid w:val="00497E64"/>
    <w:rsid w:val="004A57AC"/>
    <w:rsid w:val="004A6567"/>
    <w:rsid w:val="004D013A"/>
    <w:rsid w:val="004D3BFC"/>
    <w:rsid w:val="004E042A"/>
    <w:rsid w:val="004E222F"/>
    <w:rsid w:val="004E2E83"/>
    <w:rsid w:val="005049E2"/>
    <w:rsid w:val="005050F2"/>
    <w:rsid w:val="00512FF1"/>
    <w:rsid w:val="0052514B"/>
    <w:rsid w:val="00540769"/>
    <w:rsid w:val="00554AC8"/>
    <w:rsid w:val="00557BDF"/>
    <w:rsid w:val="0056090E"/>
    <w:rsid w:val="00564CCE"/>
    <w:rsid w:val="00570CCB"/>
    <w:rsid w:val="005755B8"/>
    <w:rsid w:val="0057609C"/>
    <w:rsid w:val="005775B3"/>
    <w:rsid w:val="005859AB"/>
    <w:rsid w:val="00585A47"/>
    <w:rsid w:val="005917BB"/>
    <w:rsid w:val="005A091A"/>
    <w:rsid w:val="005C1307"/>
    <w:rsid w:val="005C42FA"/>
    <w:rsid w:val="005C52D8"/>
    <w:rsid w:val="005D1481"/>
    <w:rsid w:val="005D7F5B"/>
    <w:rsid w:val="005E1CF8"/>
    <w:rsid w:val="005E4C4D"/>
    <w:rsid w:val="006048F1"/>
    <w:rsid w:val="0060715D"/>
    <w:rsid w:val="00613A77"/>
    <w:rsid w:val="00616057"/>
    <w:rsid w:val="006217E0"/>
    <w:rsid w:val="00625D47"/>
    <w:rsid w:val="006345C0"/>
    <w:rsid w:val="00634F47"/>
    <w:rsid w:val="0063722A"/>
    <w:rsid w:val="00641E7D"/>
    <w:rsid w:val="00643346"/>
    <w:rsid w:val="00645D6D"/>
    <w:rsid w:val="00647F16"/>
    <w:rsid w:val="006506C1"/>
    <w:rsid w:val="00674862"/>
    <w:rsid w:val="00680DC6"/>
    <w:rsid w:val="006865FD"/>
    <w:rsid w:val="00690904"/>
    <w:rsid w:val="006A4ED4"/>
    <w:rsid w:val="006B3A1C"/>
    <w:rsid w:val="006B5D10"/>
    <w:rsid w:val="006C2880"/>
    <w:rsid w:val="006C68EC"/>
    <w:rsid w:val="006D30DA"/>
    <w:rsid w:val="006D3951"/>
    <w:rsid w:val="006D5B6B"/>
    <w:rsid w:val="006D6A7B"/>
    <w:rsid w:val="006E051A"/>
    <w:rsid w:val="006E2941"/>
    <w:rsid w:val="006F4F01"/>
    <w:rsid w:val="006F56CE"/>
    <w:rsid w:val="006F7016"/>
    <w:rsid w:val="006F786C"/>
    <w:rsid w:val="006F7A6E"/>
    <w:rsid w:val="007008B4"/>
    <w:rsid w:val="00722938"/>
    <w:rsid w:val="007234B3"/>
    <w:rsid w:val="0073062D"/>
    <w:rsid w:val="00730ECC"/>
    <w:rsid w:val="00731314"/>
    <w:rsid w:val="007400A3"/>
    <w:rsid w:val="007438E9"/>
    <w:rsid w:val="007442A1"/>
    <w:rsid w:val="00752CE2"/>
    <w:rsid w:val="00753D15"/>
    <w:rsid w:val="007547B6"/>
    <w:rsid w:val="0076356B"/>
    <w:rsid w:val="00772C32"/>
    <w:rsid w:val="00774C9F"/>
    <w:rsid w:val="00776F25"/>
    <w:rsid w:val="00780C57"/>
    <w:rsid w:val="00787331"/>
    <w:rsid w:val="00790939"/>
    <w:rsid w:val="007912DA"/>
    <w:rsid w:val="007A59E9"/>
    <w:rsid w:val="007A5CC7"/>
    <w:rsid w:val="007B7285"/>
    <w:rsid w:val="007D3307"/>
    <w:rsid w:val="007F07ED"/>
    <w:rsid w:val="007F1C10"/>
    <w:rsid w:val="007F66EF"/>
    <w:rsid w:val="007F70AE"/>
    <w:rsid w:val="008005A7"/>
    <w:rsid w:val="00813BB3"/>
    <w:rsid w:val="008236B0"/>
    <w:rsid w:val="00830208"/>
    <w:rsid w:val="00831550"/>
    <w:rsid w:val="008432FD"/>
    <w:rsid w:val="00846B5A"/>
    <w:rsid w:val="00850642"/>
    <w:rsid w:val="0086442B"/>
    <w:rsid w:val="0086767F"/>
    <w:rsid w:val="0087241B"/>
    <w:rsid w:val="008759A4"/>
    <w:rsid w:val="00880B50"/>
    <w:rsid w:val="008867A6"/>
    <w:rsid w:val="00891055"/>
    <w:rsid w:val="00896440"/>
    <w:rsid w:val="008A00DA"/>
    <w:rsid w:val="008A4E26"/>
    <w:rsid w:val="008B088F"/>
    <w:rsid w:val="008B1A97"/>
    <w:rsid w:val="008B2580"/>
    <w:rsid w:val="008B3A5C"/>
    <w:rsid w:val="008C3606"/>
    <w:rsid w:val="008E2E00"/>
    <w:rsid w:val="008E3DEA"/>
    <w:rsid w:val="008E6360"/>
    <w:rsid w:val="008F613E"/>
    <w:rsid w:val="008F68DA"/>
    <w:rsid w:val="00906CF9"/>
    <w:rsid w:val="00907FB5"/>
    <w:rsid w:val="009152AD"/>
    <w:rsid w:val="00921B35"/>
    <w:rsid w:val="00926B3A"/>
    <w:rsid w:val="009321E2"/>
    <w:rsid w:val="0093388E"/>
    <w:rsid w:val="00945B79"/>
    <w:rsid w:val="009460C2"/>
    <w:rsid w:val="00961065"/>
    <w:rsid w:val="009643C5"/>
    <w:rsid w:val="00971D5A"/>
    <w:rsid w:val="00972729"/>
    <w:rsid w:val="00991E7D"/>
    <w:rsid w:val="00995B51"/>
    <w:rsid w:val="009A6FC2"/>
    <w:rsid w:val="009B252B"/>
    <w:rsid w:val="009B45A2"/>
    <w:rsid w:val="009C7CDA"/>
    <w:rsid w:val="009D1A48"/>
    <w:rsid w:val="009D1A71"/>
    <w:rsid w:val="009D4E0E"/>
    <w:rsid w:val="009E03DD"/>
    <w:rsid w:val="009E0435"/>
    <w:rsid w:val="009E0517"/>
    <w:rsid w:val="009F0AC3"/>
    <w:rsid w:val="009F10B2"/>
    <w:rsid w:val="009F5FA3"/>
    <w:rsid w:val="00A06BCD"/>
    <w:rsid w:val="00A07D19"/>
    <w:rsid w:val="00A10F75"/>
    <w:rsid w:val="00A14938"/>
    <w:rsid w:val="00A16A4E"/>
    <w:rsid w:val="00A17FFD"/>
    <w:rsid w:val="00A2369D"/>
    <w:rsid w:val="00A241D7"/>
    <w:rsid w:val="00A26BC7"/>
    <w:rsid w:val="00A30B49"/>
    <w:rsid w:val="00A45E8F"/>
    <w:rsid w:val="00A462D6"/>
    <w:rsid w:val="00A465F8"/>
    <w:rsid w:val="00A6029F"/>
    <w:rsid w:val="00A70276"/>
    <w:rsid w:val="00A721C7"/>
    <w:rsid w:val="00A77307"/>
    <w:rsid w:val="00A9126C"/>
    <w:rsid w:val="00A91FF9"/>
    <w:rsid w:val="00A9711A"/>
    <w:rsid w:val="00AA038D"/>
    <w:rsid w:val="00AA6151"/>
    <w:rsid w:val="00AA617B"/>
    <w:rsid w:val="00AB468D"/>
    <w:rsid w:val="00AD385D"/>
    <w:rsid w:val="00AD6EC8"/>
    <w:rsid w:val="00AE26E7"/>
    <w:rsid w:val="00AE2DB3"/>
    <w:rsid w:val="00AE3C9C"/>
    <w:rsid w:val="00AE5C1D"/>
    <w:rsid w:val="00AF39F0"/>
    <w:rsid w:val="00AF58EB"/>
    <w:rsid w:val="00B00655"/>
    <w:rsid w:val="00B014A6"/>
    <w:rsid w:val="00B14A65"/>
    <w:rsid w:val="00B165AB"/>
    <w:rsid w:val="00B20A8F"/>
    <w:rsid w:val="00B265D5"/>
    <w:rsid w:val="00B32D78"/>
    <w:rsid w:val="00B35322"/>
    <w:rsid w:val="00B35F93"/>
    <w:rsid w:val="00B37577"/>
    <w:rsid w:val="00B40026"/>
    <w:rsid w:val="00B503A9"/>
    <w:rsid w:val="00B547BA"/>
    <w:rsid w:val="00B568C3"/>
    <w:rsid w:val="00B6294D"/>
    <w:rsid w:val="00B62E80"/>
    <w:rsid w:val="00B62FEA"/>
    <w:rsid w:val="00B6548D"/>
    <w:rsid w:val="00B756D5"/>
    <w:rsid w:val="00B77806"/>
    <w:rsid w:val="00B80D55"/>
    <w:rsid w:val="00B871F8"/>
    <w:rsid w:val="00B90685"/>
    <w:rsid w:val="00B90F44"/>
    <w:rsid w:val="00B92326"/>
    <w:rsid w:val="00BA5357"/>
    <w:rsid w:val="00BB16F3"/>
    <w:rsid w:val="00BB4E3D"/>
    <w:rsid w:val="00BB63EC"/>
    <w:rsid w:val="00BF29FA"/>
    <w:rsid w:val="00C01598"/>
    <w:rsid w:val="00C034AC"/>
    <w:rsid w:val="00C05D39"/>
    <w:rsid w:val="00C071AD"/>
    <w:rsid w:val="00C132F4"/>
    <w:rsid w:val="00C1718B"/>
    <w:rsid w:val="00C30B4D"/>
    <w:rsid w:val="00C35544"/>
    <w:rsid w:val="00C5104B"/>
    <w:rsid w:val="00C53889"/>
    <w:rsid w:val="00C620A8"/>
    <w:rsid w:val="00C63741"/>
    <w:rsid w:val="00C65D4F"/>
    <w:rsid w:val="00C70B8D"/>
    <w:rsid w:val="00C76592"/>
    <w:rsid w:val="00C8029D"/>
    <w:rsid w:val="00C81D7E"/>
    <w:rsid w:val="00C8727A"/>
    <w:rsid w:val="00C87DF9"/>
    <w:rsid w:val="00C909DE"/>
    <w:rsid w:val="00C93123"/>
    <w:rsid w:val="00C93BE5"/>
    <w:rsid w:val="00CA023D"/>
    <w:rsid w:val="00CA38E1"/>
    <w:rsid w:val="00CA7E6D"/>
    <w:rsid w:val="00CB096F"/>
    <w:rsid w:val="00CB1E7B"/>
    <w:rsid w:val="00CD15CD"/>
    <w:rsid w:val="00CD5AF3"/>
    <w:rsid w:val="00CD62A8"/>
    <w:rsid w:val="00CD6CB2"/>
    <w:rsid w:val="00CD7097"/>
    <w:rsid w:val="00CE003D"/>
    <w:rsid w:val="00CE1591"/>
    <w:rsid w:val="00CE66C2"/>
    <w:rsid w:val="00CF2893"/>
    <w:rsid w:val="00CF4664"/>
    <w:rsid w:val="00CF6798"/>
    <w:rsid w:val="00D04898"/>
    <w:rsid w:val="00D069C7"/>
    <w:rsid w:val="00D1337C"/>
    <w:rsid w:val="00D148E0"/>
    <w:rsid w:val="00D14BF1"/>
    <w:rsid w:val="00D20A78"/>
    <w:rsid w:val="00D411B6"/>
    <w:rsid w:val="00D41331"/>
    <w:rsid w:val="00D42FAB"/>
    <w:rsid w:val="00D5086C"/>
    <w:rsid w:val="00D51EC5"/>
    <w:rsid w:val="00D53C21"/>
    <w:rsid w:val="00D60B99"/>
    <w:rsid w:val="00D75C72"/>
    <w:rsid w:val="00D76140"/>
    <w:rsid w:val="00D76534"/>
    <w:rsid w:val="00D76560"/>
    <w:rsid w:val="00D80EF1"/>
    <w:rsid w:val="00D81D3B"/>
    <w:rsid w:val="00D83771"/>
    <w:rsid w:val="00D84216"/>
    <w:rsid w:val="00D8784F"/>
    <w:rsid w:val="00D921BB"/>
    <w:rsid w:val="00DA19DC"/>
    <w:rsid w:val="00DA1B56"/>
    <w:rsid w:val="00DA331D"/>
    <w:rsid w:val="00DB234D"/>
    <w:rsid w:val="00DB2635"/>
    <w:rsid w:val="00DB3706"/>
    <w:rsid w:val="00DB5993"/>
    <w:rsid w:val="00DC4BBA"/>
    <w:rsid w:val="00DD0E34"/>
    <w:rsid w:val="00DD49A5"/>
    <w:rsid w:val="00DD5B7D"/>
    <w:rsid w:val="00DD5C51"/>
    <w:rsid w:val="00DD6AC2"/>
    <w:rsid w:val="00DE00DF"/>
    <w:rsid w:val="00DE24B0"/>
    <w:rsid w:val="00DE3C91"/>
    <w:rsid w:val="00DF193F"/>
    <w:rsid w:val="00DF3D96"/>
    <w:rsid w:val="00DF4D30"/>
    <w:rsid w:val="00DF534A"/>
    <w:rsid w:val="00E029CC"/>
    <w:rsid w:val="00E0556C"/>
    <w:rsid w:val="00E06AD6"/>
    <w:rsid w:val="00E15A6A"/>
    <w:rsid w:val="00E21070"/>
    <w:rsid w:val="00E33CF0"/>
    <w:rsid w:val="00E4751E"/>
    <w:rsid w:val="00E60FF5"/>
    <w:rsid w:val="00E62695"/>
    <w:rsid w:val="00E71B20"/>
    <w:rsid w:val="00E72555"/>
    <w:rsid w:val="00E74116"/>
    <w:rsid w:val="00E74AE5"/>
    <w:rsid w:val="00E764FA"/>
    <w:rsid w:val="00E800AA"/>
    <w:rsid w:val="00E82486"/>
    <w:rsid w:val="00E832FC"/>
    <w:rsid w:val="00E8348D"/>
    <w:rsid w:val="00E93CA0"/>
    <w:rsid w:val="00E946EF"/>
    <w:rsid w:val="00E961F4"/>
    <w:rsid w:val="00EA00A0"/>
    <w:rsid w:val="00EA3B6C"/>
    <w:rsid w:val="00EA67EF"/>
    <w:rsid w:val="00EA6F8B"/>
    <w:rsid w:val="00EB2DD0"/>
    <w:rsid w:val="00EB5208"/>
    <w:rsid w:val="00EB605B"/>
    <w:rsid w:val="00EB79AF"/>
    <w:rsid w:val="00EC6D86"/>
    <w:rsid w:val="00ED53E9"/>
    <w:rsid w:val="00EE34A1"/>
    <w:rsid w:val="00EF4AA8"/>
    <w:rsid w:val="00F006F5"/>
    <w:rsid w:val="00F06EFC"/>
    <w:rsid w:val="00F15198"/>
    <w:rsid w:val="00F21D87"/>
    <w:rsid w:val="00F221F8"/>
    <w:rsid w:val="00F223C6"/>
    <w:rsid w:val="00F26E38"/>
    <w:rsid w:val="00F31498"/>
    <w:rsid w:val="00F33B1A"/>
    <w:rsid w:val="00F3590C"/>
    <w:rsid w:val="00F370A8"/>
    <w:rsid w:val="00F37433"/>
    <w:rsid w:val="00F37539"/>
    <w:rsid w:val="00F526B5"/>
    <w:rsid w:val="00F63BF2"/>
    <w:rsid w:val="00F75B7D"/>
    <w:rsid w:val="00F77C0A"/>
    <w:rsid w:val="00F8501E"/>
    <w:rsid w:val="00F96D9E"/>
    <w:rsid w:val="00FB05B4"/>
    <w:rsid w:val="00FB3EFF"/>
    <w:rsid w:val="00FB548F"/>
    <w:rsid w:val="00FB6404"/>
    <w:rsid w:val="00FC55AA"/>
    <w:rsid w:val="00FC763A"/>
    <w:rsid w:val="00FE3FBA"/>
    <w:rsid w:val="00FE4E5B"/>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2106c6,#1d05ab,#1052c8,#1379c5"/>
    </o:shapedefaults>
    <o:shapelayout v:ext="edit">
      <o:idmap v:ext="edit" data="1"/>
    </o:shapelayout>
  </w:shapeDefaults>
  <w:decimalSymbol w:val="."/>
  <w:listSeparator w:val=","/>
  <w14:docId w14:val="5D4739FE"/>
  <w15:chartTrackingRefBased/>
  <w15:docId w15:val="{CDB3CD04-2EC5-4095-847A-831BFC36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1B"/>
    <w:pPr>
      <w:spacing w:after="120"/>
      <w:jc w:val="both"/>
    </w:pPr>
    <w:rPr>
      <w:rFonts w:ascii="Arial" w:hAnsi="Arial"/>
      <w:sz w:val="22"/>
    </w:rPr>
  </w:style>
  <w:style w:type="paragraph" w:styleId="Heading1">
    <w:name w:val="heading 1"/>
    <w:basedOn w:val="Normal"/>
    <w:next w:val="ParaText"/>
    <w:qFormat/>
    <w:rsid w:val="0027141B"/>
    <w:pPr>
      <w:keepNext/>
      <w:numPr>
        <w:numId w:val="6"/>
      </w:numPr>
      <w:spacing w:after="240"/>
      <w:outlineLvl w:val="0"/>
    </w:pPr>
    <w:rPr>
      <w:b/>
      <w:kern w:val="28"/>
      <w:sz w:val="34"/>
    </w:rPr>
  </w:style>
  <w:style w:type="paragraph" w:styleId="Heading2">
    <w:name w:val="heading 2"/>
    <w:basedOn w:val="Normal"/>
    <w:next w:val="ParaText"/>
    <w:qFormat/>
    <w:rsid w:val="0027141B"/>
    <w:pPr>
      <w:keepNext/>
      <w:numPr>
        <w:ilvl w:val="1"/>
        <w:numId w:val="6"/>
      </w:numPr>
      <w:spacing w:after="240"/>
      <w:outlineLvl w:val="1"/>
    </w:pPr>
    <w:rPr>
      <w:b/>
      <w:sz w:val="30"/>
    </w:rPr>
  </w:style>
  <w:style w:type="paragraph" w:styleId="Heading3">
    <w:name w:val="heading 3"/>
    <w:basedOn w:val="Normal"/>
    <w:next w:val="ParaText"/>
    <w:qFormat/>
    <w:rsid w:val="0027141B"/>
    <w:pPr>
      <w:keepNext/>
      <w:numPr>
        <w:ilvl w:val="2"/>
        <w:numId w:val="6"/>
      </w:numPr>
      <w:spacing w:after="240"/>
      <w:outlineLvl w:val="2"/>
    </w:pPr>
    <w:rPr>
      <w:b/>
      <w:sz w:val="26"/>
    </w:rPr>
  </w:style>
  <w:style w:type="paragraph" w:styleId="Heading4">
    <w:name w:val="heading 4"/>
    <w:basedOn w:val="Normal"/>
    <w:next w:val="ParaText"/>
    <w:qFormat/>
    <w:rsid w:val="0027141B"/>
    <w:pPr>
      <w:keepNext/>
      <w:numPr>
        <w:ilvl w:val="3"/>
        <w:numId w:val="6"/>
      </w:numPr>
      <w:spacing w:after="240"/>
      <w:outlineLvl w:val="3"/>
    </w:pPr>
    <w:rPr>
      <w:b/>
    </w:rPr>
  </w:style>
  <w:style w:type="paragraph" w:styleId="Heading5">
    <w:name w:val="heading 5"/>
    <w:basedOn w:val="Normal"/>
    <w:next w:val="ParaText"/>
    <w:qFormat/>
    <w:rsid w:val="0027141B"/>
    <w:pPr>
      <w:keepNext/>
      <w:numPr>
        <w:ilvl w:val="4"/>
        <w:numId w:val="6"/>
      </w:numPr>
      <w:spacing w:after="240"/>
      <w:outlineLvl w:val="4"/>
    </w:pPr>
    <w:rPr>
      <w:b/>
    </w:rPr>
  </w:style>
  <w:style w:type="paragraph" w:styleId="Heading6">
    <w:name w:val="heading 6"/>
    <w:basedOn w:val="Normal"/>
    <w:next w:val="ParaText"/>
    <w:qFormat/>
    <w:rsid w:val="0027141B"/>
    <w:pPr>
      <w:numPr>
        <w:ilvl w:val="5"/>
        <w:numId w:val="6"/>
      </w:numPr>
      <w:spacing w:after="240"/>
      <w:outlineLvl w:val="5"/>
    </w:pPr>
    <w:rPr>
      <w:b/>
    </w:rPr>
  </w:style>
  <w:style w:type="paragraph" w:styleId="Heading7">
    <w:name w:val="heading 7"/>
    <w:basedOn w:val="Normal"/>
    <w:next w:val="ParaText"/>
    <w:qFormat/>
    <w:rsid w:val="0027141B"/>
    <w:pPr>
      <w:spacing w:after="240"/>
      <w:outlineLvl w:val="6"/>
    </w:pPr>
    <w:rPr>
      <w:b/>
      <w:i/>
      <w:sz w:val="26"/>
    </w:rPr>
  </w:style>
  <w:style w:type="paragraph" w:styleId="Heading8">
    <w:name w:val="heading 8"/>
    <w:basedOn w:val="Normal"/>
    <w:next w:val="ParaText"/>
    <w:qFormat/>
    <w:rsid w:val="0027141B"/>
    <w:pPr>
      <w:spacing w:after="240"/>
      <w:outlineLvl w:val="7"/>
    </w:pPr>
    <w:rPr>
      <w:b/>
    </w:rPr>
  </w:style>
  <w:style w:type="paragraph" w:styleId="Heading9">
    <w:name w:val="heading 9"/>
    <w:basedOn w:val="Normal"/>
    <w:next w:val="Normal"/>
    <w:qFormat/>
    <w:rsid w:val="0027141B"/>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27141B"/>
    <w:pPr>
      <w:spacing w:after="240" w:line="300" w:lineRule="auto"/>
    </w:pPr>
  </w:style>
  <w:style w:type="paragraph" w:styleId="Header">
    <w:name w:val="header"/>
    <w:basedOn w:val="Normal"/>
    <w:link w:val="HeaderChar"/>
    <w:uiPriority w:val="99"/>
    <w:rsid w:val="0027141B"/>
    <w:pPr>
      <w:tabs>
        <w:tab w:val="center" w:pos="4320"/>
        <w:tab w:val="right" w:pos="8640"/>
      </w:tabs>
    </w:pPr>
    <w:rPr>
      <w:b/>
    </w:rPr>
  </w:style>
  <w:style w:type="paragraph" w:styleId="Footer">
    <w:name w:val="footer"/>
    <w:basedOn w:val="Normal"/>
    <w:link w:val="FooterChar"/>
    <w:uiPriority w:val="99"/>
    <w:rsid w:val="0027141B"/>
    <w:pPr>
      <w:pBdr>
        <w:top w:val="single" w:sz="12" w:space="1" w:color="auto"/>
      </w:pBdr>
      <w:tabs>
        <w:tab w:val="right" w:pos="9360"/>
      </w:tabs>
      <w:spacing w:after="0"/>
    </w:pPr>
    <w:rPr>
      <w:i/>
      <w:sz w:val="18"/>
    </w:rPr>
  </w:style>
  <w:style w:type="character" w:styleId="PageNumber">
    <w:name w:val="page number"/>
    <w:basedOn w:val="DefaultParagraphFont"/>
    <w:rsid w:val="0027141B"/>
  </w:style>
  <w:style w:type="paragraph" w:styleId="TOC1">
    <w:name w:val="toc 1"/>
    <w:basedOn w:val="Normal"/>
    <w:next w:val="Normal"/>
    <w:uiPriority w:val="39"/>
    <w:rsid w:val="0027141B"/>
    <w:pPr>
      <w:tabs>
        <w:tab w:val="left" w:pos="432"/>
        <w:tab w:val="right" w:leader="dot" w:pos="9360"/>
      </w:tabs>
      <w:ind w:left="432" w:hanging="432"/>
    </w:pPr>
    <w:rPr>
      <w:rFonts w:cs="Arial"/>
      <w:b/>
      <w:noProof/>
    </w:rPr>
  </w:style>
  <w:style w:type="paragraph" w:customStyle="1" w:styleId="TOCTitle">
    <w:name w:val="TOC Title"/>
    <w:basedOn w:val="Header"/>
    <w:rsid w:val="0027141B"/>
    <w:pPr>
      <w:pBdr>
        <w:top w:val="single" w:sz="12" w:space="18" w:color="auto"/>
        <w:bottom w:val="single" w:sz="4" w:space="21" w:color="auto"/>
      </w:pBdr>
      <w:spacing w:before="240" w:after="240"/>
    </w:pPr>
    <w:rPr>
      <w:sz w:val="42"/>
    </w:rPr>
  </w:style>
  <w:style w:type="paragraph" w:styleId="TOC9">
    <w:name w:val="toc 9"/>
    <w:basedOn w:val="Normal"/>
    <w:next w:val="Normal"/>
    <w:autoRedefine/>
    <w:semiHidden/>
    <w:rsid w:val="0027141B"/>
    <w:pPr>
      <w:tabs>
        <w:tab w:val="right" w:leader="dot" w:pos="9360"/>
      </w:tabs>
      <w:jc w:val="left"/>
    </w:pPr>
    <w:rPr>
      <w:rFonts w:cs="Arial"/>
      <w:noProof/>
    </w:rPr>
  </w:style>
  <w:style w:type="paragraph" w:customStyle="1" w:styleId="ExhLst">
    <w:name w:val="Exh_Lst"/>
    <w:basedOn w:val="Normal"/>
    <w:rsid w:val="0027141B"/>
    <w:pPr>
      <w:spacing w:after="240"/>
    </w:pPr>
    <w:rPr>
      <w:b/>
      <w:u w:val="single"/>
    </w:rPr>
  </w:style>
  <w:style w:type="paragraph" w:customStyle="1" w:styleId="1">
    <w:name w:val="1"/>
    <w:aliases w:val="a,i Seq"/>
    <w:basedOn w:val="Normal"/>
    <w:rsid w:val="0027141B"/>
    <w:pPr>
      <w:numPr>
        <w:numId w:val="1"/>
      </w:numPr>
      <w:tabs>
        <w:tab w:val="left" w:pos="1800"/>
        <w:tab w:val="left" w:pos="2160"/>
        <w:tab w:val="left" w:pos="2520"/>
      </w:tabs>
      <w:spacing w:after="240" w:line="300" w:lineRule="auto"/>
    </w:pPr>
  </w:style>
  <w:style w:type="paragraph" w:customStyle="1" w:styleId="Bullet1">
    <w:name w:val="Bullet1"/>
    <w:basedOn w:val="Normal"/>
    <w:rsid w:val="0027141B"/>
    <w:pPr>
      <w:numPr>
        <w:numId w:val="2"/>
      </w:numPr>
      <w:spacing w:after="0" w:line="300" w:lineRule="auto"/>
    </w:pPr>
  </w:style>
  <w:style w:type="paragraph" w:customStyle="1" w:styleId="Bullet1HRt">
    <w:name w:val="Bullet1[HRt]"/>
    <w:basedOn w:val="Normal"/>
    <w:rsid w:val="0027141B"/>
    <w:pPr>
      <w:numPr>
        <w:numId w:val="3"/>
      </w:numPr>
      <w:spacing w:after="240" w:line="300" w:lineRule="auto"/>
    </w:pPr>
  </w:style>
  <w:style w:type="paragraph" w:customStyle="1" w:styleId="Bullet2">
    <w:name w:val="Bullet2"/>
    <w:basedOn w:val="Normal"/>
    <w:rsid w:val="0027141B"/>
    <w:pPr>
      <w:numPr>
        <w:numId w:val="4"/>
      </w:numPr>
      <w:spacing w:after="0" w:line="300" w:lineRule="auto"/>
    </w:pPr>
  </w:style>
  <w:style w:type="paragraph" w:customStyle="1" w:styleId="Bullet2HRt">
    <w:name w:val="Bullet2[HRt]"/>
    <w:basedOn w:val="Bullet2"/>
    <w:rsid w:val="0027141B"/>
    <w:pPr>
      <w:numPr>
        <w:numId w:val="5"/>
      </w:numPr>
      <w:spacing w:after="240"/>
    </w:pPr>
  </w:style>
  <w:style w:type="paragraph" w:customStyle="1" w:styleId="Exhibit">
    <w:name w:val="Exhibit"/>
    <w:basedOn w:val="Normal"/>
    <w:next w:val="Normal"/>
    <w:rsid w:val="0027141B"/>
    <w:pPr>
      <w:spacing w:after="240"/>
    </w:pPr>
    <w:rPr>
      <w:b/>
    </w:rPr>
  </w:style>
  <w:style w:type="paragraph" w:styleId="TableofFigures">
    <w:name w:val="table of figures"/>
    <w:basedOn w:val="Normal"/>
    <w:next w:val="Normal"/>
    <w:uiPriority w:val="99"/>
    <w:rsid w:val="0027141B"/>
    <w:pPr>
      <w:ind w:left="440" w:hanging="440"/>
    </w:pPr>
  </w:style>
  <w:style w:type="paragraph" w:styleId="TOC2">
    <w:name w:val="toc 2"/>
    <w:basedOn w:val="Normal"/>
    <w:next w:val="Normal"/>
    <w:autoRedefine/>
    <w:uiPriority w:val="39"/>
    <w:rsid w:val="0027141B"/>
    <w:pPr>
      <w:tabs>
        <w:tab w:val="left" w:pos="1008"/>
        <w:tab w:val="right" w:leader="dot" w:pos="9360"/>
      </w:tabs>
      <w:ind w:left="1440" w:hanging="1008"/>
    </w:pPr>
    <w:rPr>
      <w:noProof/>
    </w:rPr>
  </w:style>
  <w:style w:type="paragraph" w:styleId="TOC3">
    <w:name w:val="toc 3"/>
    <w:basedOn w:val="Normal"/>
    <w:next w:val="Normal"/>
    <w:autoRedefine/>
    <w:uiPriority w:val="39"/>
    <w:rsid w:val="00B35322"/>
    <w:pPr>
      <w:tabs>
        <w:tab w:val="left" w:pos="1440"/>
        <w:tab w:val="left" w:pos="1728"/>
        <w:tab w:val="right" w:leader="dot" w:pos="9360"/>
      </w:tabs>
      <w:ind w:left="-630" w:firstLine="1080"/>
    </w:pPr>
    <w:rPr>
      <w:noProof/>
    </w:rPr>
  </w:style>
  <w:style w:type="paragraph" w:styleId="TOC4">
    <w:name w:val="toc 4"/>
    <w:basedOn w:val="Normal"/>
    <w:next w:val="Normal"/>
    <w:autoRedefine/>
    <w:semiHidden/>
    <w:rsid w:val="0027141B"/>
    <w:pPr>
      <w:tabs>
        <w:tab w:val="left" w:pos="2592"/>
        <w:tab w:val="right" w:leader="dot" w:pos="9360"/>
      </w:tabs>
      <w:ind w:left="-810" w:firstLine="2538"/>
    </w:pPr>
    <w:rPr>
      <w:noProof/>
    </w:rPr>
  </w:style>
  <w:style w:type="paragraph" w:styleId="TOC5">
    <w:name w:val="toc 5"/>
    <w:basedOn w:val="Normal"/>
    <w:next w:val="Normal"/>
    <w:autoRedefine/>
    <w:semiHidden/>
    <w:rsid w:val="0027141B"/>
    <w:pPr>
      <w:tabs>
        <w:tab w:val="left" w:pos="2736"/>
        <w:tab w:val="left" w:pos="3672"/>
        <w:tab w:val="right" w:leader="dot" w:pos="9360"/>
      </w:tabs>
      <w:ind w:left="-1350" w:firstLine="3942"/>
    </w:pPr>
    <w:rPr>
      <w:noProof/>
    </w:rPr>
  </w:style>
  <w:style w:type="paragraph" w:styleId="TOC6">
    <w:name w:val="toc 6"/>
    <w:basedOn w:val="Normal"/>
    <w:next w:val="Normal"/>
    <w:autoRedefine/>
    <w:semiHidden/>
    <w:rsid w:val="0027141B"/>
    <w:pPr>
      <w:ind w:left="1100"/>
    </w:pPr>
  </w:style>
  <w:style w:type="paragraph" w:styleId="TOC7">
    <w:name w:val="toc 7"/>
    <w:basedOn w:val="Normal"/>
    <w:next w:val="Normal"/>
    <w:autoRedefine/>
    <w:semiHidden/>
    <w:rsid w:val="0027141B"/>
    <w:pPr>
      <w:tabs>
        <w:tab w:val="right" w:leader="dot" w:pos="9360"/>
      </w:tabs>
      <w:jc w:val="left"/>
    </w:pPr>
    <w:rPr>
      <w:b/>
      <w:noProof/>
    </w:rPr>
  </w:style>
  <w:style w:type="paragraph" w:styleId="TOC8">
    <w:name w:val="toc 8"/>
    <w:basedOn w:val="Normal"/>
    <w:next w:val="Normal"/>
    <w:autoRedefine/>
    <w:semiHidden/>
    <w:rsid w:val="0027141B"/>
    <w:pPr>
      <w:ind w:left="1540"/>
    </w:pPr>
  </w:style>
  <w:style w:type="paragraph" w:styleId="Caption">
    <w:name w:val="caption"/>
    <w:basedOn w:val="Normal"/>
    <w:next w:val="ParaText"/>
    <w:autoRedefine/>
    <w:qFormat/>
    <w:rsid w:val="00CA38E1"/>
    <w:pPr>
      <w:spacing w:before="120"/>
      <w:jc w:val="left"/>
    </w:pPr>
    <w:rPr>
      <w:b/>
    </w:rPr>
  </w:style>
  <w:style w:type="paragraph" w:styleId="Title">
    <w:name w:val="Title"/>
    <w:basedOn w:val="Normal"/>
    <w:next w:val="Subtitle"/>
    <w:qFormat/>
    <w:rsid w:val="0027141B"/>
    <w:pPr>
      <w:keepNext/>
      <w:keepLines/>
      <w:tabs>
        <w:tab w:val="left" w:pos="576"/>
      </w:tabs>
      <w:spacing w:before="240" w:after="240"/>
      <w:jc w:val="center"/>
    </w:pPr>
    <w:rPr>
      <w:kern w:val="28"/>
      <w:sz w:val="48"/>
    </w:rPr>
  </w:style>
  <w:style w:type="paragraph" w:styleId="Subtitle">
    <w:name w:val="Subtitle"/>
    <w:basedOn w:val="Normal"/>
    <w:qFormat/>
    <w:rsid w:val="0027141B"/>
    <w:pPr>
      <w:spacing w:after="60"/>
      <w:jc w:val="center"/>
      <w:outlineLvl w:val="1"/>
    </w:pPr>
    <w:rPr>
      <w:rFonts w:cs="Arial"/>
      <w:sz w:val="24"/>
      <w:szCs w:val="24"/>
    </w:rPr>
  </w:style>
  <w:style w:type="character" w:styleId="Hyperlink">
    <w:name w:val="Hyperlink"/>
    <w:uiPriority w:val="99"/>
    <w:rsid w:val="0027141B"/>
    <w:rPr>
      <w:color w:val="0000FF"/>
      <w:u w:val="single"/>
    </w:rPr>
  </w:style>
  <w:style w:type="paragraph" w:customStyle="1" w:styleId="Bullet3">
    <w:name w:val="Bullet3"/>
    <w:basedOn w:val="Normal"/>
    <w:rsid w:val="0027141B"/>
    <w:pPr>
      <w:numPr>
        <w:numId w:val="7"/>
      </w:numPr>
      <w:tabs>
        <w:tab w:val="clear" w:pos="1080"/>
        <w:tab w:val="num" w:pos="1440"/>
      </w:tabs>
      <w:ind w:left="1440"/>
    </w:pPr>
  </w:style>
  <w:style w:type="paragraph" w:customStyle="1" w:styleId="Bullet3HRt">
    <w:name w:val="Bullet3[HRt]"/>
    <w:basedOn w:val="Bullet3"/>
    <w:rsid w:val="0027141B"/>
    <w:pPr>
      <w:numPr>
        <w:ilvl w:val="1"/>
      </w:numPr>
      <w:spacing w:after="240" w:line="300" w:lineRule="auto"/>
    </w:pPr>
  </w:style>
  <w:style w:type="paragraph" w:styleId="FootnoteText">
    <w:name w:val="footnote text"/>
    <w:basedOn w:val="Normal"/>
    <w:semiHidden/>
    <w:rsid w:val="0027141B"/>
    <w:pPr>
      <w:suppressAutoHyphens/>
      <w:spacing w:before="50" w:after="0"/>
      <w:ind w:left="216" w:hanging="216"/>
      <w:jc w:val="left"/>
    </w:pPr>
    <w:rPr>
      <w:kern w:val="16"/>
      <w:sz w:val="18"/>
    </w:rPr>
  </w:style>
  <w:style w:type="character" w:styleId="FootnoteReference">
    <w:name w:val="footnote reference"/>
    <w:semiHidden/>
    <w:rsid w:val="0027141B"/>
    <w:rPr>
      <w:vertAlign w:val="superscript"/>
    </w:rPr>
  </w:style>
  <w:style w:type="paragraph" w:styleId="BalloonText">
    <w:name w:val="Balloon Text"/>
    <w:basedOn w:val="Normal"/>
    <w:semiHidden/>
    <w:rsid w:val="0027141B"/>
    <w:rPr>
      <w:rFonts w:ascii="Tahoma" w:hAnsi="Tahoma" w:cs="Tahoma"/>
      <w:sz w:val="16"/>
      <w:szCs w:val="16"/>
    </w:rPr>
  </w:style>
  <w:style w:type="character" w:styleId="CommentReference">
    <w:name w:val="annotation reference"/>
    <w:semiHidden/>
    <w:rsid w:val="0027141B"/>
    <w:rPr>
      <w:sz w:val="16"/>
      <w:szCs w:val="16"/>
    </w:rPr>
  </w:style>
  <w:style w:type="paragraph" w:styleId="CommentText">
    <w:name w:val="annotation text"/>
    <w:basedOn w:val="Normal"/>
    <w:link w:val="CommentTextChar"/>
    <w:uiPriority w:val="99"/>
    <w:rsid w:val="0027141B"/>
    <w:rPr>
      <w:sz w:val="20"/>
    </w:rPr>
  </w:style>
  <w:style w:type="paragraph" w:styleId="DocumentMap">
    <w:name w:val="Document Map"/>
    <w:basedOn w:val="Normal"/>
    <w:semiHidden/>
    <w:rsid w:val="0027141B"/>
    <w:pPr>
      <w:shd w:val="clear" w:color="auto" w:fill="000080"/>
    </w:pPr>
    <w:rPr>
      <w:rFonts w:ascii="Tahoma" w:hAnsi="Tahoma" w:cs="Tahoma"/>
      <w:sz w:val="20"/>
    </w:rPr>
  </w:style>
  <w:style w:type="paragraph" w:styleId="CommentSubject">
    <w:name w:val="annotation subject"/>
    <w:basedOn w:val="CommentText"/>
    <w:next w:val="CommentText"/>
    <w:link w:val="CommentSubjectChar"/>
    <w:rsid w:val="00085E1D"/>
    <w:rPr>
      <w:b/>
      <w:bCs/>
    </w:rPr>
  </w:style>
  <w:style w:type="character" w:customStyle="1" w:styleId="CommentTextChar">
    <w:name w:val="Comment Text Char"/>
    <w:link w:val="CommentText"/>
    <w:uiPriority w:val="99"/>
    <w:rsid w:val="00085E1D"/>
    <w:rPr>
      <w:rFonts w:ascii="Arial" w:hAnsi="Arial"/>
    </w:rPr>
  </w:style>
  <w:style w:type="character" w:customStyle="1" w:styleId="CommentSubjectChar">
    <w:name w:val="Comment Subject Char"/>
    <w:basedOn w:val="CommentTextChar"/>
    <w:link w:val="CommentSubject"/>
    <w:rsid w:val="00085E1D"/>
    <w:rPr>
      <w:rFonts w:ascii="Arial" w:hAnsi="Arial"/>
    </w:rPr>
  </w:style>
  <w:style w:type="character" w:styleId="FollowedHyperlink">
    <w:name w:val="FollowedHyperlink"/>
    <w:rsid w:val="005D7F5B"/>
    <w:rPr>
      <w:color w:val="800080"/>
      <w:u w:val="single"/>
    </w:rPr>
  </w:style>
  <w:style w:type="character" w:customStyle="1" w:styleId="FooterChar">
    <w:name w:val="Footer Char"/>
    <w:link w:val="Footer"/>
    <w:uiPriority w:val="99"/>
    <w:rsid w:val="00CB096F"/>
    <w:rPr>
      <w:rFonts w:ascii="Arial" w:hAnsi="Arial"/>
      <w:i/>
      <w:sz w:val="18"/>
    </w:rPr>
  </w:style>
  <w:style w:type="character" w:customStyle="1" w:styleId="HeaderChar">
    <w:name w:val="Header Char"/>
    <w:link w:val="Header"/>
    <w:uiPriority w:val="99"/>
    <w:rsid w:val="001320DF"/>
    <w:rPr>
      <w:rFonts w:ascii="Arial" w:hAnsi="Arial"/>
      <w:b/>
      <w:sz w:val="22"/>
    </w:rPr>
  </w:style>
  <w:style w:type="character" w:customStyle="1" w:styleId="ParaTextChar1">
    <w:name w:val="ParaText Char1"/>
    <w:link w:val="ParaText"/>
    <w:locked/>
    <w:rsid w:val="00045C4E"/>
    <w:rPr>
      <w:rFonts w:ascii="Arial" w:hAnsi="Arial"/>
      <w:sz w:val="22"/>
    </w:rPr>
  </w:style>
  <w:style w:type="paragraph" w:styleId="Revision">
    <w:name w:val="Revision"/>
    <w:hidden/>
    <w:uiPriority w:val="99"/>
    <w:semiHidden/>
    <w:rsid w:val="006F4F01"/>
    <w:rPr>
      <w:rFonts w:ascii="Arial" w:hAnsi="Arial"/>
      <w:sz w:val="22"/>
    </w:rPr>
  </w:style>
  <w:style w:type="paragraph" w:styleId="NoSpacing">
    <w:name w:val="No Spacing"/>
    <w:link w:val="NoSpacingChar"/>
    <w:uiPriority w:val="1"/>
    <w:qFormat/>
    <w:rsid w:val="00557BD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57BDF"/>
    <w:rPr>
      <w:rFonts w:asciiTheme="minorHAnsi" w:eastAsiaTheme="minorEastAsia" w:hAnsiTheme="minorHAnsi" w:cstheme="minorBidi"/>
      <w:sz w:val="22"/>
      <w:szCs w:val="22"/>
    </w:rPr>
  </w:style>
  <w:style w:type="paragraph" w:styleId="ListParagraph">
    <w:name w:val="List Paragraph"/>
    <w:basedOn w:val="Normal"/>
    <w:uiPriority w:val="34"/>
    <w:qFormat/>
    <w:rsid w:val="002A0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93151">
      <w:bodyDiv w:val="1"/>
      <w:marLeft w:val="0"/>
      <w:marRight w:val="0"/>
      <w:marTop w:val="0"/>
      <w:marBottom w:val="0"/>
      <w:divBdr>
        <w:top w:val="none" w:sz="0" w:space="0" w:color="auto"/>
        <w:left w:val="none" w:sz="0" w:space="0" w:color="auto"/>
        <w:bottom w:val="none" w:sz="0" w:space="0" w:color="auto"/>
        <w:right w:val="none" w:sz="0" w:space="0" w:color="auto"/>
      </w:divBdr>
    </w:div>
    <w:div w:id="749237476">
      <w:bodyDiv w:val="1"/>
      <w:marLeft w:val="0"/>
      <w:marRight w:val="0"/>
      <w:marTop w:val="0"/>
      <w:marBottom w:val="0"/>
      <w:divBdr>
        <w:top w:val="none" w:sz="0" w:space="0" w:color="auto"/>
        <w:left w:val="none" w:sz="0" w:space="0" w:color="auto"/>
        <w:bottom w:val="none" w:sz="0" w:space="0" w:color="auto"/>
        <w:right w:val="none" w:sz="0" w:space="0" w:color="auto"/>
      </w:divBdr>
    </w:div>
    <w:div w:id="1236622903">
      <w:bodyDiv w:val="1"/>
      <w:marLeft w:val="0"/>
      <w:marRight w:val="0"/>
      <w:marTop w:val="0"/>
      <w:marBottom w:val="0"/>
      <w:divBdr>
        <w:top w:val="none" w:sz="0" w:space="0" w:color="auto"/>
        <w:left w:val="none" w:sz="0" w:space="0" w:color="auto"/>
        <w:bottom w:val="none" w:sz="0" w:space="0" w:color="auto"/>
        <w:right w:val="none" w:sz="0" w:space="0" w:color="auto"/>
      </w:divBdr>
    </w:div>
    <w:div w:id="19721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pmcm.caiso.com/Pages/BPMDetails.aspx?BPM=BPM%20Change%20Management" TargetMode="External"/><Relationship Id="rId29" Type="http://schemas.openxmlformats.org/officeDocument/2006/relationships/hyperlink" Target="mailto:e-recipient@cais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erc.gov/no-action-letters-0" TargetMode="External"/><Relationship Id="rId28"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hyperlink" Target="https://bpmcm.caiso.com/Pages/BPMLibrary.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ferc.gov/enforcement-legal/enforcement/enforcement-hotline/contact-hotline-staff-anonymously" TargetMode="External"/><Relationship Id="rId27" Type="http://schemas.openxmlformats.org/officeDocument/2006/relationships/image" Target="media/image4.png"/><Relationship Id="rId30"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Rules of Conduct Administration</BPM_x0020_Nam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3933-AA97-4FB3-9B10-909673E67B7D}">
  <ds:schemaRefs>
    <ds:schemaRef ds:uri="http://schemas.microsoft.com/office/2006/metadata/longProperties"/>
  </ds:schemaRefs>
</ds:datastoreItem>
</file>

<file path=customXml/itemProps2.xml><?xml version="1.0" encoding="utf-8"?>
<ds:datastoreItem xmlns:ds="http://schemas.openxmlformats.org/officeDocument/2006/customXml" ds:itemID="{CC0A86B5-683D-4E56-8BF4-909616F01310}">
  <ds:schemaRefs>
    <ds:schemaRef ds:uri="http://schemas.microsoft.com/sharepoint/v3/contenttype/forms"/>
  </ds:schemaRefs>
</ds:datastoreItem>
</file>

<file path=customXml/itemProps3.xml><?xml version="1.0" encoding="utf-8"?>
<ds:datastoreItem xmlns:ds="http://schemas.openxmlformats.org/officeDocument/2006/customXml" ds:itemID="{0714C7E0-AA28-4754-90C1-64474497E686}">
  <ds:schemaRefs>
    <ds:schemaRef ds:uri="http://schemas.microsoft.com/office/2006/metadata/customXsn"/>
  </ds:schemaRefs>
</ds:datastoreItem>
</file>

<file path=customXml/itemProps4.xml><?xml version="1.0" encoding="utf-8"?>
<ds:datastoreItem xmlns:ds="http://schemas.openxmlformats.org/officeDocument/2006/customXml" ds:itemID="{77A9F1CF-3F4B-4F18-9021-4450791AEF26}">
  <ds:schemaRefs>
    <ds:schemaRef ds:uri="http://purl.org/dc/terms/"/>
    <ds:schemaRef ds:uri="http://schemas.microsoft.com/office/2006/metadata/properties"/>
    <ds:schemaRef ds:uri="b2c59613-3b3d-4bae-9add-59b6ddfe4197"/>
    <ds:schemaRef ds:uri="http://schemas.microsoft.com/office/2006/documentManagement/types"/>
    <ds:schemaRef ds:uri="http://schemas.microsoft.com/sharepoint/v3"/>
    <ds:schemaRef ds:uri="http://schemas.microsoft.com/sharepoint/v4"/>
    <ds:schemaRef ds:uri="http://schemas.openxmlformats.org/package/2006/metadata/core-properties"/>
    <ds:schemaRef ds:uri="042e7bea-1f55-492d-8c02-00738d32c3c4"/>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073791B6-88C4-4200-B479-66A8BE92A897}"/>
</file>

<file path=customXml/itemProps6.xml><?xml version="1.0" encoding="utf-8"?>
<ds:datastoreItem xmlns:ds="http://schemas.openxmlformats.org/officeDocument/2006/customXml" ds:itemID="{88E1ED2F-E408-4FBB-9F70-1E37F777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MASTER.dot</Template>
  <TotalTime>2</TotalTime>
  <Pages>24</Pages>
  <Words>5275</Words>
  <Characters>32568</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Clean</vt:lpstr>
    </vt:vector>
  </TitlesOfParts>
  <Company>California ISO</Company>
  <LinksUpToDate>false</LinksUpToDate>
  <CharactersWithSpaces>37768</CharactersWithSpaces>
  <SharedDoc>false</SharedDoc>
  <HLinks>
    <vt:vector size="204" baseType="variant">
      <vt:variant>
        <vt:i4>1835135</vt:i4>
      </vt:variant>
      <vt:variant>
        <vt:i4>234</vt:i4>
      </vt:variant>
      <vt:variant>
        <vt:i4>0</vt:i4>
      </vt:variant>
      <vt:variant>
        <vt:i4>5</vt:i4>
      </vt:variant>
      <vt:variant>
        <vt:lpwstr>mailto:e-recipient@caiso.com</vt:lpwstr>
      </vt:variant>
      <vt:variant>
        <vt:lpwstr/>
      </vt:variant>
      <vt:variant>
        <vt:i4>8126568</vt:i4>
      </vt:variant>
      <vt:variant>
        <vt:i4>189</vt:i4>
      </vt:variant>
      <vt:variant>
        <vt:i4>0</vt:i4>
      </vt:variant>
      <vt:variant>
        <vt:i4>5</vt:i4>
      </vt:variant>
      <vt:variant>
        <vt:lpwstr>http://www.ferc.gov/legal/no-action-letters.asp</vt:lpwstr>
      </vt:variant>
      <vt:variant>
        <vt:lpwstr/>
      </vt:variant>
      <vt:variant>
        <vt:i4>6291515</vt:i4>
      </vt:variant>
      <vt:variant>
        <vt:i4>186</vt:i4>
      </vt:variant>
      <vt:variant>
        <vt:i4>0</vt:i4>
      </vt:variant>
      <vt:variant>
        <vt:i4>5</vt:i4>
      </vt:variant>
      <vt:variant>
        <vt:lpwstr>http://www.ferc.gov/enforcement/staff-guid/enforce-hot/hotline-form.asp</vt:lpwstr>
      </vt:variant>
      <vt:variant>
        <vt:lpwstr/>
      </vt:variant>
      <vt:variant>
        <vt:i4>327700</vt:i4>
      </vt:variant>
      <vt:variant>
        <vt:i4>183</vt:i4>
      </vt:variant>
      <vt:variant>
        <vt:i4>0</vt:i4>
      </vt:variant>
      <vt:variant>
        <vt:i4>5</vt:i4>
      </vt:variant>
      <vt:variant>
        <vt:lpwstr>http://bpmcm.caiso.com/Pages/BPMLibrary.aspx</vt:lpwstr>
      </vt:variant>
      <vt:variant>
        <vt:lpwstr/>
      </vt:variant>
      <vt:variant>
        <vt:i4>327700</vt:i4>
      </vt:variant>
      <vt:variant>
        <vt:i4>180</vt:i4>
      </vt:variant>
      <vt:variant>
        <vt:i4>0</vt:i4>
      </vt:variant>
      <vt:variant>
        <vt:i4>5</vt:i4>
      </vt:variant>
      <vt:variant>
        <vt:lpwstr>http://bpmcm.caiso.com/Pages/BPMLibrary.aspx</vt:lpwstr>
      </vt:variant>
      <vt:variant>
        <vt:lpwstr/>
      </vt:variant>
      <vt:variant>
        <vt:i4>1769535</vt:i4>
      </vt:variant>
      <vt:variant>
        <vt:i4>173</vt:i4>
      </vt:variant>
      <vt:variant>
        <vt:i4>0</vt:i4>
      </vt:variant>
      <vt:variant>
        <vt:i4>5</vt:i4>
      </vt:variant>
      <vt:variant>
        <vt:lpwstr/>
      </vt:variant>
      <vt:variant>
        <vt:lpwstr>_Toc147805954</vt:lpwstr>
      </vt:variant>
      <vt:variant>
        <vt:i4>1769535</vt:i4>
      </vt:variant>
      <vt:variant>
        <vt:i4>167</vt:i4>
      </vt:variant>
      <vt:variant>
        <vt:i4>0</vt:i4>
      </vt:variant>
      <vt:variant>
        <vt:i4>5</vt:i4>
      </vt:variant>
      <vt:variant>
        <vt:lpwstr/>
      </vt:variant>
      <vt:variant>
        <vt:lpwstr>_Toc147805953</vt:lpwstr>
      </vt:variant>
      <vt:variant>
        <vt:i4>1769535</vt:i4>
      </vt:variant>
      <vt:variant>
        <vt:i4>161</vt:i4>
      </vt:variant>
      <vt:variant>
        <vt:i4>0</vt:i4>
      </vt:variant>
      <vt:variant>
        <vt:i4>5</vt:i4>
      </vt:variant>
      <vt:variant>
        <vt:lpwstr/>
      </vt:variant>
      <vt:variant>
        <vt:lpwstr>_Toc147805952</vt:lpwstr>
      </vt:variant>
      <vt:variant>
        <vt:i4>1769535</vt:i4>
      </vt:variant>
      <vt:variant>
        <vt:i4>155</vt:i4>
      </vt:variant>
      <vt:variant>
        <vt:i4>0</vt:i4>
      </vt:variant>
      <vt:variant>
        <vt:i4>5</vt:i4>
      </vt:variant>
      <vt:variant>
        <vt:lpwstr/>
      </vt:variant>
      <vt:variant>
        <vt:lpwstr>_Toc147805951</vt:lpwstr>
      </vt:variant>
      <vt:variant>
        <vt:i4>1769535</vt:i4>
      </vt:variant>
      <vt:variant>
        <vt:i4>149</vt:i4>
      </vt:variant>
      <vt:variant>
        <vt:i4>0</vt:i4>
      </vt:variant>
      <vt:variant>
        <vt:i4>5</vt:i4>
      </vt:variant>
      <vt:variant>
        <vt:lpwstr/>
      </vt:variant>
      <vt:variant>
        <vt:lpwstr>_Toc147805950</vt:lpwstr>
      </vt:variant>
      <vt:variant>
        <vt:i4>2031679</vt:i4>
      </vt:variant>
      <vt:variant>
        <vt:i4>140</vt:i4>
      </vt:variant>
      <vt:variant>
        <vt:i4>0</vt:i4>
      </vt:variant>
      <vt:variant>
        <vt:i4>5</vt:i4>
      </vt:variant>
      <vt:variant>
        <vt:lpwstr/>
      </vt:variant>
      <vt:variant>
        <vt:lpwstr>_Toc139446393</vt:lpwstr>
      </vt:variant>
      <vt:variant>
        <vt:i4>2031679</vt:i4>
      </vt:variant>
      <vt:variant>
        <vt:i4>134</vt:i4>
      </vt:variant>
      <vt:variant>
        <vt:i4>0</vt:i4>
      </vt:variant>
      <vt:variant>
        <vt:i4>5</vt:i4>
      </vt:variant>
      <vt:variant>
        <vt:lpwstr/>
      </vt:variant>
      <vt:variant>
        <vt:lpwstr>_Toc139446392</vt:lpwstr>
      </vt:variant>
      <vt:variant>
        <vt:i4>2031679</vt:i4>
      </vt:variant>
      <vt:variant>
        <vt:i4>128</vt:i4>
      </vt:variant>
      <vt:variant>
        <vt:i4>0</vt:i4>
      </vt:variant>
      <vt:variant>
        <vt:i4>5</vt:i4>
      </vt:variant>
      <vt:variant>
        <vt:lpwstr/>
      </vt:variant>
      <vt:variant>
        <vt:lpwstr>_Toc139446391</vt:lpwstr>
      </vt:variant>
      <vt:variant>
        <vt:i4>2031679</vt:i4>
      </vt:variant>
      <vt:variant>
        <vt:i4>122</vt:i4>
      </vt:variant>
      <vt:variant>
        <vt:i4>0</vt:i4>
      </vt:variant>
      <vt:variant>
        <vt:i4>5</vt:i4>
      </vt:variant>
      <vt:variant>
        <vt:lpwstr/>
      </vt:variant>
      <vt:variant>
        <vt:lpwstr>_Toc139446390</vt:lpwstr>
      </vt:variant>
      <vt:variant>
        <vt:i4>1966143</vt:i4>
      </vt:variant>
      <vt:variant>
        <vt:i4>116</vt:i4>
      </vt:variant>
      <vt:variant>
        <vt:i4>0</vt:i4>
      </vt:variant>
      <vt:variant>
        <vt:i4>5</vt:i4>
      </vt:variant>
      <vt:variant>
        <vt:lpwstr/>
      </vt:variant>
      <vt:variant>
        <vt:lpwstr>_Toc139446389</vt:lpwstr>
      </vt:variant>
      <vt:variant>
        <vt:i4>1966143</vt:i4>
      </vt:variant>
      <vt:variant>
        <vt:i4>110</vt:i4>
      </vt:variant>
      <vt:variant>
        <vt:i4>0</vt:i4>
      </vt:variant>
      <vt:variant>
        <vt:i4>5</vt:i4>
      </vt:variant>
      <vt:variant>
        <vt:lpwstr/>
      </vt:variant>
      <vt:variant>
        <vt:lpwstr>_Toc139446388</vt:lpwstr>
      </vt:variant>
      <vt:variant>
        <vt:i4>1966143</vt:i4>
      </vt:variant>
      <vt:variant>
        <vt:i4>104</vt:i4>
      </vt:variant>
      <vt:variant>
        <vt:i4>0</vt:i4>
      </vt:variant>
      <vt:variant>
        <vt:i4>5</vt:i4>
      </vt:variant>
      <vt:variant>
        <vt:lpwstr/>
      </vt:variant>
      <vt:variant>
        <vt:lpwstr>_Toc139446387</vt:lpwstr>
      </vt:variant>
      <vt:variant>
        <vt:i4>1966143</vt:i4>
      </vt:variant>
      <vt:variant>
        <vt:i4>98</vt:i4>
      </vt:variant>
      <vt:variant>
        <vt:i4>0</vt:i4>
      </vt:variant>
      <vt:variant>
        <vt:i4>5</vt:i4>
      </vt:variant>
      <vt:variant>
        <vt:lpwstr/>
      </vt:variant>
      <vt:variant>
        <vt:lpwstr>_Toc139446386</vt:lpwstr>
      </vt:variant>
      <vt:variant>
        <vt:i4>1966143</vt:i4>
      </vt:variant>
      <vt:variant>
        <vt:i4>92</vt:i4>
      </vt:variant>
      <vt:variant>
        <vt:i4>0</vt:i4>
      </vt:variant>
      <vt:variant>
        <vt:i4>5</vt:i4>
      </vt:variant>
      <vt:variant>
        <vt:lpwstr/>
      </vt:variant>
      <vt:variant>
        <vt:lpwstr>_Toc139446385</vt:lpwstr>
      </vt:variant>
      <vt:variant>
        <vt:i4>1966143</vt:i4>
      </vt:variant>
      <vt:variant>
        <vt:i4>86</vt:i4>
      </vt:variant>
      <vt:variant>
        <vt:i4>0</vt:i4>
      </vt:variant>
      <vt:variant>
        <vt:i4>5</vt:i4>
      </vt:variant>
      <vt:variant>
        <vt:lpwstr/>
      </vt:variant>
      <vt:variant>
        <vt:lpwstr>_Toc139446384</vt:lpwstr>
      </vt:variant>
      <vt:variant>
        <vt:i4>1966143</vt:i4>
      </vt:variant>
      <vt:variant>
        <vt:i4>80</vt:i4>
      </vt:variant>
      <vt:variant>
        <vt:i4>0</vt:i4>
      </vt:variant>
      <vt:variant>
        <vt:i4>5</vt:i4>
      </vt:variant>
      <vt:variant>
        <vt:lpwstr/>
      </vt:variant>
      <vt:variant>
        <vt:lpwstr>_Toc139446383</vt:lpwstr>
      </vt:variant>
      <vt:variant>
        <vt:i4>1966143</vt:i4>
      </vt:variant>
      <vt:variant>
        <vt:i4>74</vt:i4>
      </vt:variant>
      <vt:variant>
        <vt:i4>0</vt:i4>
      </vt:variant>
      <vt:variant>
        <vt:i4>5</vt:i4>
      </vt:variant>
      <vt:variant>
        <vt:lpwstr/>
      </vt:variant>
      <vt:variant>
        <vt:lpwstr>_Toc139446382</vt:lpwstr>
      </vt:variant>
      <vt:variant>
        <vt:i4>1966143</vt:i4>
      </vt:variant>
      <vt:variant>
        <vt:i4>68</vt:i4>
      </vt:variant>
      <vt:variant>
        <vt:i4>0</vt:i4>
      </vt:variant>
      <vt:variant>
        <vt:i4>5</vt:i4>
      </vt:variant>
      <vt:variant>
        <vt:lpwstr/>
      </vt:variant>
      <vt:variant>
        <vt:lpwstr>_Toc139446381</vt:lpwstr>
      </vt:variant>
      <vt:variant>
        <vt:i4>1966143</vt:i4>
      </vt:variant>
      <vt:variant>
        <vt:i4>62</vt:i4>
      </vt:variant>
      <vt:variant>
        <vt:i4>0</vt:i4>
      </vt:variant>
      <vt:variant>
        <vt:i4>5</vt:i4>
      </vt:variant>
      <vt:variant>
        <vt:lpwstr/>
      </vt:variant>
      <vt:variant>
        <vt:lpwstr>_Toc139446380</vt:lpwstr>
      </vt:variant>
      <vt:variant>
        <vt:i4>1114175</vt:i4>
      </vt:variant>
      <vt:variant>
        <vt:i4>56</vt:i4>
      </vt:variant>
      <vt:variant>
        <vt:i4>0</vt:i4>
      </vt:variant>
      <vt:variant>
        <vt:i4>5</vt:i4>
      </vt:variant>
      <vt:variant>
        <vt:lpwstr/>
      </vt:variant>
      <vt:variant>
        <vt:lpwstr>_Toc139446379</vt:lpwstr>
      </vt:variant>
      <vt:variant>
        <vt:i4>1114175</vt:i4>
      </vt:variant>
      <vt:variant>
        <vt:i4>50</vt:i4>
      </vt:variant>
      <vt:variant>
        <vt:i4>0</vt:i4>
      </vt:variant>
      <vt:variant>
        <vt:i4>5</vt:i4>
      </vt:variant>
      <vt:variant>
        <vt:lpwstr/>
      </vt:variant>
      <vt:variant>
        <vt:lpwstr>_Toc139446378</vt:lpwstr>
      </vt:variant>
      <vt:variant>
        <vt:i4>1114175</vt:i4>
      </vt:variant>
      <vt:variant>
        <vt:i4>44</vt:i4>
      </vt:variant>
      <vt:variant>
        <vt:i4>0</vt:i4>
      </vt:variant>
      <vt:variant>
        <vt:i4>5</vt:i4>
      </vt:variant>
      <vt:variant>
        <vt:lpwstr/>
      </vt:variant>
      <vt:variant>
        <vt:lpwstr>_Toc139446377</vt:lpwstr>
      </vt:variant>
      <vt:variant>
        <vt:i4>1114175</vt:i4>
      </vt:variant>
      <vt:variant>
        <vt:i4>38</vt:i4>
      </vt:variant>
      <vt:variant>
        <vt:i4>0</vt:i4>
      </vt:variant>
      <vt:variant>
        <vt:i4>5</vt:i4>
      </vt:variant>
      <vt:variant>
        <vt:lpwstr/>
      </vt:variant>
      <vt:variant>
        <vt:lpwstr>_Toc139446376</vt:lpwstr>
      </vt:variant>
      <vt:variant>
        <vt:i4>1114175</vt:i4>
      </vt:variant>
      <vt:variant>
        <vt:i4>32</vt:i4>
      </vt:variant>
      <vt:variant>
        <vt:i4>0</vt:i4>
      </vt:variant>
      <vt:variant>
        <vt:i4>5</vt:i4>
      </vt:variant>
      <vt:variant>
        <vt:lpwstr/>
      </vt:variant>
      <vt:variant>
        <vt:lpwstr>_Toc139446375</vt:lpwstr>
      </vt:variant>
      <vt:variant>
        <vt:i4>1114175</vt:i4>
      </vt:variant>
      <vt:variant>
        <vt:i4>26</vt:i4>
      </vt:variant>
      <vt:variant>
        <vt:i4>0</vt:i4>
      </vt:variant>
      <vt:variant>
        <vt:i4>5</vt:i4>
      </vt:variant>
      <vt:variant>
        <vt:lpwstr/>
      </vt:variant>
      <vt:variant>
        <vt:lpwstr>_Toc139446374</vt:lpwstr>
      </vt:variant>
      <vt:variant>
        <vt:i4>1114175</vt:i4>
      </vt:variant>
      <vt:variant>
        <vt:i4>20</vt:i4>
      </vt:variant>
      <vt:variant>
        <vt:i4>0</vt:i4>
      </vt:variant>
      <vt:variant>
        <vt:i4>5</vt:i4>
      </vt:variant>
      <vt:variant>
        <vt:lpwstr/>
      </vt:variant>
      <vt:variant>
        <vt:lpwstr>_Toc139446373</vt:lpwstr>
      </vt:variant>
      <vt:variant>
        <vt:i4>1114175</vt:i4>
      </vt:variant>
      <vt:variant>
        <vt:i4>14</vt:i4>
      </vt:variant>
      <vt:variant>
        <vt:i4>0</vt:i4>
      </vt:variant>
      <vt:variant>
        <vt:i4>5</vt:i4>
      </vt:variant>
      <vt:variant>
        <vt:lpwstr/>
      </vt:variant>
      <vt:variant>
        <vt:lpwstr>_Toc139446372</vt:lpwstr>
      </vt:variant>
      <vt:variant>
        <vt:i4>1114175</vt:i4>
      </vt:variant>
      <vt:variant>
        <vt:i4>8</vt:i4>
      </vt:variant>
      <vt:variant>
        <vt:i4>0</vt:i4>
      </vt:variant>
      <vt:variant>
        <vt:i4>5</vt:i4>
      </vt:variant>
      <vt:variant>
        <vt:lpwstr/>
      </vt:variant>
      <vt:variant>
        <vt:lpwstr>_Toc139446371</vt:lpwstr>
      </vt:variant>
      <vt:variant>
        <vt:i4>1114175</vt:i4>
      </vt:variant>
      <vt:variant>
        <vt:i4>2</vt:i4>
      </vt:variant>
      <vt:variant>
        <vt:i4>0</vt:i4>
      </vt:variant>
      <vt:variant>
        <vt:i4>5</vt:i4>
      </vt:variant>
      <vt:variant>
        <vt:lpwstr/>
      </vt:variant>
      <vt:variant>
        <vt:lpwstr>_Toc139446370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Stahl, Angelica</dc:creator>
  <cp:keywords/>
  <cp:lastModifiedBy>Stahl, Angelica</cp:lastModifiedBy>
  <cp:revision>3</cp:revision>
  <cp:lastPrinted>2025-01-28T17:12:00Z</cp:lastPrinted>
  <dcterms:created xsi:type="dcterms:W3CDTF">2025-01-28T17:15:00Z</dcterms:created>
  <dcterms:modified xsi:type="dcterms:W3CDTF">2025-01-29T17:55:00Z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82cdb6c1-6093-4cdb-b810-452e5072c6bc</vt:lpwstr>
  </property>
  <property fmtid="{D5CDD505-2E9C-101B-9397-08002B2CF9AE}" pid="3" name="ContentTypeId">
    <vt:lpwstr>0x010100F4DE1AACB87EAA4BB22C173C8FC48D4D</vt:lpwstr>
  </property>
  <property fmtid="{D5CDD505-2E9C-101B-9397-08002B2CF9AE}" pid="4" name="_dlc_DocId">
    <vt:lpwstr>FGD5EMQPXRTV-82-2427</vt:lpwstr>
  </property>
  <property fmtid="{D5CDD505-2E9C-101B-9397-08002B2CF9AE}" pid="5" name="_dlc_DocIdUrl">
    <vt:lpwstr>https://records.oa.caiso.com/sites/ops/MS/_layouts/15/DocIdRedir.aspx?ID=FGD5EMQPXRTV-82-2427, FGD5EMQPXRTV-82-2427</vt:lpwstr>
  </property>
  <property fmtid="{D5CDD505-2E9C-101B-9397-08002B2CF9AE}" pid="6" name="Doc Owner">
    <vt:lpwstr>328</vt:lpwstr>
  </property>
  <property fmtid="{D5CDD505-2E9C-101B-9397-08002B2CF9AE}" pid="7" name="Intellectual Property Type">
    <vt:lpwstr/>
  </property>
  <property fmtid="{D5CDD505-2E9C-101B-9397-08002B2CF9AE}" pid="8" name="InfoSec Classification">
    <vt:lpwstr>Copyright 2012 California ISO</vt:lpwstr>
  </property>
  <property fmtid="{D5CDD505-2E9C-101B-9397-08002B2CF9AE}" pid="9" name="IsRecord">
    <vt:lpwstr>0</vt:lpwstr>
  </property>
  <property fmtid="{D5CDD505-2E9C-101B-9397-08002B2CF9AE}" pid="10" name="Level II BP">
    <vt:lpwstr>Rules of Conduct</vt:lpwstr>
  </property>
  <property fmtid="{D5CDD505-2E9C-101B-9397-08002B2CF9AE}" pid="11" name="Division">
    <vt:lpwstr>Operations</vt:lpwstr>
  </property>
  <property fmtid="{D5CDD505-2E9C-101B-9397-08002B2CF9AE}" pid="12" name="Doc Status">
    <vt:lpwstr>Final</vt:lpwstr>
  </property>
  <property fmtid="{D5CDD505-2E9C-101B-9397-08002B2CF9AE}" pid="13" name="Date Became Record">
    <vt:lpwstr>2011-09-30T15:50:56Z</vt:lpwstr>
  </property>
  <property fmtid="{D5CDD505-2E9C-101B-9397-08002B2CF9AE}" pid="14" name="ISO Department">
    <vt:lpwstr>Market Services</vt:lpwstr>
  </property>
  <property fmtid="{D5CDD505-2E9C-101B-9397-08002B2CF9AE}" pid="15" name="display_urn:schemas-microsoft-com:office:office#Doc_x0020_Owner">
    <vt:lpwstr>ISOOA1\app_sqlloader</vt:lpwstr>
  </property>
  <property fmtid="{D5CDD505-2E9C-101B-9397-08002B2CF9AE}" pid="16" name="Order">
    <vt:lpwstr>67600.0000000000</vt:lpwstr>
  </property>
  <property fmtid="{D5CDD505-2E9C-101B-9397-08002B2CF9AE}" pid="17" name="TaxCatchAll">
    <vt:lpwstr/>
  </property>
  <property fmtid="{D5CDD505-2E9C-101B-9397-08002B2CF9AE}" pid="18" name="CSMeta2010Field">
    <vt:lpwstr>4f2da72c-78c0-4857-8fcb-4e46f1f73c74;2015-07-16 09:47:46;PENDINGCLASSIFICATION;False</vt:lpwstr>
  </property>
  <property fmtid="{D5CDD505-2E9C-101B-9397-08002B2CF9AE}" pid="19" name="ac6042663e6544a5b5f6c47baa21cbec">
    <vt:lpwstr/>
  </property>
  <property fmtid="{D5CDD505-2E9C-101B-9397-08002B2CF9AE}" pid="20" name="mb7a63be961241008d728fcf8db72869">
    <vt:lpwstr/>
  </property>
  <property fmtid="{D5CDD505-2E9C-101B-9397-08002B2CF9AE}" pid="21" name="b096d808b59a41b7a526eb1052d792f3">
    <vt:lpwstr/>
  </property>
  <property fmtid="{D5CDD505-2E9C-101B-9397-08002B2CF9AE}" pid="22" name="AutoClassRecordSeries">
    <vt:lpwstr/>
  </property>
  <property fmtid="{D5CDD505-2E9C-101B-9397-08002B2CF9AE}" pid="23" name="AutoClassDocumentType">
    <vt:lpwstr/>
  </property>
  <property fmtid="{D5CDD505-2E9C-101B-9397-08002B2CF9AE}" pid="24" name="AutoClassTopic">
    <vt:lpwstr/>
  </property>
  <property fmtid="{D5CDD505-2E9C-101B-9397-08002B2CF9AE}" pid="25" name="MS Business Unit">
    <vt:lpwstr>Market Settlement Quality &amp; Controls</vt:lpwstr>
  </property>
  <property fmtid="{D5CDD505-2E9C-101B-9397-08002B2CF9AE}" pid="26" name="CG Document Type">
    <vt:lpwstr/>
  </property>
  <property fmtid="{D5CDD505-2E9C-101B-9397-08002B2CF9AE}" pid="27" name="Charge Codes">
    <vt:lpwstr/>
  </property>
  <property fmtid="{D5CDD505-2E9C-101B-9397-08002B2CF9AE}" pid="28" name="CG Document Workflow Stage">
    <vt:lpwstr/>
  </property>
  <property fmtid="{D5CDD505-2E9C-101B-9397-08002B2CF9AE}" pid="29" name="Configuration Status">
    <vt:lpwstr/>
  </property>
  <property fmtid="{D5CDD505-2E9C-101B-9397-08002B2CF9AE}" pid="30" name="Effective Trade Date End">
    <vt:lpwstr/>
  </property>
  <property fmtid="{D5CDD505-2E9C-101B-9397-08002B2CF9AE}" pid="31" name="display_urn:schemas-microsoft-com:office:office#Editor">
    <vt:lpwstr>Payton, Julia</vt:lpwstr>
  </property>
  <property fmtid="{D5CDD505-2E9C-101B-9397-08002B2CF9AE}" pid="32" name="display_urn:schemas-microsoft-com:office:office#Author">
    <vt:lpwstr>Payton, Julia</vt:lpwstr>
  </property>
</Properties>
</file>