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F9E8" w14:textId="77777777" w:rsidR="0092410C" w:rsidRDefault="00FA6B35" w:rsidP="001A5070">
      <w:pPr>
        <w:rPr>
          <w:rFonts w:cs="Arial"/>
        </w:rPr>
      </w:pPr>
      <w:r>
        <w:rPr>
          <w:rFonts w:cs="Arial"/>
          <w:noProof/>
          <w:sz w:val="20"/>
        </w:rPr>
        <mc:AlternateContent>
          <mc:Choice Requires="wps">
            <w:drawing>
              <wp:anchor distT="0" distB="0" distL="114300" distR="114300" simplePos="0" relativeHeight="251658240" behindDoc="0" locked="0" layoutInCell="1" allowOverlap="1" wp14:anchorId="5B159388" wp14:editId="65C9AFE1">
                <wp:simplePos x="0" y="0"/>
                <wp:positionH relativeFrom="column">
                  <wp:posOffset>-1143000</wp:posOffset>
                </wp:positionH>
                <wp:positionV relativeFrom="paragraph">
                  <wp:posOffset>228600</wp:posOffset>
                </wp:positionV>
                <wp:extent cx="9144000" cy="114300"/>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42F74"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K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D4DfOW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205406C2" w14:textId="77777777" w:rsidR="002148AE" w:rsidRPr="00C03513" w:rsidRDefault="002148AE">
      <w:pPr>
        <w:rPr>
          <w:rFonts w:cs="Arial"/>
        </w:rPr>
      </w:pPr>
    </w:p>
    <w:p w14:paraId="52941346" w14:textId="77777777" w:rsidR="002148AE" w:rsidRPr="00C03513" w:rsidRDefault="002148AE">
      <w:pPr>
        <w:pStyle w:val="ParaText"/>
        <w:jc w:val="right"/>
        <w:rPr>
          <w:rFonts w:cs="Arial"/>
          <w:b/>
          <w:bCs/>
        </w:rPr>
      </w:pPr>
    </w:p>
    <w:p w14:paraId="15B43342" w14:textId="77777777" w:rsidR="002148AE" w:rsidRPr="00C03513" w:rsidRDefault="002148AE">
      <w:pPr>
        <w:pStyle w:val="Header"/>
        <w:tabs>
          <w:tab w:val="clear" w:pos="4320"/>
          <w:tab w:val="clear" w:pos="8640"/>
        </w:tabs>
        <w:rPr>
          <w:rFonts w:cs="Arial"/>
          <w:b w:val="0"/>
          <w:bCs/>
        </w:rPr>
      </w:pPr>
    </w:p>
    <w:p w14:paraId="3D1F21C0" w14:textId="77777777" w:rsidR="002148AE" w:rsidRPr="00C03513" w:rsidRDefault="002148AE">
      <w:pPr>
        <w:pStyle w:val="ParaText"/>
        <w:rPr>
          <w:rFonts w:cs="Arial"/>
        </w:rPr>
      </w:pPr>
    </w:p>
    <w:p w14:paraId="6E5E941F" w14:textId="77777777" w:rsidR="00E52499" w:rsidRPr="00C03513" w:rsidRDefault="002148AE" w:rsidP="00C7737E">
      <w:pPr>
        <w:pStyle w:val="Title"/>
        <w:rPr>
          <w:rFonts w:cs="Arial"/>
        </w:rPr>
      </w:pPr>
      <w:r w:rsidRPr="00C03513">
        <w:rPr>
          <w:rFonts w:cs="Arial"/>
        </w:rPr>
        <w:t>Business Practice Manual</w:t>
      </w:r>
    </w:p>
    <w:p w14:paraId="3D654D24" w14:textId="77777777" w:rsidR="0071103E" w:rsidRDefault="00E52499" w:rsidP="00C7737E">
      <w:pPr>
        <w:pStyle w:val="Title"/>
        <w:rPr>
          <w:rFonts w:cs="Arial"/>
        </w:rPr>
      </w:pPr>
      <w:r w:rsidRPr="00C03513">
        <w:rPr>
          <w:rFonts w:cs="Arial"/>
        </w:rPr>
        <w:t>F</w:t>
      </w:r>
      <w:r w:rsidR="002148AE" w:rsidRPr="00C03513">
        <w:rPr>
          <w:rFonts w:cs="Arial"/>
        </w:rPr>
        <w:t>or</w:t>
      </w:r>
      <w:r w:rsidR="0039613C">
        <w:rPr>
          <w:rFonts w:cs="Arial"/>
        </w:rPr>
        <w:t xml:space="preserve"> T</w:t>
      </w:r>
      <w:r w:rsidR="000D7FC2">
        <w:rPr>
          <w:rFonts w:cs="Arial"/>
        </w:rPr>
        <w:t>he</w:t>
      </w:r>
    </w:p>
    <w:p w14:paraId="724D3CDC" w14:textId="77777777" w:rsidR="002148AE" w:rsidRPr="00C03513" w:rsidRDefault="00827D23" w:rsidP="00C7737E">
      <w:pPr>
        <w:pStyle w:val="Title"/>
        <w:rPr>
          <w:rFonts w:cs="Arial"/>
        </w:rPr>
      </w:pPr>
      <w:r>
        <w:rPr>
          <w:rFonts w:cs="Arial"/>
        </w:rPr>
        <w:t>Energy Imbalance Market</w:t>
      </w:r>
    </w:p>
    <w:p w14:paraId="1824BB83" w14:textId="77777777" w:rsidR="00635A12" w:rsidRPr="00C03513" w:rsidRDefault="00635A12" w:rsidP="00635A12">
      <w:pPr>
        <w:pStyle w:val="Subtitle"/>
      </w:pPr>
    </w:p>
    <w:p w14:paraId="543A402B" w14:textId="77777777" w:rsidR="00635A12" w:rsidRPr="00C03513" w:rsidRDefault="00635A12" w:rsidP="00635A12">
      <w:pPr>
        <w:pStyle w:val="Subtitle"/>
      </w:pPr>
    </w:p>
    <w:p w14:paraId="59BC9892" w14:textId="77777777" w:rsidR="002148AE" w:rsidRPr="00C03513" w:rsidRDefault="002148AE">
      <w:pPr>
        <w:pStyle w:val="ParaText"/>
        <w:rPr>
          <w:rFonts w:cs="Arial"/>
        </w:rPr>
      </w:pPr>
    </w:p>
    <w:p w14:paraId="333608E8" w14:textId="77777777" w:rsidR="002148AE" w:rsidRPr="00C03513" w:rsidRDefault="002148AE">
      <w:pPr>
        <w:pStyle w:val="ParaText"/>
        <w:rPr>
          <w:rFonts w:cs="Arial"/>
        </w:rPr>
      </w:pPr>
    </w:p>
    <w:p w14:paraId="3B008D64" w14:textId="77777777" w:rsidR="00FA61BC" w:rsidRPr="00C03513" w:rsidRDefault="00FA61BC">
      <w:pPr>
        <w:pStyle w:val="ParaText"/>
        <w:rPr>
          <w:rFonts w:cs="Arial"/>
        </w:rPr>
      </w:pPr>
    </w:p>
    <w:p w14:paraId="1F3CF864" w14:textId="77777777" w:rsidR="00FA61BC" w:rsidRPr="00C03513" w:rsidRDefault="00FA61BC">
      <w:pPr>
        <w:pStyle w:val="ParaText"/>
        <w:rPr>
          <w:rFonts w:cs="Arial"/>
        </w:rPr>
      </w:pPr>
    </w:p>
    <w:p w14:paraId="0111DD9D" w14:textId="77777777" w:rsidR="00FA61BC" w:rsidRPr="007419FE" w:rsidRDefault="00FA61BC">
      <w:pPr>
        <w:pStyle w:val="ParaText"/>
        <w:rPr>
          <w:rFonts w:cs="Arial"/>
        </w:rPr>
      </w:pPr>
    </w:p>
    <w:p w14:paraId="256F75E0" w14:textId="77777777" w:rsidR="00FA61BC" w:rsidRPr="00C03513" w:rsidRDefault="00FA61BC">
      <w:pPr>
        <w:pStyle w:val="ParaText"/>
        <w:jc w:val="center"/>
        <w:rPr>
          <w:rFonts w:cs="Arial"/>
        </w:rPr>
      </w:pPr>
    </w:p>
    <w:p w14:paraId="4009E1CD" w14:textId="77777777" w:rsidR="00FA61BC" w:rsidRPr="00C03513" w:rsidRDefault="00FA61BC">
      <w:pPr>
        <w:pStyle w:val="ParaText"/>
        <w:jc w:val="center"/>
        <w:rPr>
          <w:rFonts w:cs="Arial"/>
        </w:rPr>
      </w:pPr>
    </w:p>
    <w:p w14:paraId="56284921" w14:textId="2DF7D558" w:rsidR="002148AE" w:rsidRPr="00C03513" w:rsidRDefault="001425BC">
      <w:pPr>
        <w:pStyle w:val="ParaText"/>
        <w:jc w:val="center"/>
        <w:rPr>
          <w:rFonts w:cs="Arial"/>
        </w:rPr>
      </w:pPr>
      <w:r w:rsidRPr="00C03513">
        <w:rPr>
          <w:rFonts w:cs="Arial"/>
        </w:rPr>
        <w:t xml:space="preserve">Version </w:t>
      </w:r>
      <w:r w:rsidR="009434F3">
        <w:rPr>
          <w:rFonts w:cs="Arial"/>
        </w:rPr>
        <w:t>6</w:t>
      </w:r>
    </w:p>
    <w:p w14:paraId="628A5C70" w14:textId="77777777" w:rsidR="002148AE" w:rsidRPr="00C03513" w:rsidRDefault="002148AE">
      <w:pPr>
        <w:pStyle w:val="ParaText"/>
        <w:rPr>
          <w:rFonts w:cs="Arial"/>
        </w:rPr>
      </w:pPr>
    </w:p>
    <w:p w14:paraId="710932A4" w14:textId="46FEA049" w:rsidR="002148AE" w:rsidRPr="00C03513" w:rsidRDefault="00C9250E">
      <w:pPr>
        <w:pStyle w:val="ParaText"/>
        <w:jc w:val="center"/>
        <w:rPr>
          <w:rFonts w:cs="Arial"/>
        </w:rPr>
      </w:pPr>
      <w:r w:rsidRPr="00C03513">
        <w:rPr>
          <w:rFonts w:cs="Arial"/>
        </w:rPr>
        <w:lastRenderedPageBreak/>
        <w:t>Revision Date</w:t>
      </w:r>
      <w:r w:rsidR="002148AE" w:rsidRPr="00C03513">
        <w:rPr>
          <w:rFonts w:cs="Arial"/>
        </w:rPr>
        <w:t xml:space="preserve">: </w:t>
      </w:r>
      <w:r w:rsidR="009434F3">
        <w:rPr>
          <w:rFonts w:cs="Arial"/>
        </w:rPr>
        <w:t>August 30</w:t>
      </w:r>
      <w:r w:rsidR="009539D0">
        <w:rPr>
          <w:rFonts w:cs="Arial"/>
        </w:rPr>
        <w:t>, 2016</w:t>
      </w:r>
    </w:p>
    <w:p w14:paraId="08E8A462" w14:textId="77777777" w:rsidR="002148AE" w:rsidRPr="00C03513" w:rsidRDefault="002148AE">
      <w:pPr>
        <w:pStyle w:val="ParaText"/>
        <w:rPr>
          <w:rFonts w:cs="Arial"/>
        </w:rPr>
      </w:pPr>
    </w:p>
    <w:p w14:paraId="5FF6FF2B" w14:textId="77777777" w:rsidR="00E52499" w:rsidRPr="00C03513" w:rsidRDefault="00E52499">
      <w:pPr>
        <w:rPr>
          <w:rFonts w:cs="Arial"/>
          <w:b/>
          <w:bCs/>
          <w:sz w:val="32"/>
        </w:rPr>
      </w:pPr>
      <w:r w:rsidRPr="00C03513">
        <w:rPr>
          <w:rFonts w:cs="Arial"/>
          <w:b/>
          <w:bCs/>
          <w:sz w:val="32"/>
        </w:rPr>
        <w:br w:type="page"/>
      </w:r>
    </w:p>
    <w:p w14:paraId="21A7FDF9" w14:textId="77777777" w:rsidR="002148AE" w:rsidRPr="00C03513" w:rsidRDefault="002148AE">
      <w:pPr>
        <w:rPr>
          <w:rFonts w:cs="Arial"/>
          <w:b/>
          <w:bCs/>
          <w:sz w:val="32"/>
        </w:rPr>
      </w:pPr>
      <w:r w:rsidRPr="00C03513">
        <w:rPr>
          <w:rFonts w:cs="Arial"/>
          <w:b/>
          <w:bCs/>
          <w:sz w:val="32"/>
        </w:rPr>
        <w:lastRenderedPageBreak/>
        <w:t>Approval History</w:t>
      </w:r>
    </w:p>
    <w:p w14:paraId="44C6FBC5" w14:textId="77777777" w:rsidR="002148AE" w:rsidRPr="00C03513" w:rsidRDefault="002148AE">
      <w:pPr>
        <w:pStyle w:val="ParaText"/>
        <w:ind w:firstLine="720"/>
        <w:rPr>
          <w:rFonts w:cs="Arial"/>
        </w:rPr>
      </w:pPr>
      <w:r w:rsidRPr="00C03513">
        <w:rPr>
          <w:rFonts w:cs="Arial"/>
        </w:rPr>
        <w:t>Approval Date</w:t>
      </w:r>
      <w:r w:rsidR="00657E79">
        <w:rPr>
          <w:rFonts w:cs="Arial"/>
        </w:rPr>
        <w:t xml:space="preserve">:  </w:t>
      </w:r>
      <w:r w:rsidR="002A234D">
        <w:rPr>
          <w:rFonts w:cs="Arial"/>
        </w:rPr>
        <w:t>October 2</w:t>
      </w:r>
      <w:r w:rsidR="00B645B7" w:rsidRPr="0028532A">
        <w:rPr>
          <w:rFonts w:cs="Arial"/>
        </w:rPr>
        <w:t>,</w:t>
      </w:r>
      <w:r w:rsidR="00B645B7" w:rsidRPr="00C03513">
        <w:rPr>
          <w:rFonts w:cs="Arial"/>
        </w:rPr>
        <w:t xml:space="preserve"> 2014</w:t>
      </w:r>
    </w:p>
    <w:p w14:paraId="20B584E4" w14:textId="77777777" w:rsidR="002148AE" w:rsidRPr="00C03513" w:rsidRDefault="0028532A">
      <w:pPr>
        <w:pStyle w:val="ParaText"/>
        <w:ind w:firstLine="720"/>
        <w:rPr>
          <w:rFonts w:cs="Arial"/>
        </w:rPr>
      </w:pPr>
      <w:r>
        <w:rPr>
          <w:rFonts w:cs="Arial"/>
        </w:rPr>
        <w:t xml:space="preserve">Effective Date:  </w:t>
      </w:r>
      <w:r w:rsidR="002A234D">
        <w:rPr>
          <w:rFonts w:cs="Arial"/>
        </w:rPr>
        <w:t>October 2</w:t>
      </w:r>
      <w:r w:rsidR="00B645B7" w:rsidRPr="00C03513">
        <w:rPr>
          <w:rFonts w:cs="Arial"/>
        </w:rPr>
        <w:t>, 2014</w:t>
      </w:r>
    </w:p>
    <w:p w14:paraId="6EB7EDE0" w14:textId="77777777" w:rsidR="002148AE" w:rsidRPr="00C7737E" w:rsidRDefault="002148AE">
      <w:pPr>
        <w:pStyle w:val="ParaText"/>
        <w:ind w:firstLine="720"/>
        <w:rPr>
          <w:rFonts w:cs="Arial"/>
        </w:rPr>
      </w:pPr>
      <w:r w:rsidRPr="00C03513">
        <w:rPr>
          <w:rFonts w:cs="Arial"/>
        </w:rPr>
        <w:t>BPM Owner</w:t>
      </w:r>
      <w:r w:rsidR="00C7737E">
        <w:rPr>
          <w:rFonts w:cs="Arial"/>
        </w:rPr>
        <w:t>s</w:t>
      </w:r>
      <w:r w:rsidR="00657E79">
        <w:rPr>
          <w:rFonts w:cs="Arial"/>
        </w:rPr>
        <w:t xml:space="preserve">:  </w:t>
      </w:r>
      <w:r w:rsidR="00C7737E" w:rsidRPr="00C7737E">
        <w:rPr>
          <w:rFonts w:cs="Arial"/>
        </w:rPr>
        <w:t>Mike Turner and Jamal Batakji</w:t>
      </w:r>
    </w:p>
    <w:p w14:paraId="212D9C6B" w14:textId="77777777" w:rsidR="00837C71" w:rsidRDefault="00982CB2" w:rsidP="00F1046E">
      <w:pPr>
        <w:pStyle w:val="ParaText"/>
        <w:spacing w:after="0"/>
        <w:ind w:firstLine="720"/>
        <w:rPr>
          <w:rFonts w:cs="Arial"/>
        </w:rPr>
      </w:pPr>
      <w:r>
        <w:rPr>
          <w:rFonts w:cs="Arial"/>
        </w:rPr>
        <w:t>BPM Owner</w:t>
      </w:r>
      <w:r w:rsidR="009472BD">
        <w:rPr>
          <w:rFonts w:cs="Arial"/>
        </w:rPr>
        <w:t>s</w:t>
      </w:r>
      <w:r>
        <w:rPr>
          <w:rFonts w:cs="Arial"/>
        </w:rPr>
        <w:t>’</w:t>
      </w:r>
      <w:r w:rsidR="002148AE" w:rsidRPr="00C03513">
        <w:rPr>
          <w:rFonts w:cs="Arial"/>
        </w:rPr>
        <w:t xml:space="preserve"> Title</w:t>
      </w:r>
      <w:r>
        <w:rPr>
          <w:rFonts w:cs="Arial"/>
        </w:rPr>
        <w:t>s</w:t>
      </w:r>
      <w:r w:rsidR="00657E79">
        <w:rPr>
          <w:rFonts w:cs="Arial"/>
        </w:rPr>
        <w:t xml:space="preserve">:  </w:t>
      </w:r>
      <w:r w:rsidR="00F866BE" w:rsidRPr="00F866BE">
        <w:rPr>
          <w:rFonts w:cs="Arial"/>
        </w:rPr>
        <w:t>Manager, Market Settlement Validation and Resolution</w:t>
      </w:r>
      <w:r w:rsidR="00F866BE">
        <w:rPr>
          <w:rFonts w:cs="Arial"/>
        </w:rPr>
        <w:t xml:space="preserve"> and</w:t>
      </w:r>
    </w:p>
    <w:p w14:paraId="6DD67A07" w14:textId="77777777" w:rsidR="00F866BE" w:rsidRDefault="00F866BE" w:rsidP="00F1046E">
      <w:pPr>
        <w:pStyle w:val="ParaText"/>
        <w:ind w:firstLine="720"/>
        <w:rPr>
          <w:rFonts w:cs="Arial"/>
        </w:rPr>
      </w:pPr>
      <w:r>
        <w:rPr>
          <w:rFonts w:cs="Arial"/>
        </w:rPr>
        <w:t xml:space="preserve">  </w:t>
      </w:r>
      <w:r w:rsidR="00F1046E">
        <w:rPr>
          <w:rFonts w:cs="Arial"/>
        </w:rPr>
        <w:t xml:space="preserve">                              </w:t>
      </w:r>
      <w:r>
        <w:rPr>
          <w:rFonts w:cs="Arial"/>
        </w:rPr>
        <w:t>Lead Day-</w:t>
      </w:r>
      <w:r w:rsidRPr="00F866BE">
        <w:rPr>
          <w:rFonts w:cs="Arial"/>
        </w:rPr>
        <w:t>Ahead Market Operator</w:t>
      </w:r>
    </w:p>
    <w:p w14:paraId="5814517B" w14:textId="77777777" w:rsidR="00F866BE" w:rsidRPr="00F866BE" w:rsidRDefault="00F866BE" w:rsidP="00F866BE">
      <w:pPr>
        <w:pStyle w:val="ParaText"/>
        <w:ind w:firstLine="720"/>
        <w:rPr>
          <w:rFonts w:cs="Arial"/>
        </w:rPr>
      </w:pPr>
    </w:p>
    <w:p w14:paraId="1E86CE1A" w14:textId="77777777" w:rsidR="002148AE" w:rsidRDefault="002148AE">
      <w:pPr>
        <w:rPr>
          <w:rFonts w:cs="Arial"/>
          <w:b/>
          <w:bCs/>
          <w:sz w:val="32"/>
        </w:rPr>
      </w:pPr>
      <w:r w:rsidRPr="00C03513">
        <w:rPr>
          <w:rFonts w:cs="Arial"/>
          <w:b/>
          <w:bCs/>
          <w:sz w:val="32"/>
        </w:rPr>
        <w:t>Revision History</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117"/>
        <w:gridCol w:w="1350"/>
        <w:gridCol w:w="6157"/>
      </w:tblGrid>
      <w:tr w:rsidR="008D505E" w:rsidRPr="00C03513" w14:paraId="3A10C9A8" w14:textId="77777777" w:rsidTr="0086200E">
        <w:trPr>
          <w:tblHeader/>
        </w:trPr>
        <w:tc>
          <w:tcPr>
            <w:tcW w:w="1200" w:type="dxa"/>
            <w:shd w:val="clear" w:color="auto" w:fill="0000BE"/>
            <w:vAlign w:val="center"/>
          </w:tcPr>
          <w:p w14:paraId="63C4EBDA" w14:textId="77777777" w:rsidR="008D505E" w:rsidRPr="00C03513" w:rsidRDefault="008D505E" w:rsidP="0086200E">
            <w:pPr>
              <w:spacing w:before="60" w:after="60"/>
              <w:jc w:val="center"/>
              <w:rPr>
                <w:rFonts w:cs="Arial"/>
                <w:color w:val="FFFFFF"/>
                <w:sz w:val="28"/>
              </w:rPr>
            </w:pPr>
            <w:r w:rsidRPr="00C03513">
              <w:rPr>
                <w:rFonts w:cs="Arial"/>
                <w:color w:val="FFFFFF"/>
                <w:sz w:val="28"/>
              </w:rPr>
              <w:t>Version</w:t>
            </w:r>
          </w:p>
        </w:tc>
        <w:tc>
          <w:tcPr>
            <w:tcW w:w="1117" w:type="dxa"/>
            <w:shd w:val="clear" w:color="auto" w:fill="0000BE"/>
          </w:tcPr>
          <w:p w14:paraId="1498F678" w14:textId="77777777" w:rsidR="008D505E" w:rsidRPr="00C03513" w:rsidRDefault="008D505E" w:rsidP="0086200E">
            <w:pPr>
              <w:spacing w:before="60" w:after="60"/>
              <w:jc w:val="center"/>
              <w:rPr>
                <w:rFonts w:cs="Arial"/>
                <w:color w:val="FFFFFF"/>
                <w:sz w:val="28"/>
              </w:rPr>
            </w:pPr>
            <w:r>
              <w:rPr>
                <w:rFonts w:cs="Arial"/>
                <w:color w:val="FFFFFF"/>
                <w:sz w:val="28"/>
              </w:rPr>
              <w:t>PRR</w:t>
            </w:r>
          </w:p>
        </w:tc>
        <w:tc>
          <w:tcPr>
            <w:tcW w:w="1350" w:type="dxa"/>
            <w:shd w:val="clear" w:color="auto" w:fill="0000BE"/>
            <w:vAlign w:val="center"/>
          </w:tcPr>
          <w:p w14:paraId="4B341F20" w14:textId="77777777" w:rsidR="008D505E" w:rsidRPr="00C03513" w:rsidRDefault="008D505E" w:rsidP="0086200E">
            <w:pPr>
              <w:spacing w:before="60" w:after="60"/>
              <w:jc w:val="center"/>
              <w:rPr>
                <w:rFonts w:cs="Arial"/>
                <w:color w:val="FFFFFF"/>
                <w:sz w:val="28"/>
              </w:rPr>
            </w:pPr>
            <w:r w:rsidRPr="00C03513">
              <w:rPr>
                <w:rFonts w:cs="Arial"/>
                <w:color w:val="FFFFFF"/>
                <w:sz w:val="28"/>
              </w:rPr>
              <w:t>Date</w:t>
            </w:r>
          </w:p>
        </w:tc>
        <w:tc>
          <w:tcPr>
            <w:tcW w:w="6157" w:type="dxa"/>
            <w:shd w:val="clear" w:color="auto" w:fill="0000BE"/>
            <w:vAlign w:val="center"/>
          </w:tcPr>
          <w:p w14:paraId="299AFE0C" w14:textId="77777777" w:rsidR="008D505E" w:rsidRPr="00C03513" w:rsidRDefault="008D505E" w:rsidP="0086200E">
            <w:pPr>
              <w:spacing w:before="60" w:after="60"/>
              <w:jc w:val="center"/>
              <w:rPr>
                <w:rFonts w:cs="Arial"/>
                <w:color w:val="FFFFFF"/>
                <w:sz w:val="28"/>
              </w:rPr>
            </w:pPr>
            <w:r w:rsidRPr="00C03513">
              <w:rPr>
                <w:rFonts w:cs="Arial"/>
                <w:color w:val="FFFFFF"/>
                <w:sz w:val="28"/>
              </w:rPr>
              <w:t>Description</w:t>
            </w:r>
          </w:p>
        </w:tc>
      </w:tr>
      <w:tr w:rsidR="008D505E" w:rsidRPr="008D505E" w14:paraId="46E642CC" w14:textId="77777777" w:rsidTr="008D505E">
        <w:trPr>
          <w:tblHeader/>
        </w:trPr>
        <w:tc>
          <w:tcPr>
            <w:tcW w:w="1200" w:type="dxa"/>
            <w:shd w:val="clear" w:color="auto" w:fill="auto"/>
            <w:vAlign w:val="center"/>
          </w:tcPr>
          <w:p w14:paraId="050F96AE" w14:textId="0A9D6EB8" w:rsidR="008D505E" w:rsidRPr="008D505E" w:rsidRDefault="008D505E" w:rsidP="0086200E">
            <w:pPr>
              <w:spacing w:before="60" w:after="60"/>
              <w:jc w:val="center"/>
              <w:rPr>
                <w:rFonts w:cs="Arial"/>
                <w:sz w:val="24"/>
                <w:szCs w:val="24"/>
              </w:rPr>
            </w:pPr>
            <w:r w:rsidRPr="008D505E">
              <w:rPr>
                <w:rFonts w:cs="Arial"/>
                <w:sz w:val="24"/>
                <w:szCs w:val="24"/>
              </w:rPr>
              <w:t>6</w:t>
            </w:r>
          </w:p>
        </w:tc>
        <w:tc>
          <w:tcPr>
            <w:tcW w:w="1117" w:type="dxa"/>
            <w:shd w:val="clear" w:color="auto" w:fill="auto"/>
          </w:tcPr>
          <w:p w14:paraId="421438C6" w14:textId="5AEE7E8A" w:rsidR="008D505E" w:rsidRPr="008D505E" w:rsidRDefault="008D505E" w:rsidP="0086200E">
            <w:pPr>
              <w:spacing w:before="60" w:after="60"/>
              <w:jc w:val="center"/>
              <w:rPr>
                <w:rFonts w:cs="Arial"/>
                <w:sz w:val="24"/>
                <w:szCs w:val="24"/>
              </w:rPr>
            </w:pPr>
            <w:r>
              <w:rPr>
                <w:rFonts w:cs="Arial"/>
                <w:sz w:val="24"/>
                <w:szCs w:val="24"/>
              </w:rPr>
              <w:t>939</w:t>
            </w:r>
          </w:p>
        </w:tc>
        <w:tc>
          <w:tcPr>
            <w:tcW w:w="1350" w:type="dxa"/>
            <w:shd w:val="clear" w:color="auto" w:fill="auto"/>
            <w:vAlign w:val="center"/>
          </w:tcPr>
          <w:p w14:paraId="1CD2DA2D" w14:textId="0A795000" w:rsidR="008D505E" w:rsidRPr="008D505E" w:rsidRDefault="008D505E" w:rsidP="0086200E">
            <w:pPr>
              <w:spacing w:before="60" w:after="60"/>
              <w:jc w:val="center"/>
              <w:rPr>
                <w:rFonts w:cs="Arial"/>
                <w:sz w:val="24"/>
                <w:szCs w:val="24"/>
              </w:rPr>
            </w:pPr>
            <w:r>
              <w:rPr>
                <w:rFonts w:cs="Arial"/>
                <w:sz w:val="24"/>
                <w:szCs w:val="24"/>
              </w:rPr>
              <w:t>8-31-16</w:t>
            </w:r>
          </w:p>
        </w:tc>
        <w:tc>
          <w:tcPr>
            <w:tcW w:w="6157" w:type="dxa"/>
            <w:shd w:val="clear" w:color="auto" w:fill="auto"/>
            <w:vAlign w:val="center"/>
          </w:tcPr>
          <w:p w14:paraId="6008A672" w14:textId="6AFEB7A3" w:rsidR="008D505E" w:rsidRPr="008D505E" w:rsidRDefault="008D505E" w:rsidP="008D505E">
            <w:pPr>
              <w:spacing w:before="60" w:after="60"/>
              <w:rPr>
                <w:rFonts w:cs="Arial"/>
                <w:sz w:val="24"/>
                <w:szCs w:val="24"/>
              </w:rPr>
            </w:pPr>
            <w:r>
              <w:rPr>
                <w:rFonts w:cs="Arial"/>
              </w:rPr>
              <w:t>This revision includes congestion cost content due to EIM Y1 P2 enhancement project</w:t>
            </w:r>
          </w:p>
        </w:tc>
      </w:tr>
      <w:tr w:rsidR="008D505E" w:rsidRPr="00C03513" w14:paraId="29FF985A" w14:textId="77777777" w:rsidTr="0086200E">
        <w:tc>
          <w:tcPr>
            <w:tcW w:w="1200" w:type="dxa"/>
            <w:tcBorders>
              <w:top w:val="single" w:sz="4" w:space="0" w:color="auto"/>
              <w:left w:val="single" w:sz="4" w:space="0" w:color="auto"/>
              <w:bottom w:val="single" w:sz="4" w:space="0" w:color="auto"/>
              <w:right w:val="single" w:sz="4" w:space="0" w:color="auto"/>
            </w:tcBorders>
          </w:tcPr>
          <w:p w14:paraId="31150DD2" w14:textId="77777777" w:rsidR="008D505E" w:rsidRDefault="008D505E" w:rsidP="0086200E">
            <w:pPr>
              <w:spacing w:before="120"/>
              <w:jc w:val="center"/>
              <w:rPr>
                <w:rFonts w:cs="Arial"/>
              </w:rPr>
            </w:pPr>
            <w:r>
              <w:rPr>
                <w:rFonts w:cs="Arial"/>
              </w:rPr>
              <w:t>5</w:t>
            </w:r>
          </w:p>
        </w:tc>
        <w:tc>
          <w:tcPr>
            <w:tcW w:w="1117" w:type="dxa"/>
            <w:tcBorders>
              <w:top w:val="single" w:sz="4" w:space="0" w:color="auto"/>
              <w:left w:val="single" w:sz="4" w:space="0" w:color="auto"/>
              <w:bottom w:val="single" w:sz="4" w:space="0" w:color="auto"/>
              <w:right w:val="single" w:sz="4" w:space="0" w:color="auto"/>
            </w:tcBorders>
          </w:tcPr>
          <w:p w14:paraId="0FBFF853" w14:textId="77777777" w:rsidR="008D505E" w:rsidRDefault="008D505E" w:rsidP="0086200E">
            <w:pPr>
              <w:spacing w:before="120"/>
              <w:jc w:val="center"/>
              <w:rPr>
                <w:rFonts w:cs="Arial"/>
              </w:rPr>
            </w:pPr>
            <w:r>
              <w:rPr>
                <w:rFonts w:cs="Arial"/>
              </w:rPr>
              <w:t>891</w:t>
            </w:r>
          </w:p>
        </w:tc>
        <w:tc>
          <w:tcPr>
            <w:tcW w:w="1350" w:type="dxa"/>
            <w:tcBorders>
              <w:top w:val="single" w:sz="4" w:space="0" w:color="auto"/>
              <w:left w:val="single" w:sz="4" w:space="0" w:color="auto"/>
              <w:bottom w:val="single" w:sz="4" w:space="0" w:color="auto"/>
              <w:right w:val="single" w:sz="4" w:space="0" w:color="auto"/>
            </w:tcBorders>
          </w:tcPr>
          <w:p w14:paraId="52A6431F" w14:textId="77777777" w:rsidR="008D505E" w:rsidDel="00A54000" w:rsidRDefault="008D505E" w:rsidP="0086200E">
            <w:pPr>
              <w:spacing w:before="120"/>
              <w:jc w:val="center"/>
              <w:rPr>
                <w:rFonts w:cs="Arial"/>
              </w:rPr>
            </w:pPr>
            <w:r>
              <w:rPr>
                <w:rFonts w:cs="Arial"/>
              </w:rPr>
              <w:t>03-31-2016</w:t>
            </w:r>
          </w:p>
        </w:tc>
        <w:tc>
          <w:tcPr>
            <w:tcW w:w="6157" w:type="dxa"/>
            <w:tcBorders>
              <w:top w:val="single" w:sz="4" w:space="0" w:color="auto"/>
              <w:left w:val="single" w:sz="4" w:space="0" w:color="auto"/>
              <w:bottom w:val="single" w:sz="4" w:space="0" w:color="auto"/>
              <w:right w:val="single" w:sz="4" w:space="0" w:color="auto"/>
            </w:tcBorders>
            <w:vAlign w:val="center"/>
          </w:tcPr>
          <w:p w14:paraId="4F69D43A" w14:textId="5F46D03E" w:rsidR="008D505E" w:rsidRDefault="008D505E" w:rsidP="0086200E">
            <w:pPr>
              <w:pStyle w:val="ParaText"/>
              <w:spacing w:before="120" w:after="0"/>
              <w:rPr>
                <w:rFonts w:cs="Arial"/>
              </w:rPr>
            </w:pPr>
            <w:r>
              <w:rPr>
                <w:rFonts w:cs="Arial"/>
              </w:rPr>
              <w:t>This revision introduces incremental language pertaining to Available Balancing Capacity (ABC), additionally it improves the language throughout the document.</w:t>
            </w:r>
          </w:p>
        </w:tc>
      </w:tr>
      <w:tr w:rsidR="008D505E" w:rsidRPr="00C03513" w14:paraId="45B5B43E" w14:textId="77777777" w:rsidTr="0086200E">
        <w:tc>
          <w:tcPr>
            <w:tcW w:w="1200" w:type="dxa"/>
            <w:tcBorders>
              <w:top w:val="single" w:sz="4" w:space="0" w:color="auto"/>
              <w:left w:val="single" w:sz="4" w:space="0" w:color="auto"/>
              <w:bottom w:val="single" w:sz="4" w:space="0" w:color="auto"/>
              <w:right w:val="single" w:sz="4" w:space="0" w:color="auto"/>
            </w:tcBorders>
          </w:tcPr>
          <w:p w14:paraId="4D848205" w14:textId="77777777" w:rsidR="008D505E" w:rsidRDefault="008D505E" w:rsidP="0086200E">
            <w:pPr>
              <w:spacing w:before="120"/>
              <w:jc w:val="center"/>
              <w:rPr>
                <w:rFonts w:cs="Arial"/>
              </w:rPr>
            </w:pPr>
            <w:r>
              <w:rPr>
                <w:rFonts w:cs="Arial"/>
              </w:rPr>
              <w:t>4</w:t>
            </w:r>
          </w:p>
        </w:tc>
        <w:tc>
          <w:tcPr>
            <w:tcW w:w="1117" w:type="dxa"/>
            <w:tcBorders>
              <w:top w:val="single" w:sz="4" w:space="0" w:color="auto"/>
              <w:left w:val="single" w:sz="4" w:space="0" w:color="auto"/>
              <w:bottom w:val="single" w:sz="4" w:space="0" w:color="auto"/>
              <w:right w:val="single" w:sz="4" w:space="0" w:color="auto"/>
            </w:tcBorders>
          </w:tcPr>
          <w:p w14:paraId="6F7CE509" w14:textId="77777777" w:rsidR="008D505E" w:rsidRDefault="008D505E" w:rsidP="0086200E">
            <w:pPr>
              <w:spacing w:before="120"/>
              <w:jc w:val="center"/>
              <w:rPr>
                <w:rFonts w:cs="Arial"/>
              </w:rPr>
            </w:pPr>
            <w:r>
              <w:rPr>
                <w:rFonts w:cs="Arial"/>
              </w:rPr>
              <w:t>866</w:t>
            </w:r>
          </w:p>
        </w:tc>
        <w:tc>
          <w:tcPr>
            <w:tcW w:w="1350" w:type="dxa"/>
            <w:tcBorders>
              <w:top w:val="single" w:sz="4" w:space="0" w:color="auto"/>
              <w:left w:val="single" w:sz="4" w:space="0" w:color="auto"/>
              <w:bottom w:val="single" w:sz="4" w:space="0" w:color="auto"/>
              <w:right w:val="single" w:sz="4" w:space="0" w:color="auto"/>
            </w:tcBorders>
          </w:tcPr>
          <w:p w14:paraId="256B87B4" w14:textId="77777777" w:rsidR="008D505E" w:rsidRDefault="008D505E" w:rsidP="0086200E">
            <w:pPr>
              <w:spacing w:before="120"/>
              <w:jc w:val="center"/>
              <w:rPr>
                <w:rFonts w:cs="Arial"/>
              </w:rPr>
            </w:pPr>
            <w:r>
              <w:rPr>
                <w:rFonts w:cs="Arial"/>
              </w:rPr>
              <w:t>12/02/2015</w:t>
            </w:r>
          </w:p>
        </w:tc>
        <w:tc>
          <w:tcPr>
            <w:tcW w:w="6157" w:type="dxa"/>
            <w:tcBorders>
              <w:top w:val="single" w:sz="4" w:space="0" w:color="auto"/>
              <w:left w:val="single" w:sz="4" w:space="0" w:color="auto"/>
              <w:bottom w:val="single" w:sz="4" w:space="0" w:color="auto"/>
              <w:right w:val="single" w:sz="4" w:space="0" w:color="auto"/>
            </w:tcBorders>
            <w:vAlign w:val="center"/>
          </w:tcPr>
          <w:p w14:paraId="2941BA91" w14:textId="04BC530D" w:rsidR="008D505E" w:rsidRDefault="008D505E" w:rsidP="0086200E">
            <w:pPr>
              <w:pStyle w:val="ParaText"/>
              <w:spacing w:before="120" w:after="0"/>
              <w:rPr>
                <w:rFonts w:cs="Arial"/>
              </w:rPr>
            </w:pPr>
            <w:r>
              <w:rPr>
                <w:rFonts w:cs="Arial"/>
              </w:rPr>
              <w:t xml:space="preserve">Updates for EIM Year 1 policy enhancements. </w:t>
            </w:r>
          </w:p>
          <w:p w14:paraId="599F0CAA" w14:textId="77777777" w:rsidR="008D505E" w:rsidRDefault="008D505E" w:rsidP="0086200E">
            <w:pPr>
              <w:pStyle w:val="ParaText"/>
              <w:spacing w:before="120" w:after="0"/>
              <w:rPr>
                <w:rFonts w:cs="Arial"/>
              </w:rPr>
            </w:pPr>
            <w:r>
              <w:rPr>
                <w:rFonts w:cs="Arial"/>
              </w:rPr>
              <w:t>Addition of Readiness Criteria</w:t>
            </w:r>
          </w:p>
        </w:tc>
      </w:tr>
      <w:tr w:rsidR="008D505E" w:rsidRPr="00C03513" w14:paraId="0F4615DA" w14:textId="77777777" w:rsidTr="0086200E">
        <w:tc>
          <w:tcPr>
            <w:tcW w:w="1200" w:type="dxa"/>
            <w:tcBorders>
              <w:top w:val="single" w:sz="4" w:space="0" w:color="auto"/>
              <w:left w:val="single" w:sz="4" w:space="0" w:color="auto"/>
              <w:bottom w:val="single" w:sz="4" w:space="0" w:color="auto"/>
              <w:right w:val="single" w:sz="4" w:space="0" w:color="auto"/>
            </w:tcBorders>
          </w:tcPr>
          <w:p w14:paraId="66D08A3C" w14:textId="77777777" w:rsidR="008D505E" w:rsidRDefault="008D505E" w:rsidP="0086200E">
            <w:pPr>
              <w:spacing w:before="120"/>
              <w:jc w:val="center"/>
              <w:rPr>
                <w:rFonts w:cs="Arial"/>
              </w:rPr>
            </w:pPr>
            <w:r>
              <w:rPr>
                <w:rFonts w:cs="Arial"/>
              </w:rPr>
              <w:t>3</w:t>
            </w:r>
          </w:p>
        </w:tc>
        <w:tc>
          <w:tcPr>
            <w:tcW w:w="1117" w:type="dxa"/>
            <w:tcBorders>
              <w:top w:val="single" w:sz="4" w:space="0" w:color="auto"/>
              <w:left w:val="single" w:sz="4" w:space="0" w:color="auto"/>
              <w:bottom w:val="single" w:sz="4" w:space="0" w:color="auto"/>
              <w:right w:val="single" w:sz="4" w:space="0" w:color="auto"/>
            </w:tcBorders>
          </w:tcPr>
          <w:p w14:paraId="69540639" w14:textId="77777777" w:rsidR="008D505E" w:rsidRDefault="008D505E" w:rsidP="0086200E">
            <w:pPr>
              <w:spacing w:before="120"/>
              <w:jc w:val="center"/>
              <w:rPr>
                <w:rFonts w:cs="Arial"/>
              </w:rPr>
            </w:pPr>
            <w:r>
              <w:rPr>
                <w:rFonts w:cs="Arial"/>
              </w:rPr>
              <w:t>846</w:t>
            </w:r>
          </w:p>
        </w:tc>
        <w:tc>
          <w:tcPr>
            <w:tcW w:w="1350" w:type="dxa"/>
            <w:tcBorders>
              <w:top w:val="single" w:sz="4" w:space="0" w:color="auto"/>
              <w:left w:val="single" w:sz="4" w:space="0" w:color="auto"/>
              <w:bottom w:val="single" w:sz="4" w:space="0" w:color="auto"/>
              <w:right w:val="single" w:sz="4" w:space="0" w:color="auto"/>
            </w:tcBorders>
          </w:tcPr>
          <w:p w14:paraId="577F9E29" w14:textId="77777777" w:rsidR="008D505E" w:rsidRDefault="008D505E" w:rsidP="0086200E">
            <w:pPr>
              <w:spacing w:before="120"/>
              <w:jc w:val="center"/>
              <w:rPr>
                <w:rFonts w:cs="Arial"/>
              </w:rPr>
            </w:pPr>
            <w:r>
              <w:rPr>
                <w:rFonts w:cs="Arial"/>
              </w:rPr>
              <w:t>07/06/2015</w:t>
            </w:r>
          </w:p>
        </w:tc>
        <w:tc>
          <w:tcPr>
            <w:tcW w:w="6157" w:type="dxa"/>
            <w:tcBorders>
              <w:top w:val="single" w:sz="4" w:space="0" w:color="auto"/>
              <w:left w:val="single" w:sz="4" w:space="0" w:color="auto"/>
              <w:bottom w:val="single" w:sz="4" w:space="0" w:color="auto"/>
              <w:right w:val="single" w:sz="4" w:space="0" w:color="auto"/>
            </w:tcBorders>
            <w:vAlign w:val="center"/>
          </w:tcPr>
          <w:p w14:paraId="55E3627C" w14:textId="561FCB6A" w:rsidR="008D505E" w:rsidRDefault="008D505E" w:rsidP="0086200E">
            <w:pPr>
              <w:pStyle w:val="ParaText"/>
              <w:spacing w:before="120" w:after="0"/>
              <w:rPr>
                <w:rFonts w:cs="Arial"/>
              </w:rPr>
            </w:pPr>
            <w:r>
              <w:rPr>
                <w:rFonts w:cs="Arial"/>
              </w:rPr>
              <w:t>for clarification on the transmission relaxation, changes to section 10.1.6 and adding new section 10.1.7</w:t>
            </w:r>
          </w:p>
        </w:tc>
      </w:tr>
      <w:tr w:rsidR="008D505E" w:rsidRPr="00C03513" w14:paraId="0A1E19FA" w14:textId="77777777" w:rsidTr="0086200E">
        <w:tc>
          <w:tcPr>
            <w:tcW w:w="1200" w:type="dxa"/>
            <w:tcBorders>
              <w:top w:val="single" w:sz="4" w:space="0" w:color="auto"/>
              <w:left w:val="single" w:sz="4" w:space="0" w:color="auto"/>
              <w:bottom w:val="single" w:sz="4" w:space="0" w:color="auto"/>
              <w:right w:val="single" w:sz="4" w:space="0" w:color="auto"/>
            </w:tcBorders>
          </w:tcPr>
          <w:p w14:paraId="0EC107C4" w14:textId="77777777" w:rsidR="008D505E" w:rsidRDefault="008D505E" w:rsidP="0086200E">
            <w:pPr>
              <w:spacing w:before="120"/>
              <w:jc w:val="center"/>
              <w:rPr>
                <w:rFonts w:cs="Arial"/>
              </w:rPr>
            </w:pPr>
            <w:r>
              <w:rPr>
                <w:rFonts w:cs="Arial"/>
              </w:rPr>
              <w:t>2</w:t>
            </w:r>
          </w:p>
        </w:tc>
        <w:tc>
          <w:tcPr>
            <w:tcW w:w="1117" w:type="dxa"/>
            <w:tcBorders>
              <w:top w:val="single" w:sz="4" w:space="0" w:color="auto"/>
              <w:left w:val="single" w:sz="4" w:space="0" w:color="auto"/>
              <w:bottom w:val="single" w:sz="4" w:space="0" w:color="auto"/>
              <w:right w:val="single" w:sz="4" w:space="0" w:color="auto"/>
            </w:tcBorders>
          </w:tcPr>
          <w:p w14:paraId="1E53AD31" w14:textId="77777777" w:rsidR="008D505E" w:rsidRDefault="008D505E" w:rsidP="0086200E">
            <w:pPr>
              <w:spacing w:before="120"/>
              <w:jc w:val="center"/>
              <w:rPr>
                <w:rFonts w:cs="Arial"/>
              </w:rPr>
            </w:pPr>
            <w:r>
              <w:rPr>
                <w:rFonts w:cs="Arial"/>
              </w:rPr>
              <w:t>788</w:t>
            </w:r>
          </w:p>
        </w:tc>
        <w:tc>
          <w:tcPr>
            <w:tcW w:w="1350" w:type="dxa"/>
            <w:tcBorders>
              <w:top w:val="single" w:sz="4" w:space="0" w:color="auto"/>
              <w:left w:val="single" w:sz="4" w:space="0" w:color="auto"/>
              <w:bottom w:val="single" w:sz="4" w:space="0" w:color="auto"/>
              <w:right w:val="single" w:sz="4" w:space="0" w:color="auto"/>
            </w:tcBorders>
          </w:tcPr>
          <w:p w14:paraId="0B27F31E" w14:textId="77777777" w:rsidR="008D505E" w:rsidRDefault="008D505E" w:rsidP="0086200E">
            <w:pPr>
              <w:spacing w:before="120"/>
              <w:jc w:val="center"/>
              <w:rPr>
                <w:rFonts w:cs="Arial"/>
              </w:rPr>
            </w:pPr>
            <w:r>
              <w:rPr>
                <w:rFonts w:cs="Arial"/>
              </w:rPr>
              <w:t>10/30/2014</w:t>
            </w:r>
          </w:p>
        </w:tc>
        <w:tc>
          <w:tcPr>
            <w:tcW w:w="6157" w:type="dxa"/>
            <w:tcBorders>
              <w:top w:val="single" w:sz="4" w:space="0" w:color="auto"/>
              <w:left w:val="single" w:sz="4" w:space="0" w:color="auto"/>
              <w:bottom w:val="single" w:sz="4" w:space="0" w:color="auto"/>
              <w:right w:val="single" w:sz="4" w:space="0" w:color="auto"/>
            </w:tcBorders>
            <w:vAlign w:val="center"/>
          </w:tcPr>
          <w:p w14:paraId="16A66FDC" w14:textId="77777777" w:rsidR="008D505E" w:rsidRDefault="008D505E" w:rsidP="0086200E">
            <w:pPr>
              <w:pStyle w:val="ParaText"/>
              <w:spacing w:before="120" w:after="0"/>
              <w:rPr>
                <w:rFonts w:cs="Arial"/>
              </w:rPr>
            </w:pPr>
            <w:r>
              <w:rPr>
                <w:rFonts w:cs="Arial"/>
              </w:rPr>
              <w:t>Clarification to section 10.3.2.1</w:t>
            </w:r>
          </w:p>
        </w:tc>
      </w:tr>
      <w:tr w:rsidR="008D505E" w:rsidRPr="00C03513" w14:paraId="24478F02" w14:textId="77777777" w:rsidTr="0086200E">
        <w:tc>
          <w:tcPr>
            <w:tcW w:w="1200" w:type="dxa"/>
            <w:tcBorders>
              <w:top w:val="single" w:sz="4" w:space="0" w:color="auto"/>
              <w:left w:val="single" w:sz="4" w:space="0" w:color="auto"/>
              <w:bottom w:val="single" w:sz="4" w:space="0" w:color="auto"/>
              <w:right w:val="single" w:sz="4" w:space="0" w:color="auto"/>
            </w:tcBorders>
          </w:tcPr>
          <w:p w14:paraId="3FD73123" w14:textId="77777777" w:rsidR="008D505E" w:rsidRPr="00C03513" w:rsidRDefault="008D505E" w:rsidP="0086200E">
            <w:pPr>
              <w:spacing w:before="120"/>
              <w:jc w:val="center"/>
              <w:rPr>
                <w:rFonts w:cs="Arial"/>
              </w:rPr>
            </w:pPr>
            <w:r>
              <w:rPr>
                <w:rFonts w:cs="Arial"/>
              </w:rPr>
              <w:t>1</w:t>
            </w:r>
          </w:p>
        </w:tc>
        <w:tc>
          <w:tcPr>
            <w:tcW w:w="1117" w:type="dxa"/>
            <w:tcBorders>
              <w:top w:val="single" w:sz="4" w:space="0" w:color="auto"/>
              <w:left w:val="single" w:sz="4" w:space="0" w:color="auto"/>
              <w:bottom w:val="single" w:sz="4" w:space="0" w:color="auto"/>
              <w:right w:val="single" w:sz="4" w:space="0" w:color="auto"/>
            </w:tcBorders>
          </w:tcPr>
          <w:p w14:paraId="3D84D0B9" w14:textId="77777777" w:rsidR="008D505E" w:rsidRDefault="008D505E" w:rsidP="0086200E">
            <w:pPr>
              <w:spacing w:before="120"/>
              <w:jc w:val="center"/>
              <w:rPr>
                <w:rFonts w:cs="Arial"/>
              </w:rPr>
            </w:pPr>
            <w:r>
              <w:rPr>
                <w:rFonts w:cs="Arial"/>
              </w:rPr>
              <w:t>748</w:t>
            </w:r>
          </w:p>
        </w:tc>
        <w:tc>
          <w:tcPr>
            <w:tcW w:w="1350" w:type="dxa"/>
            <w:tcBorders>
              <w:top w:val="single" w:sz="4" w:space="0" w:color="auto"/>
              <w:left w:val="single" w:sz="4" w:space="0" w:color="auto"/>
              <w:bottom w:val="single" w:sz="4" w:space="0" w:color="auto"/>
              <w:right w:val="single" w:sz="4" w:space="0" w:color="auto"/>
            </w:tcBorders>
          </w:tcPr>
          <w:p w14:paraId="2B482E36" w14:textId="77777777" w:rsidR="008D505E" w:rsidRPr="00C03513" w:rsidRDefault="008D505E" w:rsidP="0086200E">
            <w:pPr>
              <w:spacing w:before="120"/>
              <w:jc w:val="center"/>
              <w:rPr>
                <w:rFonts w:cs="Arial"/>
              </w:rPr>
            </w:pPr>
            <w:r>
              <w:rPr>
                <w:rFonts w:cs="Arial"/>
              </w:rPr>
              <w:t>10/2/2014</w:t>
            </w:r>
          </w:p>
        </w:tc>
        <w:tc>
          <w:tcPr>
            <w:tcW w:w="6157" w:type="dxa"/>
            <w:tcBorders>
              <w:top w:val="single" w:sz="4" w:space="0" w:color="auto"/>
              <w:left w:val="single" w:sz="4" w:space="0" w:color="auto"/>
              <w:bottom w:val="single" w:sz="4" w:space="0" w:color="auto"/>
              <w:right w:val="single" w:sz="4" w:space="0" w:color="auto"/>
            </w:tcBorders>
            <w:vAlign w:val="center"/>
          </w:tcPr>
          <w:p w14:paraId="0B21A1C4" w14:textId="77777777" w:rsidR="008D505E" w:rsidRPr="00053F7A" w:rsidRDefault="008D505E" w:rsidP="0086200E">
            <w:pPr>
              <w:pStyle w:val="ParaText"/>
              <w:spacing w:before="120" w:after="0"/>
              <w:rPr>
                <w:rFonts w:cs="Arial"/>
              </w:rPr>
            </w:pPr>
            <w:r>
              <w:rPr>
                <w:rFonts w:cs="Arial"/>
              </w:rPr>
              <w:t xml:space="preserve">First version released. </w:t>
            </w:r>
          </w:p>
        </w:tc>
      </w:tr>
      <w:tr w:rsidR="008D505E" w:rsidRPr="00C03513" w14:paraId="4BCB66EF" w14:textId="77777777" w:rsidTr="0086200E">
        <w:tc>
          <w:tcPr>
            <w:tcW w:w="1200" w:type="dxa"/>
            <w:tcBorders>
              <w:top w:val="single" w:sz="4" w:space="0" w:color="auto"/>
              <w:left w:val="single" w:sz="4" w:space="0" w:color="auto"/>
              <w:bottom w:val="single" w:sz="4" w:space="0" w:color="auto"/>
              <w:right w:val="single" w:sz="4" w:space="0" w:color="auto"/>
            </w:tcBorders>
          </w:tcPr>
          <w:p w14:paraId="6845F90B" w14:textId="77777777" w:rsidR="008D505E" w:rsidRPr="00C03513" w:rsidRDefault="008D505E" w:rsidP="0086200E">
            <w:pPr>
              <w:spacing w:before="120"/>
              <w:jc w:val="center"/>
              <w:rPr>
                <w:rFonts w:cs="Arial"/>
              </w:rPr>
            </w:pPr>
            <w:r>
              <w:rPr>
                <w:rFonts w:cs="Arial"/>
              </w:rPr>
              <w:t>0.3</w:t>
            </w:r>
          </w:p>
        </w:tc>
        <w:tc>
          <w:tcPr>
            <w:tcW w:w="1117" w:type="dxa"/>
            <w:tcBorders>
              <w:top w:val="single" w:sz="4" w:space="0" w:color="auto"/>
              <w:left w:val="single" w:sz="4" w:space="0" w:color="auto"/>
              <w:bottom w:val="single" w:sz="4" w:space="0" w:color="auto"/>
              <w:right w:val="single" w:sz="4" w:space="0" w:color="auto"/>
            </w:tcBorders>
          </w:tcPr>
          <w:p w14:paraId="5F701979" w14:textId="77777777" w:rsidR="008D505E" w:rsidRDefault="008D505E" w:rsidP="0086200E">
            <w:pPr>
              <w:spacing w:before="120"/>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6A8E282C" w14:textId="77777777" w:rsidR="008D505E" w:rsidRPr="00C03513" w:rsidRDefault="008D505E" w:rsidP="0086200E">
            <w:pPr>
              <w:spacing w:before="120"/>
              <w:jc w:val="center"/>
              <w:rPr>
                <w:rFonts w:cs="Arial"/>
              </w:rPr>
            </w:pPr>
            <w:r>
              <w:rPr>
                <w:rFonts w:cs="Arial"/>
              </w:rPr>
              <w:t>9/18/2014</w:t>
            </w:r>
          </w:p>
        </w:tc>
        <w:tc>
          <w:tcPr>
            <w:tcW w:w="6157" w:type="dxa"/>
            <w:tcBorders>
              <w:top w:val="single" w:sz="4" w:space="0" w:color="auto"/>
              <w:left w:val="single" w:sz="4" w:space="0" w:color="auto"/>
              <w:bottom w:val="single" w:sz="4" w:space="0" w:color="auto"/>
              <w:right w:val="single" w:sz="4" w:space="0" w:color="auto"/>
            </w:tcBorders>
            <w:vAlign w:val="center"/>
          </w:tcPr>
          <w:p w14:paraId="6AA80B6E" w14:textId="77777777" w:rsidR="008D505E" w:rsidRPr="00053F7A" w:rsidRDefault="008D505E" w:rsidP="0086200E">
            <w:pPr>
              <w:pStyle w:val="ParaText"/>
              <w:spacing w:before="120" w:after="0" w:line="240" w:lineRule="auto"/>
              <w:rPr>
                <w:rFonts w:cs="Arial"/>
              </w:rPr>
            </w:pPr>
            <w:r>
              <w:rPr>
                <w:rFonts w:cs="Arial"/>
              </w:rPr>
              <w:t>Updated draft section 10.3.3.</w:t>
            </w:r>
          </w:p>
        </w:tc>
      </w:tr>
      <w:tr w:rsidR="008D505E" w:rsidRPr="00C03513" w14:paraId="7BE701E3" w14:textId="77777777" w:rsidTr="0086200E">
        <w:tc>
          <w:tcPr>
            <w:tcW w:w="1200" w:type="dxa"/>
            <w:tcBorders>
              <w:top w:val="single" w:sz="4" w:space="0" w:color="auto"/>
              <w:left w:val="single" w:sz="4" w:space="0" w:color="auto"/>
              <w:bottom w:val="single" w:sz="4" w:space="0" w:color="auto"/>
              <w:right w:val="single" w:sz="4" w:space="0" w:color="auto"/>
            </w:tcBorders>
          </w:tcPr>
          <w:p w14:paraId="5538AED9" w14:textId="77777777" w:rsidR="008D505E" w:rsidRPr="00C03513" w:rsidRDefault="008D505E" w:rsidP="0086200E">
            <w:pPr>
              <w:spacing w:before="120"/>
              <w:jc w:val="center"/>
              <w:rPr>
                <w:rFonts w:cs="Arial"/>
              </w:rPr>
            </w:pPr>
            <w:r>
              <w:rPr>
                <w:rFonts w:cs="Arial"/>
              </w:rPr>
              <w:t>0.2</w:t>
            </w:r>
          </w:p>
        </w:tc>
        <w:tc>
          <w:tcPr>
            <w:tcW w:w="1117" w:type="dxa"/>
            <w:tcBorders>
              <w:top w:val="single" w:sz="4" w:space="0" w:color="auto"/>
              <w:left w:val="single" w:sz="4" w:space="0" w:color="auto"/>
              <w:bottom w:val="single" w:sz="4" w:space="0" w:color="auto"/>
              <w:right w:val="single" w:sz="4" w:space="0" w:color="auto"/>
            </w:tcBorders>
          </w:tcPr>
          <w:p w14:paraId="7A98945E" w14:textId="77777777" w:rsidR="008D505E" w:rsidRDefault="008D505E" w:rsidP="0086200E">
            <w:pPr>
              <w:spacing w:before="120"/>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4A80DCAC" w14:textId="77777777" w:rsidR="008D505E" w:rsidRPr="00C03513" w:rsidRDefault="008D505E" w:rsidP="0086200E">
            <w:pPr>
              <w:spacing w:before="120"/>
              <w:jc w:val="center"/>
              <w:rPr>
                <w:rFonts w:cs="Arial"/>
              </w:rPr>
            </w:pPr>
            <w:r>
              <w:rPr>
                <w:rFonts w:cs="Arial"/>
              </w:rPr>
              <w:t>9/3/2014</w:t>
            </w:r>
          </w:p>
        </w:tc>
        <w:tc>
          <w:tcPr>
            <w:tcW w:w="6157" w:type="dxa"/>
            <w:tcBorders>
              <w:top w:val="single" w:sz="4" w:space="0" w:color="auto"/>
              <w:left w:val="single" w:sz="4" w:space="0" w:color="auto"/>
              <w:bottom w:val="single" w:sz="4" w:space="0" w:color="auto"/>
              <w:right w:val="single" w:sz="4" w:space="0" w:color="auto"/>
            </w:tcBorders>
            <w:vAlign w:val="center"/>
          </w:tcPr>
          <w:p w14:paraId="4C9E9C82" w14:textId="77777777" w:rsidR="008D505E" w:rsidRPr="00053F7A" w:rsidRDefault="008D505E" w:rsidP="0086200E">
            <w:pPr>
              <w:pStyle w:val="ParaText"/>
              <w:spacing w:before="120" w:after="0" w:line="240" w:lineRule="auto"/>
              <w:rPr>
                <w:rFonts w:cs="Arial"/>
              </w:rPr>
            </w:pPr>
            <w:r>
              <w:rPr>
                <w:rFonts w:cs="Arial"/>
              </w:rPr>
              <w:t>Draft updated to reflect answers to the Market Participants’ questions and comments.</w:t>
            </w:r>
          </w:p>
        </w:tc>
      </w:tr>
      <w:tr w:rsidR="008D505E" w:rsidRPr="00C03513" w14:paraId="613F9DEA" w14:textId="77777777" w:rsidTr="0086200E">
        <w:tc>
          <w:tcPr>
            <w:tcW w:w="1200" w:type="dxa"/>
          </w:tcPr>
          <w:p w14:paraId="6840596C" w14:textId="77777777" w:rsidR="008D505E" w:rsidRPr="00C03513" w:rsidRDefault="008D505E" w:rsidP="0086200E">
            <w:pPr>
              <w:spacing w:before="120"/>
              <w:jc w:val="center"/>
              <w:rPr>
                <w:rFonts w:cs="Arial"/>
              </w:rPr>
            </w:pPr>
            <w:r>
              <w:rPr>
                <w:rFonts w:cs="Arial"/>
              </w:rPr>
              <w:t>0.</w:t>
            </w:r>
            <w:r w:rsidRPr="00C03513">
              <w:rPr>
                <w:rFonts w:cs="Arial"/>
              </w:rPr>
              <w:t>1</w:t>
            </w:r>
          </w:p>
        </w:tc>
        <w:tc>
          <w:tcPr>
            <w:tcW w:w="1117" w:type="dxa"/>
          </w:tcPr>
          <w:p w14:paraId="07B37D19" w14:textId="77777777" w:rsidR="008D505E" w:rsidRDefault="008D505E" w:rsidP="0086200E">
            <w:pPr>
              <w:spacing w:before="120"/>
              <w:jc w:val="center"/>
              <w:rPr>
                <w:rFonts w:cs="Arial"/>
              </w:rPr>
            </w:pPr>
          </w:p>
        </w:tc>
        <w:tc>
          <w:tcPr>
            <w:tcW w:w="1350" w:type="dxa"/>
          </w:tcPr>
          <w:p w14:paraId="0BD2DB09" w14:textId="77777777" w:rsidR="008D505E" w:rsidRPr="00C03513" w:rsidRDefault="008D505E" w:rsidP="0086200E">
            <w:pPr>
              <w:spacing w:before="120"/>
              <w:jc w:val="center"/>
              <w:rPr>
                <w:rFonts w:cs="Arial"/>
              </w:rPr>
            </w:pPr>
            <w:r>
              <w:rPr>
                <w:rFonts w:cs="Arial"/>
              </w:rPr>
              <w:t>7/1/2014</w:t>
            </w:r>
          </w:p>
        </w:tc>
        <w:tc>
          <w:tcPr>
            <w:tcW w:w="6157" w:type="dxa"/>
            <w:vAlign w:val="center"/>
          </w:tcPr>
          <w:p w14:paraId="3329AF87" w14:textId="77777777" w:rsidR="008D505E" w:rsidRPr="00053F7A" w:rsidRDefault="008D505E" w:rsidP="0086200E">
            <w:pPr>
              <w:pStyle w:val="ParaText"/>
              <w:spacing w:before="120" w:after="0" w:line="240" w:lineRule="auto"/>
              <w:rPr>
                <w:rFonts w:cs="Arial"/>
              </w:rPr>
            </w:pPr>
            <w:r w:rsidRPr="00053F7A">
              <w:rPr>
                <w:rFonts w:cs="Arial"/>
              </w:rPr>
              <w:t>Created BPM</w:t>
            </w:r>
            <w:r>
              <w:rPr>
                <w:rFonts w:cs="Arial"/>
              </w:rPr>
              <w:t xml:space="preserve"> draft.</w:t>
            </w:r>
          </w:p>
        </w:tc>
      </w:tr>
    </w:tbl>
    <w:p w14:paraId="1081EF45" w14:textId="77777777" w:rsidR="008D505E" w:rsidRPr="00C03513" w:rsidRDefault="008D505E">
      <w:pPr>
        <w:rPr>
          <w:rFonts w:cs="Arial"/>
          <w:b/>
          <w:bCs/>
          <w:sz w:val="32"/>
        </w:rPr>
      </w:pPr>
    </w:p>
    <w:p w14:paraId="70915864" w14:textId="77777777" w:rsidR="002148AE" w:rsidRPr="00C03513" w:rsidRDefault="002148AE">
      <w:pPr>
        <w:jc w:val="center"/>
        <w:rPr>
          <w:rFonts w:cs="Arial"/>
          <w:b/>
          <w:bCs/>
        </w:rPr>
      </w:pPr>
      <w:bookmarkStart w:id="0" w:name="_GoBack"/>
      <w:bookmarkEnd w:id="0"/>
      <w:r w:rsidRPr="00C03513">
        <w:rPr>
          <w:rFonts w:cs="Arial"/>
        </w:rPr>
        <w:br w:type="page"/>
      </w:r>
      <w:r w:rsidRPr="00C03513">
        <w:rPr>
          <w:rFonts w:cs="Arial"/>
          <w:b/>
          <w:bCs/>
        </w:rPr>
        <w:lastRenderedPageBreak/>
        <w:t>TABLE OF CONTENTS</w:t>
      </w:r>
    </w:p>
    <w:p w14:paraId="399E5949" w14:textId="5899122D" w:rsidR="009434F3" w:rsidRDefault="00BF5ECA">
      <w:pPr>
        <w:pStyle w:val="TOC1"/>
        <w:rPr>
          <w:rFonts w:eastAsiaTheme="minorEastAsia" w:cstheme="minorBidi"/>
          <w:b w:val="0"/>
        </w:rPr>
      </w:pPr>
      <w:r w:rsidRPr="00C03513">
        <w:fldChar w:fldCharType="begin"/>
      </w:r>
      <w:r w:rsidR="002377DC" w:rsidRPr="00C03513">
        <w:instrText xml:space="preserve"> TOC \o "1-3" \h \z \u </w:instrText>
      </w:r>
      <w:r w:rsidRPr="00C03513">
        <w:fldChar w:fldCharType="separate"/>
      </w:r>
      <w:hyperlink w:anchor="_Toc460320408" w:history="1">
        <w:r w:rsidR="009434F3" w:rsidRPr="00DE14FD">
          <w:rPr>
            <w:rStyle w:val="Hyperlink"/>
            <w:rFonts w:ascii="Arial" w:hAnsi="Arial"/>
          </w:rPr>
          <w:t>1.</w:t>
        </w:r>
        <w:r w:rsidR="009434F3">
          <w:rPr>
            <w:rFonts w:eastAsiaTheme="minorEastAsia" w:cstheme="minorBidi"/>
            <w:b w:val="0"/>
          </w:rPr>
          <w:tab/>
        </w:r>
        <w:r w:rsidR="009434F3" w:rsidRPr="00DE14FD">
          <w:rPr>
            <w:rStyle w:val="Hyperlink"/>
          </w:rPr>
          <w:t>INTRODUCTION</w:t>
        </w:r>
        <w:r w:rsidR="009434F3">
          <w:rPr>
            <w:webHidden/>
          </w:rPr>
          <w:tab/>
        </w:r>
        <w:r w:rsidR="009434F3">
          <w:rPr>
            <w:webHidden/>
          </w:rPr>
          <w:fldChar w:fldCharType="begin"/>
        </w:r>
        <w:r w:rsidR="009434F3">
          <w:rPr>
            <w:webHidden/>
          </w:rPr>
          <w:instrText xml:space="preserve"> PAGEREF _Toc460320408 \h </w:instrText>
        </w:r>
        <w:r w:rsidR="009434F3">
          <w:rPr>
            <w:webHidden/>
          </w:rPr>
        </w:r>
        <w:r w:rsidR="009434F3">
          <w:rPr>
            <w:webHidden/>
          </w:rPr>
          <w:fldChar w:fldCharType="separate"/>
        </w:r>
        <w:r w:rsidR="00476B3D">
          <w:rPr>
            <w:webHidden/>
          </w:rPr>
          <w:t>10</w:t>
        </w:r>
        <w:r w:rsidR="009434F3">
          <w:rPr>
            <w:webHidden/>
          </w:rPr>
          <w:fldChar w:fldCharType="end"/>
        </w:r>
      </w:hyperlink>
    </w:p>
    <w:p w14:paraId="0AD425CE" w14:textId="498FE1E8" w:rsidR="009434F3" w:rsidRDefault="00AE7E55">
      <w:pPr>
        <w:pStyle w:val="TOC2"/>
        <w:rPr>
          <w:rFonts w:eastAsiaTheme="minorEastAsia"/>
          <w:b w:val="0"/>
        </w:rPr>
      </w:pPr>
      <w:hyperlink w:anchor="_Toc460320409" w:history="1">
        <w:r w:rsidR="009434F3" w:rsidRPr="00DE14FD">
          <w:rPr>
            <w:rStyle w:val="Hyperlink"/>
            <w:rFonts w:ascii="Arial" w:hAnsi="Arial"/>
          </w:rPr>
          <w:t>1.1</w:t>
        </w:r>
        <w:r w:rsidR="009434F3">
          <w:rPr>
            <w:rFonts w:eastAsiaTheme="minorEastAsia"/>
            <w:b w:val="0"/>
          </w:rPr>
          <w:tab/>
        </w:r>
        <w:r w:rsidR="009434F3" w:rsidRPr="00DE14FD">
          <w:rPr>
            <w:rStyle w:val="Hyperlink"/>
          </w:rPr>
          <w:t>Purpose of CAISO Business Practice Manuals</w:t>
        </w:r>
        <w:r w:rsidR="009434F3">
          <w:rPr>
            <w:webHidden/>
          </w:rPr>
          <w:tab/>
        </w:r>
        <w:r w:rsidR="009434F3">
          <w:rPr>
            <w:webHidden/>
          </w:rPr>
          <w:fldChar w:fldCharType="begin"/>
        </w:r>
        <w:r w:rsidR="009434F3">
          <w:rPr>
            <w:webHidden/>
          </w:rPr>
          <w:instrText xml:space="preserve"> PAGEREF _Toc460320409 \h </w:instrText>
        </w:r>
        <w:r w:rsidR="009434F3">
          <w:rPr>
            <w:webHidden/>
          </w:rPr>
        </w:r>
        <w:r w:rsidR="009434F3">
          <w:rPr>
            <w:webHidden/>
          </w:rPr>
          <w:fldChar w:fldCharType="separate"/>
        </w:r>
        <w:r w:rsidR="00476B3D">
          <w:rPr>
            <w:webHidden/>
          </w:rPr>
          <w:t>10</w:t>
        </w:r>
        <w:r w:rsidR="009434F3">
          <w:rPr>
            <w:webHidden/>
          </w:rPr>
          <w:fldChar w:fldCharType="end"/>
        </w:r>
      </w:hyperlink>
    </w:p>
    <w:p w14:paraId="07BB12FA" w14:textId="3EEA1E2D" w:rsidR="009434F3" w:rsidRDefault="00AE7E55">
      <w:pPr>
        <w:pStyle w:val="TOC2"/>
        <w:rPr>
          <w:rFonts w:eastAsiaTheme="minorEastAsia"/>
          <w:b w:val="0"/>
        </w:rPr>
      </w:pPr>
      <w:hyperlink w:anchor="_Toc460320410" w:history="1">
        <w:r w:rsidR="009434F3" w:rsidRPr="00DE14FD">
          <w:rPr>
            <w:rStyle w:val="Hyperlink"/>
            <w:rFonts w:ascii="Arial" w:hAnsi="Arial" w:cs="Arial"/>
          </w:rPr>
          <w:t>1.2</w:t>
        </w:r>
        <w:r w:rsidR="009434F3">
          <w:rPr>
            <w:rFonts w:eastAsiaTheme="minorEastAsia"/>
            <w:b w:val="0"/>
          </w:rPr>
          <w:tab/>
        </w:r>
        <w:r w:rsidR="009434F3" w:rsidRPr="00DE14FD">
          <w:rPr>
            <w:rStyle w:val="Hyperlink"/>
            <w:rFonts w:cs="Arial"/>
          </w:rPr>
          <w:t>Purpose of This Business Practice Manual</w:t>
        </w:r>
        <w:r w:rsidR="009434F3">
          <w:rPr>
            <w:webHidden/>
          </w:rPr>
          <w:tab/>
        </w:r>
        <w:r w:rsidR="009434F3">
          <w:rPr>
            <w:webHidden/>
          </w:rPr>
          <w:fldChar w:fldCharType="begin"/>
        </w:r>
        <w:r w:rsidR="009434F3">
          <w:rPr>
            <w:webHidden/>
          </w:rPr>
          <w:instrText xml:space="preserve"> PAGEREF _Toc460320410 \h </w:instrText>
        </w:r>
        <w:r w:rsidR="009434F3">
          <w:rPr>
            <w:webHidden/>
          </w:rPr>
        </w:r>
        <w:r w:rsidR="009434F3">
          <w:rPr>
            <w:webHidden/>
          </w:rPr>
          <w:fldChar w:fldCharType="separate"/>
        </w:r>
        <w:r w:rsidR="00476B3D">
          <w:rPr>
            <w:webHidden/>
          </w:rPr>
          <w:t>10</w:t>
        </w:r>
        <w:r w:rsidR="009434F3">
          <w:rPr>
            <w:webHidden/>
          </w:rPr>
          <w:fldChar w:fldCharType="end"/>
        </w:r>
      </w:hyperlink>
    </w:p>
    <w:p w14:paraId="2ED3AAB5" w14:textId="6F9C3259" w:rsidR="009434F3" w:rsidRDefault="00AE7E55">
      <w:pPr>
        <w:pStyle w:val="TOC2"/>
        <w:rPr>
          <w:rFonts w:eastAsiaTheme="minorEastAsia"/>
          <w:b w:val="0"/>
        </w:rPr>
      </w:pPr>
      <w:hyperlink w:anchor="_Toc460320411" w:history="1">
        <w:r w:rsidR="009434F3" w:rsidRPr="00DE14FD">
          <w:rPr>
            <w:rStyle w:val="Hyperlink"/>
            <w:rFonts w:ascii="Arial" w:hAnsi="Arial" w:cs="Arial"/>
          </w:rPr>
          <w:t>1.3</w:t>
        </w:r>
        <w:r w:rsidR="009434F3">
          <w:rPr>
            <w:rFonts w:eastAsiaTheme="minorEastAsia"/>
            <w:b w:val="0"/>
          </w:rPr>
          <w:tab/>
        </w:r>
        <w:r w:rsidR="009434F3" w:rsidRPr="00DE14FD">
          <w:rPr>
            <w:rStyle w:val="Hyperlink"/>
            <w:rFonts w:cs="Arial"/>
          </w:rPr>
          <w:t>References</w:t>
        </w:r>
        <w:r w:rsidR="009434F3">
          <w:rPr>
            <w:webHidden/>
          </w:rPr>
          <w:tab/>
        </w:r>
        <w:r w:rsidR="009434F3">
          <w:rPr>
            <w:webHidden/>
          </w:rPr>
          <w:fldChar w:fldCharType="begin"/>
        </w:r>
        <w:r w:rsidR="009434F3">
          <w:rPr>
            <w:webHidden/>
          </w:rPr>
          <w:instrText xml:space="preserve"> PAGEREF _Toc460320411 \h </w:instrText>
        </w:r>
        <w:r w:rsidR="009434F3">
          <w:rPr>
            <w:webHidden/>
          </w:rPr>
        </w:r>
        <w:r w:rsidR="009434F3">
          <w:rPr>
            <w:webHidden/>
          </w:rPr>
          <w:fldChar w:fldCharType="separate"/>
        </w:r>
        <w:r w:rsidR="00476B3D">
          <w:rPr>
            <w:webHidden/>
          </w:rPr>
          <w:t>11</w:t>
        </w:r>
        <w:r w:rsidR="009434F3">
          <w:rPr>
            <w:webHidden/>
          </w:rPr>
          <w:fldChar w:fldCharType="end"/>
        </w:r>
      </w:hyperlink>
    </w:p>
    <w:p w14:paraId="0948A9D7" w14:textId="35D5993F" w:rsidR="009434F3" w:rsidRDefault="00AE7E55">
      <w:pPr>
        <w:pStyle w:val="TOC1"/>
        <w:rPr>
          <w:rFonts w:eastAsiaTheme="minorEastAsia" w:cstheme="minorBidi"/>
          <w:b w:val="0"/>
        </w:rPr>
      </w:pPr>
      <w:hyperlink w:anchor="_Toc460320412" w:history="1">
        <w:r w:rsidR="009434F3" w:rsidRPr="00DE14FD">
          <w:rPr>
            <w:rStyle w:val="Hyperlink"/>
            <w:rFonts w:ascii="Arial" w:hAnsi="Arial"/>
          </w:rPr>
          <w:t>2.</w:t>
        </w:r>
        <w:r w:rsidR="009434F3">
          <w:rPr>
            <w:rFonts w:eastAsiaTheme="minorEastAsia" w:cstheme="minorBidi"/>
            <w:b w:val="0"/>
          </w:rPr>
          <w:tab/>
        </w:r>
        <w:r w:rsidR="009434F3" w:rsidRPr="00DE14FD">
          <w:rPr>
            <w:rStyle w:val="Hyperlink"/>
          </w:rPr>
          <w:t>BACKGROUND</w:t>
        </w:r>
        <w:r w:rsidR="009434F3">
          <w:rPr>
            <w:webHidden/>
          </w:rPr>
          <w:tab/>
        </w:r>
        <w:r w:rsidR="009434F3">
          <w:rPr>
            <w:webHidden/>
          </w:rPr>
          <w:fldChar w:fldCharType="begin"/>
        </w:r>
        <w:r w:rsidR="009434F3">
          <w:rPr>
            <w:webHidden/>
          </w:rPr>
          <w:instrText xml:space="preserve"> PAGEREF _Toc460320412 \h </w:instrText>
        </w:r>
        <w:r w:rsidR="009434F3">
          <w:rPr>
            <w:webHidden/>
          </w:rPr>
        </w:r>
        <w:r w:rsidR="009434F3">
          <w:rPr>
            <w:webHidden/>
          </w:rPr>
          <w:fldChar w:fldCharType="separate"/>
        </w:r>
        <w:r w:rsidR="00476B3D">
          <w:rPr>
            <w:webHidden/>
          </w:rPr>
          <w:t>11</w:t>
        </w:r>
        <w:r w:rsidR="009434F3">
          <w:rPr>
            <w:webHidden/>
          </w:rPr>
          <w:fldChar w:fldCharType="end"/>
        </w:r>
      </w:hyperlink>
    </w:p>
    <w:p w14:paraId="43A8468A" w14:textId="0788FE94" w:rsidR="009434F3" w:rsidRDefault="00AE7E55">
      <w:pPr>
        <w:pStyle w:val="TOC2"/>
        <w:rPr>
          <w:rFonts w:eastAsiaTheme="minorEastAsia"/>
          <w:b w:val="0"/>
        </w:rPr>
      </w:pPr>
      <w:hyperlink w:anchor="_Toc460320413" w:history="1">
        <w:r w:rsidR="009434F3" w:rsidRPr="00DE14FD">
          <w:rPr>
            <w:rStyle w:val="Hyperlink"/>
            <w:rFonts w:ascii="Arial" w:hAnsi="Arial"/>
          </w:rPr>
          <w:t>2.1</w:t>
        </w:r>
        <w:r w:rsidR="009434F3">
          <w:rPr>
            <w:rFonts w:eastAsiaTheme="minorEastAsia"/>
            <w:b w:val="0"/>
          </w:rPr>
          <w:tab/>
        </w:r>
        <w:r w:rsidR="009434F3" w:rsidRPr="00DE14FD">
          <w:rPr>
            <w:rStyle w:val="Hyperlink"/>
          </w:rPr>
          <w:t>Energy Imbalance Market Overview</w:t>
        </w:r>
        <w:r w:rsidR="009434F3">
          <w:rPr>
            <w:webHidden/>
          </w:rPr>
          <w:tab/>
        </w:r>
        <w:r w:rsidR="009434F3">
          <w:rPr>
            <w:webHidden/>
          </w:rPr>
          <w:fldChar w:fldCharType="begin"/>
        </w:r>
        <w:r w:rsidR="009434F3">
          <w:rPr>
            <w:webHidden/>
          </w:rPr>
          <w:instrText xml:space="preserve"> PAGEREF _Toc460320413 \h </w:instrText>
        </w:r>
        <w:r w:rsidR="009434F3">
          <w:rPr>
            <w:webHidden/>
          </w:rPr>
        </w:r>
        <w:r w:rsidR="009434F3">
          <w:rPr>
            <w:webHidden/>
          </w:rPr>
          <w:fldChar w:fldCharType="separate"/>
        </w:r>
        <w:r w:rsidR="00476B3D">
          <w:rPr>
            <w:webHidden/>
          </w:rPr>
          <w:t>12</w:t>
        </w:r>
        <w:r w:rsidR="009434F3">
          <w:rPr>
            <w:webHidden/>
          </w:rPr>
          <w:fldChar w:fldCharType="end"/>
        </w:r>
      </w:hyperlink>
    </w:p>
    <w:p w14:paraId="29A70722" w14:textId="20338ECA" w:rsidR="009434F3" w:rsidRDefault="00AE7E55">
      <w:pPr>
        <w:pStyle w:val="TOC1"/>
        <w:rPr>
          <w:rFonts w:eastAsiaTheme="minorEastAsia" w:cstheme="minorBidi"/>
          <w:b w:val="0"/>
        </w:rPr>
      </w:pPr>
      <w:hyperlink w:anchor="_Toc460320414" w:history="1">
        <w:r w:rsidR="009434F3" w:rsidRPr="00DE14FD">
          <w:rPr>
            <w:rStyle w:val="Hyperlink"/>
            <w:rFonts w:ascii="Arial" w:hAnsi="Arial"/>
          </w:rPr>
          <w:t>3.</w:t>
        </w:r>
        <w:r w:rsidR="009434F3">
          <w:rPr>
            <w:rFonts w:eastAsiaTheme="minorEastAsia" w:cstheme="minorBidi"/>
            <w:b w:val="0"/>
          </w:rPr>
          <w:tab/>
        </w:r>
        <w:r w:rsidR="009434F3" w:rsidRPr="00DE14FD">
          <w:rPr>
            <w:rStyle w:val="Hyperlink"/>
          </w:rPr>
          <w:t>ROLES AND RESPONSIBILITIES</w:t>
        </w:r>
        <w:r w:rsidR="009434F3">
          <w:rPr>
            <w:webHidden/>
          </w:rPr>
          <w:tab/>
        </w:r>
        <w:r w:rsidR="009434F3">
          <w:rPr>
            <w:webHidden/>
          </w:rPr>
          <w:fldChar w:fldCharType="begin"/>
        </w:r>
        <w:r w:rsidR="009434F3">
          <w:rPr>
            <w:webHidden/>
          </w:rPr>
          <w:instrText xml:space="preserve"> PAGEREF _Toc460320414 \h </w:instrText>
        </w:r>
        <w:r w:rsidR="009434F3">
          <w:rPr>
            <w:webHidden/>
          </w:rPr>
        </w:r>
        <w:r w:rsidR="009434F3">
          <w:rPr>
            <w:webHidden/>
          </w:rPr>
          <w:fldChar w:fldCharType="separate"/>
        </w:r>
        <w:r w:rsidR="00476B3D">
          <w:rPr>
            <w:webHidden/>
          </w:rPr>
          <w:t>13</w:t>
        </w:r>
        <w:r w:rsidR="009434F3">
          <w:rPr>
            <w:webHidden/>
          </w:rPr>
          <w:fldChar w:fldCharType="end"/>
        </w:r>
      </w:hyperlink>
    </w:p>
    <w:p w14:paraId="07C96584" w14:textId="522FEBE3" w:rsidR="009434F3" w:rsidRDefault="00AE7E55">
      <w:pPr>
        <w:pStyle w:val="TOC2"/>
        <w:rPr>
          <w:rFonts w:eastAsiaTheme="minorEastAsia"/>
          <w:b w:val="0"/>
        </w:rPr>
      </w:pPr>
      <w:hyperlink w:anchor="_Toc460320415" w:history="1">
        <w:r w:rsidR="009434F3" w:rsidRPr="00DE14FD">
          <w:rPr>
            <w:rStyle w:val="Hyperlink"/>
            <w:rFonts w:ascii="Arial" w:hAnsi="Arial"/>
          </w:rPr>
          <w:t>3.1</w:t>
        </w:r>
        <w:r w:rsidR="009434F3">
          <w:rPr>
            <w:rFonts w:eastAsiaTheme="minorEastAsia"/>
            <w:b w:val="0"/>
          </w:rPr>
          <w:tab/>
        </w:r>
        <w:r w:rsidR="009434F3" w:rsidRPr="00DE14FD">
          <w:rPr>
            <w:rStyle w:val="Hyperlink"/>
          </w:rPr>
          <w:t>Implementing and Terminating the EIM Entity Participation</w:t>
        </w:r>
        <w:r w:rsidR="009434F3">
          <w:rPr>
            <w:webHidden/>
          </w:rPr>
          <w:tab/>
        </w:r>
        <w:r w:rsidR="009434F3">
          <w:rPr>
            <w:webHidden/>
          </w:rPr>
          <w:fldChar w:fldCharType="begin"/>
        </w:r>
        <w:r w:rsidR="009434F3">
          <w:rPr>
            <w:webHidden/>
          </w:rPr>
          <w:instrText xml:space="preserve"> PAGEREF _Toc460320415 \h </w:instrText>
        </w:r>
        <w:r w:rsidR="009434F3">
          <w:rPr>
            <w:webHidden/>
          </w:rPr>
        </w:r>
        <w:r w:rsidR="009434F3">
          <w:rPr>
            <w:webHidden/>
          </w:rPr>
          <w:fldChar w:fldCharType="separate"/>
        </w:r>
        <w:r w:rsidR="00476B3D">
          <w:rPr>
            <w:webHidden/>
          </w:rPr>
          <w:t>14</w:t>
        </w:r>
        <w:r w:rsidR="009434F3">
          <w:rPr>
            <w:webHidden/>
          </w:rPr>
          <w:fldChar w:fldCharType="end"/>
        </w:r>
      </w:hyperlink>
    </w:p>
    <w:p w14:paraId="54483B57" w14:textId="46323859" w:rsidR="009434F3" w:rsidRDefault="00AE7E55">
      <w:pPr>
        <w:pStyle w:val="TOC1"/>
        <w:rPr>
          <w:rFonts w:eastAsiaTheme="minorEastAsia" w:cstheme="minorBidi"/>
          <w:b w:val="0"/>
        </w:rPr>
      </w:pPr>
      <w:hyperlink w:anchor="_Toc460320416" w:history="1">
        <w:r w:rsidR="009434F3" w:rsidRPr="00DE14FD">
          <w:rPr>
            <w:rStyle w:val="Hyperlink"/>
            <w:rFonts w:ascii="Arial" w:hAnsi="Arial"/>
          </w:rPr>
          <w:t>4.</w:t>
        </w:r>
        <w:r w:rsidR="009434F3">
          <w:rPr>
            <w:rFonts w:eastAsiaTheme="minorEastAsia" w:cstheme="minorBidi"/>
            <w:b w:val="0"/>
          </w:rPr>
          <w:tab/>
        </w:r>
        <w:r w:rsidR="009434F3" w:rsidRPr="00DE14FD">
          <w:rPr>
            <w:rStyle w:val="Hyperlink"/>
          </w:rPr>
          <w:t>SCHEDULING COORDINATOR CERTIFICATION</w:t>
        </w:r>
        <w:r w:rsidR="009434F3">
          <w:rPr>
            <w:webHidden/>
          </w:rPr>
          <w:tab/>
        </w:r>
        <w:r w:rsidR="009434F3">
          <w:rPr>
            <w:webHidden/>
          </w:rPr>
          <w:fldChar w:fldCharType="begin"/>
        </w:r>
        <w:r w:rsidR="009434F3">
          <w:rPr>
            <w:webHidden/>
          </w:rPr>
          <w:instrText xml:space="preserve"> PAGEREF _Toc460320416 \h </w:instrText>
        </w:r>
        <w:r w:rsidR="009434F3">
          <w:rPr>
            <w:webHidden/>
          </w:rPr>
        </w:r>
        <w:r w:rsidR="009434F3">
          <w:rPr>
            <w:webHidden/>
          </w:rPr>
          <w:fldChar w:fldCharType="separate"/>
        </w:r>
        <w:r w:rsidR="00476B3D">
          <w:rPr>
            <w:webHidden/>
          </w:rPr>
          <w:t>15</w:t>
        </w:r>
        <w:r w:rsidR="009434F3">
          <w:rPr>
            <w:webHidden/>
          </w:rPr>
          <w:fldChar w:fldCharType="end"/>
        </w:r>
      </w:hyperlink>
    </w:p>
    <w:p w14:paraId="72194FE5" w14:textId="2E4D5E8A" w:rsidR="009434F3" w:rsidRDefault="00AE7E55">
      <w:pPr>
        <w:pStyle w:val="TOC2"/>
        <w:rPr>
          <w:rFonts w:eastAsiaTheme="minorEastAsia"/>
          <w:b w:val="0"/>
        </w:rPr>
      </w:pPr>
      <w:hyperlink w:anchor="_Toc460320417" w:history="1">
        <w:r w:rsidR="009434F3" w:rsidRPr="00DE14FD">
          <w:rPr>
            <w:rStyle w:val="Hyperlink"/>
            <w:rFonts w:ascii="Arial" w:hAnsi="Arial"/>
          </w:rPr>
          <w:t>4.1</w:t>
        </w:r>
        <w:r w:rsidR="009434F3">
          <w:rPr>
            <w:rFonts w:eastAsiaTheme="minorEastAsia"/>
            <w:b w:val="0"/>
          </w:rPr>
          <w:tab/>
        </w:r>
        <w:r w:rsidR="009434F3" w:rsidRPr="00DE14FD">
          <w:rPr>
            <w:rStyle w:val="Hyperlink"/>
          </w:rPr>
          <w:t>Determination of SC Certification Requirements</w:t>
        </w:r>
        <w:r w:rsidR="009434F3">
          <w:rPr>
            <w:webHidden/>
          </w:rPr>
          <w:tab/>
        </w:r>
        <w:r w:rsidR="009434F3">
          <w:rPr>
            <w:webHidden/>
          </w:rPr>
          <w:fldChar w:fldCharType="begin"/>
        </w:r>
        <w:r w:rsidR="009434F3">
          <w:rPr>
            <w:webHidden/>
          </w:rPr>
          <w:instrText xml:space="preserve"> PAGEREF _Toc460320417 \h </w:instrText>
        </w:r>
        <w:r w:rsidR="009434F3">
          <w:rPr>
            <w:webHidden/>
          </w:rPr>
        </w:r>
        <w:r w:rsidR="009434F3">
          <w:rPr>
            <w:webHidden/>
          </w:rPr>
          <w:fldChar w:fldCharType="separate"/>
        </w:r>
        <w:r w:rsidR="00476B3D">
          <w:rPr>
            <w:webHidden/>
          </w:rPr>
          <w:t>16</w:t>
        </w:r>
        <w:r w:rsidR="009434F3">
          <w:rPr>
            <w:webHidden/>
          </w:rPr>
          <w:fldChar w:fldCharType="end"/>
        </w:r>
      </w:hyperlink>
    </w:p>
    <w:p w14:paraId="501AF57B" w14:textId="373984F1" w:rsidR="009434F3" w:rsidRDefault="00AE7E55">
      <w:pPr>
        <w:pStyle w:val="TOC1"/>
        <w:rPr>
          <w:rFonts w:eastAsiaTheme="minorEastAsia" w:cstheme="minorBidi"/>
          <w:b w:val="0"/>
        </w:rPr>
      </w:pPr>
      <w:hyperlink w:anchor="_Toc460320418" w:history="1">
        <w:r w:rsidR="009434F3" w:rsidRPr="00DE14FD">
          <w:rPr>
            <w:rStyle w:val="Hyperlink"/>
            <w:rFonts w:ascii="Arial" w:hAnsi="Arial"/>
          </w:rPr>
          <w:t>5.</w:t>
        </w:r>
        <w:r w:rsidR="009434F3">
          <w:rPr>
            <w:rFonts w:eastAsiaTheme="minorEastAsia" w:cstheme="minorBidi"/>
            <w:b w:val="0"/>
          </w:rPr>
          <w:tab/>
        </w:r>
        <w:r w:rsidR="009434F3" w:rsidRPr="00DE14FD">
          <w:rPr>
            <w:rStyle w:val="Hyperlink"/>
          </w:rPr>
          <w:t>AGREEMENTS</w:t>
        </w:r>
        <w:r w:rsidR="009434F3">
          <w:rPr>
            <w:webHidden/>
          </w:rPr>
          <w:tab/>
        </w:r>
        <w:r w:rsidR="009434F3">
          <w:rPr>
            <w:webHidden/>
          </w:rPr>
          <w:fldChar w:fldCharType="begin"/>
        </w:r>
        <w:r w:rsidR="009434F3">
          <w:rPr>
            <w:webHidden/>
          </w:rPr>
          <w:instrText xml:space="preserve"> PAGEREF _Toc460320418 \h </w:instrText>
        </w:r>
        <w:r w:rsidR="009434F3">
          <w:rPr>
            <w:webHidden/>
          </w:rPr>
        </w:r>
        <w:r w:rsidR="009434F3">
          <w:rPr>
            <w:webHidden/>
          </w:rPr>
          <w:fldChar w:fldCharType="separate"/>
        </w:r>
        <w:r w:rsidR="00476B3D">
          <w:rPr>
            <w:webHidden/>
          </w:rPr>
          <w:t>17</w:t>
        </w:r>
        <w:r w:rsidR="009434F3">
          <w:rPr>
            <w:webHidden/>
          </w:rPr>
          <w:fldChar w:fldCharType="end"/>
        </w:r>
      </w:hyperlink>
    </w:p>
    <w:p w14:paraId="3548621A" w14:textId="0B3AEA3D" w:rsidR="009434F3" w:rsidRDefault="00AE7E55">
      <w:pPr>
        <w:pStyle w:val="TOC2"/>
        <w:rPr>
          <w:rFonts w:eastAsiaTheme="minorEastAsia"/>
          <w:b w:val="0"/>
        </w:rPr>
      </w:pPr>
      <w:hyperlink w:anchor="_Toc460320419" w:history="1">
        <w:r w:rsidR="009434F3" w:rsidRPr="00DE14FD">
          <w:rPr>
            <w:rStyle w:val="Hyperlink"/>
            <w:rFonts w:ascii="Arial" w:hAnsi="Arial"/>
          </w:rPr>
          <w:t>5.1</w:t>
        </w:r>
        <w:r w:rsidR="009434F3">
          <w:rPr>
            <w:rFonts w:eastAsiaTheme="minorEastAsia"/>
            <w:b w:val="0"/>
          </w:rPr>
          <w:tab/>
        </w:r>
        <w:r w:rsidR="009434F3" w:rsidRPr="00DE14FD">
          <w:rPr>
            <w:rStyle w:val="Hyperlink"/>
          </w:rPr>
          <w:t>EIM Entity Agreement</w:t>
        </w:r>
        <w:r w:rsidR="009434F3">
          <w:rPr>
            <w:webHidden/>
          </w:rPr>
          <w:tab/>
        </w:r>
        <w:r w:rsidR="009434F3">
          <w:rPr>
            <w:webHidden/>
          </w:rPr>
          <w:fldChar w:fldCharType="begin"/>
        </w:r>
        <w:r w:rsidR="009434F3">
          <w:rPr>
            <w:webHidden/>
          </w:rPr>
          <w:instrText xml:space="preserve"> PAGEREF _Toc460320419 \h </w:instrText>
        </w:r>
        <w:r w:rsidR="009434F3">
          <w:rPr>
            <w:webHidden/>
          </w:rPr>
        </w:r>
        <w:r w:rsidR="009434F3">
          <w:rPr>
            <w:webHidden/>
          </w:rPr>
          <w:fldChar w:fldCharType="separate"/>
        </w:r>
        <w:r w:rsidR="00476B3D">
          <w:rPr>
            <w:webHidden/>
          </w:rPr>
          <w:t>17</w:t>
        </w:r>
        <w:r w:rsidR="009434F3">
          <w:rPr>
            <w:webHidden/>
          </w:rPr>
          <w:fldChar w:fldCharType="end"/>
        </w:r>
      </w:hyperlink>
    </w:p>
    <w:p w14:paraId="34E840EF" w14:textId="7C623F19" w:rsidR="009434F3" w:rsidRDefault="00AE7E55">
      <w:pPr>
        <w:pStyle w:val="TOC2"/>
        <w:rPr>
          <w:rFonts w:eastAsiaTheme="minorEastAsia"/>
          <w:b w:val="0"/>
        </w:rPr>
      </w:pPr>
      <w:hyperlink w:anchor="_Toc460320420" w:history="1">
        <w:r w:rsidR="009434F3" w:rsidRPr="00DE14FD">
          <w:rPr>
            <w:rStyle w:val="Hyperlink"/>
            <w:rFonts w:ascii="Arial" w:hAnsi="Arial"/>
          </w:rPr>
          <w:t>5.2</w:t>
        </w:r>
        <w:r w:rsidR="009434F3">
          <w:rPr>
            <w:rFonts w:eastAsiaTheme="minorEastAsia"/>
            <w:b w:val="0"/>
          </w:rPr>
          <w:tab/>
        </w:r>
        <w:r w:rsidR="009434F3" w:rsidRPr="00DE14FD">
          <w:rPr>
            <w:rStyle w:val="Hyperlink"/>
          </w:rPr>
          <w:t>EIM Entity Scheduling Coordinator (Entity SC)</w:t>
        </w:r>
        <w:r w:rsidR="009434F3">
          <w:rPr>
            <w:webHidden/>
          </w:rPr>
          <w:tab/>
        </w:r>
        <w:r w:rsidR="009434F3">
          <w:rPr>
            <w:webHidden/>
          </w:rPr>
          <w:fldChar w:fldCharType="begin"/>
        </w:r>
        <w:r w:rsidR="009434F3">
          <w:rPr>
            <w:webHidden/>
          </w:rPr>
          <w:instrText xml:space="preserve"> PAGEREF _Toc460320420 \h </w:instrText>
        </w:r>
        <w:r w:rsidR="009434F3">
          <w:rPr>
            <w:webHidden/>
          </w:rPr>
        </w:r>
        <w:r w:rsidR="009434F3">
          <w:rPr>
            <w:webHidden/>
          </w:rPr>
          <w:fldChar w:fldCharType="separate"/>
        </w:r>
        <w:r w:rsidR="00476B3D">
          <w:rPr>
            <w:webHidden/>
          </w:rPr>
          <w:t>18</w:t>
        </w:r>
        <w:r w:rsidR="009434F3">
          <w:rPr>
            <w:webHidden/>
          </w:rPr>
          <w:fldChar w:fldCharType="end"/>
        </w:r>
      </w:hyperlink>
    </w:p>
    <w:p w14:paraId="4D0FE139" w14:textId="60E29AD5" w:rsidR="009434F3" w:rsidRDefault="00AE7E55">
      <w:pPr>
        <w:pStyle w:val="TOC1"/>
        <w:rPr>
          <w:rFonts w:eastAsiaTheme="minorEastAsia" w:cstheme="minorBidi"/>
          <w:b w:val="0"/>
        </w:rPr>
      </w:pPr>
      <w:hyperlink w:anchor="_Toc460320421" w:history="1">
        <w:r w:rsidR="009434F3" w:rsidRPr="00DE14FD">
          <w:rPr>
            <w:rStyle w:val="Hyperlink"/>
          </w:rPr>
          <w:t>The submittals listed below should be sent to: SCRequests@caiso.com</w:t>
        </w:r>
        <w:r w:rsidR="009434F3">
          <w:rPr>
            <w:webHidden/>
          </w:rPr>
          <w:tab/>
        </w:r>
        <w:r w:rsidR="009434F3">
          <w:rPr>
            <w:webHidden/>
          </w:rPr>
          <w:fldChar w:fldCharType="begin"/>
        </w:r>
        <w:r w:rsidR="009434F3">
          <w:rPr>
            <w:webHidden/>
          </w:rPr>
          <w:instrText xml:space="preserve"> PAGEREF _Toc460320421 \h </w:instrText>
        </w:r>
        <w:r w:rsidR="009434F3">
          <w:rPr>
            <w:webHidden/>
          </w:rPr>
        </w:r>
        <w:r w:rsidR="009434F3">
          <w:rPr>
            <w:webHidden/>
          </w:rPr>
          <w:fldChar w:fldCharType="separate"/>
        </w:r>
        <w:r w:rsidR="00476B3D">
          <w:rPr>
            <w:webHidden/>
          </w:rPr>
          <w:t>18</w:t>
        </w:r>
        <w:r w:rsidR="009434F3">
          <w:rPr>
            <w:webHidden/>
          </w:rPr>
          <w:fldChar w:fldCharType="end"/>
        </w:r>
      </w:hyperlink>
    </w:p>
    <w:p w14:paraId="75401DB9" w14:textId="6DE05703" w:rsidR="009434F3" w:rsidRDefault="00AE7E55">
      <w:pPr>
        <w:pStyle w:val="TOC2"/>
        <w:rPr>
          <w:rFonts w:eastAsiaTheme="minorEastAsia"/>
          <w:b w:val="0"/>
        </w:rPr>
      </w:pPr>
      <w:hyperlink w:anchor="_Toc460320422" w:history="1">
        <w:r w:rsidR="009434F3" w:rsidRPr="00DE14FD">
          <w:rPr>
            <w:rStyle w:val="Hyperlink"/>
            <w:rFonts w:ascii="Arial" w:hAnsi="Arial"/>
          </w:rPr>
          <w:t>5.3</w:t>
        </w:r>
        <w:r w:rsidR="009434F3">
          <w:rPr>
            <w:rFonts w:eastAsiaTheme="minorEastAsia"/>
            <w:b w:val="0"/>
          </w:rPr>
          <w:tab/>
        </w:r>
        <w:r w:rsidR="009434F3" w:rsidRPr="00DE14FD">
          <w:rPr>
            <w:rStyle w:val="Hyperlink"/>
          </w:rPr>
          <w:t>EIM Participating Resource Scheduling Coordinator (EIM PR SC)</w:t>
        </w:r>
        <w:r w:rsidR="009434F3">
          <w:rPr>
            <w:webHidden/>
          </w:rPr>
          <w:tab/>
        </w:r>
        <w:r w:rsidR="009434F3">
          <w:rPr>
            <w:webHidden/>
          </w:rPr>
          <w:fldChar w:fldCharType="begin"/>
        </w:r>
        <w:r w:rsidR="009434F3">
          <w:rPr>
            <w:webHidden/>
          </w:rPr>
          <w:instrText xml:space="preserve"> PAGEREF _Toc460320422 \h </w:instrText>
        </w:r>
        <w:r w:rsidR="009434F3">
          <w:rPr>
            <w:webHidden/>
          </w:rPr>
        </w:r>
        <w:r w:rsidR="009434F3">
          <w:rPr>
            <w:webHidden/>
          </w:rPr>
          <w:fldChar w:fldCharType="separate"/>
        </w:r>
        <w:r w:rsidR="00476B3D">
          <w:rPr>
            <w:webHidden/>
          </w:rPr>
          <w:t>19</w:t>
        </w:r>
        <w:r w:rsidR="009434F3">
          <w:rPr>
            <w:webHidden/>
          </w:rPr>
          <w:fldChar w:fldCharType="end"/>
        </w:r>
      </w:hyperlink>
    </w:p>
    <w:p w14:paraId="37C13021" w14:textId="33C19B3B" w:rsidR="009434F3" w:rsidRDefault="00AE7E55">
      <w:pPr>
        <w:pStyle w:val="TOC2"/>
        <w:rPr>
          <w:rFonts w:eastAsiaTheme="minorEastAsia"/>
          <w:b w:val="0"/>
        </w:rPr>
      </w:pPr>
      <w:hyperlink w:anchor="_Toc460320423" w:history="1">
        <w:r w:rsidR="009434F3" w:rsidRPr="00DE14FD">
          <w:rPr>
            <w:rStyle w:val="Hyperlink"/>
            <w:rFonts w:ascii="Arial" w:hAnsi="Arial"/>
          </w:rPr>
          <w:t>5.4</w:t>
        </w:r>
        <w:r w:rsidR="009434F3">
          <w:rPr>
            <w:rFonts w:eastAsiaTheme="minorEastAsia"/>
            <w:b w:val="0"/>
          </w:rPr>
          <w:tab/>
        </w:r>
        <w:r w:rsidR="009434F3" w:rsidRPr="00DE14FD">
          <w:rPr>
            <w:rStyle w:val="Hyperlink"/>
          </w:rPr>
          <w:t>EIM Participating Resource (PR)</w:t>
        </w:r>
        <w:r w:rsidR="009434F3">
          <w:rPr>
            <w:webHidden/>
          </w:rPr>
          <w:tab/>
        </w:r>
        <w:r w:rsidR="009434F3">
          <w:rPr>
            <w:webHidden/>
          </w:rPr>
          <w:fldChar w:fldCharType="begin"/>
        </w:r>
        <w:r w:rsidR="009434F3">
          <w:rPr>
            <w:webHidden/>
          </w:rPr>
          <w:instrText xml:space="preserve"> PAGEREF _Toc460320423 \h </w:instrText>
        </w:r>
        <w:r w:rsidR="009434F3">
          <w:rPr>
            <w:webHidden/>
          </w:rPr>
        </w:r>
        <w:r w:rsidR="009434F3">
          <w:rPr>
            <w:webHidden/>
          </w:rPr>
          <w:fldChar w:fldCharType="separate"/>
        </w:r>
        <w:r w:rsidR="00476B3D">
          <w:rPr>
            <w:webHidden/>
          </w:rPr>
          <w:t>21</w:t>
        </w:r>
        <w:r w:rsidR="009434F3">
          <w:rPr>
            <w:webHidden/>
          </w:rPr>
          <w:fldChar w:fldCharType="end"/>
        </w:r>
      </w:hyperlink>
    </w:p>
    <w:p w14:paraId="09602773" w14:textId="2E30F67E" w:rsidR="009434F3" w:rsidRDefault="00AE7E55">
      <w:pPr>
        <w:pStyle w:val="TOC1"/>
        <w:rPr>
          <w:rFonts w:eastAsiaTheme="minorEastAsia" w:cstheme="minorBidi"/>
          <w:b w:val="0"/>
        </w:rPr>
      </w:pPr>
      <w:hyperlink w:anchor="_Toc460320424" w:history="1">
        <w:r w:rsidR="009434F3" w:rsidRPr="00DE14FD">
          <w:rPr>
            <w:rStyle w:val="Hyperlink"/>
            <w:rFonts w:ascii="Arial" w:hAnsi="Arial"/>
          </w:rPr>
          <w:t>6.</w:t>
        </w:r>
        <w:r w:rsidR="009434F3">
          <w:rPr>
            <w:rFonts w:eastAsiaTheme="minorEastAsia" w:cstheme="minorBidi"/>
            <w:b w:val="0"/>
          </w:rPr>
          <w:tab/>
        </w:r>
        <w:r w:rsidR="009434F3" w:rsidRPr="00DE14FD">
          <w:rPr>
            <w:rStyle w:val="Hyperlink"/>
          </w:rPr>
          <w:t>CREDIT MANAGEMENT</w:t>
        </w:r>
        <w:r w:rsidR="009434F3">
          <w:rPr>
            <w:webHidden/>
          </w:rPr>
          <w:tab/>
        </w:r>
        <w:r w:rsidR="009434F3">
          <w:rPr>
            <w:webHidden/>
          </w:rPr>
          <w:fldChar w:fldCharType="begin"/>
        </w:r>
        <w:r w:rsidR="009434F3">
          <w:rPr>
            <w:webHidden/>
          </w:rPr>
          <w:instrText xml:space="preserve"> PAGEREF _Toc460320424 \h </w:instrText>
        </w:r>
        <w:r w:rsidR="009434F3">
          <w:rPr>
            <w:webHidden/>
          </w:rPr>
        </w:r>
        <w:r w:rsidR="009434F3">
          <w:rPr>
            <w:webHidden/>
          </w:rPr>
          <w:fldChar w:fldCharType="separate"/>
        </w:r>
        <w:r w:rsidR="00476B3D">
          <w:rPr>
            <w:webHidden/>
          </w:rPr>
          <w:t>22</w:t>
        </w:r>
        <w:r w:rsidR="009434F3">
          <w:rPr>
            <w:webHidden/>
          </w:rPr>
          <w:fldChar w:fldCharType="end"/>
        </w:r>
      </w:hyperlink>
    </w:p>
    <w:p w14:paraId="48D628DD" w14:textId="52A70C5F" w:rsidR="009434F3" w:rsidRDefault="00AE7E55">
      <w:pPr>
        <w:pStyle w:val="TOC1"/>
        <w:rPr>
          <w:rFonts w:eastAsiaTheme="minorEastAsia" w:cstheme="minorBidi"/>
          <w:b w:val="0"/>
        </w:rPr>
      </w:pPr>
      <w:hyperlink w:anchor="_Toc460320425" w:history="1">
        <w:r w:rsidR="009434F3" w:rsidRPr="00DE14FD">
          <w:rPr>
            <w:rStyle w:val="Hyperlink"/>
            <w:rFonts w:ascii="Arial" w:hAnsi="Arial"/>
          </w:rPr>
          <w:t>7.</w:t>
        </w:r>
        <w:r w:rsidR="009434F3">
          <w:rPr>
            <w:rFonts w:eastAsiaTheme="minorEastAsia" w:cstheme="minorBidi"/>
            <w:b w:val="0"/>
          </w:rPr>
          <w:tab/>
        </w:r>
        <w:r w:rsidR="009434F3" w:rsidRPr="00DE14FD">
          <w:rPr>
            <w:rStyle w:val="Hyperlink"/>
          </w:rPr>
          <w:t>FULL NETWORK MODEL</w:t>
        </w:r>
        <w:r w:rsidR="009434F3">
          <w:rPr>
            <w:webHidden/>
          </w:rPr>
          <w:tab/>
        </w:r>
        <w:r w:rsidR="009434F3">
          <w:rPr>
            <w:webHidden/>
          </w:rPr>
          <w:fldChar w:fldCharType="begin"/>
        </w:r>
        <w:r w:rsidR="009434F3">
          <w:rPr>
            <w:webHidden/>
          </w:rPr>
          <w:instrText xml:space="preserve"> PAGEREF _Toc460320425 \h </w:instrText>
        </w:r>
        <w:r w:rsidR="009434F3">
          <w:rPr>
            <w:webHidden/>
          </w:rPr>
        </w:r>
        <w:r w:rsidR="009434F3">
          <w:rPr>
            <w:webHidden/>
          </w:rPr>
          <w:fldChar w:fldCharType="separate"/>
        </w:r>
        <w:r w:rsidR="00476B3D">
          <w:rPr>
            <w:webHidden/>
          </w:rPr>
          <w:t>22</w:t>
        </w:r>
        <w:r w:rsidR="009434F3">
          <w:rPr>
            <w:webHidden/>
          </w:rPr>
          <w:fldChar w:fldCharType="end"/>
        </w:r>
      </w:hyperlink>
    </w:p>
    <w:p w14:paraId="5AEA8811" w14:textId="6FFB9DCF" w:rsidR="009434F3" w:rsidRDefault="00AE7E55">
      <w:pPr>
        <w:pStyle w:val="TOC1"/>
        <w:rPr>
          <w:rFonts w:eastAsiaTheme="minorEastAsia" w:cstheme="minorBidi"/>
          <w:b w:val="0"/>
        </w:rPr>
      </w:pPr>
      <w:hyperlink w:anchor="_Toc460320426" w:history="1">
        <w:r w:rsidR="009434F3" w:rsidRPr="00DE14FD">
          <w:rPr>
            <w:rStyle w:val="Hyperlink"/>
            <w:rFonts w:ascii="Arial" w:hAnsi="Arial"/>
          </w:rPr>
          <w:t>8.</w:t>
        </w:r>
        <w:r w:rsidR="009434F3">
          <w:rPr>
            <w:rFonts w:eastAsiaTheme="minorEastAsia" w:cstheme="minorBidi"/>
            <w:b w:val="0"/>
          </w:rPr>
          <w:tab/>
        </w:r>
        <w:r w:rsidR="009434F3" w:rsidRPr="00DE14FD">
          <w:rPr>
            <w:rStyle w:val="Hyperlink"/>
          </w:rPr>
          <w:t>METERING</w:t>
        </w:r>
        <w:r w:rsidR="009434F3">
          <w:rPr>
            <w:webHidden/>
          </w:rPr>
          <w:tab/>
        </w:r>
        <w:r w:rsidR="009434F3">
          <w:rPr>
            <w:webHidden/>
          </w:rPr>
          <w:fldChar w:fldCharType="begin"/>
        </w:r>
        <w:r w:rsidR="009434F3">
          <w:rPr>
            <w:webHidden/>
          </w:rPr>
          <w:instrText xml:space="preserve"> PAGEREF _Toc460320426 \h </w:instrText>
        </w:r>
        <w:r w:rsidR="009434F3">
          <w:rPr>
            <w:webHidden/>
          </w:rPr>
        </w:r>
        <w:r w:rsidR="009434F3">
          <w:rPr>
            <w:webHidden/>
          </w:rPr>
          <w:fldChar w:fldCharType="separate"/>
        </w:r>
        <w:r w:rsidR="00476B3D">
          <w:rPr>
            <w:webHidden/>
          </w:rPr>
          <w:t>25</w:t>
        </w:r>
        <w:r w:rsidR="009434F3">
          <w:rPr>
            <w:webHidden/>
          </w:rPr>
          <w:fldChar w:fldCharType="end"/>
        </w:r>
      </w:hyperlink>
    </w:p>
    <w:p w14:paraId="7272CF96" w14:textId="1D55A7B7" w:rsidR="009434F3" w:rsidRDefault="00AE7E55">
      <w:pPr>
        <w:pStyle w:val="TOC1"/>
        <w:rPr>
          <w:rFonts w:eastAsiaTheme="minorEastAsia" w:cstheme="minorBidi"/>
          <w:b w:val="0"/>
        </w:rPr>
      </w:pPr>
      <w:hyperlink w:anchor="_Toc460320427" w:history="1">
        <w:r w:rsidR="009434F3" w:rsidRPr="00DE14FD">
          <w:rPr>
            <w:rStyle w:val="Hyperlink"/>
            <w:rFonts w:ascii="Arial" w:hAnsi="Arial"/>
          </w:rPr>
          <w:t>9.</w:t>
        </w:r>
        <w:r w:rsidR="009434F3">
          <w:rPr>
            <w:rFonts w:eastAsiaTheme="minorEastAsia" w:cstheme="minorBidi"/>
            <w:b w:val="0"/>
          </w:rPr>
          <w:tab/>
        </w:r>
        <w:r w:rsidR="009434F3" w:rsidRPr="00DE14FD">
          <w:rPr>
            <w:rStyle w:val="Hyperlink"/>
          </w:rPr>
          <w:t>TELEMETRY</w:t>
        </w:r>
        <w:r w:rsidR="009434F3">
          <w:rPr>
            <w:webHidden/>
          </w:rPr>
          <w:tab/>
        </w:r>
        <w:r w:rsidR="009434F3">
          <w:rPr>
            <w:webHidden/>
          </w:rPr>
          <w:fldChar w:fldCharType="begin"/>
        </w:r>
        <w:r w:rsidR="009434F3">
          <w:rPr>
            <w:webHidden/>
          </w:rPr>
          <w:instrText xml:space="preserve"> PAGEREF _Toc460320427 \h </w:instrText>
        </w:r>
        <w:r w:rsidR="009434F3">
          <w:rPr>
            <w:webHidden/>
          </w:rPr>
        </w:r>
        <w:r w:rsidR="009434F3">
          <w:rPr>
            <w:webHidden/>
          </w:rPr>
          <w:fldChar w:fldCharType="separate"/>
        </w:r>
        <w:r w:rsidR="00476B3D">
          <w:rPr>
            <w:webHidden/>
          </w:rPr>
          <w:t>26</w:t>
        </w:r>
        <w:r w:rsidR="009434F3">
          <w:rPr>
            <w:webHidden/>
          </w:rPr>
          <w:fldChar w:fldCharType="end"/>
        </w:r>
      </w:hyperlink>
    </w:p>
    <w:p w14:paraId="39929E69" w14:textId="3E038965" w:rsidR="009434F3" w:rsidRDefault="00AE7E55">
      <w:pPr>
        <w:pStyle w:val="TOC1"/>
        <w:rPr>
          <w:rFonts w:eastAsiaTheme="minorEastAsia" w:cstheme="minorBidi"/>
          <w:b w:val="0"/>
        </w:rPr>
      </w:pPr>
      <w:hyperlink w:anchor="_Toc460320428" w:history="1">
        <w:r w:rsidR="009434F3" w:rsidRPr="00DE14FD">
          <w:rPr>
            <w:rStyle w:val="Hyperlink"/>
            <w:rFonts w:ascii="Arial" w:hAnsi="Arial"/>
          </w:rPr>
          <w:t>10.</w:t>
        </w:r>
        <w:r w:rsidR="009434F3">
          <w:rPr>
            <w:rFonts w:eastAsiaTheme="minorEastAsia" w:cstheme="minorBidi"/>
            <w:b w:val="0"/>
          </w:rPr>
          <w:tab/>
        </w:r>
        <w:r w:rsidR="009434F3" w:rsidRPr="00DE14FD">
          <w:rPr>
            <w:rStyle w:val="Hyperlink"/>
          </w:rPr>
          <w:t>OUTAGE MANAGEMENT</w:t>
        </w:r>
        <w:r w:rsidR="009434F3">
          <w:rPr>
            <w:webHidden/>
          </w:rPr>
          <w:tab/>
        </w:r>
        <w:r w:rsidR="009434F3">
          <w:rPr>
            <w:webHidden/>
          </w:rPr>
          <w:fldChar w:fldCharType="begin"/>
        </w:r>
        <w:r w:rsidR="009434F3">
          <w:rPr>
            <w:webHidden/>
          </w:rPr>
          <w:instrText xml:space="preserve"> PAGEREF _Toc460320428 \h </w:instrText>
        </w:r>
        <w:r w:rsidR="009434F3">
          <w:rPr>
            <w:webHidden/>
          </w:rPr>
        </w:r>
        <w:r w:rsidR="009434F3">
          <w:rPr>
            <w:webHidden/>
          </w:rPr>
          <w:fldChar w:fldCharType="separate"/>
        </w:r>
        <w:r w:rsidR="00476B3D">
          <w:rPr>
            <w:webHidden/>
          </w:rPr>
          <w:t>26</w:t>
        </w:r>
        <w:r w:rsidR="009434F3">
          <w:rPr>
            <w:webHidden/>
          </w:rPr>
          <w:fldChar w:fldCharType="end"/>
        </w:r>
      </w:hyperlink>
    </w:p>
    <w:p w14:paraId="48D3F1CB" w14:textId="78EF9163" w:rsidR="009434F3" w:rsidRDefault="00AE7E55">
      <w:pPr>
        <w:pStyle w:val="TOC2"/>
        <w:rPr>
          <w:rFonts w:eastAsiaTheme="minorEastAsia"/>
          <w:b w:val="0"/>
        </w:rPr>
      </w:pPr>
      <w:hyperlink w:anchor="_Toc460320429" w:history="1">
        <w:r w:rsidR="009434F3" w:rsidRPr="00DE14FD">
          <w:rPr>
            <w:rStyle w:val="Hyperlink"/>
            <w:rFonts w:ascii="Arial" w:hAnsi="Arial"/>
          </w:rPr>
          <w:t>10.1</w:t>
        </w:r>
        <w:r w:rsidR="009434F3">
          <w:rPr>
            <w:rFonts w:eastAsiaTheme="minorEastAsia"/>
            <w:b w:val="0"/>
          </w:rPr>
          <w:tab/>
        </w:r>
        <w:r w:rsidR="009434F3" w:rsidRPr="00DE14FD">
          <w:rPr>
            <w:rStyle w:val="Hyperlink"/>
          </w:rPr>
          <w:t>Objectives, Roles, Scope, and Participants</w:t>
        </w:r>
        <w:r w:rsidR="009434F3">
          <w:rPr>
            <w:webHidden/>
          </w:rPr>
          <w:tab/>
        </w:r>
        <w:r w:rsidR="009434F3">
          <w:rPr>
            <w:webHidden/>
          </w:rPr>
          <w:fldChar w:fldCharType="begin"/>
        </w:r>
        <w:r w:rsidR="009434F3">
          <w:rPr>
            <w:webHidden/>
          </w:rPr>
          <w:instrText xml:space="preserve"> PAGEREF _Toc460320429 \h </w:instrText>
        </w:r>
        <w:r w:rsidR="009434F3">
          <w:rPr>
            <w:webHidden/>
          </w:rPr>
        </w:r>
        <w:r w:rsidR="009434F3">
          <w:rPr>
            <w:webHidden/>
          </w:rPr>
          <w:fldChar w:fldCharType="separate"/>
        </w:r>
        <w:r w:rsidR="00476B3D">
          <w:rPr>
            <w:webHidden/>
          </w:rPr>
          <w:t>27</w:t>
        </w:r>
        <w:r w:rsidR="009434F3">
          <w:rPr>
            <w:webHidden/>
          </w:rPr>
          <w:fldChar w:fldCharType="end"/>
        </w:r>
      </w:hyperlink>
    </w:p>
    <w:p w14:paraId="05EFD5D0" w14:textId="38D7571F" w:rsidR="009434F3" w:rsidRDefault="00AE7E55">
      <w:pPr>
        <w:pStyle w:val="TOC3"/>
        <w:rPr>
          <w:rFonts w:eastAsiaTheme="minorEastAsia"/>
        </w:rPr>
      </w:pPr>
      <w:hyperlink w:anchor="_Toc460320430" w:history="1">
        <w:r w:rsidR="009434F3" w:rsidRPr="00DE14FD">
          <w:rPr>
            <w:rStyle w:val="Hyperlink"/>
            <w:rFonts w:ascii="Arial" w:hAnsi="Arial"/>
          </w:rPr>
          <w:t>10.1.1</w:t>
        </w:r>
        <w:r w:rsidR="009434F3">
          <w:rPr>
            <w:rFonts w:eastAsiaTheme="minorEastAsia"/>
          </w:rPr>
          <w:tab/>
        </w:r>
        <w:r w:rsidR="009434F3" w:rsidRPr="00DE14FD">
          <w:rPr>
            <w:rStyle w:val="Hyperlink"/>
          </w:rPr>
          <w:t>Outage Management Objective</w:t>
        </w:r>
        <w:r w:rsidR="009434F3">
          <w:rPr>
            <w:webHidden/>
          </w:rPr>
          <w:tab/>
        </w:r>
        <w:r w:rsidR="009434F3">
          <w:rPr>
            <w:webHidden/>
          </w:rPr>
          <w:fldChar w:fldCharType="begin"/>
        </w:r>
        <w:r w:rsidR="009434F3">
          <w:rPr>
            <w:webHidden/>
          </w:rPr>
          <w:instrText xml:space="preserve"> PAGEREF _Toc460320430 \h </w:instrText>
        </w:r>
        <w:r w:rsidR="009434F3">
          <w:rPr>
            <w:webHidden/>
          </w:rPr>
        </w:r>
        <w:r w:rsidR="009434F3">
          <w:rPr>
            <w:webHidden/>
          </w:rPr>
          <w:fldChar w:fldCharType="separate"/>
        </w:r>
        <w:r w:rsidR="00476B3D">
          <w:rPr>
            <w:webHidden/>
          </w:rPr>
          <w:t>27</w:t>
        </w:r>
        <w:r w:rsidR="009434F3">
          <w:rPr>
            <w:webHidden/>
          </w:rPr>
          <w:fldChar w:fldCharType="end"/>
        </w:r>
      </w:hyperlink>
    </w:p>
    <w:p w14:paraId="5CEA309A" w14:textId="049FA162" w:rsidR="009434F3" w:rsidRDefault="00AE7E55">
      <w:pPr>
        <w:pStyle w:val="TOC3"/>
        <w:rPr>
          <w:rFonts w:eastAsiaTheme="minorEastAsia"/>
        </w:rPr>
      </w:pPr>
      <w:hyperlink w:anchor="_Toc460320431" w:history="1">
        <w:r w:rsidR="009434F3" w:rsidRPr="00DE14FD">
          <w:rPr>
            <w:rStyle w:val="Hyperlink"/>
            <w:rFonts w:ascii="Arial" w:hAnsi="Arial"/>
          </w:rPr>
          <w:t>10.1.2</w:t>
        </w:r>
        <w:r w:rsidR="009434F3">
          <w:rPr>
            <w:rFonts w:eastAsiaTheme="minorEastAsia"/>
          </w:rPr>
          <w:tab/>
        </w:r>
        <w:r w:rsidR="009434F3" w:rsidRPr="00DE14FD">
          <w:rPr>
            <w:rStyle w:val="Hyperlink"/>
          </w:rPr>
          <w:t>CAISO Role</w:t>
        </w:r>
        <w:r w:rsidR="009434F3">
          <w:rPr>
            <w:webHidden/>
          </w:rPr>
          <w:tab/>
        </w:r>
        <w:r w:rsidR="009434F3">
          <w:rPr>
            <w:webHidden/>
          </w:rPr>
          <w:fldChar w:fldCharType="begin"/>
        </w:r>
        <w:r w:rsidR="009434F3">
          <w:rPr>
            <w:webHidden/>
          </w:rPr>
          <w:instrText xml:space="preserve"> PAGEREF _Toc460320431 \h </w:instrText>
        </w:r>
        <w:r w:rsidR="009434F3">
          <w:rPr>
            <w:webHidden/>
          </w:rPr>
        </w:r>
        <w:r w:rsidR="009434F3">
          <w:rPr>
            <w:webHidden/>
          </w:rPr>
          <w:fldChar w:fldCharType="separate"/>
        </w:r>
        <w:r w:rsidR="00476B3D">
          <w:rPr>
            <w:webHidden/>
          </w:rPr>
          <w:t>27</w:t>
        </w:r>
        <w:r w:rsidR="009434F3">
          <w:rPr>
            <w:webHidden/>
          </w:rPr>
          <w:fldChar w:fldCharType="end"/>
        </w:r>
      </w:hyperlink>
    </w:p>
    <w:p w14:paraId="1F576BF3" w14:textId="0CB9E014" w:rsidR="009434F3" w:rsidRDefault="00AE7E55">
      <w:pPr>
        <w:pStyle w:val="TOC3"/>
        <w:rPr>
          <w:rFonts w:eastAsiaTheme="minorEastAsia"/>
        </w:rPr>
      </w:pPr>
      <w:hyperlink w:anchor="_Toc460320432" w:history="1">
        <w:r w:rsidR="009434F3" w:rsidRPr="00DE14FD">
          <w:rPr>
            <w:rStyle w:val="Hyperlink"/>
            <w:rFonts w:ascii="Arial" w:hAnsi="Arial"/>
          </w:rPr>
          <w:t>10.1.3</w:t>
        </w:r>
        <w:r w:rsidR="009434F3">
          <w:rPr>
            <w:rFonts w:eastAsiaTheme="minorEastAsia"/>
          </w:rPr>
          <w:tab/>
        </w:r>
        <w:r w:rsidR="009434F3" w:rsidRPr="00DE14FD">
          <w:rPr>
            <w:rStyle w:val="Hyperlink"/>
          </w:rPr>
          <w:t>Facility Owner Role</w:t>
        </w:r>
        <w:r w:rsidR="009434F3">
          <w:rPr>
            <w:webHidden/>
          </w:rPr>
          <w:tab/>
        </w:r>
        <w:r w:rsidR="009434F3">
          <w:rPr>
            <w:webHidden/>
          </w:rPr>
          <w:fldChar w:fldCharType="begin"/>
        </w:r>
        <w:r w:rsidR="009434F3">
          <w:rPr>
            <w:webHidden/>
          </w:rPr>
          <w:instrText xml:space="preserve"> PAGEREF _Toc460320432 \h </w:instrText>
        </w:r>
        <w:r w:rsidR="009434F3">
          <w:rPr>
            <w:webHidden/>
          </w:rPr>
        </w:r>
        <w:r w:rsidR="009434F3">
          <w:rPr>
            <w:webHidden/>
          </w:rPr>
          <w:fldChar w:fldCharType="separate"/>
        </w:r>
        <w:r w:rsidR="00476B3D">
          <w:rPr>
            <w:webHidden/>
          </w:rPr>
          <w:t>27</w:t>
        </w:r>
        <w:r w:rsidR="009434F3">
          <w:rPr>
            <w:webHidden/>
          </w:rPr>
          <w:fldChar w:fldCharType="end"/>
        </w:r>
      </w:hyperlink>
    </w:p>
    <w:p w14:paraId="77D5013F" w14:textId="1F9301F1" w:rsidR="009434F3" w:rsidRDefault="00AE7E55">
      <w:pPr>
        <w:pStyle w:val="TOC3"/>
        <w:rPr>
          <w:rFonts w:eastAsiaTheme="minorEastAsia"/>
        </w:rPr>
      </w:pPr>
      <w:hyperlink w:anchor="_Toc460320433" w:history="1">
        <w:r w:rsidR="009434F3" w:rsidRPr="00DE14FD">
          <w:rPr>
            <w:rStyle w:val="Hyperlink"/>
            <w:rFonts w:ascii="Arial" w:hAnsi="Arial"/>
          </w:rPr>
          <w:t>10.1.4</w:t>
        </w:r>
        <w:r w:rsidR="009434F3">
          <w:rPr>
            <w:rFonts w:eastAsiaTheme="minorEastAsia"/>
          </w:rPr>
          <w:tab/>
        </w:r>
        <w:r w:rsidR="009434F3" w:rsidRPr="00DE14FD">
          <w:rPr>
            <w:rStyle w:val="Hyperlink"/>
          </w:rPr>
          <w:t>Application to Parties</w:t>
        </w:r>
        <w:r w:rsidR="009434F3">
          <w:rPr>
            <w:webHidden/>
          </w:rPr>
          <w:tab/>
        </w:r>
        <w:r w:rsidR="009434F3">
          <w:rPr>
            <w:webHidden/>
          </w:rPr>
          <w:fldChar w:fldCharType="begin"/>
        </w:r>
        <w:r w:rsidR="009434F3">
          <w:rPr>
            <w:webHidden/>
          </w:rPr>
          <w:instrText xml:space="preserve"> PAGEREF _Toc460320433 \h </w:instrText>
        </w:r>
        <w:r w:rsidR="009434F3">
          <w:rPr>
            <w:webHidden/>
          </w:rPr>
        </w:r>
        <w:r w:rsidR="009434F3">
          <w:rPr>
            <w:webHidden/>
          </w:rPr>
          <w:fldChar w:fldCharType="separate"/>
        </w:r>
        <w:r w:rsidR="00476B3D">
          <w:rPr>
            <w:webHidden/>
          </w:rPr>
          <w:t>27</w:t>
        </w:r>
        <w:r w:rsidR="009434F3">
          <w:rPr>
            <w:webHidden/>
          </w:rPr>
          <w:fldChar w:fldCharType="end"/>
        </w:r>
      </w:hyperlink>
    </w:p>
    <w:p w14:paraId="419DC207" w14:textId="66B7A5C8" w:rsidR="009434F3" w:rsidRDefault="00AE7E55">
      <w:pPr>
        <w:pStyle w:val="TOC3"/>
        <w:rPr>
          <w:rFonts w:eastAsiaTheme="minorEastAsia"/>
        </w:rPr>
      </w:pPr>
      <w:hyperlink w:anchor="_Toc460320434" w:history="1">
        <w:r w:rsidR="009434F3" w:rsidRPr="00DE14FD">
          <w:rPr>
            <w:rStyle w:val="Hyperlink"/>
            <w:rFonts w:ascii="Arial" w:hAnsi="Arial"/>
          </w:rPr>
          <w:t>10.1.5</w:t>
        </w:r>
        <w:r w:rsidR="009434F3">
          <w:rPr>
            <w:rFonts w:eastAsiaTheme="minorEastAsia"/>
          </w:rPr>
          <w:tab/>
        </w:r>
        <w:r w:rsidR="009434F3" w:rsidRPr="00DE14FD">
          <w:rPr>
            <w:rStyle w:val="Hyperlink"/>
          </w:rPr>
          <w:t>CAISO Outage Coordination Office</w:t>
        </w:r>
        <w:r w:rsidR="009434F3">
          <w:rPr>
            <w:webHidden/>
          </w:rPr>
          <w:tab/>
        </w:r>
        <w:r w:rsidR="009434F3">
          <w:rPr>
            <w:webHidden/>
          </w:rPr>
          <w:fldChar w:fldCharType="begin"/>
        </w:r>
        <w:r w:rsidR="009434F3">
          <w:rPr>
            <w:webHidden/>
          </w:rPr>
          <w:instrText xml:space="preserve"> PAGEREF _Toc460320434 \h </w:instrText>
        </w:r>
        <w:r w:rsidR="009434F3">
          <w:rPr>
            <w:webHidden/>
          </w:rPr>
        </w:r>
        <w:r w:rsidR="009434F3">
          <w:rPr>
            <w:webHidden/>
          </w:rPr>
          <w:fldChar w:fldCharType="separate"/>
        </w:r>
        <w:r w:rsidR="00476B3D">
          <w:rPr>
            <w:webHidden/>
          </w:rPr>
          <w:t>28</w:t>
        </w:r>
        <w:r w:rsidR="009434F3">
          <w:rPr>
            <w:webHidden/>
          </w:rPr>
          <w:fldChar w:fldCharType="end"/>
        </w:r>
      </w:hyperlink>
    </w:p>
    <w:p w14:paraId="5C294EFF" w14:textId="7574DD97" w:rsidR="009434F3" w:rsidRDefault="00AE7E55">
      <w:pPr>
        <w:pStyle w:val="TOC2"/>
        <w:rPr>
          <w:rFonts w:eastAsiaTheme="minorEastAsia"/>
          <w:b w:val="0"/>
        </w:rPr>
      </w:pPr>
      <w:hyperlink w:anchor="_Toc460320435" w:history="1">
        <w:r w:rsidR="009434F3" w:rsidRPr="00DE14FD">
          <w:rPr>
            <w:rStyle w:val="Hyperlink"/>
            <w:rFonts w:ascii="Arial" w:hAnsi="Arial"/>
          </w:rPr>
          <w:t>10.2</w:t>
        </w:r>
        <w:r w:rsidR="009434F3">
          <w:rPr>
            <w:rFonts w:eastAsiaTheme="minorEastAsia"/>
            <w:b w:val="0"/>
          </w:rPr>
          <w:tab/>
        </w:r>
        <w:r w:rsidR="009434F3" w:rsidRPr="00DE14FD">
          <w:rPr>
            <w:rStyle w:val="Hyperlink"/>
          </w:rPr>
          <w:t>Requesting Maintenance Outages</w:t>
        </w:r>
        <w:r w:rsidR="009434F3">
          <w:rPr>
            <w:webHidden/>
          </w:rPr>
          <w:tab/>
        </w:r>
        <w:r w:rsidR="009434F3">
          <w:rPr>
            <w:webHidden/>
          </w:rPr>
          <w:fldChar w:fldCharType="begin"/>
        </w:r>
        <w:r w:rsidR="009434F3">
          <w:rPr>
            <w:webHidden/>
          </w:rPr>
          <w:instrText xml:space="preserve"> PAGEREF _Toc460320435 \h </w:instrText>
        </w:r>
        <w:r w:rsidR="009434F3">
          <w:rPr>
            <w:webHidden/>
          </w:rPr>
        </w:r>
        <w:r w:rsidR="009434F3">
          <w:rPr>
            <w:webHidden/>
          </w:rPr>
          <w:fldChar w:fldCharType="separate"/>
        </w:r>
        <w:r w:rsidR="00476B3D">
          <w:rPr>
            <w:webHidden/>
          </w:rPr>
          <w:t>29</w:t>
        </w:r>
        <w:r w:rsidR="009434F3">
          <w:rPr>
            <w:webHidden/>
          </w:rPr>
          <w:fldChar w:fldCharType="end"/>
        </w:r>
      </w:hyperlink>
    </w:p>
    <w:p w14:paraId="37C87F47" w14:textId="7FD78B63" w:rsidR="009434F3" w:rsidRDefault="00AE7E55">
      <w:pPr>
        <w:pStyle w:val="TOC3"/>
        <w:rPr>
          <w:rFonts w:eastAsiaTheme="minorEastAsia"/>
        </w:rPr>
      </w:pPr>
      <w:hyperlink w:anchor="_Toc460320436" w:history="1">
        <w:r w:rsidR="009434F3" w:rsidRPr="00DE14FD">
          <w:rPr>
            <w:rStyle w:val="Hyperlink"/>
            <w:rFonts w:ascii="Arial" w:hAnsi="Arial"/>
          </w:rPr>
          <w:t>10.2.1</w:t>
        </w:r>
        <w:r w:rsidR="009434F3">
          <w:rPr>
            <w:rFonts w:eastAsiaTheme="minorEastAsia"/>
          </w:rPr>
          <w:tab/>
        </w:r>
        <w:r w:rsidR="009434F3" w:rsidRPr="00DE14FD">
          <w:rPr>
            <w:rStyle w:val="Hyperlink"/>
          </w:rPr>
          <w:t>EIM Entity and EIM Entity Scheduling Coordinator Outage Request Process</w:t>
        </w:r>
        <w:r w:rsidR="009434F3">
          <w:rPr>
            <w:webHidden/>
          </w:rPr>
          <w:tab/>
        </w:r>
        <w:r w:rsidR="009434F3">
          <w:rPr>
            <w:webHidden/>
          </w:rPr>
          <w:fldChar w:fldCharType="begin"/>
        </w:r>
        <w:r w:rsidR="009434F3">
          <w:rPr>
            <w:webHidden/>
          </w:rPr>
          <w:instrText xml:space="preserve"> PAGEREF _Toc460320436 \h </w:instrText>
        </w:r>
        <w:r w:rsidR="009434F3">
          <w:rPr>
            <w:webHidden/>
          </w:rPr>
        </w:r>
        <w:r w:rsidR="009434F3">
          <w:rPr>
            <w:webHidden/>
          </w:rPr>
          <w:fldChar w:fldCharType="separate"/>
        </w:r>
        <w:r w:rsidR="00476B3D">
          <w:rPr>
            <w:webHidden/>
          </w:rPr>
          <w:t>29</w:t>
        </w:r>
        <w:r w:rsidR="009434F3">
          <w:rPr>
            <w:webHidden/>
          </w:rPr>
          <w:fldChar w:fldCharType="end"/>
        </w:r>
      </w:hyperlink>
    </w:p>
    <w:p w14:paraId="21C79D30" w14:textId="228A1AD8" w:rsidR="009434F3" w:rsidRDefault="00AE7E55">
      <w:pPr>
        <w:pStyle w:val="TOC3"/>
        <w:rPr>
          <w:rFonts w:eastAsiaTheme="minorEastAsia"/>
        </w:rPr>
      </w:pPr>
      <w:hyperlink w:anchor="_Toc460320437" w:history="1">
        <w:r w:rsidR="009434F3" w:rsidRPr="00DE14FD">
          <w:rPr>
            <w:rStyle w:val="Hyperlink"/>
            <w:rFonts w:ascii="Arial" w:hAnsi="Arial"/>
          </w:rPr>
          <w:t>10.2.2</w:t>
        </w:r>
        <w:r w:rsidR="009434F3">
          <w:rPr>
            <w:rFonts w:eastAsiaTheme="minorEastAsia"/>
          </w:rPr>
          <w:tab/>
        </w:r>
        <w:r w:rsidR="009434F3" w:rsidRPr="00DE14FD">
          <w:rPr>
            <w:rStyle w:val="Hyperlink"/>
          </w:rPr>
          <w:t>Generation Resource Start-Up Time</w:t>
        </w:r>
        <w:r w:rsidR="009434F3">
          <w:rPr>
            <w:webHidden/>
          </w:rPr>
          <w:tab/>
        </w:r>
        <w:r w:rsidR="009434F3">
          <w:rPr>
            <w:webHidden/>
          </w:rPr>
          <w:fldChar w:fldCharType="begin"/>
        </w:r>
        <w:r w:rsidR="009434F3">
          <w:rPr>
            <w:webHidden/>
          </w:rPr>
          <w:instrText xml:space="preserve"> PAGEREF _Toc460320437 \h </w:instrText>
        </w:r>
        <w:r w:rsidR="009434F3">
          <w:rPr>
            <w:webHidden/>
          </w:rPr>
        </w:r>
        <w:r w:rsidR="009434F3">
          <w:rPr>
            <w:webHidden/>
          </w:rPr>
          <w:fldChar w:fldCharType="separate"/>
        </w:r>
        <w:r w:rsidR="00476B3D">
          <w:rPr>
            <w:webHidden/>
          </w:rPr>
          <w:t>30</w:t>
        </w:r>
        <w:r w:rsidR="009434F3">
          <w:rPr>
            <w:webHidden/>
          </w:rPr>
          <w:fldChar w:fldCharType="end"/>
        </w:r>
      </w:hyperlink>
    </w:p>
    <w:p w14:paraId="01E5FE7A" w14:textId="23F39C96" w:rsidR="009434F3" w:rsidRDefault="00AE7E55">
      <w:pPr>
        <w:pStyle w:val="TOC3"/>
        <w:rPr>
          <w:rFonts w:eastAsiaTheme="minorEastAsia"/>
        </w:rPr>
      </w:pPr>
      <w:hyperlink w:anchor="_Toc460320438" w:history="1">
        <w:r w:rsidR="009434F3" w:rsidRPr="00DE14FD">
          <w:rPr>
            <w:rStyle w:val="Hyperlink"/>
            <w:rFonts w:ascii="Arial" w:hAnsi="Arial"/>
          </w:rPr>
          <w:t>10.2.3</w:t>
        </w:r>
        <w:r w:rsidR="009434F3">
          <w:rPr>
            <w:rFonts w:eastAsiaTheme="minorEastAsia"/>
          </w:rPr>
          <w:tab/>
        </w:r>
        <w:r w:rsidR="009434F3" w:rsidRPr="00DE14FD">
          <w:rPr>
            <w:rStyle w:val="Hyperlink"/>
          </w:rPr>
          <w:t>Confirmation and Acknowledgement of Receipt of Outage Request</w:t>
        </w:r>
        <w:r w:rsidR="009434F3">
          <w:rPr>
            <w:webHidden/>
          </w:rPr>
          <w:tab/>
        </w:r>
        <w:r w:rsidR="009434F3">
          <w:rPr>
            <w:webHidden/>
          </w:rPr>
          <w:fldChar w:fldCharType="begin"/>
        </w:r>
        <w:r w:rsidR="009434F3">
          <w:rPr>
            <w:webHidden/>
          </w:rPr>
          <w:instrText xml:space="preserve"> PAGEREF _Toc460320438 \h </w:instrText>
        </w:r>
        <w:r w:rsidR="009434F3">
          <w:rPr>
            <w:webHidden/>
          </w:rPr>
        </w:r>
        <w:r w:rsidR="009434F3">
          <w:rPr>
            <w:webHidden/>
          </w:rPr>
          <w:fldChar w:fldCharType="separate"/>
        </w:r>
        <w:r w:rsidR="00476B3D">
          <w:rPr>
            <w:webHidden/>
          </w:rPr>
          <w:t>30</w:t>
        </w:r>
        <w:r w:rsidR="009434F3">
          <w:rPr>
            <w:webHidden/>
          </w:rPr>
          <w:fldChar w:fldCharType="end"/>
        </w:r>
      </w:hyperlink>
    </w:p>
    <w:p w14:paraId="6F603F19" w14:textId="588B52FE" w:rsidR="009434F3" w:rsidRDefault="00AE7E55">
      <w:pPr>
        <w:pStyle w:val="TOC3"/>
        <w:rPr>
          <w:rFonts w:eastAsiaTheme="minorEastAsia"/>
        </w:rPr>
      </w:pPr>
      <w:hyperlink w:anchor="_Toc460320439" w:history="1">
        <w:r w:rsidR="009434F3" w:rsidRPr="00DE14FD">
          <w:rPr>
            <w:rStyle w:val="Hyperlink"/>
            <w:rFonts w:ascii="Arial" w:hAnsi="Arial"/>
          </w:rPr>
          <w:t>10.2.4</w:t>
        </w:r>
        <w:r w:rsidR="009434F3">
          <w:rPr>
            <w:rFonts w:eastAsiaTheme="minorEastAsia"/>
          </w:rPr>
          <w:tab/>
        </w:r>
        <w:r w:rsidR="009434F3" w:rsidRPr="00DE14FD">
          <w:rPr>
            <w:rStyle w:val="Hyperlink"/>
          </w:rPr>
          <w:t>Withdrawal or Modification of Request</w:t>
        </w:r>
        <w:r w:rsidR="009434F3">
          <w:rPr>
            <w:webHidden/>
          </w:rPr>
          <w:tab/>
        </w:r>
        <w:r w:rsidR="009434F3">
          <w:rPr>
            <w:webHidden/>
          </w:rPr>
          <w:fldChar w:fldCharType="begin"/>
        </w:r>
        <w:r w:rsidR="009434F3">
          <w:rPr>
            <w:webHidden/>
          </w:rPr>
          <w:instrText xml:space="preserve"> PAGEREF _Toc460320439 \h </w:instrText>
        </w:r>
        <w:r w:rsidR="009434F3">
          <w:rPr>
            <w:webHidden/>
          </w:rPr>
        </w:r>
        <w:r w:rsidR="009434F3">
          <w:rPr>
            <w:webHidden/>
          </w:rPr>
          <w:fldChar w:fldCharType="separate"/>
        </w:r>
        <w:r w:rsidR="00476B3D">
          <w:rPr>
            <w:webHidden/>
          </w:rPr>
          <w:t>31</w:t>
        </w:r>
        <w:r w:rsidR="009434F3">
          <w:rPr>
            <w:webHidden/>
          </w:rPr>
          <w:fldChar w:fldCharType="end"/>
        </w:r>
      </w:hyperlink>
    </w:p>
    <w:p w14:paraId="5A618570" w14:textId="423B678F" w:rsidR="009434F3" w:rsidRDefault="00AE7E55">
      <w:pPr>
        <w:pStyle w:val="TOC3"/>
        <w:rPr>
          <w:rFonts w:eastAsiaTheme="minorEastAsia"/>
        </w:rPr>
      </w:pPr>
      <w:hyperlink w:anchor="_Toc460320440" w:history="1">
        <w:r w:rsidR="009434F3" w:rsidRPr="00DE14FD">
          <w:rPr>
            <w:rStyle w:val="Hyperlink"/>
            <w:rFonts w:ascii="Arial" w:hAnsi="Arial"/>
          </w:rPr>
          <w:t>10.2.5</w:t>
        </w:r>
        <w:r w:rsidR="009434F3">
          <w:rPr>
            <w:rFonts w:eastAsiaTheme="minorEastAsia"/>
          </w:rPr>
          <w:tab/>
        </w:r>
        <w:r w:rsidR="009434F3" w:rsidRPr="00DE14FD">
          <w:rPr>
            <w:rStyle w:val="Hyperlink"/>
          </w:rPr>
          <w:t>Changes to Planned Maintenance Outages</w:t>
        </w:r>
        <w:r w:rsidR="009434F3">
          <w:rPr>
            <w:webHidden/>
          </w:rPr>
          <w:tab/>
        </w:r>
        <w:r w:rsidR="009434F3">
          <w:rPr>
            <w:webHidden/>
          </w:rPr>
          <w:fldChar w:fldCharType="begin"/>
        </w:r>
        <w:r w:rsidR="009434F3">
          <w:rPr>
            <w:webHidden/>
          </w:rPr>
          <w:instrText xml:space="preserve"> PAGEREF _Toc460320440 \h </w:instrText>
        </w:r>
        <w:r w:rsidR="009434F3">
          <w:rPr>
            <w:webHidden/>
          </w:rPr>
        </w:r>
        <w:r w:rsidR="009434F3">
          <w:rPr>
            <w:webHidden/>
          </w:rPr>
          <w:fldChar w:fldCharType="separate"/>
        </w:r>
        <w:r w:rsidR="00476B3D">
          <w:rPr>
            <w:webHidden/>
          </w:rPr>
          <w:t>31</w:t>
        </w:r>
        <w:r w:rsidR="009434F3">
          <w:rPr>
            <w:webHidden/>
          </w:rPr>
          <w:fldChar w:fldCharType="end"/>
        </w:r>
      </w:hyperlink>
    </w:p>
    <w:p w14:paraId="6A49050F" w14:textId="189E850B" w:rsidR="009434F3" w:rsidRDefault="00AE7E55">
      <w:pPr>
        <w:pStyle w:val="TOC2"/>
        <w:rPr>
          <w:rFonts w:eastAsiaTheme="minorEastAsia"/>
          <w:b w:val="0"/>
        </w:rPr>
      </w:pPr>
      <w:hyperlink w:anchor="_Toc460320441" w:history="1">
        <w:r w:rsidR="009434F3" w:rsidRPr="00DE14FD">
          <w:rPr>
            <w:rStyle w:val="Hyperlink"/>
            <w:rFonts w:ascii="Arial" w:hAnsi="Arial"/>
          </w:rPr>
          <w:t>10.3</w:t>
        </w:r>
        <w:r w:rsidR="009434F3">
          <w:rPr>
            <w:rFonts w:eastAsiaTheme="minorEastAsia"/>
            <w:b w:val="0"/>
          </w:rPr>
          <w:tab/>
        </w:r>
        <w:r w:rsidR="009434F3" w:rsidRPr="00DE14FD">
          <w:rPr>
            <w:rStyle w:val="Hyperlink"/>
          </w:rPr>
          <w:t>Management of Forced Outages</w:t>
        </w:r>
        <w:r w:rsidR="009434F3">
          <w:rPr>
            <w:webHidden/>
          </w:rPr>
          <w:tab/>
        </w:r>
        <w:r w:rsidR="009434F3">
          <w:rPr>
            <w:webHidden/>
          </w:rPr>
          <w:fldChar w:fldCharType="begin"/>
        </w:r>
        <w:r w:rsidR="009434F3">
          <w:rPr>
            <w:webHidden/>
          </w:rPr>
          <w:instrText xml:space="preserve"> PAGEREF _Toc460320441 \h </w:instrText>
        </w:r>
        <w:r w:rsidR="009434F3">
          <w:rPr>
            <w:webHidden/>
          </w:rPr>
        </w:r>
        <w:r w:rsidR="009434F3">
          <w:rPr>
            <w:webHidden/>
          </w:rPr>
          <w:fldChar w:fldCharType="separate"/>
        </w:r>
        <w:r w:rsidR="00476B3D">
          <w:rPr>
            <w:webHidden/>
          </w:rPr>
          <w:t>31</w:t>
        </w:r>
        <w:r w:rsidR="009434F3">
          <w:rPr>
            <w:webHidden/>
          </w:rPr>
          <w:fldChar w:fldCharType="end"/>
        </w:r>
      </w:hyperlink>
    </w:p>
    <w:p w14:paraId="0E53F575" w14:textId="34379917" w:rsidR="009434F3" w:rsidRDefault="00AE7E55">
      <w:pPr>
        <w:pStyle w:val="TOC3"/>
        <w:rPr>
          <w:rFonts w:eastAsiaTheme="minorEastAsia"/>
        </w:rPr>
      </w:pPr>
      <w:hyperlink w:anchor="_Toc460320442" w:history="1">
        <w:r w:rsidR="009434F3" w:rsidRPr="00DE14FD">
          <w:rPr>
            <w:rStyle w:val="Hyperlink"/>
            <w:rFonts w:ascii="Arial" w:hAnsi="Arial"/>
          </w:rPr>
          <w:t>10.3.1</w:t>
        </w:r>
        <w:r w:rsidR="009434F3">
          <w:rPr>
            <w:rFonts w:eastAsiaTheme="minorEastAsia"/>
          </w:rPr>
          <w:tab/>
        </w:r>
        <w:r w:rsidR="009434F3" w:rsidRPr="00DE14FD">
          <w:rPr>
            <w:rStyle w:val="Hyperlink"/>
          </w:rPr>
          <w:t>Forced Outages</w:t>
        </w:r>
        <w:r w:rsidR="009434F3">
          <w:rPr>
            <w:webHidden/>
          </w:rPr>
          <w:tab/>
        </w:r>
        <w:r w:rsidR="009434F3">
          <w:rPr>
            <w:webHidden/>
          </w:rPr>
          <w:fldChar w:fldCharType="begin"/>
        </w:r>
        <w:r w:rsidR="009434F3">
          <w:rPr>
            <w:webHidden/>
          </w:rPr>
          <w:instrText xml:space="preserve"> PAGEREF _Toc460320442 \h </w:instrText>
        </w:r>
        <w:r w:rsidR="009434F3">
          <w:rPr>
            <w:webHidden/>
          </w:rPr>
        </w:r>
        <w:r w:rsidR="009434F3">
          <w:rPr>
            <w:webHidden/>
          </w:rPr>
          <w:fldChar w:fldCharType="separate"/>
        </w:r>
        <w:r w:rsidR="00476B3D">
          <w:rPr>
            <w:webHidden/>
          </w:rPr>
          <w:t>31</w:t>
        </w:r>
        <w:r w:rsidR="009434F3">
          <w:rPr>
            <w:webHidden/>
          </w:rPr>
          <w:fldChar w:fldCharType="end"/>
        </w:r>
      </w:hyperlink>
    </w:p>
    <w:p w14:paraId="45FC3749" w14:textId="796FF116" w:rsidR="009434F3" w:rsidRDefault="00AE7E55">
      <w:pPr>
        <w:pStyle w:val="TOC3"/>
        <w:rPr>
          <w:rFonts w:eastAsiaTheme="minorEastAsia"/>
        </w:rPr>
      </w:pPr>
      <w:hyperlink w:anchor="_Toc460320443" w:history="1">
        <w:r w:rsidR="009434F3" w:rsidRPr="00DE14FD">
          <w:rPr>
            <w:rStyle w:val="Hyperlink"/>
            <w:rFonts w:ascii="Arial" w:hAnsi="Arial"/>
          </w:rPr>
          <w:t>10.3.2</w:t>
        </w:r>
        <w:r w:rsidR="009434F3">
          <w:rPr>
            <w:rFonts w:eastAsiaTheme="minorEastAsia"/>
          </w:rPr>
          <w:tab/>
        </w:r>
        <w:r w:rsidR="009434F3" w:rsidRPr="00DE14FD">
          <w:rPr>
            <w:rStyle w:val="Hyperlink"/>
          </w:rPr>
          <w:t>Extended Scheduled Outage</w:t>
        </w:r>
        <w:r w:rsidR="009434F3">
          <w:rPr>
            <w:webHidden/>
          </w:rPr>
          <w:tab/>
        </w:r>
        <w:r w:rsidR="009434F3">
          <w:rPr>
            <w:webHidden/>
          </w:rPr>
          <w:fldChar w:fldCharType="begin"/>
        </w:r>
        <w:r w:rsidR="009434F3">
          <w:rPr>
            <w:webHidden/>
          </w:rPr>
          <w:instrText xml:space="preserve"> PAGEREF _Toc460320443 \h </w:instrText>
        </w:r>
        <w:r w:rsidR="009434F3">
          <w:rPr>
            <w:webHidden/>
          </w:rPr>
        </w:r>
        <w:r w:rsidR="009434F3">
          <w:rPr>
            <w:webHidden/>
          </w:rPr>
          <w:fldChar w:fldCharType="separate"/>
        </w:r>
        <w:r w:rsidR="00476B3D">
          <w:rPr>
            <w:webHidden/>
          </w:rPr>
          <w:t>32</w:t>
        </w:r>
        <w:r w:rsidR="009434F3">
          <w:rPr>
            <w:webHidden/>
          </w:rPr>
          <w:fldChar w:fldCharType="end"/>
        </w:r>
      </w:hyperlink>
    </w:p>
    <w:p w14:paraId="77E1C4AE" w14:textId="24B34BAC" w:rsidR="009434F3" w:rsidRDefault="00AE7E55">
      <w:pPr>
        <w:pStyle w:val="TOC2"/>
        <w:rPr>
          <w:rFonts w:eastAsiaTheme="minorEastAsia"/>
          <w:b w:val="0"/>
        </w:rPr>
      </w:pPr>
      <w:hyperlink w:anchor="_Toc460320444" w:history="1">
        <w:r w:rsidR="009434F3" w:rsidRPr="00DE14FD">
          <w:rPr>
            <w:rStyle w:val="Hyperlink"/>
            <w:rFonts w:ascii="Arial" w:hAnsi="Arial"/>
          </w:rPr>
          <w:t>10.4</w:t>
        </w:r>
        <w:r w:rsidR="009434F3">
          <w:rPr>
            <w:rFonts w:eastAsiaTheme="minorEastAsia"/>
            <w:b w:val="0"/>
          </w:rPr>
          <w:tab/>
        </w:r>
        <w:r w:rsidR="009434F3" w:rsidRPr="00DE14FD">
          <w:rPr>
            <w:rStyle w:val="Hyperlink"/>
          </w:rPr>
          <w:t>Communication of Maintenance Outage Information</w:t>
        </w:r>
        <w:r w:rsidR="009434F3">
          <w:rPr>
            <w:webHidden/>
          </w:rPr>
          <w:tab/>
        </w:r>
        <w:r w:rsidR="009434F3">
          <w:rPr>
            <w:webHidden/>
          </w:rPr>
          <w:fldChar w:fldCharType="begin"/>
        </w:r>
        <w:r w:rsidR="009434F3">
          <w:rPr>
            <w:webHidden/>
          </w:rPr>
          <w:instrText xml:space="preserve"> PAGEREF _Toc460320444 \h </w:instrText>
        </w:r>
        <w:r w:rsidR="009434F3">
          <w:rPr>
            <w:webHidden/>
          </w:rPr>
        </w:r>
        <w:r w:rsidR="009434F3">
          <w:rPr>
            <w:webHidden/>
          </w:rPr>
          <w:fldChar w:fldCharType="separate"/>
        </w:r>
        <w:r w:rsidR="00476B3D">
          <w:rPr>
            <w:webHidden/>
          </w:rPr>
          <w:t>32</w:t>
        </w:r>
        <w:r w:rsidR="009434F3">
          <w:rPr>
            <w:webHidden/>
          </w:rPr>
          <w:fldChar w:fldCharType="end"/>
        </w:r>
      </w:hyperlink>
    </w:p>
    <w:p w14:paraId="2B434D42" w14:textId="0DC84F02" w:rsidR="009434F3" w:rsidRDefault="00AE7E55">
      <w:pPr>
        <w:pStyle w:val="TOC3"/>
        <w:rPr>
          <w:rFonts w:eastAsiaTheme="minorEastAsia"/>
        </w:rPr>
      </w:pPr>
      <w:hyperlink w:anchor="_Toc460320445" w:history="1">
        <w:r w:rsidR="009434F3" w:rsidRPr="00DE14FD">
          <w:rPr>
            <w:rStyle w:val="Hyperlink"/>
            <w:rFonts w:ascii="Arial" w:hAnsi="Arial"/>
          </w:rPr>
          <w:t>10.4.1</w:t>
        </w:r>
        <w:r w:rsidR="009434F3">
          <w:rPr>
            <w:rFonts w:eastAsiaTheme="minorEastAsia"/>
          </w:rPr>
          <w:tab/>
        </w:r>
        <w:r w:rsidR="009434F3" w:rsidRPr="00DE14FD">
          <w:rPr>
            <w:rStyle w:val="Hyperlink"/>
          </w:rPr>
          <w:t>Single Point of Contact</w:t>
        </w:r>
        <w:r w:rsidR="009434F3">
          <w:rPr>
            <w:webHidden/>
          </w:rPr>
          <w:tab/>
        </w:r>
        <w:r w:rsidR="009434F3">
          <w:rPr>
            <w:webHidden/>
          </w:rPr>
          <w:fldChar w:fldCharType="begin"/>
        </w:r>
        <w:r w:rsidR="009434F3">
          <w:rPr>
            <w:webHidden/>
          </w:rPr>
          <w:instrText xml:space="preserve"> PAGEREF _Toc460320445 \h </w:instrText>
        </w:r>
        <w:r w:rsidR="009434F3">
          <w:rPr>
            <w:webHidden/>
          </w:rPr>
        </w:r>
        <w:r w:rsidR="009434F3">
          <w:rPr>
            <w:webHidden/>
          </w:rPr>
          <w:fldChar w:fldCharType="separate"/>
        </w:r>
        <w:r w:rsidR="00476B3D">
          <w:rPr>
            <w:webHidden/>
          </w:rPr>
          <w:t>32</w:t>
        </w:r>
        <w:r w:rsidR="009434F3">
          <w:rPr>
            <w:webHidden/>
          </w:rPr>
          <w:fldChar w:fldCharType="end"/>
        </w:r>
      </w:hyperlink>
    </w:p>
    <w:p w14:paraId="4FF7B52B" w14:textId="3ED4C67E" w:rsidR="009434F3" w:rsidRDefault="00AE7E55">
      <w:pPr>
        <w:pStyle w:val="TOC2"/>
        <w:rPr>
          <w:rFonts w:eastAsiaTheme="minorEastAsia"/>
          <w:b w:val="0"/>
        </w:rPr>
      </w:pPr>
      <w:hyperlink w:anchor="_Toc460320446" w:history="1">
        <w:r w:rsidR="009434F3" w:rsidRPr="00DE14FD">
          <w:rPr>
            <w:rStyle w:val="Hyperlink"/>
            <w:rFonts w:ascii="Arial" w:hAnsi="Arial"/>
          </w:rPr>
          <w:t>10.5</w:t>
        </w:r>
        <w:r w:rsidR="009434F3">
          <w:rPr>
            <w:rFonts w:eastAsiaTheme="minorEastAsia"/>
            <w:b w:val="0"/>
          </w:rPr>
          <w:tab/>
        </w:r>
        <w:r w:rsidR="009434F3" w:rsidRPr="00DE14FD">
          <w:rPr>
            <w:rStyle w:val="Hyperlink"/>
          </w:rPr>
          <w:t>Records and Reports</w:t>
        </w:r>
        <w:r w:rsidR="009434F3">
          <w:rPr>
            <w:webHidden/>
          </w:rPr>
          <w:tab/>
        </w:r>
        <w:r w:rsidR="009434F3">
          <w:rPr>
            <w:webHidden/>
          </w:rPr>
          <w:fldChar w:fldCharType="begin"/>
        </w:r>
        <w:r w:rsidR="009434F3">
          <w:rPr>
            <w:webHidden/>
          </w:rPr>
          <w:instrText xml:space="preserve"> PAGEREF _Toc460320446 \h </w:instrText>
        </w:r>
        <w:r w:rsidR="009434F3">
          <w:rPr>
            <w:webHidden/>
          </w:rPr>
        </w:r>
        <w:r w:rsidR="009434F3">
          <w:rPr>
            <w:webHidden/>
          </w:rPr>
          <w:fldChar w:fldCharType="separate"/>
        </w:r>
        <w:r w:rsidR="00476B3D">
          <w:rPr>
            <w:webHidden/>
          </w:rPr>
          <w:t>34</w:t>
        </w:r>
        <w:r w:rsidR="009434F3">
          <w:rPr>
            <w:webHidden/>
          </w:rPr>
          <w:fldChar w:fldCharType="end"/>
        </w:r>
      </w:hyperlink>
    </w:p>
    <w:p w14:paraId="6CEE0471" w14:textId="417DA540" w:rsidR="009434F3" w:rsidRDefault="00AE7E55">
      <w:pPr>
        <w:pStyle w:val="TOC3"/>
        <w:rPr>
          <w:rFonts w:eastAsiaTheme="minorEastAsia"/>
        </w:rPr>
      </w:pPr>
      <w:hyperlink w:anchor="_Toc460320447" w:history="1">
        <w:r w:rsidR="009434F3" w:rsidRPr="00DE14FD">
          <w:rPr>
            <w:rStyle w:val="Hyperlink"/>
            <w:rFonts w:ascii="Arial" w:hAnsi="Arial"/>
          </w:rPr>
          <w:t>10.5.1</w:t>
        </w:r>
        <w:r w:rsidR="009434F3">
          <w:rPr>
            <w:rFonts w:eastAsiaTheme="minorEastAsia"/>
          </w:rPr>
          <w:tab/>
        </w:r>
        <w:r w:rsidR="009434F3" w:rsidRPr="00DE14FD">
          <w:rPr>
            <w:rStyle w:val="Hyperlink"/>
          </w:rPr>
          <w:t>Records of Approved Maintenance Outages</w:t>
        </w:r>
        <w:r w:rsidR="009434F3">
          <w:rPr>
            <w:webHidden/>
          </w:rPr>
          <w:tab/>
        </w:r>
        <w:r w:rsidR="009434F3">
          <w:rPr>
            <w:webHidden/>
          </w:rPr>
          <w:fldChar w:fldCharType="begin"/>
        </w:r>
        <w:r w:rsidR="009434F3">
          <w:rPr>
            <w:webHidden/>
          </w:rPr>
          <w:instrText xml:space="preserve"> PAGEREF _Toc460320447 \h </w:instrText>
        </w:r>
        <w:r w:rsidR="009434F3">
          <w:rPr>
            <w:webHidden/>
          </w:rPr>
        </w:r>
        <w:r w:rsidR="009434F3">
          <w:rPr>
            <w:webHidden/>
          </w:rPr>
          <w:fldChar w:fldCharType="separate"/>
        </w:r>
        <w:r w:rsidR="00476B3D">
          <w:rPr>
            <w:webHidden/>
          </w:rPr>
          <w:t>34</w:t>
        </w:r>
        <w:r w:rsidR="009434F3">
          <w:rPr>
            <w:webHidden/>
          </w:rPr>
          <w:fldChar w:fldCharType="end"/>
        </w:r>
      </w:hyperlink>
    </w:p>
    <w:p w14:paraId="022D4A62" w14:textId="55216591" w:rsidR="009434F3" w:rsidRDefault="00AE7E55">
      <w:pPr>
        <w:pStyle w:val="TOC1"/>
        <w:rPr>
          <w:rFonts w:eastAsiaTheme="minorEastAsia" w:cstheme="minorBidi"/>
          <w:b w:val="0"/>
        </w:rPr>
      </w:pPr>
      <w:hyperlink w:anchor="_Toc460320448" w:history="1">
        <w:r w:rsidR="009434F3" w:rsidRPr="00DE14FD">
          <w:rPr>
            <w:rStyle w:val="Hyperlink"/>
            <w:rFonts w:ascii="Arial" w:hAnsi="Arial"/>
          </w:rPr>
          <w:t>11.</w:t>
        </w:r>
        <w:r w:rsidR="009434F3">
          <w:rPr>
            <w:rFonts w:eastAsiaTheme="minorEastAsia" w:cstheme="minorBidi"/>
            <w:b w:val="0"/>
          </w:rPr>
          <w:tab/>
        </w:r>
        <w:r w:rsidR="009434F3" w:rsidRPr="00DE14FD">
          <w:rPr>
            <w:rStyle w:val="Hyperlink"/>
          </w:rPr>
          <w:t>MARKET OPERATIONS</w:t>
        </w:r>
        <w:r w:rsidR="009434F3">
          <w:rPr>
            <w:webHidden/>
          </w:rPr>
          <w:tab/>
        </w:r>
        <w:r w:rsidR="009434F3">
          <w:rPr>
            <w:webHidden/>
          </w:rPr>
          <w:fldChar w:fldCharType="begin"/>
        </w:r>
        <w:r w:rsidR="009434F3">
          <w:rPr>
            <w:webHidden/>
          </w:rPr>
          <w:instrText xml:space="preserve"> PAGEREF _Toc460320448 \h </w:instrText>
        </w:r>
        <w:r w:rsidR="009434F3">
          <w:rPr>
            <w:webHidden/>
          </w:rPr>
        </w:r>
        <w:r w:rsidR="009434F3">
          <w:rPr>
            <w:webHidden/>
          </w:rPr>
          <w:fldChar w:fldCharType="separate"/>
        </w:r>
        <w:r w:rsidR="00476B3D">
          <w:rPr>
            <w:webHidden/>
          </w:rPr>
          <w:t>34</w:t>
        </w:r>
        <w:r w:rsidR="009434F3">
          <w:rPr>
            <w:webHidden/>
          </w:rPr>
          <w:fldChar w:fldCharType="end"/>
        </w:r>
      </w:hyperlink>
    </w:p>
    <w:p w14:paraId="1E8B314C" w14:textId="640748AD" w:rsidR="009434F3" w:rsidRDefault="00AE7E55">
      <w:pPr>
        <w:pStyle w:val="TOC2"/>
        <w:rPr>
          <w:rFonts w:eastAsiaTheme="minorEastAsia"/>
          <w:b w:val="0"/>
        </w:rPr>
      </w:pPr>
      <w:hyperlink w:anchor="_Toc460320449" w:history="1">
        <w:r w:rsidR="009434F3" w:rsidRPr="00DE14FD">
          <w:rPr>
            <w:rStyle w:val="Hyperlink"/>
            <w:rFonts w:ascii="Arial" w:hAnsi="Arial"/>
          </w:rPr>
          <w:t>11.1</w:t>
        </w:r>
        <w:r w:rsidR="009434F3">
          <w:rPr>
            <w:rFonts w:eastAsiaTheme="minorEastAsia"/>
            <w:b w:val="0"/>
          </w:rPr>
          <w:tab/>
        </w:r>
        <w:r w:rsidR="009434F3" w:rsidRPr="00DE14FD">
          <w:rPr>
            <w:rStyle w:val="Hyperlink"/>
          </w:rPr>
          <w:t>About the Market</w:t>
        </w:r>
        <w:r w:rsidR="009434F3">
          <w:rPr>
            <w:webHidden/>
          </w:rPr>
          <w:tab/>
        </w:r>
        <w:r w:rsidR="009434F3">
          <w:rPr>
            <w:webHidden/>
          </w:rPr>
          <w:fldChar w:fldCharType="begin"/>
        </w:r>
        <w:r w:rsidR="009434F3">
          <w:rPr>
            <w:webHidden/>
          </w:rPr>
          <w:instrText xml:space="preserve"> PAGEREF _Toc460320449 \h </w:instrText>
        </w:r>
        <w:r w:rsidR="009434F3">
          <w:rPr>
            <w:webHidden/>
          </w:rPr>
        </w:r>
        <w:r w:rsidR="009434F3">
          <w:rPr>
            <w:webHidden/>
          </w:rPr>
          <w:fldChar w:fldCharType="separate"/>
        </w:r>
        <w:r w:rsidR="00476B3D">
          <w:rPr>
            <w:webHidden/>
          </w:rPr>
          <w:t>35</w:t>
        </w:r>
        <w:r w:rsidR="009434F3">
          <w:rPr>
            <w:webHidden/>
          </w:rPr>
          <w:fldChar w:fldCharType="end"/>
        </w:r>
      </w:hyperlink>
    </w:p>
    <w:p w14:paraId="5CEF0415" w14:textId="3E45E9B1" w:rsidR="009434F3" w:rsidRDefault="00AE7E55">
      <w:pPr>
        <w:pStyle w:val="TOC3"/>
        <w:rPr>
          <w:rFonts w:eastAsiaTheme="minorEastAsia"/>
        </w:rPr>
      </w:pPr>
      <w:hyperlink w:anchor="_Toc460320450" w:history="1">
        <w:r w:rsidR="009434F3" w:rsidRPr="00DE14FD">
          <w:rPr>
            <w:rStyle w:val="Hyperlink"/>
            <w:rFonts w:ascii="Arial" w:eastAsia="Calibri" w:hAnsi="Arial"/>
          </w:rPr>
          <w:t>11.1.1</w:t>
        </w:r>
        <w:r w:rsidR="009434F3">
          <w:rPr>
            <w:rFonts w:eastAsiaTheme="minorEastAsia"/>
          </w:rPr>
          <w:tab/>
        </w:r>
        <w:r w:rsidR="009434F3" w:rsidRPr="00DE14FD">
          <w:rPr>
            <w:rStyle w:val="Hyperlink"/>
            <w:rFonts w:eastAsia="Calibri"/>
          </w:rPr>
          <w:t>Ancillary Services</w:t>
        </w:r>
        <w:r w:rsidR="009434F3">
          <w:rPr>
            <w:webHidden/>
          </w:rPr>
          <w:tab/>
        </w:r>
        <w:r w:rsidR="009434F3">
          <w:rPr>
            <w:webHidden/>
          </w:rPr>
          <w:fldChar w:fldCharType="begin"/>
        </w:r>
        <w:r w:rsidR="009434F3">
          <w:rPr>
            <w:webHidden/>
          </w:rPr>
          <w:instrText xml:space="preserve"> PAGEREF _Toc460320450 \h </w:instrText>
        </w:r>
        <w:r w:rsidR="009434F3">
          <w:rPr>
            <w:webHidden/>
          </w:rPr>
        </w:r>
        <w:r w:rsidR="009434F3">
          <w:rPr>
            <w:webHidden/>
          </w:rPr>
          <w:fldChar w:fldCharType="separate"/>
        </w:r>
        <w:r w:rsidR="00476B3D">
          <w:rPr>
            <w:webHidden/>
          </w:rPr>
          <w:t>35</w:t>
        </w:r>
        <w:r w:rsidR="009434F3">
          <w:rPr>
            <w:webHidden/>
          </w:rPr>
          <w:fldChar w:fldCharType="end"/>
        </w:r>
      </w:hyperlink>
    </w:p>
    <w:p w14:paraId="587C7172" w14:textId="368C5C36" w:rsidR="009434F3" w:rsidRDefault="00AE7E55">
      <w:pPr>
        <w:pStyle w:val="TOC3"/>
        <w:rPr>
          <w:rFonts w:eastAsiaTheme="minorEastAsia"/>
        </w:rPr>
      </w:pPr>
      <w:hyperlink w:anchor="_Toc460320451" w:history="1">
        <w:r w:rsidR="009434F3" w:rsidRPr="00DE14FD">
          <w:rPr>
            <w:rStyle w:val="Hyperlink"/>
            <w:rFonts w:ascii="Arial" w:eastAsia="Calibri" w:hAnsi="Arial"/>
          </w:rPr>
          <w:t>11.1.2</w:t>
        </w:r>
        <w:r w:rsidR="009434F3">
          <w:rPr>
            <w:rFonts w:eastAsiaTheme="minorEastAsia"/>
          </w:rPr>
          <w:tab/>
        </w:r>
        <w:r w:rsidR="009434F3" w:rsidRPr="00DE14FD">
          <w:rPr>
            <w:rStyle w:val="Hyperlink"/>
            <w:rFonts w:eastAsia="Calibri"/>
          </w:rPr>
          <w:t>Interties Between BAAs</w:t>
        </w:r>
        <w:r w:rsidR="009434F3">
          <w:rPr>
            <w:webHidden/>
          </w:rPr>
          <w:tab/>
        </w:r>
        <w:r w:rsidR="009434F3">
          <w:rPr>
            <w:webHidden/>
          </w:rPr>
          <w:fldChar w:fldCharType="begin"/>
        </w:r>
        <w:r w:rsidR="009434F3">
          <w:rPr>
            <w:webHidden/>
          </w:rPr>
          <w:instrText xml:space="preserve"> PAGEREF _Toc460320451 \h </w:instrText>
        </w:r>
        <w:r w:rsidR="009434F3">
          <w:rPr>
            <w:webHidden/>
          </w:rPr>
        </w:r>
        <w:r w:rsidR="009434F3">
          <w:rPr>
            <w:webHidden/>
          </w:rPr>
          <w:fldChar w:fldCharType="separate"/>
        </w:r>
        <w:r w:rsidR="00476B3D">
          <w:rPr>
            <w:webHidden/>
          </w:rPr>
          <w:t>35</w:t>
        </w:r>
        <w:r w:rsidR="009434F3">
          <w:rPr>
            <w:webHidden/>
          </w:rPr>
          <w:fldChar w:fldCharType="end"/>
        </w:r>
      </w:hyperlink>
    </w:p>
    <w:p w14:paraId="3918F7C2" w14:textId="444DBC16" w:rsidR="009434F3" w:rsidRDefault="00AE7E55">
      <w:pPr>
        <w:pStyle w:val="TOC3"/>
        <w:rPr>
          <w:rFonts w:eastAsiaTheme="minorEastAsia"/>
        </w:rPr>
      </w:pPr>
      <w:hyperlink w:anchor="_Toc460320452" w:history="1">
        <w:r w:rsidR="009434F3" w:rsidRPr="00DE14FD">
          <w:rPr>
            <w:rStyle w:val="Hyperlink"/>
            <w:rFonts w:ascii="Arial" w:eastAsia="Calibri" w:hAnsi="Arial"/>
          </w:rPr>
          <w:t>11.1.3</w:t>
        </w:r>
        <w:r w:rsidR="009434F3">
          <w:rPr>
            <w:rFonts w:eastAsiaTheme="minorEastAsia"/>
          </w:rPr>
          <w:tab/>
        </w:r>
        <w:r w:rsidR="009434F3" w:rsidRPr="00DE14FD">
          <w:rPr>
            <w:rStyle w:val="Hyperlink"/>
            <w:rFonts w:eastAsia="Calibri"/>
          </w:rPr>
          <w:t>EIM Transmission Services Information</w:t>
        </w:r>
        <w:r w:rsidR="009434F3">
          <w:rPr>
            <w:webHidden/>
          </w:rPr>
          <w:tab/>
        </w:r>
        <w:r w:rsidR="009434F3">
          <w:rPr>
            <w:webHidden/>
          </w:rPr>
          <w:fldChar w:fldCharType="begin"/>
        </w:r>
        <w:r w:rsidR="009434F3">
          <w:rPr>
            <w:webHidden/>
          </w:rPr>
          <w:instrText xml:space="preserve"> PAGEREF _Toc460320452 \h </w:instrText>
        </w:r>
        <w:r w:rsidR="009434F3">
          <w:rPr>
            <w:webHidden/>
          </w:rPr>
        </w:r>
        <w:r w:rsidR="009434F3">
          <w:rPr>
            <w:webHidden/>
          </w:rPr>
          <w:fldChar w:fldCharType="separate"/>
        </w:r>
        <w:r w:rsidR="00476B3D">
          <w:rPr>
            <w:webHidden/>
          </w:rPr>
          <w:t>36</w:t>
        </w:r>
        <w:r w:rsidR="009434F3">
          <w:rPr>
            <w:webHidden/>
          </w:rPr>
          <w:fldChar w:fldCharType="end"/>
        </w:r>
      </w:hyperlink>
    </w:p>
    <w:p w14:paraId="0DE5A30C" w14:textId="33936BDC" w:rsidR="009434F3" w:rsidRDefault="00AE7E55">
      <w:pPr>
        <w:pStyle w:val="TOC3"/>
        <w:rPr>
          <w:rFonts w:eastAsiaTheme="minorEastAsia"/>
        </w:rPr>
      </w:pPr>
      <w:hyperlink w:anchor="_Toc460320453" w:history="1">
        <w:r w:rsidR="009434F3" w:rsidRPr="00DE14FD">
          <w:rPr>
            <w:rStyle w:val="Hyperlink"/>
            <w:rFonts w:ascii="Arial" w:eastAsia="Calibri" w:hAnsi="Arial"/>
          </w:rPr>
          <w:t>11.1.4</w:t>
        </w:r>
        <w:r w:rsidR="009434F3">
          <w:rPr>
            <w:rFonts w:eastAsiaTheme="minorEastAsia"/>
          </w:rPr>
          <w:tab/>
        </w:r>
        <w:r w:rsidR="009434F3" w:rsidRPr="00DE14FD">
          <w:rPr>
            <w:rStyle w:val="Hyperlink"/>
            <w:rFonts w:eastAsia="Calibri"/>
          </w:rPr>
          <w:t>Maximum EIM Transfer Limits</w:t>
        </w:r>
        <w:r w:rsidR="009434F3">
          <w:rPr>
            <w:webHidden/>
          </w:rPr>
          <w:tab/>
        </w:r>
        <w:r w:rsidR="009434F3">
          <w:rPr>
            <w:webHidden/>
          </w:rPr>
          <w:fldChar w:fldCharType="begin"/>
        </w:r>
        <w:r w:rsidR="009434F3">
          <w:rPr>
            <w:webHidden/>
          </w:rPr>
          <w:instrText xml:space="preserve"> PAGEREF _Toc460320453 \h </w:instrText>
        </w:r>
        <w:r w:rsidR="009434F3">
          <w:rPr>
            <w:webHidden/>
          </w:rPr>
        </w:r>
        <w:r w:rsidR="009434F3">
          <w:rPr>
            <w:webHidden/>
          </w:rPr>
          <w:fldChar w:fldCharType="separate"/>
        </w:r>
        <w:r w:rsidR="00476B3D">
          <w:rPr>
            <w:webHidden/>
          </w:rPr>
          <w:t>36</w:t>
        </w:r>
        <w:r w:rsidR="009434F3">
          <w:rPr>
            <w:webHidden/>
          </w:rPr>
          <w:fldChar w:fldCharType="end"/>
        </w:r>
      </w:hyperlink>
    </w:p>
    <w:p w14:paraId="3DACC778" w14:textId="6FB3DC1E" w:rsidR="009434F3" w:rsidRDefault="00AE7E55">
      <w:pPr>
        <w:pStyle w:val="TOC3"/>
        <w:rPr>
          <w:rFonts w:eastAsiaTheme="minorEastAsia"/>
        </w:rPr>
      </w:pPr>
      <w:hyperlink w:anchor="_Toc460320454" w:history="1">
        <w:r w:rsidR="009434F3" w:rsidRPr="00DE14FD">
          <w:rPr>
            <w:rStyle w:val="Hyperlink"/>
            <w:rFonts w:ascii="Arial" w:eastAsia="Calibri" w:hAnsi="Arial"/>
          </w:rPr>
          <w:t>11.1.5</w:t>
        </w:r>
        <w:r w:rsidR="009434F3">
          <w:rPr>
            <w:rFonts w:eastAsiaTheme="minorEastAsia"/>
          </w:rPr>
          <w:tab/>
        </w:r>
        <w:r w:rsidR="009434F3" w:rsidRPr="00DE14FD">
          <w:rPr>
            <w:rStyle w:val="Hyperlink"/>
            <w:rFonts w:eastAsia="Calibri"/>
          </w:rPr>
          <w:t>Energy Transfer Scheduling in Energy Imbalance Market</w:t>
        </w:r>
        <w:r w:rsidR="009434F3">
          <w:rPr>
            <w:webHidden/>
          </w:rPr>
          <w:tab/>
        </w:r>
        <w:r w:rsidR="009434F3">
          <w:rPr>
            <w:webHidden/>
          </w:rPr>
          <w:fldChar w:fldCharType="begin"/>
        </w:r>
        <w:r w:rsidR="009434F3">
          <w:rPr>
            <w:webHidden/>
          </w:rPr>
          <w:instrText xml:space="preserve"> PAGEREF _Toc460320454 \h </w:instrText>
        </w:r>
        <w:r w:rsidR="009434F3">
          <w:rPr>
            <w:webHidden/>
          </w:rPr>
        </w:r>
        <w:r w:rsidR="009434F3">
          <w:rPr>
            <w:webHidden/>
          </w:rPr>
          <w:fldChar w:fldCharType="separate"/>
        </w:r>
        <w:r w:rsidR="00476B3D">
          <w:rPr>
            <w:webHidden/>
          </w:rPr>
          <w:t>37</w:t>
        </w:r>
        <w:r w:rsidR="009434F3">
          <w:rPr>
            <w:webHidden/>
          </w:rPr>
          <w:fldChar w:fldCharType="end"/>
        </w:r>
      </w:hyperlink>
    </w:p>
    <w:p w14:paraId="286D24B5" w14:textId="3B7B3895" w:rsidR="009434F3" w:rsidRDefault="00AE7E55">
      <w:pPr>
        <w:pStyle w:val="TOC3"/>
        <w:rPr>
          <w:rFonts w:eastAsiaTheme="minorEastAsia"/>
        </w:rPr>
      </w:pPr>
      <w:hyperlink w:anchor="_Toc460320455" w:history="1">
        <w:r w:rsidR="009434F3" w:rsidRPr="00DE14FD">
          <w:rPr>
            <w:rStyle w:val="Hyperlink"/>
            <w:rFonts w:ascii="Arial" w:eastAsia="Calibri" w:hAnsi="Arial"/>
          </w:rPr>
          <w:t>11.1.6</w:t>
        </w:r>
        <w:r w:rsidR="009434F3">
          <w:rPr>
            <w:rFonts w:eastAsiaTheme="minorEastAsia"/>
          </w:rPr>
          <w:tab/>
        </w:r>
        <w:r w:rsidR="009434F3" w:rsidRPr="00DE14FD">
          <w:rPr>
            <w:rStyle w:val="Hyperlink"/>
            <w:rFonts w:eastAsia="Calibri"/>
          </w:rPr>
          <w:t>Entitlement Constraints for Rate of Changes</w:t>
        </w:r>
        <w:r w:rsidR="009434F3">
          <w:rPr>
            <w:webHidden/>
          </w:rPr>
          <w:tab/>
        </w:r>
        <w:r w:rsidR="009434F3">
          <w:rPr>
            <w:webHidden/>
          </w:rPr>
          <w:fldChar w:fldCharType="begin"/>
        </w:r>
        <w:r w:rsidR="009434F3">
          <w:rPr>
            <w:webHidden/>
          </w:rPr>
          <w:instrText xml:space="preserve"> PAGEREF _Toc460320455 \h </w:instrText>
        </w:r>
        <w:r w:rsidR="009434F3">
          <w:rPr>
            <w:webHidden/>
          </w:rPr>
        </w:r>
        <w:r w:rsidR="009434F3">
          <w:rPr>
            <w:webHidden/>
          </w:rPr>
          <w:fldChar w:fldCharType="separate"/>
        </w:r>
        <w:r w:rsidR="00476B3D">
          <w:rPr>
            <w:webHidden/>
          </w:rPr>
          <w:t>39</w:t>
        </w:r>
        <w:r w:rsidR="009434F3">
          <w:rPr>
            <w:webHidden/>
          </w:rPr>
          <w:fldChar w:fldCharType="end"/>
        </w:r>
      </w:hyperlink>
    </w:p>
    <w:p w14:paraId="7E25EC9F" w14:textId="6685A3BE" w:rsidR="009434F3" w:rsidRDefault="00AE7E55">
      <w:pPr>
        <w:pStyle w:val="TOC3"/>
        <w:rPr>
          <w:rFonts w:eastAsiaTheme="minorEastAsia"/>
        </w:rPr>
      </w:pPr>
      <w:hyperlink w:anchor="_Toc460320456" w:history="1">
        <w:r w:rsidR="009434F3" w:rsidRPr="00DE14FD">
          <w:rPr>
            <w:rStyle w:val="Hyperlink"/>
            <w:rFonts w:ascii="Arial" w:hAnsi="Arial"/>
          </w:rPr>
          <w:t>11.1.7</w:t>
        </w:r>
        <w:r w:rsidR="009434F3">
          <w:rPr>
            <w:rFonts w:eastAsiaTheme="minorEastAsia"/>
          </w:rPr>
          <w:tab/>
        </w:r>
        <w:r w:rsidR="009434F3" w:rsidRPr="00DE14FD">
          <w:rPr>
            <w:rStyle w:val="Hyperlink"/>
          </w:rPr>
          <w:t>Constraint Relaxation</w:t>
        </w:r>
        <w:r w:rsidR="009434F3">
          <w:rPr>
            <w:webHidden/>
          </w:rPr>
          <w:tab/>
        </w:r>
        <w:r w:rsidR="009434F3">
          <w:rPr>
            <w:webHidden/>
          </w:rPr>
          <w:fldChar w:fldCharType="begin"/>
        </w:r>
        <w:r w:rsidR="009434F3">
          <w:rPr>
            <w:webHidden/>
          </w:rPr>
          <w:instrText xml:space="preserve"> PAGEREF _Toc460320456 \h </w:instrText>
        </w:r>
        <w:r w:rsidR="009434F3">
          <w:rPr>
            <w:webHidden/>
          </w:rPr>
        </w:r>
        <w:r w:rsidR="009434F3">
          <w:rPr>
            <w:webHidden/>
          </w:rPr>
          <w:fldChar w:fldCharType="separate"/>
        </w:r>
        <w:r w:rsidR="00476B3D">
          <w:rPr>
            <w:webHidden/>
          </w:rPr>
          <w:t>40</w:t>
        </w:r>
        <w:r w:rsidR="009434F3">
          <w:rPr>
            <w:webHidden/>
          </w:rPr>
          <w:fldChar w:fldCharType="end"/>
        </w:r>
      </w:hyperlink>
    </w:p>
    <w:p w14:paraId="0FF38ACC" w14:textId="5440816C" w:rsidR="009434F3" w:rsidRDefault="00AE7E55">
      <w:pPr>
        <w:pStyle w:val="TOC3"/>
        <w:rPr>
          <w:rFonts w:eastAsiaTheme="minorEastAsia"/>
        </w:rPr>
      </w:pPr>
      <w:hyperlink w:anchor="_Toc460320457" w:history="1">
        <w:r w:rsidR="009434F3" w:rsidRPr="00DE14FD">
          <w:rPr>
            <w:rStyle w:val="Hyperlink"/>
            <w:rFonts w:ascii="Arial" w:hAnsi="Arial"/>
          </w:rPr>
          <w:t>11.1.8</w:t>
        </w:r>
        <w:r w:rsidR="009434F3">
          <w:rPr>
            <w:rFonts w:eastAsiaTheme="minorEastAsia"/>
          </w:rPr>
          <w:tab/>
        </w:r>
        <w:r w:rsidR="009434F3" w:rsidRPr="00DE14FD">
          <w:rPr>
            <w:rStyle w:val="Hyperlink"/>
          </w:rPr>
          <w:t>Transition Period Pricing</w:t>
        </w:r>
        <w:r w:rsidR="009434F3">
          <w:rPr>
            <w:webHidden/>
          </w:rPr>
          <w:tab/>
        </w:r>
        <w:r w:rsidR="009434F3">
          <w:rPr>
            <w:webHidden/>
          </w:rPr>
          <w:fldChar w:fldCharType="begin"/>
        </w:r>
        <w:r w:rsidR="009434F3">
          <w:rPr>
            <w:webHidden/>
          </w:rPr>
          <w:instrText xml:space="preserve"> PAGEREF _Toc460320457 \h </w:instrText>
        </w:r>
        <w:r w:rsidR="009434F3">
          <w:rPr>
            <w:webHidden/>
          </w:rPr>
        </w:r>
        <w:r w:rsidR="009434F3">
          <w:rPr>
            <w:webHidden/>
          </w:rPr>
          <w:fldChar w:fldCharType="separate"/>
        </w:r>
        <w:r w:rsidR="00476B3D">
          <w:rPr>
            <w:webHidden/>
          </w:rPr>
          <w:t>40</w:t>
        </w:r>
        <w:r w:rsidR="009434F3">
          <w:rPr>
            <w:webHidden/>
          </w:rPr>
          <w:fldChar w:fldCharType="end"/>
        </w:r>
      </w:hyperlink>
    </w:p>
    <w:p w14:paraId="0D20717B" w14:textId="7E936877" w:rsidR="009434F3" w:rsidRDefault="00AE7E55">
      <w:pPr>
        <w:pStyle w:val="TOC3"/>
        <w:rPr>
          <w:rFonts w:eastAsiaTheme="minorEastAsia"/>
        </w:rPr>
      </w:pPr>
      <w:hyperlink w:anchor="_Toc460320458" w:history="1">
        <w:r w:rsidR="009434F3" w:rsidRPr="00DE14FD">
          <w:rPr>
            <w:rStyle w:val="Hyperlink"/>
            <w:rFonts w:ascii="Arial" w:eastAsia="Calibri" w:hAnsi="Arial"/>
          </w:rPr>
          <w:t>11.1.9</w:t>
        </w:r>
        <w:r w:rsidR="009434F3">
          <w:rPr>
            <w:rFonts w:eastAsiaTheme="minorEastAsia"/>
          </w:rPr>
          <w:tab/>
        </w:r>
        <w:r w:rsidR="009434F3" w:rsidRPr="00DE14FD">
          <w:rPr>
            <w:rStyle w:val="Hyperlink"/>
            <w:rFonts w:eastAsia="Calibri"/>
          </w:rPr>
          <w:t>Coordination with Reliability Coordinator and WECC Unscheduled Flow Mitigation</w:t>
        </w:r>
        <w:r w:rsidR="009434F3">
          <w:rPr>
            <w:webHidden/>
          </w:rPr>
          <w:tab/>
        </w:r>
        <w:r w:rsidR="009434F3">
          <w:rPr>
            <w:webHidden/>
          </w:rPr>
          <w:fldChar w:fldCharType="begin"/>
        </w:r>
        <w:r w:rsidR="009434F3">
          <w:rPr>
            <w:webHidden/>
          </w:rPr>
          <w:instrText xml:space="preserve"> PAGEREF _Toc460320458 \h </w:instrText>
        </w:r>
        <w:r w:rsidR="009434F3">
          <w:rPr>
            <w:webHidden/>
          </w:rPr>
        </w:r>
        <w:r w:rsidR="009434F3">
          <w:rPr>
            <w:webHidden/>
          </w:rPr>
          <w:fldChar w:fldCharType="separate"/>
        </w:r>
        <w:r w:rsidR="00476B3D">
          <w:rPr>
            <w:webHidden/>
          </w:rPr>
          <w:t>41</w:t>
        </w:r>
        <w:r w:rsidR="009434F3">
          <w:rPr>
            <w:webHidden/>
          </w:rPr>
          <w:fldChar w:fldCharType="end"/>
        </w:r>
      </w:hyperlink>
    </w:p>
    <w:p w14:paraId="30AE2618" w14:textId="7C450548" w:rsidR="009434F3" w:rsidRDefault="00AE7E55">
      <w:pPr>
        <w:pStyle w:val="TOC2"/>
        <w:rPr>
          <w:rFonts w:eastAsiaTheme="minorEastAsia"/>
          <w:b w:val="0"/>
        </w:rPr>
      </w:pPr>
      <w:hyperlink w:anchor="_Toc460320459" w:history="1">
        <w:r w:rsidR="009434F3" w:rsidRPr="00DE14FD">
          <w:rPr>
            <w:rStyle w:val="Hyperlink"/>
            <w:rFonts w:ascii="Arial" w:eastAsia="Calibri" w:hAnsi="Arial"/>
          </w:rPr>
          <w:t>11.2</w:t>
        </w:r>
        <w:r w:rsidR="009434F3">
          <w:rPr>
            <w:rFonts w:eastAsiaTheme="minorEastAsia"/>
            <w:b w:val="0"/>
          </w:rPr>
          <w:tab/>
        </w:r>
        <w:r w:rsidR="009434F3" w:rsidRPr="00DE14FD">
          <w:rPr>
            <w:rStyle w:val="Hyperlink"/>
            <w:rFonts w:eastAsia="Calibri"/>
          </w:rPr>
          <w:t>Day-Ahead Operations</w:t>
        </w:r>
        <w:r w:rsidR="009434F3">
          <w:rPr>
            <w:webHidden/>
          </w:rPr>
          <w:tab/>
        </w:r>
        <w:r w:rsidR="009434F3">
          <w:rPr>
            <w:webHidden/>
          </w:rPr>
          <w:fldChar w:fldCharType="begin"/>
        </w:r>
        <w:r w:rsidR="009434F3">
          <w:rPr>
            <w:webHidden/>
          </w:rPr>
          <w:instrText xml:space="preserve"> PAGEREF _Toc460320459 \h </w:instrText>
        </w:r>
        <w:r w:rsidR="009434F3">
          <w:rPr>
            <w:webHidden/>
          </w:rPr>
        </w:r>
        <w:r w:rsidR="009434F3">
          <w:rPr>
            <w:webHidden/>
          </w:rPr>
          <w:fldChar w:fldCharType="separate"/>
        </w:r>
        <w:r w:rsidR="00476B3D">
          <w:rPr>
            <w:webHidden/>
          </w:rPr>
          <w:t>42</w:t>
        </w:r>
        <w:r w:rsidR="009434F3">
          <w:rPr>
            <w:webHidden/>
          </w:rPr>
          <w:fldChar w:fldCharType="end"/>
        </w:r>
      </w:hyperlink>
    </w:p>
    <w:p w14:paraId="23F83938" w14:textId="2C23FD47" w:rsidR="009434F3" w:rsidRDefault="00AE7E55">
      <w:pPr>
        <w:pStyle w:val="TOC2"/>
        <w:rPr>
          <w:rFonts w:eastAsiaTheme="minorEastAsia"/>
          <w:b w:val="0"/>
        </w:rPr>
      </w:pPr>
      <w:hyperlink w:anchor="_Toc460320460" w:history="1">
        <w:r w:rsidR="009434F3" w:rsidRPr="00DE14FD">
          <w:rPr>
            <w:rStyle w:val="Hyperlink"/>
            <w:rFonts w:ascii="Arial" w:eastAsia="Calibri" w:hAnsi="Arial"/>
          </w:rPr>
          <w:t>11.3</w:t>
        </w:r>
        <w:r w:rsidR="009434F3">
          <w:rPr>
            <w:rFonts w:eastAsiaTheme="minorEastAsia"/>
            <w:b w:val="0"/>
          </w:rPr>
          <w:tab/>
        </w:r>
        <w:r w:rsidR="009434F3" w:rsidRPr="00DE14FD">
          <w:rPr>
            <w:rStyle w:val="Hyperlink"/>
            <w:rFonts w:eastAsia="Calibri"/>
          </w:rPr>
          <w:t>Real-Time Operations</w:t>
        </w:r>
        <w:r w:rsidR="009434F3">
          <w:rPr>
            <w:webHidden/>
          </w:rPr>
          <w:tab/>
        </w:r>
        <w:r w:rsidR="009434F3">
          <w:rPr>
            <w:webHidden/>
          </w:rPr>
          <w:fldChar w:fldCharType="begin"/>
        </w:r>
        <w:r w:rsidR="009434F3">
          <w:rPr>
            <w:webHidden/>
          </w:rPr>
          <w:instrText xml:space="preserve"> PAGEREF _Toc460320460 \h </w:instrText>
        </w:r>
        <w:r w:rsidR="009434F3">
          <w:rPr>
            <w:webHidden/>
          </w:rPr>
        </w:r>
        <w:r w:rsidR="009434F3">
          <w:rPr>
            <w:webHidden/>
          </w:rPr>
          <w:fldChar w:fldCharType="separate"/>
        </w:r>
        <w:r w:rsidR="00476B3D">
          <w:rPr>
            <w:webHidden/>
          </w:rPr>
          <w:t>44</w:t>
        </w:r>
        <w:r w:rsidR="009434F3">
          <w:rPr>
            <w:webHidden/>
          </w:rPr>
          <w:fldChar w:fldCharType="end"/>
        </w:r>
      </w:hyperlink>
    </w:p>
    <w:p w14:paraId="04B7CC4D" w14:textId="232D15C1" w:rsidR="009434F3" w:rsidRDefault="00AE7E55">
      <w:pPr>
        <w:pStyle w:val="TOC3"/>
        <w:rPr>
          <w:rFonts w:eastAsiaTheme="minorEastAsia"/>
        </w:rPr>
      </w:pPr>
      <w:hyperlink w:anchor="_Toc460320461" w:history="1">
        <w:r w:rsidR="009434F3" w:rsidRPr="00DE14FD">
          <w:rPr>
            <w:rStyle w:val="Hyperlink"/>
            <w:rFonts w:ascii="Arial" w:eastAsia="Calibri" w:hAnsi="Arial"/>
          </w:rPr>
          <w:t>11.3.1</w:t>
        </w:r>
        <w:r w:rsidR="009434F3">
          <w:rPr>
            <w:rFonts w:eastAsiaTheme="minorEastAsia"/>
          </w:rPr>
          <w:tab/>
        </w:r>
        <w:r w:rsidR="009434F3" w:rsidRPr="00DE14FD">
          <w:rPr>
            <w:rStyle w:val="Hyperlink"/>
            <w:rFonts w:eastAsia="Calibri"/>
          </w:rPr>
          <w:t>Establishment of Hourly Base Schedules and Hourly Resource Plan</w:t>
        </w:r>
        <w:r w:rsidR="009434F3">
          <w:rPr>
            <w:webHidden/>
          </w:rPr>
          <w:tab/>
        </w:r>
        <w:r w:rsidR="009434F3">
          <w:rPr>
            <w:webHidden/>
          </w:rPr>
          <w:fldChar w:fldCharType="begin"/>
        </w:r>
        <w:r w:rsidR="009434F3">
          <w:rPr>
            <w:webHidden/>
          </w:rPr>
          <w:instrText xml:space="preserve"> PAGEREF _Toc460320461 \h </w:instrText>
        </w:r>
        <w:r w:rsidR="009434F3">
          <w:rPr>
            <w:webHidden/>
          </w:rPr>
        </w:r>
        <w:r w:rsidR="009434F3">
          <w:rPr>
            <w:webHidden/>
          </w:rPr>
          <w:fldChar w:fldCharType="separate"/>
        </w:r>
        <w:r w:rsidR="00476B3D">
          <w:rPr>
            <w:webHidden/>
          </w:rPr>
          <w:t>46</w:t>
        </w:r>
        <w:r w:rsidR="009434F3">
          <w:rPr>
            <w:webHidden/>
          </w:rPr>
          <w:fldChar w:fldCharType="end"/>
        </w:r>
      </w:hyperlink>
    </w:p>
    <w:p w14:paraId="1A2546DE" w14:textId="52F20B29" w:rsidR="009434F3" w:rsidRDefault="00AE7E55">
      <w:pPr>
        <w:pStyle w:val="TOC3"/>
        <w:rPr>
          <w:rFonts w:eastAsiaTheme="minorEastAsia"/>
        </w:rPr>
      </w:pPr>
      <w:hyperlink w:anchor="_Toc460320462" w:history="1">
        <w:r w:rsidR="009434F3" w:rsidRPr="00DE14FD">
          <w:rPr>
            <w:rStyle w:val="Hyperlink"/>
            <w:rFonts w:ascii="Arial" w:eastAsia="Calibri" w:hAnsi="Arial"/>
          </w:rPr>
          <w:t>11.3.2</w:t>
        </w:r>
        <w:r w:rsidR="009434F3">
          <w:rPr>
            <w:rFonts w:eastAsiaTheme="minorEastAsia"/>
          </w:rPr>
          <w:tab/>
        </w:r>
        <w:r w:rsidR="009434F3" w:rsidRPr="00DE14FD">
          <w:rPr>
            <w:rStyle w:val="Hyperlink"/>
            <w:rFonts w:eastAsia="Calibri"/>
          </w:rPr>
          <w:t>Resource Sufficiency Evaluation</w:t>
        </w:r>
        <w:r w:rsidR="009434F3">
          <w:rPr>
            <w:webHidden/>
          </w:rPr>
          <w:tab/>
        </w:r>
        <w:r w:rsidR="009434F3">
          <w:rPr>
            <w:webHidden/>
          </w:rPr>
          <w:fldChar w:fldCharType="begin"/>
        </w:r>
        <w:r w:rsidR="009434F3">
          <w:rPr>
            <w:webHidden/>
          </w:rPr>
          <w:instrText xml:space="preserve"> PAGEREF _Toc460320462 \h </w:instrText>
        </w:r>
        <w:r w:rsidR="009434F3">
          <w:rPr>
            <w:webHidden/>
          </w:rPr>
        </w:r>
        <w:r w:rsidR="009434F3">
          <w:rPr>
            <w:webHidden/>
          </w:rPr>
          <w:fldChar w:fldCharType="separate"/>
        </w:r>
        <w:r w:rsidR="00476B3D">
          <w:rPr>
            <w:webHidden/>
          </w:rPr>
          <w:t>47</w:t>
        </w:r>
        <w:r w:rsidR="009434F3">
          <w:rPr>
            <w:webHidden/>
          </w:rPr>
          <w:fldChar w:fldCharType="end"/>
        </w:r>
      </w:hyperlink>
    </w:p>
    <w:p w14:paraId="231C8286" w14:textId="3F6F640A" w:rsidR="009434F3" w:rsidRDefault="00AE7E55">
      <w:pPr>
        <w:pStyle w:val="TOC3"/>
        <w:rPr>
          <w:rFonts w:eastAsiaTheme="minorEastAsia"/>
        </w:rPr>
      </w:pPr>
      <w:hyperlink w:anchor="_Toc460320463" w:history="1">
        <w:r w:rsidR="009434F3" w:rsidRPr="00DE14FD">
          <w:rPr>
            <w:rStyle w:val="Hyperlink"/>
            <w:rFonts w:ascii="Arial" w:eastAsia="Calibri" w:hAnsi="Arial"/>
          </w:rPr>
          <w:t>11.3.3</w:t>
        </w:r>
        <w:r w:rsidR="009434F3">
          <w:rPr>
            <w:rFonts w:eastAsiaTheme="minorEastAsia"/>
          </w:rPr>
          <w:tab/>
        </w:r>
        <w:r w:rsidR="009434F3" w:rsidRPr="00DE14FD">
          <w:rPr>
            <w:rStyle w:val="Hyperlink"/>
            <w:rFonts w:eastAsia="Calibri"/>
          </w:rPr>
          <w:t>Locational Marginal Prices</w:t>
        </w:r>
        <w:r w:rsidR="009434F3">
          <w:rPr>
            <w:webHidden/>
          </w:rPr>
          <w:tab/>
        </w:r>
        <w:r w:rsidR="009434F3">
          <w:rPr>
            <w:webHidden/>
          </w:rPr>
          <w:fldChar w:fldCharType="begin"/>
        </w:r>
        <w:r w:rsidR="009434F3">
          <w:rPr>
            <w:webHidden/>
          </w:rPr>
          <w:instrText xml:space="preserve"> PAGEREF _Toc460320463 \h </w:instrText>
        </w:r>
        <w:r w:rsidR="009434F3">
          <w:rPr>
            <w:webHidden/>
          </w:rPr>
        </w:r>
        <w:r w:rsidR="009434F3">
          <w:rPr>
            <w:webHidden/>
          </w:rPr>
          <w:fldChar w:fldCharType="separate"/>
        </w:r>
        <w:r w:rsidR="00476B3D">
          <w:rPr>
            <w:webHidden/>
          </w:rPr>
          <w:t>58</w:t>
        </w:r>
        <w:r w:rsidR="009434F3">
          <w:rPr>
            <w:webHidden/>
          </w:rPr>
          <w:fldChar w:fldCharType="end"/>
        </w:r>
      </w:hyperlink>
    </w:p>
    <w:p w14:paraId="17C81A49" w14:textId="36A28592" w:rsidR="009434F3" w:rsidRDefault="00AE7E55">
      <w:pPr>
        <w:pStyle w:val="TOC3"/>
        <w:rPr>
          <w:rFonts w:eastAsiaTheme="minorEastAsia"/>
        </w:rPr>
      </w:pPr>
      <w:hyperlink w:anchor="_Toc460320464" w:history="1">
        <w:r w:rsidR="009434F3" w:rsidRPr="00DE14FD">
          <w:rPr>
            <w:rStyle w:val="Hyperlink"/>
            <w:rFonts w:ascii="Arial" w:hAnsi="Arial"/>
          </w:rPr>
          <w:t>11.3.4</w:t>
        </w:r>
        <w:r w:rsidR="009434F3">
          <w:rPr>
            <w:rFonts w:eastAsiaTheme="minorEastAsia"/>
          </w:rPr>
          <w:tab/>
        </w:r>
        <w:r w:rsidR="009434F3" w:rsidRPr="00DE14FD">
          <w:rPr>
            <w:rStyle w:val="Hyperlink"/>
          </w:rPr>
          <w:t>Using EIM Available Balancing Capacity to Resolve Infeasible Power Balance Conditions in EIM BAAs</w:t>
        </w:r>
        <w:r w:rsidR="009434F3">
          <w:rPr>
            <w:webHidden/>
          </w:rPr>
          <w:tab/>
        </w:r>
        <w:r w:rsidR="009434F3">
          <w:rPr>
            <w:webHidden/>
          </w:rPr>
          <w:fldChar w:fldCharType="begin"/>
        </w:r>
        <w:r w:rsidR="009434F3">
          <w:rPr>
            <w:webHidden/>
          </w:rPr>
          <w:instrText xml:space="preserve"> PAGEREF _Toc460320464 \h </w:instrText>
        </w:r>
        <w:r w:rsidR="009434F3">
          <w:rPr>
            <w:webHidden/>
          </w:rPr>
        </w:r>
        <w:r w:rsidR="009434F3">
          <w:rPr>
            <w:webHidden/>
          </w:rPr>
          <w:fldChar w:fldCharType="separate"/>
        </w:r>
        <w:r w:rsidR="00476B3D">
          <w:rPr>
            <w:webHidden/>
          </w:rPr>
          <w:t>85</w:t>
        </w:r>
        <w:r w:rsidR="009434F3">
          <w:rPr>
            <w:webHidden/>
          </w:rPr>
          <w:fldChar w:fldCharType="end"/>
        </w:r>
      </w:hyperlink>
    </w:p>
    <w:p w14:paraId="72A5208F" w14:textId="221446EA" w:rsidR="009434F3" w:rsidRDefault="00AE7E55">
      <w:pPr>
        <w:pStyle w:val="TOC3"/>
        <w:rPr>
          <w:rFonts w:eastAsiaTheme="minorEastAsia"/>
        </w:rPr>
      </w:pPr>
      <w:hyperlink w:anchor="_Toc460320465" w:history="1">
        <w:r w:rsidR="009434F3" w:rsidRPr="00DE14FD">
          <w:rPr>
            <w:rStyle w:val="Hyperlink"/>
            <w:rFonts w:ascii="Arial" w:eastAsia="Calibri" w:hAnsi="Arial"/>
          </w:rPr>
          <w:t>11.3.5</w:t>
        </w:r>
        <w:r w:rsidR="009434F3">
          <w:rPr>
            <w:rFonts w:eastAsiaTheme="minorEastAsia"/>
          </w:rPr>
          <w:tab/>
        </w:r>
        <w:r w:rsidR="009434F3" w:rsidRPr="00DE14FD">
          <w:rPr>
            <w:rStyle w:val="Hyperlink"/>
            <w:rFonts w:eastAsia="Calibri"/>
          </w:rPr>
          <w:t>EIM Market Power Mitigation</w:t>
        </w:r>
        <w:r w:rsidR="009434F3">
          <w:rPr>
            <w:webHidden/>
          </w:rPr>
          <w:tab/>
        </w:r>
        <w:r w:rsidR="009434F3">
          <w:rPr>
            <w:webHidden/>
          </w:rPr>
          <w:fldChar w:fldCharType="begin"/>
        </w:r>
        <w:r w:rsidR="009434F3">
          <w:rPr>
            <w:webHidden/>
          </w:rPr>
          <w:instrText xml:space="preserve"> PAGEREF _Toc460320465 \h </w:instrText>
        </w:r>
        <w:r w:rsidR="009434F3">
          <w:rPr>
            <w:webHidden/>
          </w:rPr>
        </w:r>
        <w:r w:rsidR="009434F3">
          <w:rPr>
            <w:webHidden/>
          </w:rPr>
          <w:fldChar w:fldCharType="separate"/>
        </w:r>
        <w:r w:rsidR="00476B3D">
          <w:rPr>
            <w:webHidden/>
          </w:rPr>
          <w:t>90</w:t>
        </w:r>
        <w:r w:rsidR="009434F3">
          <w:rPr>
            <w:webHidden/>
          </w:rPr>
          <w:fldChar w:fldCharType="end"/>
        </w:r>
      </w:hyperlink>
    </w:p>
    <w:p w14:paraId="43DEF713" w14:textId="73F82E27" w:rsidR="009434F3" w:rsidRDefault="00AE7E55">
      <w:pPr>
        <w:pStyle w:val="TOC3"/>
        <w:rPr>
          <w:rFonts w:eastAsiaTheme="minorEastAsia"/>
        </w:rPr>
      </w:pPr>
      <w:hyperlink w:anchor="_Toc460320466" w:history="1">
        <w:r w:rsidR="009434F3" w:rsidRPr="00DE14FD">
          <w:rPr>
            <w:rStyle w:val="Hyperlink"/>
            <w:rFonts w:ascii="Arial" w:eastAsia="Calibri" w:hAnsi="Arial"/>
          </w:rPr>
          <w:t>11.3.6</w:t>
        </w:r>
        <w:r w:rsidR="009434F3">
          <w:rPr>
            <w:rFonts w:eastAsiaTheme="minorEastAsia"/>
          </w:rPr>
          <w:tab/>
        </w:r>
        <w:r w:rsidR="009434F3" w:rsidRPr="00DE14FD">
          <w:rPr>
            <w:rStyle w:val="Hyperlink"/>
            <w:rFonts w:eastAsia="Calibri"/>
          </w:rPr>
          <w:t>Default Energy Bids</w:t>
        </w:r>
        <w:r w:rsidR="009434F3">
          <w:rPr>
            <w:webHidden/>
          </w:rPr>
          <w:tab/>
        </w:r>
        <w:r w:rsidR="009434F3">
          <w:rPr>
            <w:webHidden/>
          </w:rPr>
          <w:fldChar w:fldCharType="begin"/>
        </w:r>
        <w:r w:rsidR="009434F3">
          <w:rPr>
            <w:webHidden/>
          </w:rPr>
          <w:instrText xml:space="preserve"> PAGEREF _Toc460320466 \h </w:instrText>
        </w:r>
        <w:r w:rsidR="009434F3">
          <w:rPr>
            <w:webHidden/>
          </w:rPr>
        </w:r>
        <w:r w:rsidR="009434F3">
          <w:rPr>
            <w:webHidden/>
          </w:rPr>
          <w:fldChar w:fldCharType="separate"/>
        </w:r>
        <w:r w:rsidR="00476B3D">
          <w:rPr>
            <w:webHidden/>
          </w:rPr>
          <w:t>92</w:t>
        </w:r>
        <w:r w:rsidR="009434F3">
          <w:rPr>
            <w:webHidden/>
          </w:rPr>
          <w:fldChar w:fldCharType="end"/>
        </w:r>
      </w:hyperlink>
    </w:p>
    <w:p w14:paraId="5BB967BF" w14:textId="56FC34B1" w:rsidR="009434F3" w:rsidRDefault="00AE7E55">
      <w:pPr>
        <w:pStyle w:val="TOC3"/>
        <w:rPr>
          <w:rFonts w:eastAsiaTheme="minorEastAsia"/>
        </w:rPr>
      </w:pPr>
      <w:hyperlink w:anchor="_Toc460320467" w:history="1">
        <w:r w:rsidR="009434F3" w:rsidRPr="00DE14FD">
          <w:rPr>
            <w:rStyle w:val="Hyperlink"/>
            <w:rFonts w:ascii="Arial" w:eastAsia="Calibri" w:hAnsi="Arial"/>
          </w:rPr>
          <w:t>11.3.7</w:t>
        </w:r>
        <w:r w:rsidR="009434F3">
          <w:rPr>
            <w:rFonts w:eastAsiaTheme="minorEastAsia"/>
          </w:rPr>
          <w:tab/>
        </w:r>
        <w:r w:rsidR="009434F3" w:rsidRPr="00DE14FD">
          <w:rPr>
            <w:rStyle w:val="Hyperlink"/>
            <w:rFonts w:eastAsia="Calibri"/>
          </w:rPr>
          <w:t>Compensating Injections in the RTM</w:t>
        </w:r>
        <w:r w:rsidR="009434F3">
          <w:rPr>
            <w:webHidden/>
          </w:rPr>
          <w:tab/>
        </w:r>
        <w:r w:rsidR="009434F3">
          <w:rPr>
            <w:webHidden/>
          </w:rPr>
          <w:fldChar w:fldCharType="begin"/>
        </w:r>
        <w:r w:rsidR="009434F3">
          <w:rPr>
            <w:webHidden/>
          </w:rPr>
          <w:instrText xml:space="preserve"> PAGEREF _Toc460320467 \h </w:instrText>
        </w:r>
        <w:r w:rsidR="009434F3">
          <w:rPr>
            <w:webHidden/>
          </w:rPr>
        </w:r>
        <w:r w:rsidR="009434F3">
          <w:rPr>
            <w:webHidden/>
          </w:rPr>
          <w:fldChar w:fldCharType="separate"/>
        </w:r>
        <w:r w:rsidR="00476B3D">
          <w:rPr>
            <w:webHidden/>
          </w:rPr>
          <w:t>92</w:t>
        </w:r>
        <w:r w:rsidR="009434F3">
          <w:rPr>
            <w:webHidden/>
          </w:rPr>
          <w:fldChar w:fldCharType="end"/>
        </w:r>
      </w:hyperlink>
    </w:p>
    <w:p w14:paraId="72CDEE0A" w14:textId="7AE4F28D" w:rsidR="009434F3" w:rsidRDefault="00AE7E55">
      <w:pPr>
        <w:pStyle w:val="TOC3"/>
        <w:rPr>
          <w:rFonts w:eastAsiaTheme="minorEastAsia"/>
        </w:rPr>
      </w:pPr>
      <w:hyperlink w:anchor="_Toc460320468" w:history="1">
        <w:r w:rsidR="009434F3" w:rsidRPr="00DE14FD">
          <w:rPr>
            <w:rStyle w:val="Hyperlink"/>
            <w:rFonts w:ascii="Arial" w:eastAsia="Calibri" w:hAnsi="Arial"/>
          </w:rPr>
          <w:t>11.3.8</w:t>
        </w:r>
        <w:r w:rsidR="009434F3">
          <w:rPr>
            <w:rFonts w:eastAsiaTheme="minorEastAsia"/>
          </w:rPr>
          <w:tab/>
        </w:r>
        <w:r w:rsidR="009434F3" w:rsidRPr="00DE14FD">
          <w:rPr>
            <w:rStyle w:val="Hyperlink"/>
            <w:rFonts w:eastAsia="Calibri"/>
          </w:rPr>
          <w:t>Manual Dispatch</w:t>
        </w:r>
        <w:r w:rsidR="009434F3">
          <w:rPr>
            <w:webHidden/>
          </w:rPr>
          <w:tab/>
        </w:r>
        <w:r w:rsidR="009434F3">
          <w:rPr>
            <w:webHidden/>
          </w:rPr>
          <w:fldChar w:fldCharType="begin"/>
        </w:r>
        <w:r w:rsidR="009434F3">
          <w:rPr>
            <w:webHidden/>
          </w:rPr>
          <w:instrText xml:space="preserve"> PAGEREF _Toc460320468 \h </w:instrText>
        </w:r>
        <w:r w:rsidR="009434F3">
          <w:rPr>
            <w:webHidden/>
          </w:rPr>
        </w:r>
        <w:r w:rsidR="009434F3">
          <w:rPr>
            <w:webHidden/>
          </w:rPr>
          <w:fldChar w:fldCharType="separate"/>
        </w:r>
        <w:r w:rsidR="00476B3D">
          <w:rPr>
            <w:webHidden/>
          </w:rPr>
          <w:t>92</w:t>
        </w:r>
        <w:r w:rsidR="009434F3">
          <w:rPr>
            <w:webHidden/>
          </w:rPr>
          <w:fldChar w:fldCharType="end"/>
        </w:r>
      </w:hyperlink>
    </w:p>
    <w:p w14:paraId="6131E5CC" w14:textId="68B1A82B" w:rsidR="009434F3" w:rsidRDefault="00AE7E55">
      <w:pPr>
        <w:pStyle w:val="TOC3"/>
        <w:rPr>
          <w:rFonts w:eastAsiaTheme="minorEastAsia"/>
        </w:rPr>
      </w:pPr>
      <w:hyperlink w:anchor="_Toc460320469" w:history="1">
        <w:r w:rsidR="009434F3" w:rsidRPr="00DE14FD">
          <w:rPr>
            <w:rStyle w:val="Hyperlink"/>
            <w:rFonts w:ascii="Arial" w:eastAsia="Calibri" w:hAnsi="Arial"/>
          </w:rPr>
          <w:t>11.3.9</w:t>
        </w:r>
        <w:r w:rsidR="009434F3">
          <w:rPr>
            <w:rFonts w:eastAsiaTheme="minorEastAsia"/>
          </w:rPr>
          <w:tab/>
        </w:r>
        <w:r w:rsidR="009434F3" w:rsidRPr="00DE14FD">
          <w:rPr>
            <w:rStyle w:val="Hyperlink"/>
            <w:rFonts w:eastAsia="Calibri"/>
          </w:rPr>
          <w:t>Load Forecast Operator Adjustments</w:t>
        </w:r>
        <w:r w:rsidR="009434F3">
          <w:rPr>
            <w:webHidden/>
          </w:rPr>
          <w:tab/>
        </w:r>
        <w:r w:rsidR="009434F3">
          <w:rPr>
            <w:webHidden/>
          </w:rPr>
          <w:fldChar w:fldCharType="begin"/>
        </w:r>
        <w:r w:rsidR="009434F3">
          <w:rPr>
            <w:webHidden/>
          </w:rPr>
          <w:instrText xml:space="preserve"> PAGEREF _Toc460320469 \h </w:instrText>
        </w:r>
        <w:r w:rsidR="009434F3">
          <w:rPr>
            <w:webHidden/>
          </w:rPr>
        </w:r>
        <w:r w:rsidR="009434F3">
          <w:rPr>
            <w:webHidden/>
          </w:rPr>
          <w:fldChar w:fldCharType="separate"/>
        </w:r>
        <w:r w:rsidR="00476B3D">
          <w:rPr>
            <w:webHidden/>
          </w:rPr>
          <w:t>93</w:t>
        </w:r>
        <w:r w:rsidR="009434F3">
          <w:rPr>
            <w:webHidden/>
          </w:rPr>
          <w:fldChar w:fldCharType="end"/>
        </w:r>
      </w:hyperlink>
    </w:p>
    <w:p w14:paraId="5249C02A" w14:textId="32684770" w:rsidR="009434F3" w:rsidRDefault="00AE7E55">
      <w:pPr>
        <w:pStyle w:val="TOC3"/>
        <w:rPr>
          <w:rFonts w:eastAsiaTheme="minorEastAsia"/>
        </w:rPr>
      </w:pPr>
      <w:hyperlink w:anchor="_Toc460320470" w:history="1">
        <w:r w:rsidR="009434F3" w:rsidRPr="00DE14FD">
          <w:rPr>
            <w:rStyle w:val="Hyperlink"/>
            <w:rFonts w:ascii="Arial" w:eastAsia="Calibri" w:hAnsi="Arial"/>
          </w:rPr>
          <w:t>11.3.10</w:t>
        </w:r>
        <w:r w:rsidR="009434F3">
          <w:rPr>
            <w:rFonts w:eastAsiaTheme="minorEastAsia"/>
          </w:rPr>
          <w:tab/>
        </w:r>
        <w:r w:rsidR="009434F3" w:rsidRPr="00DE14FD">
          <w:rPr>
            <w:rStyle w:val="Hyperlink"/>
            <w:rFonts w:eastAsia="Calibri"/>
          </w:rPr>
          <w:t>Contingency Dispatch</w:t>
        </w:r>
        <w:r w:rsidR="009434F3">
          <w:rPr>
            <w:webHidden/>
          </w:rPr>
          <w:tab/>
        </w:r>
        <w:r w:rsidR="009434F3">
          <w:rPr>
            <w:webHidden/>
          </w:rPr>
          <w:fldChar w:fldCharType="begin"/>
        </w:r>
        <w:r w:rsidR="009434F3">
          <w:rPr>
            <w:webHidden/>
          </w:rPr>
          <w:instrText xml:space="preserve"> PAGEREF _Toc460320470 \h </w:instrText>
        </w:r>
        <w:r w:rsidR="009434F3">
          <w:rPr>
            <w:webHidden/>
          </w:rPr>
        </w:r>
        <w:r w:rsidR="009434F3">
          <w:rPr>
            <w:webHidden/>
          </w:rPr>
          <w:fldChar w:fldCharType="separate"/>
        </w:r>
        <w:r w:rsidR="00476B3D">
          <w:rPr>
            <w:webHidden/>
          </w:rPr>
          <w:t>94</w:t>
        </w:r>
        <w:r w:rsidR="009434F3">
          <w:rPr>
            <w:webHidden/>
          </w:rPr>
          <w:fldChar w:fldCharType="end"/>
        </w:r>
      </w:hyperlink>
    </w:p>
    <w:p w14:paraId="725DEB2A" w14:textId="6B797D8D" w:rsidR="009434F3" w:rsidRDefault="00AE7E55">
      <w:pPr>
        <w:pStyle w:val="TOC2"/>
        <w:rPr>
          <w:rFonts w:eastAsiaTheme="minorEastAsia"/>
          <w:b w:val="0"/>
        </w:rPr>
      </w:pPr>
      <w:hyperlink w:anchor="_Toc460320471" w:history="1">
        <w:r w:rsidR="009434F3" w:rsidRPr="00DE14FD">
          <w:rPr>
            <w:rStyle w:val="Hyperlink"/>
            <w:rFonts w:ascii="Arial" w:eastAsia="Calibri" w:hAnsi="Arial"/>
          </w:rPr>
          <w:t>11.4</w:t>
        </w:r>
        <w:r w:rsidR="009434F3">
          <w:rPr>
            <w:rFonts w:eastAsiaTheme="minorEastAsia"/>
            <w:b w:val="0"/>
          </w:rPr>
          <w:tab/>
        </w:r>
        <w:r w:rsidR="009434F3" w:rsidRPr="00DE14FD">
          <w:rPr>
            <w:rStyle w:val="Hyperlink"/>
            <w:rFonts w:eastAsia="Calibri"/>
          </w:rPr>
          <w:t>Contingencies and Corrective Actions</w:t>
        </w:r>
        <w:r w:rsidR="009434F3">
          <w:rPr>
            <w:webHidden/>
          </w:rPr>
          <w:tab/>
        </w:r>
        <w:r w:rsidR="009434F3">
          <w:rPr>
            <w:webHidden/>
          </w:rPr>
          <w:fldChar w:fldCharType="begin"/>
        </w:r>
        <w:r w:rsidR="009434F3">
          <w:rPr>
            <w:webHidden/>
          </w:rPr>
          <w:instrText xml:space="preserve"> PAGEREF _Toc460320471 \h </w:instrText>
        </w:r>
        <w:r w:rsidR="009434F3">
          <w:rPr>
            <w:webHidden/>
          </w:rPr>
        </w:r>
        <w:r w:rsidR="009434F3">
          <w:rPr>
            <w:webHidden/>
          </w:rPr>
          <w:fldChar w:fldCharType="separate"/>
        </w:r>
        <w:r w:rsidR="00476B3D">
          <w:rPr>
            <w:webHidden/>
          </w:rPr>
          <w:t>95</w:t>
        </w:r>
        <w:r w:rsidR="009434F3">
          <w:rPr>
            <w:webHidden/>
          </w:rPr>
          <w:fldChar w:fldCharType="end"/>
        </w:r>
      </w:hyperlink>
    </w:p>
    <w:p w14:paraId="18139748" w14:textId="0384488C" w:rsidR="009434F3" w:rsidRDefault="00AE7E55">
      <w:pPr>
        <w:pStyle w:val="TOC3"/>
        <w:rPr>
          <w:rFonts w:eastAsiaTheme="minorEastAsia"/>
        </w:rPr>
      </w:pPr>
      <w:hyperlink w:anchor="_Toc460320472" w:history="1">
        <w:r w:rsidR="009434F3" w:rsidRPr="00DE14FD">
          <w:rPr>
            <w:rStyle w:val="Hyperlink"/>
            <w:rFonts w:ascii="Arial" w:eastAsia="Calibri" w:hAnsi="Arial"/>
          </w:rPr>
          <w:t>11.4.1</w:t>
        </w:r>
        <w:r w:rsidR="009434F3">
          <w:rPr>
            <w:rFonts w:eastAsiaTheme="minorEastAsia"/>
          </w:rPr>
          <w:tab/>
        </w:r>
        <w:r w:rsidR="009434F3" w:rsidRPr="00DE14FD">
          <w:rPr>
            <w:rStyle w:val="Hyperlink"/>
            <w:rFonts w:eastAsia="Calibri"/>
          </w:rPr>
          <w:t>Recovery Approach</w:t>
        </w:r>
        <w:r w:rsidR="009434F3">
          <w:rPr>
            <w:webHidden/>
          </w:rPr>
          <w:tab/>
        </w:r>
        <w:r w:rsidR="009434F3">
          <w:rPr>
            <w:webHidden/>
          </w:rPr>
          <w:fldChar w:fldCharType="begin"/>
        </w:r>
        <w:r w:rsidR="009434F3">
          <w:rPr>
            <w:webHidden/>
          </w:rPr>
          <w:instrText xml:space="preserve"> PAGEREF _Toc460320472 \h </w:instrText>
        </w:r>
        <w:r w:rsidR="009434F3">
          <w:rPr>
            <w:webHidden/>
          </w:rPr>
        </w:r>
        <w:r w:rsidR="009434F3">
          <w:rPr>
            <w:webHidden/>
          </w:rPr>
          <w:fldChar w:fldCharType="separate"/>
        </w:r>
        <w:r w:rsidR="00476B3D">
          <w:rPr>
            <w:webHidden/>
          </w:rPr>
          <w:t>96</w:t>
        </w:r>
        <w:r w:rsidR="009434F3">
          <w:rPr>
            <w:webHidden/>
          </w:rPr>
          <w:fldChar w:fldCharType="end"/>
        </w:r>
      </w:hyperlink>
    </w:p>
    <w:p w14:paraId="429F63B9" w14:textId="7347BF75" w:rsidR="009434F3" w:rsidRDefault="00AE7E55">
      <w:pPr>
        <w:pStyle w:val="TOC2"/>
        <w:rPr>
          <w:rFonts w:eastAsiaTheme="minorEastAsia"/>
          <w:b w:val="0"/>
        </w:rPr>
      </w:pPr>
      <w:hyperlink w:anchor="_Toc460320473" w:history="1">
        <w:r w:rsidR="009434F3" w:rsidRPr="00DE14FD">
          <w:rPr>
            <w:rStyle w:val="Hyperlink"/>
            <w:rFonts w:ascii="Arial" w:eastAsia="Calibri" w:hAnsi="Arial"/>
          </w:rPr>
          <w:t>11.5</w:t>
        </w:r>
        <w:r w:rsidR="009434F3">
          <w:rPr>
            <w:rFonts w:eastAsiaTheme="minorEastAsia"/>
            <w:b w:val="0"/>
          </w:rPr>
          <w:tab/>
        </w:r>
        <w:r w:rsidR="009434F3" w:rsidRPr="00DE14FD">
          <w:rPr>
            <w:rStyle w:val="Hyperlink"/>
            <w:rFonts w:eastAsia="Calibri"/>
          </w:rPr>
          <w:t>Separation of the EIM Entity</w:t>
        </w:r>
        <w:r w:rsidR="009434F3">
          <w:rPr>
            <w:webHidden/>
          </w:rPr>
          <w:tab/>
        </w:r>
        <w:r w:rsidR="009434F3">
          <w:rPr>
            <w:webHidden/>
          </w:rPr>
          <w:fldChar w:fldCharType="begin"/>
        </w:r>
        <w:r w:rsidR="009434F3">
          <w:rPr>
            <w:webHidden/>
          </w:rPr>
          <w:instrText xml:space="preserve"> PAGEREF _Toc460320473 \h </w:instrText>
        </w:r>
        <w:r w:rsidR="009434F3">
          <w:rPr>
            <w:webHidden/>
          </w:rPr>
        </w:r>
        <w:r w:rsidR="009434F3">
          <w:rPr>
            <w:webHidden/>
          </w:rPr>
          <w:fldChar w:fldCharType="separate"/>
        </w:r>
        <w:r w:rsidR="00476B3D">
          <w:rPr>
            <w:webHidden/>
          </w:rPr>
          <w:t>97</w:t>
        </w:r>
        <w:r w:rsidR="009434F3">
          <w:rPr>
            <w:webHidden/>
          </w:rPr>
          <w:fldChar w:fldCharType="end"/>
        </w:r>
      </w:hyperlink>
    </w:p>
    <w:p w14:paraId="77C17D61" w14:textId="5B41393D" w:rsidR="009434F3" w:rsidRDefault="00AE7E55">
      <w:pPr>
        <w:pStyle w:val="TOC3"/>
        <w:rPr>
          <w:rFonts w:eastAsiaTheme="minorEastAsia"/>
        </w:rPr>
      </w:pPr>
      <w:hyperlink w:anchor="_Toc460320474" w:history="1">
        <w:r w:rsidR="009434F3" w:rsidRPr="00DE14FD">
          <w:rPr>
            <w:rStyle w:val="Hyperlink"/>
            <w:rFonts w:ascii="Arial" w:eastAsia="Calibri" w:hAnsi="Arial"/>
          </w:rPr>
          <w:t>11.5.1</w:t>
        </w:r>
        <w:r w:rsidR="009434F3">
          <w:rPr>
            <w:rFonts w:eastAsiaTheme="minorEastAsia"/>
          </w:rPr>
          <w:tab/>
        </w:r>
        <w:r w:rsidR="009434F3" w:rsidRPr="00DE14FD">
          <w:rPr>
            <w:rStyle w:val="Hyperlink"/>
            <w:rFonts w:eastAsia="Calibri"/>
          </w:rPr>
          <w:t>EIM Entity Separation from Market</w:t>
        </w:r>
        <w:r w:rsidR="009434F3">
          <w:rPr>
            <w:webHidden/>
          </w:rPr>
          <w:tab/>
        </w:r>
        <w:r w:rsidR="009434F3">
          <w:rPr>
            <w:webHidden/>
          </w:rPr>
          <w:fldChar w:fldCharType="begin"/>
        </w:r>
        <w:r w:rsidR="009434F3">
          <w:rPr>
            <w:webHidden/>
          </w:rPr>
          <w:instrText xml:space="preserve"> PAGEREF _Toc460320474 \h </w:instrText>
        </w:r>
        <w:r w:rsidR="009434F3">
          <w:rPr>
            <w:webHidden/>
          </w:rPr>
        </w:r>
        <w:r w:rsidR="009434F3">
          <w:rPr>
            <w:webHidden/>
          </w:rPr>
          <w:fldChar w:fldCharType="separate"/>
        </w:r>
        <w:r w:rsidR="00476B3D">
          <w:rPr>
            <w:webHidden/>
          </w:rPr>
          <w:t>98</w:t>
        </w:r>
        <w:r w:rsidR="009434F3">
          <w:rPr>
            <w:webHidden/>
          </w:rPr>
          <w:fldChar w:fldCharType="end"/>
        </w:r>
      </w:hyperlink>
    </w:p>
    <w:p w14:paraId="54F3F5E3" w14:textId="7BF2D219" w:rsidR="009434F3" w:rsidRDefault="00AE7E55">
      <w:pPr>
        <w:pStyle w:val="TOC2"/>
        <w:rPr>
          <w:rFonts w:eastAsiaTheme="minorEastAsia"/>
          <w:b w:val="0"/>
        </w:rPr>
      </w:pPr>
      <w:hyperlink w:anchor="_Toc460320475" w:history="1">
        <w:r w:rsidR="009434F3" w:rsidRPr="00DE14FD">
          <w:rPr>
            <w:rStyle w:val="Hyperlink"/>
            <w:rFonts w:ascii="Arial" w:eastAsia="Calibri" w:hAnsi="Arial"/>
          </w:rPr>
          <w:t>11.6</w:t>
        </w:r>
        <w:r w:rsidR="009434F3">
          <w:rPr>
            <w:rFonts w:eastAsiaTheme="minorEastAsia"/>
            <w:b w:val="0"/>
          </w:rPr>
          <w:tab/>
        </w:r>
        <w:r w:rsidR="009434F3" w:rsidRPr="00DE14FD">
          <w:rPr>
            <w:rStyle w:val="Hyperlink"/>
            <w:rFonts w:eastAsia="Calibri"/>
          </w:rPr>
          <w:t>Advanced Load Forecasting System (ALFS)</w:t>
        </w:r>
        <w:r w:rsidR="009434F3">
          <w:rPr>
            <w:webHidden/>
          </w:rPr>
          <w:tab/>
        </w:r>
        <w:r w:rsidR="009434F3">
          <w:rPr>
            <w:webHidden/>
          </w:rPr>
          <w:fldChar w:fldCharType="begin"/>
        </w:r>
        <w:r w:rsidR="009434F3">
          <w:rPr>
            <w:webHidden/>
          </w:rPr>
          <w:instrText xml:space="preserve"> PAGEREF _Toc460320475 \h </w:instrText>
        </w:r>
        <w:r w:rsidR="009434F3">
          <w:rPr>
            <w:webHidden/>
          </w:rPr>
        </w:r>
        <w:r w:rsidR="009434F3">
          <w:rPr>
            <w:webHidden/>
          </w:rPr>
          <w:fldChar w:fldCharType="separate"/>
        </w:r>
        <w:r w:rsidR="00476B3D">
          <w:rPr>
            <w:webHidden/>
          </w:rPr>
          <w:t>98</w:t>
        </w:r>
        <w:r w:rsidR="009434F3">
          <w:rPr>
            <w:webHidden/>
          </w:rPr>
          <w:fldChar w:fldCharType="end"/>
        </w:r>
      </w:hyperlink>
    </w:p>
    <w:p w14:paraId="2E2CE4DA" w14:textId="0E52D0DC" w:rsidR="009434F3" w:rsidRDefault="00AE7E55">
      <w:pPr>
        <w:pStyle w:val="TOC3"/>
        <w:rPr>
          <w:rFonts w:eastAsiaTheme="minorEastAsia"/>
        </w:rPr>
      </w:pPr>
      <w:hyperlink w:anchor="_Toc460320476" w:history="1">
        <w:r w:rsidR="009434F3" w:rsidRPr="00DE14FD">
          <w:rPr>
            <w:rStyle w:val="Hyperlink"/>
            <w:rFonts w:ascii="Arial" w:eastAsia="Calibri" w:hAnsi="Arial"/>
          </w:rPr>
          <w:t>11.6.1</w:t>
        </w:r>
        <w:r w:rsidR="009434F3">
          <w:rPr>
            <w:rFonts w:eastAsiaTheme="minorEastAsia"/>
          </w:rPr>
          <w:tab/>
        </w:r>
        <w:r w:rsidR="009434F3" w:rsidRPr="00DE14FD">
          <w:rPr>
            <w:rStyle w:val="Hyperlink"/>
            <w:rFonts w:eastAsia="Calibri"/>
          </w:rPr>
          <w:t>Requirements for Load Forecasting</w:t>
        </w:r>
        <w:r w:rsidR="009434F3">
          <w:rPr>
            <w:webHidden/>
          </w:rPr>
          <w:tab/>
        </w:r>
        <w:r w:rsidR="009434F3">
          <w:rPr>
            <w:webHidden/>
          </w:rPr>
          <w:fldChar w:fldCharType="begin"/>
        </w:r>
        <w:r w:rsidR="009434F3">
          <w:rPr>
            <w:webHidden/>
          </w:rPr>
          <w:instrText xml:space="preserve"> PAGEREF _Toc460320476 \h </w:instrText>
        </w:r>
        <w:r w:rsidR="009434F3">
          <w:rPr>
            <w:webHidden/>
          </w:rPr>
        </w:r>
        <w:r w:rsidR="009434F3">
          <w:rPr>
            <w:webHidden/>
          </w:rPr>
          <w:fldChar w:fldCharType="separate"/>
        </w:r>
        <w:r w:rsidR="00476B3D">
          <w:rPr>
            <w:webHidden/>
          </w:rPr>
          <w:t>98</w:t>
        </w:r>
        <w:r w:rsidR="009434F3">
          <w:rPr>
            <w:webHidden/>
          </w:rPr>
          <w:fldChar w:fldCharType="end"/>
        </w:r>
      </w:hyperlink>
    </w:p>
    <w:p w14:paraId="0B543B71" w14:textId="4AB4898F" w:rsidR="009434F3" w:rsidRDefault="00AE7E55">
      <w:pPr>
        <w:pStyle w:val="TOC2"/>
        <w:rPr>
          <w:rFonts w:eastAsiaTheme="minorEastAsia"/>
          <w:b w:val="0"/>
        </w:rPr>
      </w:pPr>
      <w:hyperlink w:anchor="_Toc460320477" w:history="1">
        <w:r w:rsidR="009434F3" w:rsidRPr="00DE14FD">
          <w:rPr>
            <w:rStyle w:val="Hyperlink"/>
            <w:rFonts w:ascii="Arial" w:eastAsia="Calibri" w:hAnsi="Arial"/>
          </w:rPr>
          <w:t>11.7</w:t>
        </w:r>
        <w:r w:rsidR="009434F3">
          <w:rPr>
            <w:rFonts w:eastAsiaTheme="minorEastAsia"/>
            <w:b w:val="0"/>
          </w:rPr>
          <w:tab/>
        </w:r>
        <w:r w:rsidR="009434F3" w:rsidRPr="00DE14FD">
          <w:rPr>
            <w:rStyle w:val="Hyperlink"/>
            <w:rFonts w:eastAsia="Calibri"/>
          </w:rPr>
          <w:t>Variable Energy Resource (VERs)</w:t>
        </w:r>
        <w:r w:rsidR="009434F3">
          <w:rPr>
            <w:webHidden/>
          </w:rPr>
          <w:tab/>
        </w:r>
        <w:r w:rsidR="009434F3">
          <w:rPr>
            <w:webHidden/>
          </w:rPr>
          <w:fldChar w:fldCharType="begin"/>
        </w:r>
        <w:r w:rsidR="009434F3">
          <w:rPr>
            <w:webHidden/>
          </w:rPr>
          <w:instrText xml:space="preserve"> PAGEREF _Toc460320477 \h </w:instrText>
        </w:r>
        <w:r w:rsidR="009434F3">
          <w:rPr>
            <w:webHidden/>
          </w:rPr>
        </w:r>
        <w:r w:rsidR="009434F3">
          <w:rPr>
            <w:webHidden/>
          </w:rPr>
          <w:fldChar w:fldCharType="separate"/>
        </w:r>
        <w:r w:rsidR="00476B3D">
          <w:rPr>
            <w:webHidden/>
          </w:rPr>
          <w:t>99</w:t>
        </w:r>
        <w:r w:rsidR="009434F3">
          <w:rPr>
            <w:webHidden/>
          </w:rPr>
          <w:fldChar w:fldCharType="end"/>
        </w:r>
      </w:hyperlink>
    </w:p>
    <w:p w14:paraId="39791307" w14:textId="20D80E67" w:rsidR="009434F3" w:rsidRDefault="00AE7E55">
      <w:pPr>
        <w:pStyle w:val="TOC3"/>
        <w:rPr>
          <w:rFonts w:eastAsiaTheme="minorEastAsia"/>
        </w:rPr>
      </w:pPr>
      <w:hyperlink w:anchor="_Toc460320478" w:history="1">
        <w:r w:rsidR="009434F3" w:rsidRPr="00DE14FD">
          <w:rPr>
            <w:rStyle w:val="Hyperlink"/>
            <w:rFonts w:ascii="Arial" w:eastAsia="Calibri" w:hAnsi="Arial"/>
          </w:rPr>
          <w:t>11.7.1</w:t>
        </w:r>
        <w:r w:rsidR="009434F3">
          <w:rPr>
            <w:rFonts w:eastAsiaTheme="minorEastAsia"/>
          </w:rPr>
          <w:tab/>
        </w:r>
        <w:r w:rsidR="009434F3" w:rsidRPr="00DE14FD">
          <w:rPr>
            <w:rStyle w:val="Hyperlink"/>
            <w:rFonts w:eastAsia="Calibri"/>
          </w:rPr>
          <w:t>Forecast Fee</w:t>
        </w:r>
        <w:r w:rsidR="009434F3">
          <w:rPr>
            <w:webHidden/>
          </w:rPr>
          <w:tab/>
        </w:r>
        <w:r w:rsidR="009434F3">
          <w:rPr>
            <w:webHidden/>
          </w:rPr>
          <w:fldChar w:fldCharType="begin"/>
        </w:r>
        <w:r w:rsidR="009434F3">
          <w:rPr>
            <w:webHidden/>
          </w:rPr>
          <w:instrText xml:space="preserve"> PAGEREF _Toc460320478 \h </w:instrText>
        </w:r>
        <w:r w:rsidR="009434F3">
          <w:rPr>
            <w:webHidden/>
          </w:rPr>
        </w:r>
        <w:r w:rsidR="009434F3">
          <w:rPr>
            <w:webHidden/>
          </w:rPr>
          <w:fldChar w:fldCharType="separate"/>
        </w:r>
        <w:r w:rsidR="00476B3D">
          <w:rPr>
            <w:webHidden/>
          </w:rPr>
          <w:t>99</w:t>
        </w:r>
        <w:r w:rsidR="009434F3">
          <w:rPr>
            <w:webHidden/>
          </w:rPr>
          <w:fldChar w:fldCharType="end"/>
        </w:r>
      </w:hyperlink>
    </w:p>
    <w:p w14:paraId="74DBB720" w14:textId="5F35D53F" w:rsidR="009434F3" w:rsidRDefault="00AE7E55">
      <w:pPr>
        <w:pStyle w:val="TOC3"/>
        <w:rPr>
          <w:rFonts w:eastAsiaTheme="minorEastAsia"/>
        </w:rPr>
      </w:pPr>
      <w:hyperlink w:anchor="_Toc460320479" w:history="1">
        <w:r w:rsidR="009434F3" w:rsidRPr="00DE14FD">
          <w:rPr>
            <w:rStyle w:val="Hyperlink"/>
            <w:rFonts w:ascii="Arial" w:eastAsia="Calibri" w:hAnsi="Arial"/>
          </w:rPr>
          <w:t>11.7.2</w:t>
        </w:r>
        <w:r w:rsidR="009434F3">
          <w:rPr>
            <w:rFonts w:eastAsiaTheme="minorEastAsia"/>
          </w:rPr>
          <w:tab/>
        </w:r>
        <w:r w:rsidR="009434F3" w:rsidRPr="00DE14FD">
          <w:rPr>
            <w:rStyle w:val="Hyperlink"/>
            <w:rFonts w:eastAsia="Calibri"/>
          </w:rPr>
          <w:t>EIM Variable Energy Resource Forecasting</w:t>
        </w:r>
        <w:r w:rsidR="009434F3">
          <w:rPr>
            <w:webHidden/>
          </w:rPr>
          <w:tab/>
        </w:r>
        <w:r w:rsidR="009434F3">
          <w:rPr>
            <w:webHidden/>
          </w:rPr>
          <w:fldChar w:fldCharType="begin"/>
        </w:r>
        <w:r w:rsidR="009434F3">
          <w:rPr>
            <w:webHidden/>
          </w:rPr>
          <w:instrText xml:space="preserve"> PAGEREF _Toc460320479 \h </w:instrText>
        </w:r>
        <w:r w:rsidR="009434F3">
          <w:rPr>
            <w:webHidden/>
          </w:rPr>
        </w:r>
        <w:r w:rsidR="009434F3">
          <w:rPr>
            <w:webHidden/>
          </w:rPr>
          <w:fldChar w:fldCharType="separate"/>
        </w:r>
        <w:r w:rsidR="00476B3D">
          <w:rPr>
            <w:webHidden/>
          </w:rPr>
          <w:t>99</w:t>
        </w:r>
        <w:r w:rsidR="009434F3">
          <w:rPr>
            <w:webHidden/>
          </w:rPr>
          <w:fldChar w:fldCharType="end"/>
        </w:r>
      </w:hyperlink>
    </w:p>
    <w:p w14:paraId="2C0D40AF" w14:textId="0B03C0B0" w:rsidR="009434F3" w:rsidRDefault="00AE7E55">
      <w:pPr>
        <w:pStyle w:val="TOC1"/>
        <w:rPr>
          <w:rFonts w:eastAsiaTheme="minorEastAsia" w:cstheme="minorBidi"/>
          <w:b w:val="0"/>
        </w:rPr>
      </w:pPr>
      <w:hyperlink w:anchor="_Toc460320480" w:history="1">
        <w:r w:rsidR="009434F3" w:rsidRPr="00DE14FD">
          <w:rPr>
            <w:rStyle w:val="Hyperlink"/>
            <w:rFonts w:ascii="Arial" w:hAnsi="Arial"/>
          </w:rPr>
          <w:t>12.</w:t>
        </w:r>
        <w:r w:rsidR="009434F3">
          <w:rPr>
            <w:rFonts w:eastAsiaTheme="minorEastAsia" w:cstheme="minorBidi"/>
            <w:b w:val="0"/>
          </w:rPr>
          <w:tab/>
        </w:r>
        <w:r w:rsidR="009434F3" w:rsidRPr="00DE14FD">
          <w:rPr>
            <w:rStyle w:val="Hyperlink"/>
          </w:rPr>
          <w:t>SETTLEMENTS AND BILLING</w:t>
        </w:r>
        <w:r w:rsidR="009434F3">
          <w:rPr>
            <w:webHidden/>
          </w:rPr>
          <w:tab/>
        </w:r>
        <w:r w:rsidR="009434F3">
          <w:rPr>
            <w:webHidden/>
          </w:rPr>
          <w:fldChar w:fldCharType="begin"/>
        </w:r>
        <w:r w:rsidR="009434F3">
          <w:rPr>
            <w:webHidden/>
          </w:rPr>
          <w:instrText xml:space="preserve"> PAGEREF _Toc460320480 \h </w:instrText>
        </w:r>
        <w:r w:rsidR="009434F3">
          <w:rPr>
            <w:webHidden/>
          </w:rPr>
        </w:r>
        <w:r w:rsidR="009434F3">
          <w:rPr>
            <w:webHidden/>
          </w:rPr>
          <w:fldChar w:fldCharType="separate"/>
        </w:r>
        <w:r w:rsidR="00476B3D">
          <w:rPr>
            <w:webHidden/>
          </w:rPr>
          <w:t>100</w:t>
        </w:r>
        <w:r w:rsidR="009434F3">
          <w:rPr>
            <w:webHidden/>
          </w:rPr>
          <w:fldChar w:fldCharType="end"/>
        </w:r>
      </w:hyperlink>
    </w:p>
    <w:p w14:paraId="13774F5F" w14:textId="3EF327E1" w:rsidR="009434F3" w:rsidRDefault="00AE7E55">
      <w:pPr>
        <w:pStyle w:val="TOC2"/>
        <w:rPr>
          <w:rFonts w:eastAsiaTheme="minorEastAsia"/>
          <w:b w:val="0"/>
        </w:rPr>
      </w:pPr>
      <w:hyperlink w:anchor="_Toc460320481" w:history="1">
        <w:r w:rsidR="009434F3" w:rsidRPr="00DE14FD">
          <w:rPr>
            <w:rStyle w:val="Hyperlink"/>
            <w:rFonts w:ascii="Arial" w:hAnsi="Arial"/>
          </w:rPr>
          <w:t>12.1</w:t>
        </w:r>
        <w:r w:rsidR="009434F3">
          <w:rPr>
            <w:rFonts w:eastAsiaTheme="minorEastAsia"/>
            <w:b w:val="0"/>
          </w:rPr>
          <w:tab/>
        </w:r>
        <w:r w:rsidR="009434F3" w:rsidRPr="00DE14FD">
          <w:rPr>
            <w:rStyle w:val="Hyperlink"/>
          </w:rPr>
          <w:t>Charge Codes</w:t>
        </w:r>
        <w:r w:rsidR="009434F3">
          <w:rPr>
            <w:webHidden/>
          </w:rPr>
          <w:tab/>
        </w:r>
        <w:r w:rsidR="009434F3">
          <w:rPr>
            <w:webHidden/>
          </w:rPr>
          <w:fldChar w:fldCharType="begin"/>
        </w:r>
        <w:r w:rsidR="009434F3">
          <w:rPr>
            <w:webHidden/>
          </w:rPr>
          <w:instrText xml:space="preserve"> PAGEREF _Toc460320481 \h </w:instrText>
        </w:r>
        <w:r w:rsidR="009434F3">
          <w:rPr>
            <w:webHidden/>
          </w:rPr>
        </w:r>
        <w:r w:rsidR="009434F3">
          <w:rPr>
            <w:webHidden/>
          </w:rPr>
          <w:fldChar w:fldCharType="separate"/>
        </w:r>
        <w:r w:rsidR="00476B3D">
          <w:rPr>
            <w:webHidden/>
          </w:rPr>
          <w:t>100</w:t>
        </w:r>
        <w:r w:rsidR="009434F3">
          <w:rPr>
            <w:webHidden/>
          </w:rPr>
          <w:fldChar w:fldCharType="end"/>
        </w:r>
      </w:hyperlink>
    </w:p>
    <w:p w14:paraId="632CA229" w14:textId="13B6BBD5" w:rsidR="009434F3" w:rsidRDefault="00AE7E55">
      <w:pPr>
        <w:pStyle w:val="TOC2"/>
        <w:rPr>
          <w:rFonts w:eastAsiaTheme="minorEastAsia"/>
          <w:b w:val="0"/>
        </w:rPr>
      </w:pPr>
      <w:hyperlink w:anchor="_Toc460320482" w:history="1">
        <w:r w:rsidR="009434F3" w:rsidRPr="00DE14FD">
          <w:rPr>
            <w:rStyle w:val="Hyperlink"/>
            <w:rFonts w:ascii="Arial" w:hAnsi="Arial"/>
          </w:rPr>
          <w:t>12.2</w:t>
        </w:r>
        <w:r w:rsidR="009434F3">
          <w:rPr>
            <w:rFonts w:eastAsiaTheme="minorEastAsia"/>
            <w:b w:val="0"/>
          </w:rPr>
          <w:tab/>
        </w:r>
        <w:r w:rsidR="009434F3" w:rsidRPr="00DE14FD">
          <w:rPr>
            <w:rStyle w:val="Hyperlink"/>
          </w:rPr>
          <w:t>Disagreements</w:t>
        </w:r>
        <w:r w:rsidR="009434F3">
          <w:rPr>
            <w:webHidden/>
          </w:rPr>
          <w:tab/>
        </w:r>
        <w:r w:rsidR="009434F3">
          <w:rPr>
            <w:webHidden/>
          </w:rPr>
          <w:fldChar w:fldCharType="begin"/>
        </w:r>
        <w:r w:rsidR="009434F3">
          <w:rPr>
            <w:webHidden/>
          </w:rPr>
          <w:instrText xml:space="preserve"> PAGEREF _Toc460320482 \h </w:instrText>
        </w:r>
        <w:r w:rsidR="009434F3">
          <w:rPr>
            <w:webHidden/>
          </w:rPr>
        </w:r>
        <w:r w:rsidR="009434F3">
          <w:rPr>
            <w:webHidden/>
          </w:rPr>
          <w:fldChar w:fldCharType="separate"/>
        </w:r>
        <w:r w:rsidR="00476B3D">
          <w:rPr>
            <w:webHidden/>
          </w:rPr>
          <w:t>101</w:t>
        </w:r>
        <w:r w:rsidR="009434F3">
          <w:rPr>
            <w:webHidden/>
          </w:rPr>
          <w:fldChar w:fldCharType="end"/>
        </w:r>
      </w:hyperlink>
    </w:p>
    <w:p w14:paraId="4255F701" w14:textId="3ADB2F6C" w:rsidR="009434F3" w:rsidRDefault="00AE7E55">
      <w:pPr>
        <w:pStyle w:val="TOC2"/>
        <w:rPr>
          <w:rFonts w:eastAsiaTheme="minorEastAsia"/>
          <w:b w:val="0"/>
        </w:rPr>
      </w:pPr>
      <w:hyperlink w:anchor="_Toc460320483" w:history="1">
        <w:r w:rsidR="009434F3" w:rsidRPr="00DE14FD">
          <w:rPr>
            <w:rStyle w:val="Hyperlink"/>
            <w:rFonts w:ascii="Arial" w:hAnsi="Arial"/>
          </w:rPr>
          <w:t>12.3</w:t>
        </w:r>
        <w:r w:rsidR="009434F3">
          <w:rPr>
            <w:rFonts w:eastAsiaTheme="minorEastAsia"/>
            <w:b w:val="0"/>
          </w:rPr>
          <w:tab/>
        </w:r>
        <w:r w:rsidR="009434F3" w:rsidRPr="00DE14FD">
          <w:rPr>
            <w:rStyle w:val="Hyperlink"/>
          </w:rPr>
          <w:t>Suspension</w:t>
        </w:r>
        <w:r w:rsidR="009434F3">
          <w:rPr>
            <w:webHidden/>
          </w:rPr>
          <w:tab/>
        </w:r>
        <w:r w:rsidR="009434F3">
          <w:rPr>
            <w:webHidden/>
          </w:rPr>
          <w:fldChar w:fldCharType="begin"/>
        </w:r>
        <w:r w:rsidR="009434F3">
          <w:rPr>
            <w:webHidden/>
          </w:rPr>
          <w:instrText xml:space="preserve"> PAGEREF _Toc460320483 \h </w:instrText>
        </w:r>
        <w:r w:rsidR="009434F3">
          <w:rPr>
            <w:webHidden/>
          </w:rPr>
        </w:r>
        <w:r w:rsidR="009434F3">
          <w:rPr>
            <w:webHidden/>
          </w:rPr>
          <w:fldChar w:fldCharType="separate"/>
        </w:r>
        <w:r w:rsidR="00476B3D">
          <w:rPr>
            <w:webHidden/>
          </w:rPr>
          <w:t>101</w:t>
        </w:r>
        <w:r w:rsidR="009434F3">
          <w:rPr>
            <w:webHidden/>
          </w:rPr>
          <w:fldChar w:fldCharType="end"/>
        </w:r>
      </w:hyperlink>
    </w:p>
    <w:p w14:paraId="76F1C1B8" w14:textId="3FC30F00" w:rsidR="009434F3" w:rsidRDefault="00AE7E55">
      <w:pPr>
        <w:pStyle w:val="TOC1"/>
        <w:rPr>
          <w:rFonts w:eastAsiaTheme="minorEastAsia" w:cstheme="minorBidi"/>
          <w:b w:val="0"/>
        </w:rPr>
      </w:pPr>
      <w:hyperlink w:anchor="_Toc460320484" w:history="1">
        <w:r w:rsidR="009434F3" w:rsidRPr="00DE14FD">
          <w:rPr>
            <w:rStyle w:val="Hyperlink"/>
            <w:rFonts w:ascii="Arial" w:hAnsi="Arial"/>
          </w:rPr>
          <w:t>13.</w:t>
        </w:r>
        <w:r w:rsidR="009434F3">
          <w:rPr>
            <w:rFonts w:eastAsiaTheme="minorEastAsia" w:cstheme="minorBidi"/>
            <w:b w:val="0"/>
          </w:rPr>
          <w:tab/>
        </w:r>
        <w:r w:rsidR="009434F3" w:rsidRPr="00DE14FD">
          <w:rPr>
            <w:rStyle w:val="Hyperlink"/>
          </w:rPr>
          <w:t>READINESS</w:t>
        </w:r>
        <w:r w:rsidR="009434F3">
          <w:rPr>
            <w:webHidden/>
          </w:rPr>
          <w:tab/>
        </w:r>
        <w:r w:rsidR="009434F3">
          <w:rPr>
            <w:webHidden/>
          </w:rPr>
          <w:fldChar w:fldCharType="begin"/>
        </w:r>
        <w:r w:rsidR="009434F3">
          <w:rPr>
            <w:webHidden/>
          </w:rPr>
          <w:instrText xml:space="preserve"> PAGEREF _Toc460320484 \h </w:instrText>
        </w:r>
        <w:r w:rsidR="009434F3">
          <w:rPr>
            <w:webHidden/>
          </w:rPr>
        </w:r>
        <w:r w:rsidR="009434F3">
          <w:rPr>
            <w:webHidden/>
          </w:rPr>
          <w:fldChar w:fldCharType="separate"/>
        </w:r>
        <w:r w:rsidR="00476B3D">
          <w:rPr>
            <w:webHidden/>
          </w:rPr>
          <w:t>101</w:t>
        </w:r>
        <w:r w:rsidR="009434F3">
          <w:rPr>
            <w:webHidden/>
          </w:rPr>
          <w:fldChar w:fldCharType="end"/>
        </w:r>
      </w:hyperlink>
    </w:p>
    <w:p w14:paraId="33A1A050" w14:textId="749F3C0C" w:rsidR="009434F3" w:rsidRDefault="00AE7E55">
      <w:pPr>
        <w:pStyle w:val="TOC2"/>
        <w:rPr>
          <w:rFonts w:eastAsiaTheme="minorEastAsia"/>
          <w:b w:val="0"/>
        </w:rPr>
      </w:pPr>
      <w:hyperlink w:anchor="_Toc460320485" w:history="1">
        <w:r w:rsidR="009434F3" w:rsidRPr="00DE14FD">
          <w:rPr>
            <w:rStyle w:val="Hyperlink"/>
            <w:rFonts w:ascii="Arial" w:hAnsi="Arial"/>
          </w:rPr>
          <w:t>13.1</w:t>
        </w:r>
        <w:r w:rsidR="009434F3">
          <w:rPr>
            <w:rFonts w:eastAsiaTheme="minorEastAsia"/>
            <w:b w:val="0"/>
          </w:rPr>
          <w:tab/>
        </w:r>
        <w:r w:rsidR="009434F3" w:rsidRPr="00DE14FD">
          <w:rPr>
            <w:rStyle w:val="Hyperlink"/>
          </w:rPr>
          <w:t>Readiness Criteria Categories</w:t>
        </w:r>
        <w:r w:rsidR="009434F3">
          <w:rPr>
            <w:webHidden/>
          </w:rPr>
          <w:tab/>
        </w:r>
        <w:r w:rsidR="009434F3">
          <w:rPr>
            <w:webHidden/>
          </w:rPr>
          <w:fldChar w:fldCharType="begin"/>
        </w:r>
        <w:r w:rsidR="009434F3">
          <w:rPr>
            <w:webHidden/>
          </w:rPr>
          <w:instrText xml:space="preserve"> PAGEREF _Toc460320485 \h </w:instrText>
        </w:r>
        <w:r w:rsidR="009434F3">
          <w:rPr>
            <w:webHidden/>
          </w:rPr>
        </w:r>
        <w:r w:rsidR="009434F3">
          <w:rPr>
            <w:webHidden/>
          </w:rPr>
          <w:fldChar w:fldCharType="separate"/>
        </w:r>
        <w:r w:rsidR="00476B3D">
          <w:rPr>
            <w:webHidden/>
          </w:rPr>
          <w:t>102</w:t>
        </w:r>
        <w:r w:rsidR="009434F3">
          <w:rPr>
            <w:webHidden/>
          </w:rPr>
          <w:fldChar w:fldCharType="end"/>
        </w:r>
      </w:hyperlink>
    </w:p>
    <w:p w14:paraId="5A8FE943" w14:textId="0B4CF58E" w:rsidR="009434F3" w:rsidRDefault="00AE7E55">
      <w:pPr>
        <w:pStyle w:val="TOC2"/>
        <w:rPr>
          <w:rFonts w:eastAsiaTheme="minorEastAsia"/>
          <w:b w:val="0"/>
        </w:rPr>
      </w:pPr>
      <w:hyperlink w:anchor="_Toc460320486" w:history="1">
        <w:r w:rsidR="009434F3" w:rsidRPr="00DE14FD">
          <w:rPr>
            <w:rStyle w:val="Hyperlink"/>
            <w:rFonts w:ascii="Arial" w:hAnsi="Arial"/>
          </w:rPr>
          <w:t>13.2</w:t>
        </w:r>
        <w:r w:rsidR="009434F3">
          <w:rPr>
            <w:rFonts w:eastAsiaTheme="minorEastAsia"/>
            <w:b w:val="0"/>
          </w:rPr>
          <w:tab/>
        </w:r>
        <w:r w:rsidR="009434F3" w:rsidRPr="00DE14FD">
          <w:rPr>
            <w:rStyle w:val="Hyperlink"/>
          </w:rPr>
          <w:t>Readiness Metrics, Criteria, and Thresholds</w:t>
        </w:r>
        <w:r w:rsidR="009434F3">
          <w:rPr>
            <w:webHidden/>
          </w:rPr>
          <w:tab/>
        </w:r>
        <w:r w:rsidR="009434F3">
          <w:rPr>
            <w:webHidden/>
          </w:rPr>
          <w:fldChar w:fldCharType="begin"/>
        </w:r>
        <w:r w:rsidR="009434F3">
          <w:rPr>
            <w:webHidden/>
          </w:rPr>
          <w:instrText xml:space="preserve"> PAGEREF _Toc460320486 \h </w:instrText>
        </w:r>
        <w:r w:rsidR="009434F3">
          <w:rPr>
            <w:webHidden/>
          </w:rPr>
        </w:r>
        <w:r w:rsidR="009434F3">
          <w:rPr>
            <w:webHidden/>
          </w:rPr>
          <w:fldChar w:fldCharType="separate"/>
        </w:r>
        <w:r w:rsidR="00476B3D">
          <w:rPr>
            <w:webHidden/>
          </w:rPr>
          <w:t>103</w:t>
        </w:r>
        <w:r w:rsidR="009434F3">
          <w:rPr>
            <w:webHidden/>
          </w:rPr>
          <w:fldChar w:fldCharType="end"/>
        </w:r>
      </w:hyperlink>
    </w:p>
    <w:p w14:paraId="5DF4A520" w14:textId="1F912729" w:rsidR="009434F3" w:rsidRDefault="00AE7E55">
      <w:pPr>
        <w:pStyle w:val="TOC2"/>
        <w:rPr>
          <w:rFonts w:eastAsiaTheme="minorEastAsia"/>
          <w:b w:val="0"/>
        </w:rPr>
      </w:pPr>
      <w:hyperlink w:anchor="_Toc460320487" w:history="1">
        <w:r w:rsidR="009434F3" w:rsidRPr="00DE14FD">
          <w:rPr>
            <w:rStyle w:val="Hyperlink"/>
            <w:rFonts w:ascii="Arial" w:hAnsi="Arial"/>
          </w:rPr>
          <w:t>13.3</w:t>
        </w:r>
        <w:r w:rsidR="009434F3">
          <w:rPr>
            <w:rFonts w:eastAsiaTheme="minorEastAsia"/>
            <w:b w:val="0"/>
          </w:rPr>
          <w:tab/>
        </w:r>
        <w:r w:rsidR="009434F3" w:rsidRPr="00DE14FD">
          <w:rPr>
            <w:rStyle w:val="Hyperlink"/>
          </w:rPr>
          <w:t>Readiness Reporting, Determination &amp; Certification</w:t>
        </w:r>
        <w:r w:rsidR="009434F3">
          <w:rPr>
            <w:webHidden/>
          </w:rPr>
          <w:tab/>
        </w:r>
        <w:r w:rsidR="009434F3">
          <w:rPr>
            <w:webHidden/>
          </w:rPr>
          <w:fldChar w:fldCharType="begin"/>
        </w:r>
        <w:r w:rsidR="009434F3">
          <w:rPr>
            <w:webHidden/>
          </w:rPr>
          <w:instrText xml:space="preserve"> PAGEREF _Toc460320487 \h </w:instrText>
        </w:r>
        <w:r w:rsidR="009434F3">
          <w:rPr>
            <w:webHidden/>
          </w:rPr>
        </w:r>
        <w:r w:rsidR="009434F3">
          <w:rPr>
            <w:webHidden/>
          </w:rPr>
          <w:fldChar w:fldCharType="separate"/>
        </w:r>
        <w:r w:rsidR="00476B3D">
          <w:rPr>
            <w:webHidden/>
          </w:rPr>
          <w:t>112</w:t>
        </w:r>
        <w:r w:rsidR="009434F3">
          <w:rPr>
            <w:webHidden/>
          </w:rPr>
          <w:fldChar w:fldCharType="end"/>
        </w:r>
      </w:hyperlink>
    </w:p>
    <w:p w14:paraId="0D6FAB26" w14:textId="13780AEB" w:rsidR="009434F3" w:rsidRDefault="00AE7E55">
      <w:pPr>
        <w:pStyle w:val="TOC1"/>
        <w:rPr>
          <w:rFonts w:eastAsiaTheme="minorEastAsia" w:cstheme="minorBidi"/>
          <w:b w:val="0"/>
        </w:rPr>
      </w:pPr>
      <w:hyperlink w:anchor="_Toc460320488" w:history="1">
        <w:r w:rsidR="009434F3" w:rsidRPr="00DE14FD">
          <w:rPr>
            <w:rStyle w:val="Hyperlink"/>
            <w:rFonts w:ascii="Arial" w:hAnsi="Arial"/>
          </w:rPr>
          <w:t>14.</w:t>
        </w:r>
        <w:r w:rsidR="009434F3">
          <w:rPr>
            <w:rFonts w:eastAsiaTheme="minorEastAsia" w:cstheme="minorBidi"/>
            <w:b w:val="0"/>
          </w:rPr>
          <w:tab/>
        </w:r>
        <w:r w:rsidR="009434F3" w:rsidRPr="00DE14FD">
          <w:rPr>
            <w:rStyle w:val="Hyperlink"/>
          </w:rPr>
          <w:t>RULES OF CONDUCT</w:t>
        </w:r>
        <w:r w:rsidR="009434F3">
          <w:rPr>
            <w:webHidden/>
          </w:rPr>
          <w:tab/>
        </w:r>
        <w:r w:rsidR="009434F3">
          <w:rPr>
            <w:webHidden/>
          </w:rPr>
          <w:fldChar w:fldCharType="begin"/>
        </w:r>
        <w:r w:rsidR="009434F3">
          <w:rPr>
            <w:webHidden/>
          </w:rPr>
          <w:instrText xml:space="preserve"> PAGEREF _Toc460320488 \h </w:instrText>
        </w:r>
        <w:r w:rsidR="009434F3">
          <w:rPr>
            <w:webHidden/>
          </w:rPr>
        </w:r>
        <w:r w:rsidR="009434F3">
          <w:rPr>
            <w:webHidden/>
          </w:rPr>
          <w:fldChar w:fldCharType="separate"/>
        </w:r>
        <w:r w:rsidR="00476B3D">
          <w:rPr>
            <w:webHidden/>
          </w:rPr>
          <w:t>113</w:t>
        </w:r>
        <w:r w:rsidR="009434F3">
          <w:rPr>
            <w:webHidden/>
          </w:rPr>
          <w:fldChar w:fldCharType="end"/>
        </w:r>
      </w:hyperlink>
    </w:p>
    <w:p w14:paraId="10058136" w14:textId="1A5D6E77" w:rsidR="009434F3" w:rsidRDefault="00AE7E55">
      <w:pPr>
        <w:pStyle w:val="TOC1"/>
        <w:rPr>
          <w:rFonts w:eastAsiaTheme="minorEastAsia" w:cstheme="minorBidi"/>
          <w:b w:val="0"/>
        </w:rPr>
      </w:pPr>
      <w:hyperlink w:anchor="_Toc460320489" w:history="1">
        <w:r w:rsidR="009434F3" w:rsidRPr="00DE14FD">
          <w:rPr>
            <w:rStyle w:val="Hyperlink"/>
            <w:rFonts w:ascii="Arial" w:hAnsi="Arial"/>
          </w:rPr>
          <w:t>15.</w:t>
        </w:r>
        <w:r w:rsidR="009434F3">
          <w:rPr>
            <w:rFonts w:eastAsiaTheme="minorEastAsia" w:cstheme="minorBidi"/>
            <w:b w:val="0"/>
          </w:rPr>
          <w:tab/>
        </w:r>
        <w:r w:rsidR="009434F3" w:rsidRPr="00DE14FD">
          <w:rPr>
            <w:rStyle w:val="Hyperlink"/>
          </w:rPr>
          <w:t>CHANGE MANAGEMENT</w:t>
        </w:r>
        <w:r w:rsidR="009434F3">
          <w:rPr>
            <w:webHidden/>
          </w:rPr>
          <w:tab/>
        </w:r>
        <w:r w:rsidR="009434F3">
          <w:rPr>
            <w:webHidden/>
          </w:rPr>
          <w:fldChar w:fldCharType="begin"/>
        </w:r>
        <w:r w:rsidR="009434F3">
          <w:rPr>
            <w:webHidden/>
          </w:rPr>
          <w:instrText xml:space="preserve"> PAGEREF _Toc460320489 \h </w:instrText>
        </w:r>
        <w:r w:rsidR="009434F3">
          <w:rPr>
            <w:webHidden/>
          </w:rPr>
        </w:r>
        <w:r w:rsidR="009434F3">
          <w:rPr>
            <w:webHidden/>
          </w:rPr>
          <w:fldChar w:fldCharType="separate"/>
        </w:r>
        <w:r w:rsidR="00476B3D">
          <w:rPr>
            <w:webHidden/>
          </w:rPr>
          <w:t>113</w:t>
        </w:r>
        <w:r w:rsidR="009434F3">
          <w:rPr>
            <w:webHidden/>
          </w:rPr>
          <w:fldChar w:fldCharType="end"/>
        </w:r>
      </w:hyperlink>
    </w:p>
    <w:p w14:paraId="3E3AB522" w14:textId="1FC26D61" w:rsidR="009434F3" w:rsidRDefault="00AE7E55">
      <w:pPr>
        <w:pStyle w:val="TOC1"/>
        <w:rPr>
          <w:rFonts w:eastAsiaTheme="minorEastAsia" w:cstheme="minorBidi"/>
          <w:b w:val="0"/>
        </w:rPr>
      </w:pPr>
      <w:hyperlink w:anchor="_Toc460320490" w:history="1">
        <w:r w:rsidR="009434F3" w:rsidRPr="00DE14FD">
          <w:rPr>
            <w:rStyle w:val="Hyperlink"/>
            <w:rFonts w:ascii="Arial" w:hAnsi="Arial"/>
          </w:rPr>
          <w:t>16.</w:t>
        </w:r>
        <w:r w:rsidR="009434F3">
          <w:rPr>
            <w:rFonts w:eastAsiaTheme="minorEastAsia" w:cstheme="minorBidi"/>
            <w:b w:val="0"/>
          </w:rPr>
          <w:tab/>
        </w:r>
        <w:r w:rsidR="009434F3" w:rsidRPr="00DE14FD">
          <w:rPr>
            <w:rStyle w:val="Hyperlink"/>
          </w:rPr>
          <w:t>DEFINITIONS AND ACRONYMS</w:t>
        </w:r>
        <w:r w:rsidR="009434F3">
          <w:rPr>
            <w:webHidden/>
          </w:rPr>
          <w:tab/>
        </w:r>
        <w:r w:rsidR="009434F3">
          <w:rPr>
            <w:webHidden/>
          </w:rPr>
          <w:fldChar w:fldCharType="begin"/>
        </w:r>
        <w:r w:rsidR="009434F3">
          <w:rPr>
            <w:webHidden/>
          </w:rPr>
          <w:instrText xml:space="preserve"> PAGEREF _Toc460320490 \h </w:instrText>
        </w:r>
        <w:r w:rsidR="009434F3">
          <w:rPr>
            <w:webHidden/>
          </w:rPr>
        </w:r>
        <w:r w:rsidR="009434F3">
          <w:rPr>
            <w:webHidden/>
          </w:rPr>
          <w:fldChar w:fldCharType="separate"/>
        </w:r>
        <w:r w:rsidR="00476B3D">
          <w:rPr>
            <w:webHidden/>
          </w:rPr>
          <w:t>114</w:t>
        </w:r>
        <w:r w:rsidR="009434F3">
          <w:rPr>
            <w:webHidden/>
          </w:rPr>
          <w:fldChar w:fldCharType="end"/>
        </w:r>
      </w:hyperlink>
    </w:p>
    <w:p w14:paraId="6D439BE3" w14:textId="4A85D066" w:rsidR="009434F3" w:rsidRDefault="00AE7E55">
      <w:pPr>
        <w:pStyle w:val="TOC2"/>
        <w:rPr>
          <w:rFonts w:eastAsiaTheme="minorEastAsia"/>
          <w:b w:val="0"/>
        </w:rPr>
      </w:pPr>
      <w:hyperlink w:anchor="_Toc460320491" w:history="1">
        <w:r w:rsidR="009434F3" w:rsidRPr="00DE14FD">
          <w:rPr>
            <w:rStyle w:val="Hyperlink"/>
            <w:rFonts w:ascii="Arial" w:hAnsi="Arial"/>
          </w:rPr>
          <w:t>16.1</w:t>
        </w:r>
        <w:r w:rsidR="009434F3">
          <w:rPr>
            <w:rFonts w:eastAsiaTheme="minorEastAsia"/>
            <w:b w:val="0"/>
          </w:rPr>
          <w:tab/>
        </w:r>
        <w:r w:rsidR="009434F3" w:rsidRPr="00DE14FD">
          <w:rPr>
            <w:rStyle w:val="Hyperlink"/>
          </w:rPr>
          <w:t>Acronyms</w:t>
        </w:r>
        <w:r w:rsidR="009434F3">
          <w:rPr>
            <w:webHidden/>
          </w:rPr>
          <w:tab/>
        </w:r>
        <w:r w:rsidR="009434F3">
          <w:rPr>
            <w:webHidden/>
          </w:rPr>
          <w:fldChar w:fldCharType="begin"/>
        </w:r>
        <w:r w:rsidR="009434F3">
          <w:rPr>
            <w:webHidden/>
          </w:rPr>
          <w:instrText xml:space="preserve"> PAGEREF _Toc460320491 \h </w:instrText>
        </w:r>
        <w:r w:rsidR="009434F3">
          <w:rPr>
            <w:webHidden/>
          </w:rPr>
        </w:r>
        <w:r w:rsidR="009434F3">
          <w:rPr>
            <w:webHidden/>
          </w:rPr>
          <w:fldChar w:fldCharType="separate"/>
        </w:r>
        <w:r w:rsidR="00476B3D">
          <w:rPr>
            <w:webHidden/>
          </w:rPr>
          <w:t>114</w:t>
        </w:r>
        <w:r w:rsidR="009434F3">
          <w:rPr>
            <w:webHidden/>
          </w:rPr>
          <w:fldChar w:fldCharType="end"/>
        </w:r>
      </w:hyperlink>
    </w:p>
    <w:p w14:paraId="55C038B1" w14:textId="0096B30C" w:rsidR="009434F3" w:rsidRDefault="00AE7E55">
      <w:pPr>
        <w:pStyle w:val="TOC2"/>
        <w:rPr>
          <w:rFonts w:eastAsiaTheme="minorEastAsia"/>
          <w:b w:val="0"/>
        </w:rPr>
      </w:pPr>
      <w:hyperlink w:anchor="_Toc460320492" w:history="1">
        <w:r w:rsidR="009434F3" w:rsidRPr="00DE14FD">
          <w:rPr>
            <w:rStyle w:val="Hyperlink"/>
            <w:rFonts w:ascii="Arial" w:hAnsi="Arial"/>
          </w:rPr>
          <w:t>16.2</w:t>
        </w:r>
        <w:r w:rsidR="009434F3">
          <w:rPr>
            <w:rFonts w:eastAsiaTheme="minorEastAsia"/>
            <w:b w:val="0"/>
          </w:rPr>
          <w:tab/>
        </w:r>
        <w:r w:rsidR="009434F3" w:rsidRPr="00DE14FD">
          <w:rPr>
            <w:rStyle w:val="Hyperlink"/>
          </w:rPr>
          <w:t>Definitions</w:t>
        </w:r>
        <w:r w:rsidR="009434F3">
          <w:rPr>
            <w:webHidden/>
          </w:rPr>
          <w:tab/>
        </w:r>
        <w:r w:rsidR="009434F3">
          <w:rPr>
            <w:webHidden/>
          </w:rPr>
          <w:fldChar w:fldCharType="begin"/>
        </w:r>
        <w:r w:rsidR="009434F3">
          <w:rPr>
            <w:webHidden/>
          </w:rPr>
          <w:instrText xml:space="preserve"> PAGEREF _Toc460320492 \h </w:instrText>
        </w:r>
        <w:r w:rsidR="009434F3">
          <w:rPr>
            <w:webHidden/>
          </w:rPr>
        </w:r>
        <w:r w:rsidR="009434F3">
          <w:rPr>
            <w:webHidden/>
          </w:rPr>
          <w:fldChar w:fldCharType="separate"/>
        </w:r>
        <w:r w:rsidR="00476B3D">
          <w:rPr>
            <w:webHidden/>
          </w:rPr>
          <w:t>115</w:t>
        </w:r>
        <w:r w:rsidR="009434F3">
          <w:rPr>
            <w:webHidden/>
          </w:rPr>
          <w:fldChar w:fldCharType="end"/>
        </w:r>
      </w:hyperlink>
    </w:p>
    <w:p w14:paraId="4A4BC76D" w14:textId="176FE425" w:rsidR="009434F3" w:rsidRDefault="00AE7E55">
      <w:pPr>
        <w:pStyle w:val="TOC1"/>
        <w:rPr>
          <w:rFonts w:eastAsiaTheme="minorEastAsia" w:cstheme="minorBidi"/>
          <w:b w:val="0"/>
        </w:rPr>
      </w:pPr>
      <w:hyperlink w:anchor="_Toc460320493" w:history="1">
        <w:r w:rsidR="009434F3" w:rsidRPr="00DE14FD">
          <w:rPr>
            <w:rStyle w:val="Hyperlink"/>
          </w:rPr>
          <w:t xml:space="preserve">Appendix A: </w:t>
        </w:r>
        <w:r w:rsidR="009434F3" w:rsidRPr="00DE14FD">
          <w:rPr>
            <w:rStyle w:val="Hyperlink"/>
            <w:rFonts w:eastAsia="Calibri"/>
          </w:rPr>
          <w:t>Mathematical Formulation for EIM Transfer</w:t>
        </w:r>
        <w:r w:rsidR="009434F3">
          <w:rPr>
            <w:webHidden/>
          </w:rPr>
          <w:tab/>
        </w:r>
        <w:r w:rsidR="009434F3">
          <w:rPr>
            <w:webHidden/>
          </w:rPr>
          <w:fldChar w:fldCharType="begin"/>
        </w:r>
        <w:r w:rsidR="009434F3">
          <w:rPr>
            <w:webHidden/>
          </w:rPr>
          <w:instrText xml:space="preserve"> PAGEREF _Toc460320493 \h </w:instrText>
        </w:r>
        <w:r w:rsidR="009434F3">
          <w:rPr>
            <w:webHidden/>
          </w:rPr>
        </w:r>
        <w:r w:rsidR="009434F3">
          <w:rPr>
            <w:webHidden/>
          </w:rPr>
          <w:fldChar w:fldCharType="separate"/>
        </w:r>
        <w:r w:rsidR="00476B3D">
          <w:rPr>
            <w:webHidden/>
          </w:rPr>
          <w:t>119</w:t>
        </w:r>
        <w:r w:rsidR="009434F3">
          <w:rPr>
            <w:webHidden/>
          </w:rPr>
          <w:fldChar w:fldCharType="end"/>
        </w:r>
      </w:hyperlink>
    </w:p>
    <w:p w14:paraId="582E745E" w14:textId="00249AAB" w:rsidR="009434F3" w:rsidRDefault="00AE7E55">
      <w:pPr>
        <w:pStyle w:val="TOC1"/>
        <w:rPr>
          <w:rFonts w:eastAsiaTheme="minorEastAsia" w:cstheme="minorBidi"/>
          <w:b w:val="0"/>
        </w:rPr>
      </w:pPr>
      <w:hyperlink w:anchor="_Toc460320494" w:history="1">
        <w:r w:rsidR="009434F3" w:rsidRPr="00DE14FD">
          <w:rPr>
            <w:rStyle w:val="Hyperlink"/>
          </w:rPr>
          <w:t>Appendix B: Mathematical Formulation for using Available Capacity resolving infeasible power balance conditions in EIM BAAs</w:t>
        </w:r>
        <w:r w:rsidR="009434F3">
          <w:rPr>
            <w:webHidden/>
          </w:rPr>
          <w:tab/>
        </w:r>
        <w:r w:rsidR="009434F3">
          <w:rPr>
            <w:webHidden/>
          </w:rPr>
          <w:fldChar w:fldCharType="begin"/>
        </w:r>
        <w:r w:rsidR="009434F3">
          <w:rPr>
            <w:webHidden/>
          </w:rPr>
          <w:instrText xml:space="preserve"> PAGEREF _Toc460320494 \h </w:instrText>
        </w:r>
        <w:r w:rsidR="009434F3">
          <w:rPr>
            <w:webHidden/>
          </w:rPr>
        </w:r>
        <w:r w:rsidR="009434F3">
          <w:rPr>
            <w:webHidden/>
          </w:rPr>
          <w:fldChar w:fldCharType="separate"/>
        </w:r>
        <w:r w:rsidR="00476B3D">
          <w:rPr>
            <w:webHidden/>
          </w:rPr>
          <w:t>138</w:t>
        </w:r>
        <w:r w:rsidR="009434F3">
          <w:rPr>
            <w:webHidden/>
          </w:rPr>
          <w:fldChar w:fldCharType="end"/>
        </w:r>
      </w:hyperlink>
    </w:p>
    <w:p w14:paraId="093316D7" w14:textId="7B2C45A6" w:rsidR="009434F3" w:rsidRDefault="00AE7E55">
      <w:pPr>
        <w:pStyle w:val="TOC2"/>
        <w:rPr>
          <w:rFonts w:eastAsiaTheme="minorEastAsia"/>
          <w:b w:val="0"/>
        </w:rPr>
      </w:pPr>
      <w:hyperlink w:anchor="_Toc460320495" w:history="1">
        <w:r w:rsidR="009434F3" w:rsidRPr="00DE14FD">
          <w:rPr>
            <w:rStyle w:val="Hyperlink"/>
          </w:rPr>
          <w:t>Introduction</w:t>
        </w:r>
        <w:r w:rsidR="009434F3">
          <w:rPr>
            <w:webHidden/>
          </w:rPr>
          <w:tab/>
        </w:r>
        <w:r w:rsidR="009434F3">
          <w:rPr>
            <w:webHidden/>
          </w:rPr>
          <w:fldChar w:fldCharType="begin"/>
        </w:r>
        <w:r w:rsidR="009434F3">
          <w:rPr>
            <w:webHidden/>
          </w:rPr>
          <w:instrText xml:space="preserve"> PAGEREF _Toc460320495 \h </w:instrText>
        </w:r>
        <w:r w:rsidR="009434F3">
          <w:rPr>
            <w:webHidden/>
          </w:rPr>
        </w:r>
        <w:r w:rsidR="009434F3">
          <w:rPr>
            <w:webHidden/>
          </w:rPr>
          <w:fldChar w:fldCharType="separate"/>
        </w:r>
        <w:r w:rsidR="00476B3D">
          <w:rPr>
            <w:webHidden/>
          </w:rPr>
          <w:t>138</w:t>
        </w:r>
        <w:r w:rsidR="009434F3">
          <w:rPr>
            <w:webHidden/>
          </w:rPr>
          <w:fldChar w:fldCharType="end"/>
        </w:r>
      </w:hyperlink>
    </w:p>
    <w:p w14:paraId="07FFDDAC" w14:textId="247F2FC5" w:rsidR="009434F3" w:rsidRDefault="00AE7E55">
      <w:pPr>
        <w:pStyle w:val="TOC2"/>
        <w:rPr>
          <w:rFonts w:eastAsiaTheme="minorEastAsia"/>
          <w:b w:val="0"/>
        </w:rPr>
      </w:pPr>
      <w:hyperlink w:anchor="_Toc460320496" w:history="1">
        <w:r w:rsidR="009434F3" w:rsidRPr="00DE14FD">
          <w:rPr>
            <w:rStyle w:val="Hyperlink"/>
          </w:rPr>
          <w:t>Technical Description</w:t>
        </w:r>
        <w:r w:rsidR="009434F3">
          <w:rPr>
            <w:webHidden/>
          </w:rPr>
          <w:tab/>
        </w:r>
        <w:r w:rsidR="009434F3">
          <w:rPr>
            <w:webHidden/>
          </w:rPr>
          <w:fldChar w:fldCharType="begin"/>
        </w:r>
        <w:r w:rsidR="009434F3">
          <w:rPr>
            <w:webHidden/>
          </w:rPr>
          <w:instrText xml:space="preserve"> PAGEREF _Toc460320496 \h </w:instrText>
        </w:r>
        <w:r w:rsidR="009434F3">
          <w:rPr>
            <w:webHidden/>
          </w:rPr>
        </w:r>
        <w:r w:rsidR="009434F3">
          <w:rPr>
            <w:webHidden/>
          </w:rPr>
          <w:fldChar w:fldCharType="separate"/>
        </w:r>
        <w:r w:rsidR="00476B3D">
          <w:rPr>
            <w:webHidden/>
          </w:rPr>
          <w:t>138</w:t>
        </w:r>
        <w:r w:rsidR="009434F3">
          <w:rPr>
            <w:webHidden/>
          </w:rPr>
          <w:fldChar w:fldCharType="end"/>
        </w:r>
      </w:hyperlink>
    </w:p>
    <w:p w14:paraId="7DE7BF5C" w14:textId="119D3695" w:rsidR="009434F3" w:rsidRDefault="00AE7E55">
      <w:pPr>
        <w:pStyle w:val="TOC2"/>
        <w:rPr>
          <w:rFonts w:eastAsiaTheme="minorEastAsia"/>
          <w:b w:val="0"/>
        </w:rPr>
      </w:pPr>
      <w:hyperlink w:anchor="_Toc460320497" w:history="1">
        <w:r w:rsidR="009434F3" w:rsidRPr="00DE14FD">
          <w:rPr>
            <w:rStyle w:val="Hyperlink"/>
          </w:rPr>
          <w:t>Mathematical Formulation</w:t>
        </w:r>
        <w:r w:rsidR="009434F3">
          <w:rPr>
            <w:webHidden/>
          </w:rPr>
          <w:tab/>
        </w:r>
        <w:r w:rsidR="009434F3">
          <w:rPr>
            <w:webHidden/>
          </w:rPr>
          <w:fldChar w:fldCharType="begin"/>
        </w:r>
        <w:r w:rsidR="009434F3">
          <w:rPr>
            <w:webHidden/>
          </w:rPr>
          <w:instrText xml:space="preserve"> PAGEREF _Toc460320497 \h </w:instrText>
        </w:r>
        <w:r w:rsidR="009434F3">
          <w:rPr>
            <w:webHidden/>
          </w:rPr>
        </w:r>
        <w:r w:rsidR="009434F3">
          <w:rPr>
            <w:webHidden/>
          </w:rPr>
          <w:fldChar w:fldCharType="separate"/>
        </w:r>
        <w:r w:rsidR="00476B3D">
          <w:rPr>
            <w:webHidden/>
          </w:rPr>
          <w:t>138</w:t>
        </w:r>
        <w:r w:rsidR="009434F3">
          <w:rPr>
            <w:webHidden/>
          </w:rPr>
          <w:fldChar w:fldCharType="end"/>
        </w:r>
      </w:hyperlink>
    </w:p>
    <w:p w14:paraId="0D2052CC" w14:textId="77777777" w:rsidR="00D00182" w:rsidRPr="00C03513" w:rsidRDefault="00BF5ECA" w:rsidP="006C2CAC">
      <w:pPr>
        <w:spacing w:after="200" w:line="276" w:lineRule="auto"/>
        <w:rPr>
          <w:rFonts w:cs="Arial"/>
        </w:rPr>
        <w:sectPr w:rsidR="00D00182" w:rsidRPr="00C03513" w:rsidSect="00A47C1E">
          <w:headerReference w:type="default" r:id="rId111"/>
          <w:footerReference w:type="default" r:id="rId112"/>
          <w:headerReference w:type="first" r:id="rId113"/>
          <w:pgSz w:w="12240" w:h="15840"/>
          <w:pgMar w:top="432" w:right="1350" w:bottom="432" w:left="1440" w:header="720" w:footer="720" w:gutter="0"/>
          <w:pgNumType w:start="1"/>
          <w:cols w:space="720"/>
          <w:titlePg/>
          <w:docGrid w:linePitch="299"/>
        </w:sectPr>
      </w:pPr>
      <w:r w:rsidRPr="00C03513">
        <w:rPr>
          <w:rFonts w:cs="Arial"/>
        </w:rPr>
        <w:fldChar w:fldCharType="end"/>
      </w:r>
    </w:p>
    <w:p w14:paraId="2C151368" w14:textId="77777777" w:rsidR="00D00182" w:rsidRPr="00B00E71" w:rsidRDefault="00D00182" w:rsidP="008E1C96">
      <w:pPr>
        <w:pStyle w:val="Heading1"/>
      </w:pPr>
      <w:bookmarkStart w:id="1" w:name="_Toc389662559"/>
      <w:bookmarkStart w:id="2" w:name="_Toc390946244"/>
      <w:bookmarkStart w:id="3" w:name="_Toc391969809"/>
      <w:bookmarkStart w:id="4" w:name="_Toc460320408"/>
      <w:r w:rsidRPr="008E1C96">
        <w:lastRenderedPageBreak/>
        <w:t>I</w:t>
      </w:r>
      <w:r w:rsidR="008E1C96" w:rsidRPr="008E1C96">
        <w:t>NTRODUCTION</w:t>
      </w:r>
      <w:bookmarkEnd w:id="1"/>
      <w:bookmarkEnd w:id="2"/>
      <w:bookmarkEnd w:id="3"/>
      <w:bookmarkEnd w:id="4"/>
    </w:p>
    <w:p w14:paraId="3F965892" w14:textId="77777777" w:rsidR="00D00182" w:rsidRPr="00C03513" w:rsidRDefault="00D00182" w:rsidP="000F52BB">
      <w:pPr>
        <w:pStyle w:val="ParaText"/>
        <w:rPr>
          <w:rFonts w:cs="Arial"/>
        </w:rPr>
      </w:pPr>
      <w:r w:rsidRPr="00C03513">
        <w:rPr>
          <w:rFonts w:cs="Arial"/>
        </w:rPr>
        <w:t xml:space="preserve">Welcome to the CAISO </w:t>
      </w:r>
      <w:r w:rsidRPr="00C03513">
        <w:rPr>
          <w:rFonts w:cs="Arial"/>
          <w:b/>
          <w:bCs/>
          <w:i/>
          <w:iCs/>
        </w:rPr>
        <w:t>BPM fo</w:t>
      </w:r>
      <w:r w:rsidR="00DE6F5F" w:rsidRPr="00C03513">
        <w:rPr>
          <w:rFonts w:cs="Arial"/>
          <w:b/>
          <w:bCs/>
          <w:i/>
          <w:iCs/>
        </w:rPr>
        <w:t>r</w:t>
      </w:r>
      <w:r w:rsidR="0029044A">
        <w:rPr>
          <w:rFonts w:cs="Arial"/>
          <w:b/>
          <w:bCs/>
          <w:i/>
          <w:iCs/>
        </w:rPr>
        <w:t xml:space="preserve"> the Energy Imbalance Market</w:t>
      </w:r>
      <w:r w:rsidR="00DE6F5F" w:rsidRPr="00C03513">
        <w:rPr>
          <w:rFonts w:cs="Arial"/>
          <w:b/>
          <w:bCs/>
          <w:i/>
          <w:iCs/>
        </w:rPr>
        <w:t>.</w:t>
      </w:r>
      <w:r w:rsidRPr="00C03513">
        <w:rPr>
          <w:rFonts w:cs="Arial"/>
        </w:rPr>
        <w:t xml:space="preserve"> </w:t>
      </w:r>
      <w:r w:rsidR="00DE6F5F" w:rsidRPr="00C03513">
        <w:rPr>
          <w:rFonts w:cs="Arial"/>
        </w:rPr>
        <w:t xml:space="preserve"> </w:t>
      </w:r>
      <w:r w:rsidRPr="00C03513">
        <w:rPr>
          <w:rFonts w:cs="Arial"/>
        </w:rPr>
        <w:t>In this Introduction you will find the following information:</w:t>
      </w:r>
    </w:p>
    <w:p w14:paraId="05D0A013" w14:textId="77777777" w:rsidR="00D00182" w:rsidRPr="00C03513" w:rsidRDefault="00D00182" w:rsidP="00F1046E">
      <w:pPr>
        <w:pStyle w:val="Bullet1HRt"/>
        <w:numPr>
          <w:ilvl w:val="0"/>
          <w:numId w:val="115"/>
        </w:numPr>
        <w:rPr>
          <w:rFonts w:cs="Arial"/>
        </w:rPr>
      </w:pPr>
      <w:r w:rsidRPr="00C03513">
        <w:rPr>
          <w:rFonts w:cs="Arial"/>
        </w:rPr>
        <w:t xml:space="preserve">The purpose of </w:t>
      </w:r>
      <w:r w:rsidR="008F0F75" w:rsidRPr="00C03513">
        <w:rPr>
          <w:rFonts w:cs="Arial"/>
        </w:rPr>
        <w:t>California Independent System Operator Corporation (</w:t>
      </w:r>
      <w:r w:rsidRPr="00C03513">
        <w:rPr>
          <w:rFonts w:cs="Arial"/>
        </w:rPr>
        <w:t>CAISO</w:t>
      </w:r>
      <w:r w:rsidR="008F0F75" w:rsidRPr="00C03513">
        <w:rPr>
          <w:rFonts w:cs="Arial"/>
        </w:rPr>
        <w:t>) Business Practice Manuals</w:t>
      </w:r>
      <w:r w:rsidRPr="00C03513">
        <w:rPr>
          <w:rFonts w:cs="Arial"/>
        </w:rPr>
        <w:t xml:space="preserve"> </w:t>
      </w:r>
      <w:r w:rsidR="008F0F75" w:rsidRPr="00C03513">
        <w:rPr>
          <w:rFonts w:cs="Arial"/>
        </w:rPr>
        <w:t>(</w:t>
      </w:r>
      <w:r w:rsidRPr="00C03513">
        <w:rPr>
          <w:rFonts w:cs="Arial"/>
        </w:rPr>
        <w:t>BPMs</w:t>
      </w:r>
      <w:r w:rsidR="008F0F75" w:rsidRPr="00C03513">
        <w:rPr>
          <w:rFonts w:cs="Arial"/>
        </w:rPr>
        <w:t>)</w:t>
      </w:r>
      <w:r w:rsidR="00B132CB" w:rsidRPr="00C03513">
        <w:rPr>
          <w:rFonts w:cs="Arial"/>
        </w:rPr>
        <w:t>;</w:t>
      </w:r>
    </w:p>
    <w:p w14:paraId="2F99B3DF" w14:textId="77777777" w:rsidR="00D00182" w:rsidRPr="00C03513" w:rsidRDefault="00D00182" w:rsidP="00F1046E">
      <w:pPr>
        <w:pStyle w:val="Bullet1HRt"/>
        <w:numPr>
          <w:ilvl w:val="0"/>
          <w:numId w:val="115"/>
        </w:numPr>
        <w:rPr>
          <w:rFonts w:cs="Arial"/>
        </w:rPr>
      </w:pPr>
      <w:r w:rsidRPr="00C03513">
        <w:rPr>
          <w:rFonts w:cs="Arial"/>
        </w:rPr>
        <w:t>What you can expect from this CAISO BPM</w:t>
      </w:r>
      <w:r w:rsidR="00B132CB" w:rsidRPr="00C03513">
        <w:rPr>
          <w:rFonts w:cs="Arial"/>
        </w:rPr>
        <w:t xml:space="preserve">; </w:t>
      </w:r>
    </w:p>
    <w:p w14:paraId="369649FA" w14:textId="77777777" w:rsidR="00527618" w:rsidRPr="00BF03A5" w:rsidRDefault="00D00182" w:rsidP="00F1046E">
      <w:pPr>
        <w:pStyle w:val="Bullet1HRt"/>
        <w:numPr>
          <w:ilvl w:val="0"/>
          <w:numId w:val="115"/>
        </w:numPr>
      </w:pPr>
      <w:r w:rsidRPr="00C03513">
        <w:rPr>
          <w:rFonts w:cs="Arial"/>
        </w:rPr>
        <w:t>Other CAISO BPMs or documents that provide related or additional information</w:t>
      </w:r>
      <w:r w:rsidR="00527618">
        <w:rPr>
          <w:rFonts w:cs="Arial"/>
        </w:rPr>
        <w:t>; and</w:t>
      </w:r>
    </w:p>
    <w:p w14:paraId="3EA0DF1A" w14:textId="77777777" w:rsidR="00D00182" w:rsidRDefault="00527618" w:rsidP="00F1046E">
      <w:pPr>
        <w:pStyle w:val="Bullet1HRt"/>
        <w:numPr>
          <w:ilvl w:val="0"/>
          <w:numId w:val="115"/>
        </w:numPr>
        <w:rPr>
          <w:rFonts w:cs="Arial"/>
        </w:rPr>
      </w:pPr>
      <w:r>
        <w:rPr>
          <w:rFonts w:cs="Arial"/>
        </w:rPr>
        <w:t>The draft status of this BPM and expected next steps</w:t>
      </w:r>
      <w:r w:rsidR="00B132CB" w:rsidRPr="00C03513">
        <w:rPr>
          <w:rFonts w:cs="Arial"/>
        </w:rPr>
        <w:t>.</w:t>
      </w:r>
    </w:p>
    <w:p w14:paraId="3C9BB5C6" w14:textId="77777777" w:rsidR="00D00182" w:rsidRPr="008E1C96" w:rsidRDefault="00D00182" w:rsidP="008E1C96">
      <w:pPr>
        <w:pStyle w:val="Heading2"/>
      </w:pPr>
      <w:bookmarkStart w:id="5" w:name="_Toc389662560"/>
      <w:bookmarkStart w:id="6" w:name="_Toc390946245"/>
      <w:bookmarkStart w:id="7" w:name="_Toc391969810"/>
      <w:bookmarkStart w:id="8" w:name="_Toc460320409"/>
      <w:r w:rsidRPr="008E1C96">
        <w:t>Purpose of CAISO Business Practice Manuals</w:t>
      </w:r>
      <w:bookmarkEnd w:id="5"/>
      <w:bookmarkEnd w:id="6"/>
      <w:bookmarkEnd w:id="7"/>
      <w:bookmarkEnd w:id="8"/>
    </w:p>
    <w:p w14:paraId="3C9931CA" w14:textId="77777777" w:rsidR="00D00182" w:rsidRPr="00B00E71" w:rsidRDefault="00D00182" w:rsidP="00B06DE4">
      <w:pPr>
        <w:pStyle w:val="ParaText"/>
      </w:pPr>
      <w:r w:rsidRPr="00C03513">
        <w:rPr>
          <w:rFonts w:cs="Arial"/>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w:t>
      </w:r>
      <w:r w:rsidR="003D2EC1">
        <w:t>Each Business Practice Manual is posted in the BPM Library at:</w:t>
      </w:r>
      <w:r w:rsidR="001765FC" w:rsidRPr="001765FC">
        <w:t xml:space="preserve"> </w:t>
      </w:r>
      <w:hyperlink r:id="rId114" w:history="1">
        <w:r w:rsidR="001765FC" w:rsidRPr="007A33C4">
          <w:rPr>
            <w:color w:val="0000FF"/>
            <w:u w:val="single"/>
          </w:rPr>
          <w:t>http://bpmcm.caiso.com/Pages/BPMLibrary.aspx</w:t>
        </w:r>
      </w:hyperlink>
      <w:r w:rsidR="001765FC" w:rsidRPr="007A33C4">
        <w:rPr>
          <w:color w:val="0000FF"/>
          <w:u w:val="single"/>
        </w:rPr>
        <w:t xml:space="preserve">.  </w:t>
      </w:r>
      <w:r w:rsidR="003D2EC1">
        <w:t xml:space="preserve"> </w:t>
      </w:r>
      <w:r w:rsidR="00D71FFC" w:rsidRPr="00E16E49">
        <w:rPr>
          <w:rStyle w:val="Hyperlink"/>
          <w:color w:val="auto"/>
          <w:u w:val="none"/>
        </w:rPr>
        <w:t xml:space="preserve">Updates to all BPMs are managed in accordance with the change management procedures included in the </w:t>
      </w:r>
      <w:hyperlink r:id="rId115" w:history="1">
        <w:r w:rsidR="001765FC" w:rsidRPr="001765FC">
          <w:rPr>
            <w:rStyle w:val="Hyperlink"/>
            <w:b/>
          </w:rPr>
          <w:t>BPM for Change Management</w:t>
        </w:r>
      </w:hyperlink>
      <w:r w:rsidR="001765FC" w:rsidRPr="001765FC">
        <w:t>.</w:t>
      </w:r>
    </w:p>
    <w:p w14:paraId="5C17E973" w14:textId="77777777" w:rsidR="00D00182" w:rsidRPr="00C03513" w:rsidRDefault="00D00182" w:rsidP="00606233">
      <w:pPr>
        <w:pStyle w:val="Heading2"/>
        <w:keepLines/>
        <w:numPr>
          <w:ilvl w:val="1"/>
          <w:numId w:val="7"/>
        </w:numPr>
        <w:rPr>
          <w:rFonts w:cs="Arial"/>
        </w:rPr>
      </w:pPr>
      <w:bookmarkStart w:id="9" w:name="_Toc389662561"/>
      <w:bookmarkStart w:id="10" w:name="_Toc390946246"/>
      <w:bookmarkStart w:id="11" w:name="_Toc391969811"/>
      <w:bookmarkStart w:id="12" w:name="_Toc460320410"/>
      <w:r w:rsidRPr="00C03513">
        <w:rPr>
          <w:rFonts w:cs="Arial"/>
        </w:rPr>
        <w:t xml:space="preserve">Purpose of </w:t>
      </w:r>
      <w:r w:rsidR="00A51DCD" w:rsidRPr="00C03513">
        <w:rPr>
          <w:rFonts w:cs="Arial"/>
        </w:rPr>
        <w:t>Th</w:t>
      </w:r>
      <w:r w:rsidRPr="00C03513">
        <w:rPr>
          <w:rFonts w:cs="Arial"/>
        </w:rPr>
        <w:t>is Business Practice Manual</w:t>
      </w:r>
      <w:bookmarkEnd w:id="9"/>
      <w:bookmarkEnd w:id="10"/>
      <w:bookmarkEnd w:id="11"/>
      <w:bookmarkEnd w:id="12"/>
    </w:p>
    <w:p w14:paraId="1C63BD2B" w14:textId="77777777" w:rsidR="00FD34EB" w:rsidRDefault="00486B53" w:rsidP="000F52BB">
      <w:pPr>
        <w:pStyle w:val="ParaText"/>
        <w:rPr>
          <w:rFonts w:cs="Arial"/>
        </w:rPr>
      </w:pPr>
      <w:r>
        <w:rPr>
          <w:rFonts w:cs="Arial"/>
        </w:rPr>
        <w:t>The Energy Imbalan</w:t>
      </w:r>
      <w:r w:rsidR="00AD59C2">
        <w:rPr>
          <w:rFonts w:cs="Arial"/>
        </w:rPr>
        <w:t xml:space="preserve">ce Market is an extension of </w:t>
      </w:r>
      <w:r w:rsidR="006A582E">
        <w:rPr>
          <w:rFonts w:cs="Arial"/>
        </w:rPr>
        <w:t>CA</w:t>
      </w:r>
      <w:r w:rsidR="008C11A0">
        <w:rPr>
          <w:rFonts w:cs="Arial"/>
        </w:rPr>
        <w:t xml:space="preserve">ISO’s </w:t>
      </w:r>
      <w:r w:rsidR="00FC30E3">
        <w:rPr>
          <w:rFonts w:cs="Arial"/>
        </w:rPr>
        <w:t>Real-Time</w:t>
      </w:r>
      <w:r w:rsidR="008C11A0">
        <w:rPr>
          <w:rFonts w:cs="Arial"/>
        </w:rPr>
        <w:t xml:space="preserve"> M</w:t>
      </w:r>
      <w:r>
        <w:rPr>
          <w:rFonts w:cs="Arial"/>
        </w:rPr>
        <w:t>arket.  Many of the busine</w:t>
      </w:r>
      <w:r w:rsidR="008C11A0">
        <w:rPr>
          <w:rFonts w:cs="Arial"/>
        </w:rPr>
        <w:t xml:space="preserve">ss practices applicable to the </w:t>
      </w:r>
      <w:r w:rsidR="00FC30E3">
        <w:rPr>
          <w:rFonts w:cs="Arial"/>
        </w:rPr>
        <w:t>Real-Time</w:t>
      </w:r>
      <w:r w:rsidR="008C11A0">
        <w:rPr>
          <w:rFonts w:cs="Arial"/>
        </w:rPr>
        <w:t xml:space="preserve"> M</w:t>
      </w:r>
      <w:r>
        <w:rPr>
          <w:rFonts w:cs="Arial"/>
        </w:rPr>
        <w:t xml:space="preserve">arket also </w:t>
      </w:r>
      <w:r w:rsidR="00311EBF">
        <w:rPr>
          <w:rFonts w:cs="Arial"/>
        </w:rPr>
        <w:t>apply to the Energy Imbalance Market (EIM)</w:t>
      </w:r>
      <w:r>
        <w:rPr>
          <w:rFonts w:cs="Arial"/>
        </w:rPr>
        <w:t xml:space="preserve">.  </w:t>
      </w:r>
      <w:r w:rsidR="00FD34EB">
        <w:rPr>
          <w:rFonts w:cs="Arial"/>
        </w:rPr>
        <w:t>This business pra</w:t>
      </w:r>
      <w:r w:rsidR="00311EBF">
        <w:rPr>
          <w:rFonts w:cs="Arial"/>
        </w:rPr>
        <w:t xml:space="preserve">ctice manual is a guideline for EIM </w:t>
      </w:r>
      <w:r w:rsidR="00FD34EB">
        <w:rPr>
          <w:rFonts w:cs="Arial"/>
        </w:rPr>
        <w:t>participants and will outline the processes in the EIM</w:t>
      </w:r>
      <w:r>
        <w:rPr>
          <w:rFonts w:cs="Arial"/>
        </w:rPr>
        <w:t>, including references to existing Business Practice Manuals</w:t>
      </w:r>
      <w:r w:rsidR="00FD34EB">
        <w:rPr>
          <w:rFonts w:cs="Arial"/>
        </w:rPr>
        <w:t xml:space="preserve">.  Revision requests for the BPMs may be submitted by stakeholders or an internal </w:t>
      </w:r>
      <w:r w:rsidR="00D415ED">
        <w:rPr>
          <w:rFonts w:cs="Arial"/>
        </w:rPr>
        <w:t>CA</w:t>
      </w:r>
      <w:r w:rsidR="00FD34EB">
        <w:rPr>
          <w:rFonts w:cs="Arial"/>
        </w:rPr>
        <w:t xml:space="preserve">ISO department.  </w:t>
      </w:r>
    </w:p>
    <w:p w14:paraId="395CCCAD" w14:textId="77777777" w:rsidR="00D00182" w:rsidRPr="00C03513" w:rsidRDefault="00D00182" w:rsidP="000F52BB">
      <w:pPr>
        <w:pStyle w:val="ParaText"/>
        <w:rPr>
          <w:rFonts w:cs="Arial"/>
        </w:rPr>
      </w:pPr>
      <w:r w:rsidRPr="00C03513">
        <w:rPr>
          <w:rFonts w:cs="Arial"/>
        </w:rPr>
        <w:t>If a Market Participant detects an inconsistency between BPMs, it should report the inconsistency to CAISO before relying on either provision.</w:t>
      </w:r>
    </w:p>
    <w:p w14:paraId="3824C936" w14:textId="77777777" w:rsidR="00D00182" w:rsidRPr="00C03513" w:rsidRDefault="00D00182" w:rsidP="00B06DE4">
      <w:pPr>
        <w:pStyle w:val="ParaText"/>
        <w:rPr>
          <w:rFonts w:cs="Arial"/>
          <w:bCs/>
        </w:rPr>
      </w:pPr>
      <w:r w:rsidRPr="00C03513">
        <w:rPr>
          <w:rFonts w:cs="Arial"/>
        </w:rPr>
        <w:lastRenderedPageBreak/>
        <w:t xml:space="preserve">The provisions of this BPM are intended to be consistent with the CAISO Tariff.  If </w:t>
      </w:r>
      <w:r w:rsidRPr="00C03513">
        <w:rPr>
          <w:rFonts w:cs="Arial"/>
          <w:bCs/>
        </w:rPr>
        <w:t xml:space="preserve">the provisions of this BPM </w:t>
      </w:r>
      <w:r w:rsidRPr="00C03513">
        <w:rPr>
          <w:rFonts w:cs="Arial"/>
        </w:rPr>
        <w:t xml:space="preserve">nevertheless conflict with </w:t>
      </w:r>
      <w:r w:rsidR="00AD59C2">
        <w:rPr>
          <w:rFonts w:cs="Arial"/>
          <w:bCs/>
        </w:rPr>
        <w:t xml:space="preserve">the CAISO Tariff, </w:t>
      </w:r>
      <w:r w:rsidRPr="00C03513">
        <w:rPr>
          <w:rFonts w:cs="Arial"/>
        </w:rPr>
        <w:t xml:space="preserve">CAISO is bound to operate in accordance with </w:t>
      </w:r>
      <w:r w:rsidRPr="00C03513">
        <w:rPr>
          <w:rFonts w:cs="Arial"/>
          <w:bCs/>
        </w:rPr>
        <w:t>the CAISO Tariff.  Any provision of the CAISO Tariff that may have been summarized or repeated in this BPM is only to aid understanding.  Even though e</w:t>
      </w:r>
      <w:r w:rsidR="00AD59C2">
        <w:rPr>
          <w:rFonts w:cs="Arial"/>
          <w:bCs/>
        </w:rPr>
        <w:t xml:space="preserve">very effort will be made by </w:t>
      </w:r>
      <w:r w:rsidRPr="00C03513">
        <w:rPr>
          <w:rFonts w:cs="Arial"/>
          <w:bCs/>
        </w:rPr>
        <w:t>CAISO to update the information contained in</w:t>
      </w:r>
      <w:r w:rsidR="001D146C">
        <w:rPr>
          <w:rFonts w:cs="Arial"/>
          <w:bCs/>
        </w:rPr>
        <w:t xml:space="preserve"> this BPM and to notify Market P</w:t>
      </w:r>
      <w:r w:rsidRPr="00C03513">
        <w:rPr>
          <w:rFonts w:cs="Arial"/>
          <w:bCs/>
        </w:rPr>
        <w:t>articipants of changes, it is the responsibility of each Market Participant to ensure that he or she is using the most recent version of this BPM and to comply with all applicable provisions of the CAISO Tariff.</w:t>
      </w:r>
    </w:p>
    <w:p w14:paraId="7647F794" w14:textId="77777777" w:rsidR="00D00182" w:rsidRPr="00C03513" w:rsidRDefault="00D00182" w:rsidP="00E16E49">
      <w:pPr>
        <w:pStyle w:val="ParaText"/>
        <w:rPr>
          <w:rFonts w:cs="Arial"/>
          <w:bCs/>
        </w:rPr>
      </w:pPr>
      <w:r w:rsidRPr="00C03513">
        <w:rPr>
          <w:rFonts w:cs="Arial"/>
          <w:bCs/>
        </w:rPr>
        <w:t xml:space="preserve">A reference in this BPM to the CAISO Tariff, a given agreement, any other BPM or instrument, </w:t>
      </w:r>
      <w:r w:rsidRPr="00C03513">
        <w:rPr>
          <w:rFonts w:cs="Arial"/>
        </w:rPr>
        <w:t xml:space="preserve">is intended to </w:t>
      </w:r>
      <w:r w:rsidRPr="00C03513">
        <w:rPr>
          <w:rFonts w:cs="Arial"/>
          <w:bCs/>
        </w:rPr>
        <w:t>refer to the CAISO Tariff, that agreement, BPM</w:t>
      </w:r>
      <w:r w:rsidR="001D146C">
        <w:rPr>
          <w:rFonts w:cs="Arial"/>
          <w:bCs/>
        </w:rPr>
        <w:t>,</w:t>
      </w:r>
      <w:r w:rsidRPr="00C03513">
        <w:rPr>
          <w:rFonts w:cs="Arial"/>
          <w:bCs/>
        </w:rPr>
        <w:t xml:space="preserve"> or instrument as modified, amended, supplemented</w:t>
      </w:r>
      <w:r w:rsidR="001D146C">
        <w:rPr>
          <w:rFonts w:cs="Arial"/>
          <w:bCs/>
        </w:rPr>
        <w:t>,</w:t>
      </w:r>
      <w:r w:rsidRPr="00C03513">
        <w:rPr>
          <w:rFonts w:cs="Arial"/>
          <w:bCs/>
        </w:rPr>
        <w:t xml:space="preserve"> or restated.</w:t>
      </w:r>
    </w:p>
    <w:p w14:paraId="41F1D63C" w14:textId="77777777" w:rsidR="00D00182" w:rsidRPr="00C03513" w:rsidRDefault="00D00182" w:rsidP="00606233">
      <w:pPr>
        <w:pStyle w:val="Heading2"/>
        <w:numPr>
          <w:ilvl w:val="1"/>
          <w:numId w:val="7"/>
        </w:numPr>
        <w:rPr>
          <w:rFonts w:cs="Arial"/>
        </w:rPr>
      </w:pPr>
      <w:bookmarkStart w:id="13" w:name="_Toc389662562"/>
      <w:bookmarkStart w:id="14" w:name="_Toc390946247"/>
      <w:bookmarkStart w:id="15" w:name="_Toc391969812"/>
      <w:bookmarkStart w:id="16" w:name="_Toc460320411"/>
      <w:r w:rsidRPr="00C03513">
        <w:rPr>
          <w:rFonts w:cs="Arial"/>
        </w:rPr>
        <w:t>References</w:t>
      </w:r>
      <w:bookmarkEnd w:id="13"/>
      <w:bookmarkEnd w:id="14"/>
      <w:bookmarkEnd w:id="15"/>
      <w:bookmarkEnd w:id="16"/>
    </w:p>
    <w:p w14:paraId="75B4A42B" w14:textId="77777777" w:rsidR="00D00182" w:rsidRPr="00C03513" w:rsidRDefault="00DA22FB" w:rsidP="00D00182">
      <w:pPr>
        <w:pStyle w:val="ParaText"/>
        <w:rPr>
          <w:rFonts w:cs="Arial"/>
        </w:rPr>
      </w:pPr>
      <w:r>
        <w:rPr>
          <w:rFonts w:cs="Arial"/>
        </w:rPr>
        <w:t>R</w:t>
      </w:r>
      <w:r w:rsidR="00D00182" w:rsidRPr="00C03513">
        <w:rPr>
          <w:rFonts w:cs="Arial"/>
        </w:rPr>
        <w:t>eference information related to this BPM includes:</w:t>
      </w:r>
    </w:p>
    <w:p w14:paraId="2E0B06CD" w14:textId="77777777" w:rsidR="00D00182" w:rsidRDefault="00D00182" w:rsidP="00D00182">
      <w:pPr>
        <w:pStyle w:val="Bullet1"/>
        <w:rPr>
          <w:rFonts w:cs="Arial"/>
        </w:rPr>
      </w:pPr>
      <w:r w:rsidRPr="00C03513">
        <w:rPr>
          <w:rFonts w:cs="Arial"/>
        </w:rPr>
        <w:t>Other CAISO BPMs</w:t>
      </w:r>
    </w:p>
    <w:p w14:paraId="78109FA4" w14:textId="77777777" w:rsidR="00305625" w:rsidRDefault="00305625" w:rsidP="00D00182">
      <w:pPr>
        <w:pStyle w:val="Bullet1"/>
        <w:rPr>
          <w:rFonts w:cs="Arial"/>
        </w:rPr>
      </w:pPr>
      <w:r w:rsidRPr="00C03513">
        <w:rPr>
          <w:rFonts w:cs="Arial"/>
        </w:rPr>
        <w:t>CAISO Tariff</w:t>
      </w:r>
    </w:p>
    <w:p w14:paraId="30C9471F" w14:textId="77777777" w:rsidR="00305625" w:rsidRDefault="00305625" w:rsidP="00D00182">
      <w:pPr>
        <w:pStyle w:val="Bullet1"/>
        <w:rPr>
          <w:rFonts w:cs="Arial"/>
        </w:rPr>
      </w:pPr>
      <w:r w:rsidRPr="00562195">
        <w:rPr>
          <w:rFonts w:cs="Arial"/>
        </w:rPr>
        <w:t>EIM Final Proposal, September 23, 2013</w:t>
      </w:r>
    </w:p>
    <w:p w14:paraId="34BA4382" w14:textId="77777777" w:rsidR="00305625" w:rsidRPr="00C03513" w:rsidRDefault="00305625" w:rsidP="00E62C48">
      <w:pPr>
        <w:pStyle w:val="Bullet1"/>
        <w:numPr>
          <w:ilvl w:val="0"/>
          <w:numId w:val="0"/>
        </w:numPr>
        <w:ind w:left="720"/>
        <w:rPr>
          <w:rFonts w:cs="Arial"/>
        </w:rPr>
      </w:pPr>
    </w:p>
    <w:p w14:paraId="68BCA47F" w14:textId="77777777" w:rsidR="003A0BB4" w:rsidRPr="00C03513" w:rsidRDefault="003A0BB4">
      <w:pPr>
        <w:pStyle w:val="Bullet1HRt"/>
        <w:numPr>
          <w:ilvl w:val="0"/>
          <w:numId w:val="0"/>
        </w:numPr>
      </w:pPr>
      <w:r w:rsidRPr="00C03513">
        <w:t>CAISO posts current versions of these documents</w:t>
      </w:r>
      <w:r w:rsidR="000F52BB">
        <w:t xml:space="preserve"> on its website</w:t>
      </w:r>
      <w:r w:rsidRPr="00C03513">
        <w:t>.</w:t>
      </w:r>
    </w:p>
    <w:p w14:paraId="27FF86E9" w14:textId="77777777" w:rsidR="003A0BB4" w:rsidRPr="00C03513" w:rsidRDefault="003A0BB4" w:rsidP="003A0BB4">
      <w:pPr>
        <w:pStyle w:val="Bullet1HRt"/>
        <w:numPr>
          <w:ilvl w:val="0"/>
          <w:numId w:val="0"/>
        </w:numPr>
      </w:pPr>
      <w:r w:rsidRPr="00C03513">
        <w:t>Whenever this BPM refers to the</w:t>
      </w:r>
      <w:r w:rsidR="00552869" w:rsidRPr="00C03513">
        <w:t xml:space="preserve"> Tariff</w:t>
      </w:r>
      <w:r w:rsidRPr="00C03513">
        <w:t xml:space="preserve">, a given agreement (such as </w:t>
      </w:r>
      <w:r w:rsidR="00963966">
        <w:t>EIM Entity Agreement</w:t>
      </w:r>
      <w:r w:rsidR="00552869" w:rsidRPr="00C03513">
        <w:t>),</w:t>
      </w:r>
      <w:r w:rsidRPr="00C03513">
        <w:t xml:space="preserve"> or any other BPM or instrument, the intent is to refer to the</w:t>
      </w:r>
      <w:r w:rsidR="00552869" w:rsidRPr="00C03513">
        <w:t xml:space="preserve"> Tariff</w:t>
      </w:r>
      <w:r w:rsidRPr="00C03513">
        <w:t xml:space="preserve">, that agreement, </w:t>
      </w:r>
      <w:r w:rsidR="00957872">
        <w:t xml:space="preserve">any </w:t>
      </w:r>
      <w:r w:rsidRPr="00C03513">
        <w:t>other BPM or instrument as it may have been modified, amended, supplemented</w:t>
      </w:r>
      <w:r w:rsidR="009A0B75">
        <w:t>,</w:t>
      </w:r>
      <w:r w:rsidRPr="00C03513">
        <w:t xml:space="preserve"> or restated from the release date of this </w:t>
      </w:r>
      <w:r w:rsidR="00552869" w:rsidRPr="00C03513">
        <w:t xml:space="preserve"> </w:t>
      </w:r>
      <w:r w:rsidRPr="00C03513">
        <w:t>BPM</w:t>
      </w:r>
      <w:r w:rsidR="001D146C">
        <w:t xml:space="preserve"> for the Energy Imbalance Market</w:t>
      </w:r>
      <w:r w:rsidRPr="00C03513">
        <w:t>.</w:t>
      </w:r>
    </w:p>
    <w:p w14:paraId="10E76C45" w14:textId="77777777" w:rsidR="004430AC" w:rsidRDefault="003A0BB4" w:rsidP="005242BC">
      <w:pPr>
        <w:pStyle w:val="Bullet1HRt"/>
        <w:numPr>
          <w:ilvl w:val="0"/>
          <w:numId w:val="0"/>
        </w:numPr>
      </w:pPr>
      <w:r w:rsidRPr="00C03513">
        <w:t xml:space="preserve">The captions and headings in this BPM </w:t>
      </w:r>
      <w:r w:rsidR="00963966">
        <w:t xml:space="preserve">are </w:t>
      </w:r>
      <w:r w:rsidRPr="00C03513">
        <w:t>intend</w:t>
      </w:r>
      <w:r w:rsidR="00963966">
        <w:t>ed</w:t>
      </w:r>
      <w:r w:rsidRPr="00C03513">
        <w:t xml:space="preserve"> solely to facilitate reference and not to have any bearing on the meaning of any of the terms and conditions of this BPM.</w:t>
      </w:r>
    </w:p>
    <w:p w14:paraId="19313B75" w14:textId="77777777" w:rsidR="007B1C43" w:rsidRPr="00BF03A5" w:rsidRDefault="007B1C43" w:rsidP="005242BC">
      <w:pPr>
        <w:pStyle w:val="Bullet1HRt"/>
        <w:numPr>
          <w:ilvl w:val="0"/>
          <w:numId w:val="0"/>
        </w:numPr>
      </w:pPr>
    </w:p>
    <w:p w14:paraId="10C2A750" w14:textId="77777777" w:rsidR="00D00182" w:rsidRDefault="00CF6A5D" w:rsidP="008E1C96">
      <w:pPr>
        <w:pStyle w:val="Heading1"/>
      </w:pPr>
      <w:r w:rsidRPr="008E1C96">
        <w:lastRenderedPageBreak/>
        <w:t xml:space="preserve"> </w:t>
      </w:r>
      <w:bookmarkStart w:id="17" w:name="_Toc389662563"/>
      <w:bookmarkStart w:id="18" w:name="_Toc390946248"/>
      <w:bookmarkStart w:id="19" w:name="_Toc391969813"/>
      <w:bookmarkStart w:id="20" w:name="_Toc460320412"/>
      <w:r w:rsidR="008E1C96" w:rsidRPr="008E1C96">
        <w:t>BACKGROUND</w:t>
      </w:r>
      <w:bookmarkEnd w:id="17"/>
      <w:bookmarkEnd w:id="18"/>
      <w:bookmarkEnd w:id="19"/>
      <w:bookmarkEnd w:id="20"/>
    </w:p>
    <w:p w14:paraId="16995732" w14:textId="77777777" w:rsidR="00A04358" w:rsidRDefault="00A04358" w:rsidP="00877DDB">
      <w:pPr>
        <w:pStyle w:val="Bullet1HRt"/>
        <w:numPr>
          <w:ilvl w:val="0"/>
          <w:numId w:val="0"/>
        </w:numPr>
      </w:pPr>
      <w:r>
        <w:t xml:space="preserve">Welcome to the </w:t>
      </w:r>
      <w:r w:rsidRPr="00877DDB">
        <w:t>Background</w:t>
      </w:r>
      <w:r>
        <w:t xml:space="preserve"> section of the CAISO </w:t>
      </w:r>
      <w:r w:rsidRPr="00877DDB">
        <w:t>BPM for the Energy Imbalance Market</w:t>
      </w:r>
      <w:r>
        <w:t xml:space="preserve">.  </w:t>
      </w:r>
      <w:r w:rsidR="009D2609">
        <w:t>In this section</w:t>
      </w:r>
      <w:r>
        <w:t xml:space="preserve"> </w:t>
      </w:r>
      <w:r w:rsidR="009D2609">
        <w:t xml:space="preserve">you will find </w:t>
      </w:r>
      <w:r>
        <w:t xml:space="preserve">the following </w:t>
      </w:r>
      <w:r w:rsidR="009D2609">
        <w:t>information</w:t>
      </w:r>
      <w:r>
        <w:t>:</w:t>
      </w:r>
    </w:p>
    <w:p w14:paraId="13B2D64F" w14:textId="77777777" w:rsidR="00587E28" w:rsidRDefault="00587E28" w:rsidP="00877DDB">
      <w:pPr>
        <w:pStyle w:val="Bullet1HRt"/>
        <w:numPr>
          <w:ilvl w:val="0"/>
          <w:numId w:val="247"/>
        </w:numPr>
      </w:pPr>
      <w:r>
        <w:t>Summary of CAISO’s Energy Imbalance Market Processes</w:t>
      </w:r>
      <w:r w:rsidR="001B2475">
        <w:t>.</w:t>
      </w:r>
    </w:p>
    <w:p w14:paraId="4223A989" w14:textId="77777777" w:rsidR="00587E28" w:rsidRDefault="00587E28" w:rsidP="00877DDB">
      <w:pPr>
        <w:pStyle w:val="Bullet1HRt"/>
        <w:numPr>
          <w:ilvl w:val="0"/>
          <w:numId w:val="247"/>
        </w:numPr>
      </w:pPr>
      <w:r>
        <w:t>Summary of distinctive EIM features.</w:t>
      </w:r>
    </w:p>
    <w:p w14:paraId="6D2BC4F5" w14:textId="77777777" w:rsidR="00246D43" w:rsidRPr="00B00E71" w:rsidRDefault="009D2609" w:rsidP="00877DDB">
      <w:pPr>
        <w:pStyle w:val="Bullet1HRt"/>
        <w:numPr>
          <w:ilvl w:val="0"/>
          <w:numId w:val="0"/>
        </w:numPr>
      </w:pPr>
      <w:r>
        <w:t xml:space="preserve"> </w:t>
      </w:r>
      <w:r w:rsidR="00FC30E3">
        <w:t>The EIM is a Real-Time M</w:t>
      </w:r>
      <w:r w:rsidR="0083749E" w:rsidRPr="00B00E71">
        <w:t>arket to dispatch econom</w:t>
      </w:r>
      <w:r w:rsidR="00C148A5">
        <w:t>ic bids voluntarily offered by Participating R</w:t>
      </w:r>
      <w:r w:rsidR="0083749E" w:rsidRPr="00B00E71">
        <w:t xml:space="preserve">esources to efficiently balance supply, transfers between balancing authority areas, and load across its footprint. </w:t>
      </w:r>
      <w:r w:rsidR="0083749E" w:rsidRPr="00BF03A5">
        <w:t xml:space="preserve"> </w:t>
      </w:r>
      <w:r w:rsidR="0083749E" w:rsidRPr="008C1485">
        <w:t xml:space="preserve">EIM processes will be </w:t>
      </w:r>
      <w:r w:rsidR="00AD59C2">
        <w:t xml:space="preserve">similar and integrated with </w:t>
      </w:r>
      <w:r w:rsidR="003C7E61">
        <w:t>CA</w:t>
      </w:r>
      <w:r w:rsidR="0083749E" w:rsidRPr="008C1485">
        <w:t xml:space="preserve">ISO’s existing market processes. </w:t>
      </w:r>
      <w:r w:rsidR="00963966">
        <w:t xml:space="preserve"> </w:t>
      </w:r>
      <w:r w:rsidR="0083749E" w:rsidRPr="00B00E71">
        <w:t>The primary difference is that the EIM only incl</w:t>
      </w:r>
      <w:r w:rsidR="00AD59C2">
        <w:t xml:space="preserve">udes </w:t>
      </w:r>
      <w:r w:rsidR="003C7E61">
        <w:t>CA</w:t>
      </w:r>
      <w:r w:rsidR="0083749E" w:rsidRPr="00B00E71">
        <w:t>ISO</w:t>
      </w:r>
      <w:r w:rsidR="00FC30E3">
        <w:t>’s Real-Time M</w:t>
      </w:r>
      <w:r w:rsidR="00AD59C2">
        <w:t xml:space="preserve">arket and not </w:t>
      </w:r>
      <w:r w:rsidR="00E4613C">
        <w:t>CAISO’s Day-Ahead M</w:t>
      </w:r>
      <w:r w:rsidR="0083749E" w:rsidRPr="00B00E71">
        <w:t>arket. The EIM will have some unique characteristics to reflect this difference</w:t>
      </w:r>
      <w:r w:rsidR="00BF675A">
        <w:t>.  The EIM includes design elements that</w:t>
      </w:r>
      <w:r w:rsidR="0083749E" w:rsidRPr="00B00E71">
        <w:t xml:space="preserve"> ensure EIM balancing authorities have sufficient generation resources av</w:t>
      </w:r>
      <w:r w:rsidR="00FC30E3">
        <w:t>ailable in the Real-Time M</w:t>
      </w:r>
      <w:r w:rsidR="00BF675A">
        <w:t>arket</w:t>
      </w:r>
      <w:r w:rsidR="00D42782">
        <w:t>,</w:t>
      </w:r>
      <w:r w:rsidR="00BF675A">
        <w:t xml:space="preserve"> and allocates costs</w:t>
      </w:r>
      <w:r w:rsidR="006418F6">
        <w:t xml:space="preserve"> </w:t>
      </w:r>
      <w:r w:rsidR="0083749E" w:rsidRPr="00B00E71">
        <w:t xml:space="preserve">between balancing authorities according to </w:t>
      </w:r>
      <w:r w:rsidR="003C7E61">
        <w:t>CA</w:t>
      </w:r>
      <w:r w:rsidR="00BF675A">
        <w:t>ISO guiding principles. The EIM also ensures that p</w:t>
      </w:r>
      <w:r w:rsidR="0083749E" w:rsidRPr="00B00E71">
        <w:t xml:space="preserve">rotections are in place so convergence bidding does not cause cost uplifts in EIM balancing authorities. </w:t>
      </w:r>
    </w:p>
    <w:p w14:paraId="432FE330" w14:textId="77777777" w:rsidR="0083749E" w:rsidRPr="00B97D31" w:rsidRDefault="00246D43" w:rsidP="00877DDB">
      <w:pPr>
        <w:pStyle w:val="Bullet1HRt"/>
        <w:numPr>
          <w:ilvl w:val="0"/>
          <w:numId w:val="0"/>
        </w:numPr>
      </w:pPr>
      <w:r w:rsidRPr="00B00E71">
        <w:t xml:space="preserve">This market </w:t>
      </w:r>
      <w:r w:rsidR="00AB2354">
        <w:t>structure</w:t>
      </w:r>
      <w:r w:rsidRPr="00B00E71">
        <w:t xml:space="preserve"> is reflected in the framework of this BPM, which is the same framework as applied to the EIM tariff provisions.  Matters that are unique to the EIM will be addressed in this BPM.  Matters that a</w:t>
      </w:r>
      <w:r w:rsidR="00FC30E3">
        <w:t>re generally applicable to the Real-Time M</w:t>
      </w:r>
      <w:r w:rsidRPr="00B00E71">
        <w:t xml:space="preserve">arket and </w:t>
      </w:r>
      <w:r w:rsidR="006A582E">
        <w:t>CA</w:t>
      </w:r>
      <w:r w:rsidRPr="00B00E71">
        <w:t>ISO market participants will be addressed in existing BPMs.  Matt</w:t>
      </w:r>
      <w:r w:rsidR="00FC30E3">
        <w:t>ers applicable to both current Real-Time M</w:t>
      </w:r>
      <w:r w:rsidRPr="00B00E71">
        <w:t>arket participants and EIM participants, particularly cost allocatio</w:t>
      </w:r>
      <w:r w:rsidR="00FC30E3">
        <w:t>n of charges applicable to the Real-Time M</w:t>
      </w:r>
      <w:r w:rsidRPr="00B00E71">
        <w:t>arket, will be addressed in the existing BP</w:t>
      </w:r>
      <w:r w:rsidR="001C2A48" w:rsidRPr="00B00E71">
        <w:t>M</w:t>
      </w:r>
      <w:r w:rsidRPr="00B00E71">
        <w:t>s.</w:t>
      </w:r>
      <w:r w:rsidR="001C2A48" w:rsidRPr="00B00E71">
        <w:t xml:space="preserve">  This framework integrates this BPM with other BPMs and establishes this BPM as a guide for EIM participants.  Existing market participants may continue to find practices applicable to their business in the current BPMs</w:t>
      </w:r>
      <w:r w:rsidR="00CE52FC">
        <w:t>, available on the CAISO website</w:t>
      </w:r>
      <w:r w:rsidR="001C2A48" w:rsidRPr="00B00E71">
        <w:t xml:space="preserve">. </w:t>
      </w:r>
      <w:r w:rsidRPr="00B00E71">
        <w:t xml:space="preserve">    </w:t>
      </w:r>
    </w:p>
    <w:p w14:paraId="1F2B8FC4" w14:textId="77777777" w:rsidR="00246D43" w:rsidRDefault="00CD3846" w:rsidP="008C1485">
      <w:pPr>
        <w:pStyle w:val="Heading2"/>
      </w:pPr>
      <w:bookmarkStart w:id="21" w:name="_Toc389662564"/>
      <w:bookmarkStart w:id="22" w:name="_Toc390946249"/>
      <w:bookmarkStart w:id="23" w:name="_Toc391969814"/>
      <w:bookmarkStart w:id="24" w:name="_Toc460320413"/>
      <w:r>
        <w:t>Energy Imbalance Market</w:t>
      </w:r>
      <w:r w:rsidR="00EA285F">
        <w:t xml:space="preserve"> Overview</w:t>
      </w:r>
      <w:bookmarkStart w:id="25" w:name="_Toc390765914"/>
      <w:bookmarkStart w:id="26" w:name="_Toc390778381"/>
      <w:bookmarkStart w:id="27" w:name="_Toc390779359"/>
      <w:bookmarkStart w:id="28" w:name="_Toc390782172"/>
      <w:bookmarkStart w:id="29" w:name="_Toc390871644"/>
      <w:bookmarkStart w:id="30" w:name="_Toc390871701"/>
      <w:bookmarkStart w:id="31" w:name="_Toc390871758"/>
      <w:bookmarkEnd w:id="21"/>
      <w:bookmarkEnd w:id="22"/>
      <w:bookmarkEnd w:id="23"/>
      <w:bookmarkEnd w:id="24"/>
      <w:bookmarkEnd w:id="25"/>
      <w:bookmarkEnd w:id="26"/>
      <w:bookmarkEnd w:id="27"/>
      <w:bookmarkEnd w:id="28"/>
      <w:bookmarkEnd w:id="29"/>
      <w:bookmarkEnd w:id="30"/>
      <w:bookmarkEnd w:id="31"/>
    </w:p>
    <w:p w14:paraId="6537182F" w14:textId="77777777" w:rsidR="00246D43" w:rsidRPr="00B00E71" w:rsidRDefault="003C7E61" w:rsidP="00B00E71">
      <w:pPr>
        <w:pStyle w:val="Bullet1HRt"/>
        <w:numPr>
          <w:ilvl w:val="0"/>
          <w:numId w:val="0"/>
        </w:numPr>
      </w:pPr>
      <w:r>
        <w:t>CA</w:t>
      </w:r>
      <w:r w:rsidR="00FC30E3">
        <w:t>ISO has based the EIM on the Real-Time M</w:t>
      </w:r>
      <w:r w:rsidR="00246D43" w:rsidRPr="00B00E71">
        <w:t xml:space="preserve">arket design, which was developed in part to comply with FERC Order No. 764, </w:t>
      </w:r>
      <w:r>
        <w:t xml:space="preserve">and </w:t>
      </w:r>
      <w:r w:rsidR="00246D43" w:rsidRPr="00B00E71">
        <w:t xml:space="preserve">consists of a 15-minute market and a 5-minute dispatch. Each of these market runs will produce schedules and locational marginal prices for resources. The EIM will also </w:t>
      </w:r>
      <w:r w:rsidR="00246D43" w:rsidRPr="00B00E71">
        <w:lastRenderedPageBreak/>
        <w:t>commit short-start generation units in</w:t>
      </w:r>
      <w:r w:rsidR="00CE52FC">
        <w:t xml:space="preserve"> the 15-minute market. Like </w:t>
      </w:r>
      <w:r>
        <w:t>CA</w:t>
      </w:r>
      <w:r w:rsidR="00FC30E3">
        <w:t>ISO’s current Real-Time</w:t>
      </w:r>
      <w:r w:rsidR="00303EEF">
        <w:t xml:space="preserve"> M</w:t>
      </w:r>
      <w:r w:rsidR="00246D43" w:rsidRPr="00B00E71">
        <w:t xml:space="preserve">arket, the EIM will enforce a flexible ramping constraint to commit and position resources to meet future load and supply variability and uncertainty. </w:t>
      </w:r>
    </w:p>
    <w:p w14:paraId="0DA7B5F1" w14:textId="77777777" w:rsidR="00924ADE" w:rsidRPr="00CE52FC" w:rsidRDefault="00303EEF" w:rsidP="00B00E71">
      <w:pPr>
        <w:pStyle w:val="Bullet1HRt"/>
        <w:numPr>
          <w:ilvl w:val="0"/>
          <w:numId w:val="0"/>
        </w:numPr>
      </w:pPr>
      <w:r>
        <w:t>In the Day-A</w:t>
      </w:r>
      <w:r w:rsidR="001C2A48" w:rsidRPr="00B00E71">
        <w:t>head time</w:t>
      </w:r>
      <w:r w:rsidR="003C7E61">
        <w:t xml:space="preserve"> </w:t>
      </w:r>
      <w:r w:rsidR="001C2A48" w:rsidRPr="00B00E71">
        <w:t xml:space="preserve">frame, EIM balancing authorities </w:t>
      </w:r>
      <w:r w:rsidR="00963966">
        <w:t>participating in the EIM</w:t>
      </w:r>
      <w:r w:rsidR="001C2A48" w:rsidRPr="00B00E71">
        <w:t xml:space="preserve"> will submit load fore</w:t>
      </w:r>
      <w:r w:rsidR="000B6D3C">
        <w:t xml:space="preserve">casts </w:t>
      </w:r>
      <w:r w:rsidR="00181CB0">
        <w:t xml:space="preserve">or elect to use the </w:t>
      </w:r>
      <w:r w:rsidR="00CE52FC">
        <w:t>CA</w:t>
      </w:r>
      <w:r w:rsidR="00181CB0">
        <w:t>ISO</w:t>
      </w:r>
      <w:r w:rsidR="004430AC">
        <w:t>-</w:t>
      </w:r>
      <w:r w:rsidR="00181CB0">
        <w:t>created forecast</w:t>
      </w:r>
      <w:r w:rsidR="00CE52FC">
        <w:t xml:space="preserve"> for the EIM balancing</w:t>
      </w:r>
      <w:r w:rsidR="00181CB0">
        <w:t xml:space="preserve">, </w:t>
      </w:r>
      <w:r w:rsidR="000B6D3C">
        <w:t>and anticipated resource Base S</w:t>
      </w:r>
      <w:r w:rsidR="00CE52FC">
        <w:t xml:space="preserve">chedules to </w:t>
      </w:r>
      <w:r w:rsidR="006A582E">
        <w:t>CA</w:t>
      </w:r>
      <w:r w:rsidR="00CE52FC">
        <w:t>ISO</w:t>
      </w:r>
      <w:r w:rsidR="00924ADE" w:rsidRPr="00B00E71">
        <w:t>, while remaining responsible for reliability in their area</w:t>
      </w:r>
      <w:r w:rsidR="001C2A48" w:rsidRPr="00B00E71">
        <w:t xml:space="preserve">. </w:t>
      </w:r>
      <w:r w:rsidR="00924ADE" w:rsidRPr="00B00E71">
        <w:t xml:space="preserve"> </w:t>
      </w:r>
      <w:r w:rsidR="00CE52FC">
        <w:t xml:space="preserve">This information will allow </w:t>
      </w:r>
      <w:r w:rsidR="006A582E">
        <w:t>CA</w:t>
      </w:r>
      <w:r w:rsidR="001C2A48" w:rsidRPr="00B00E71">
        <w:t>ISO to identify infeasible schedules, such as those that might cause transmission overloads in the EIM footprint, and provide advisory information to EIM balancing auth</w:t>
      </w:r>
      <w:r w:rsidR="000B6D3C">
        <w:t>orities so they can revise the Base S</w:t>
      </w:r>
      <w:r w:rsidR="001C2A48" w:rsidRPr="00B00E71">
        <w:t xml:space="preserve">chedules to resolve </w:t>
      </w:r>
      <w:r w:rsidR="000B6D3C">
        <w:t>any infeasibilities. These EIM Base S</w:t>
      </w:r>
      <w:r w:rsidR="001C2A48" w:rsidRPr="00B00E71">
        <w:t>chedules will help to imp</w:t>
      </w:r>
      <w:r w:rsidR="009D507A">
        <w:t xml:space="preserve">rove the accuracy of </w:t>
      </w:r>
      <w:r w:rsidR="006A582E">
        <w:t>CA</w:t>
      </w:r>
      <w:r w:rsidR="00E4613C">
        <w:t>ISO’s Day-Ahead M</w:t>
      </w:r>
      <w:r w:rsidR="001C2A48" w:rsidRPr="00B00E71">
        <w:t>arket model</w:t>
      </w:r>
      <w:r w:rsidR="00CE52FC">
        <w:t>.</w:t>
      </w:r>
    </w:p>
    <w:p w14:paraId="75FBA37B" w14:textId="77777777" w:rsidR="00924ADE" w:rsidRPr="00B00E71" w:rsidRDefault="00FC30E3" w:rsidP="00B00E71">
      <w:pPr>
        <w:pStyle w:val="Bullet1HRt"/>
        <w:numPr>
          <w:ilvl w:val="0"/>
          <w:numId w:val="0"/>
        </w:numPr>
        <w:rPr>
          <w:rFonts w:cs="Arial"/>
        </w:rPr>
      </w:pPr>
      <w:r>
        <w:rPr>
          <w:rFonts w:cs="Arial"/>
        </w:rPr>
        <w:t>In Real-Time</w:t>
      </w:r>
      <w:r w:rsidR="00CE52FC">
        <w:rPr>
          <w:rFonts w:cs="Arial"/>
        </w:rPr>
        <w:t xml:space="preserve">, </w:t>
      </w:r>
      <w:r w:rsidR="006A582E">
        <w:rPr>
          <w:rFonts w:cs="Arial"/>
        </w:rPr>
        <w:t>CA</w:t>
      </w:r>
      <w:r w:rsidR="00924ADE" w:rsidRPr="00B06DE4">
        <w:rPr>
          <w:rFonts w:cs="Arial"/>
        </w:rPr>
        <w:t>I</w:t>
      </w:r>
      <w:r w:rsidR="003C7E61">
        <w:rPr>
          <w:rFonts w:cs="Arial"/>
        </w:rPr>
        <w:t xml:space="preserve">SO will financially settle the </w:t>
      </w:r>
      <w:r w:rsidR="00924ADE" w:rsidRPr="00B06DE4">
        <w:rPr>
          <w:rFonts w:cs="Arial"/>
        </w:rPr>
        <w:t>Energy Imbalance Market in a manner that appropriately recognizes the costs attributable to each participating balancing au</w:t>
      </w:r>
      <w:r w:rsidR="00CE52FC">
        <w:rPr>
          <w:rFonts w:cs="Arial"/>
        </w:rPr>
        <w:t xml:space="preserve">thority area.  For example, </w:t>
      </w:r>
      <w:r w:rsidR="006A582E">
        <w:rPr>
          <w:rFonts w:cs="Arial"/>
        </w:rPr>
        <w:t>CA</w:t>
      </w:r>
      <w:r w:rsidR="00924ADE" w:rsidRPr="00B06DE4">
        <w:rPr>
          <w:rFonts w:cs="Arial"/>
        </w:rPr>
        <w:t>ISO will allocate bid cost recovery payme</w:t>
      </w:r>
      <w:r w:rsidR="00924ADE" w:rsidRPr="00BB070F">
        <w:rPr>
          <w:rFonts w:cs="Arial"/>
        </w:rPr>
        <w:t>nts to resources, as well as neutrality amounts that track differences between payments received from load and payments to generation to each participating balancing</w:t>
      </w:r>
      <w:r w:rsidR="00CE52FC">
        <w:rPr>
          <w:rFonts w:cs="Arial"/>
        </w:rPr>
        <w:t xml:space="preserve"> authority, consistent with </w:t>
      </w:r>
      <w:r w:rsidR="006A582E">
        <w:rPr>
          <w:rFonts w:cs="Arial"/>
        </w:rPr>
        <w:t>CA</w:t>
      </w:r>
      <w:r w:rsidR="00924ADE" w:rsidRPr="00BB070F">
        <w:rPr>
          <w:rFonts w:cs="Arial"/>
        </w:rPr>
        <w:t>ISO</w:t>
      </w:r>
      <w:r w:rsidR="00CE52FC">
        <w:rPr>
          <w:rFonts w:cs="Arial"/>
        </w:rPr>
        <w:t>’s cost allocation pr</w:t>
      </w:r>
      <w:r w:rsidR="004C2528">
        <w:rPr>
          <w:rFonts w:cs="Arial"/>
        </w:rPr>
        <w:t xml:space="preserve">inciples.  </w:t>
      </w:r>
      <w:r w:rsidR="00924ADE" w:rsidRPr="00BB070F">
        <w:rPr>
          <w:rFonts w:cs="Arial"/>
        </w:rPr>
        <w:t>The participating balancing authorities will be responsible for allocating these amounts according to their respective open ac</w:t>
      </w:r>
      <w:r w:rsidR="00CE52FC">
        <w:rPr>
          <w:rFonts w:cs="Arial"/>
        </w:rPr>
        <w:t xml:space="preserve">cess transmission tariffs.  </w:t>
      </w:r>
      <w:r w:rsidR="006A582E">
        <w:rPr>
          <w:rFonts w:cs="Arial"/>
        </w:rPr>
        <w:t>CA</w:t>
      </w:r>
      <w:r w:rsidR="00924ADE" w:rsidRPr="00BB070F">
        <w:rPr>
          <w:rFonts w:cs="Arial"/>
        </w:rPr>
        <w:t>ISO will use a process based on its existing local market power mitigation approach to mitigate market power in each balan</w:t>
      </w:r>
      <w:r w:rsidR="00924ADE" w:rsidRPr="003D6985">
        <w:rPr>
          <w:rFonts w:cs="Arial"/>
        </w:rPr>
        <w:t>cing</w:t>
      </w:r>
      <w:r w:rsidR="00924ADE" w:rsidRPr="005F06B1">
        <w:rPr>
          <w:rFonts w:cs="Arial"/>
        </w:rPr>
        <w:t xml:space="preserve"> authority </w:t>
      </w:r>
      <w:r w:rsidR="00924ADE">
        <w:rPr>
          <w:rFonts w:cs="Arial"/>
        </w:rPr>
        <w:t>area participating in t</w:t>
      </w:r>
      <w:r w:rsidR="00CE52FC">
        <w:rPr>
          <w:rFonts w:cs="Arial"/>
        </w:rPr>
        <w:t>he EIM</w:t>
      </w:r>
      <w:r w:rsidR="00924ADE">
        <w:rPr>
          <w:rFonts w:cs="Arial"/>
        </w:rPr>
        <w:t>, and will monitor and assess the application of market power mitigation before and after implementation.</w:t>
      </w:r>
    </w:p>
    <w:p w14:paraId="51BBAA15" w14:textId="77777777" w:rsidR="00924ADE" w:rsidRPr="00B00E71" w:rsidRDefault="00924ADE" w:rsidP="00B00E71">
      <w:pPr>
        <w:pStyle w:val="Bullet1HRt"/>
        <w:numPr>
          <w:ilvl w:val="0"/>
          <w:numId w:val="0"/>
        </w:numPr>
        <w:rPr>
          <w:rFonts w:cs="Arial"/>
        </w:rPr>
      </w:pPr>
      <w:r>
        <w:rPr>
          <w:rFonts w:cs="Arial"/>
        </w:rPr>
        <w:t>The prop</w:t>
      </w:r>
      <w:r w:rsidR="00A11DAB">
        <w:rPr>
          <w:rFonts w:cs="Arial"/>
        </w:rPr>
        <w:t>osed tariff revisions recognize</w:t>
      </w:r>
      <w:r>
        <w:rPr>
          <w:rFonts w:cs="Arial"/>
        </w:rPr>
        <w:t xml:space="preserve"> the need for re</w:t>
      </w:r>
      <w:r w:rsidR="00270C54">
        <w:rPr>
          <w:rFonts w:cs="Arial"/>
        </w:rPr>
        <w:t>sources that serve load in the CA</w:t>
      </w:r>
      <w:r>
        <w:rPr>
          <w:rFonts w:cs="Arial"/>
        </w:rPr>
        <w:t>ISO balancing authority area through the</w:t>
      </w:r>
      <w:r w:rsidRPr="00270C54">
        <w:t xml:space="preserve"> </w:t>
      </w:r>
      <w:r w:rsidR="00357601">
        <w:rPr>
          <w:rFonts w:cs="Arial"/>
        </w:rPr>
        <w:t>EIM</w:t>
      </w:r>
      <w:r>
        <w:rPr>
          <w:rFonts w:cs="Arial"/>
        </w:rPr>
        <w:t xml:space="preserve"> to comply with </w:t>
      </w:r>
      <w:r w:rsidRPr="005F06B1">
        <w:rPr>
          <w:rFonts w:cs="Arial"/>
        </w:rPr>
        <w:t>California’s greenhouse gas cap and trade regulation</w:t>
      </w:r>
      <w:r>
        <w:rPr>
          <w:rFonts w:cs="Arial"/>
        </w:rPr>
        <w:t xml:space="preserve">s.  As it currently does for </w:t>
      </w:r>
      <w:r w:rsidR="00FC30E3">
        <w:rPr>
          <w:rFonts w:cs="Arial"/>
        </w:rPr>
        <w:t>resources participating in its Real-Time M</w:t>
      </w:r>
      <w:r>
        <w:rPr>
          <w:rFonts w:cs="Arial"/>
        </w:rPr>
        <w:t>arket</w:t>
      </w:r>
      <w:r w:rsidR="00357601">
        <w:rPr>
          <w:rFonts w:cs="Arial"/>
        </w:rPr>
        <w:t xml:space="preserve">, </w:t>
      </w:r>
      <w:r w:rsidR="006A582E">
        <w:rPr>
          <w:rFonts w:cs="Arial"/>
        </w:rPr>
        <w:t>CA</w:t>
      </w:r>
      <w:r w:rsidRPr="005F06B1">
        <w:rPr>
          <w:rFonts w:cs="Arial"/>
        </w:rPr>
        <w:t xml:space="preserve">ISO will allow </w:t>
      </w:r>
      <w:r>
        <w:rPr>
          <w:rFonts w:cs="Arial"/>
        </w:rPr>
        <w:t>E</w:t>
      </w:r>
      <w:r w:rsidR="00963966">
        <w:rPr>
          <w:rFonts w:cs="Arial"/>
        </w:rPr>
        <w:t>IM</w:t>
      </w:r>
      <w:r>
        <w:rPr>
          <w:rFonts w:cs="Arial"/>
        </w:rPr>
        <w:t xml:space="preserve"> </w:t>
      </w:r>
      <w:r w:rsidR="00963966">
        <w:rPr>
          <w:rFonts w:cs="Arial"/>
        </w:rPr>
        <w:t>participating</w:t>
      </w:r>
      <w:r w:rsidRPr="00B00E71">
        <w:t xml:space="preserve"> </w:t>
      </w:r>
      <w:r w:rsidRPr="005F06B1">
        <w:rPr>
          <w:rFonts w:cs="Arial"/>
        </w:rPr>
        <w:t>resources to include the costs of compl</w:t>
      </w:r>
      <w:r>
        <w:rPr>
          <w:rFonts w:cs="Arial"/>
        </w:rPr>
        <w:t xml:space="preserve">iance in </w:t>
      </w:r>
      <w:r w:rsidR="00562195">
        <w:rPr>
          <w:rFonts w:cs="Arial"/>
        </w:rPr>
        <w:t>a</w:t>
      </w:r>
      <w:r w:rsidR="00587E28">
        <w:rPr>
          <w:rFonts w:cs="Arial"/>
        </w:rPr>
        <w:t>n</w:t>
      </w:r>
      <w:r w:rsidR="00562195">
        <w:rPr>
          <w:rFonts w:cs="Arial"/>
        </w:rPr>
        <w:t xml:space="preserve"> EIM bid </w:t>
      </w:r>
      <w:r w:rsidR="00A20ED4">
        <w:rPr>
          <w:rFonts w:cs="Arial"/>
        </w:rPr>
        <w:t>a</w:t>
      </w:r>
      <w:r w:rsidR="00562195">
        <w:rPr>
          <w:rFonts w:cs="Arial"/>
        </w:rPr>
        <w:t xml:space="preserve">dder </w:t>
      </w:r>
      <w:r>
        <w:rPr>
          <w:rFonts w:cs="Arial"/>
        </w:rPr>
        <w:t xml:space="preserve">and </w:t>
      </w:r>
      <w:r w:rsidRPr="005F06B1">
        <w:rPr>
          <w:rFonts w:cs="Arial"/>
        </w:rPr>
        <w:t xml:space="preserve">will incorporate this cost into its dispatch of generation </w:t>
      </w:r>
      <w:r w:rsidR="00C40C29">
        <w:rPr>
          <w:rFonts w:cs="Arial"/>
        </w:rPr>
        <w:t xml:space="preserve">as appropriate.  </w:t>
      </w:r>
      <w:r w:rsidR="006A582E">
        <w:rPr>
          <w:rFonts w:cs="Arial"/>
        </w:rPr>
        <w:t>CA</w:t>
      </w:r>
      <w:r>
        <w:rPr>
          <w:rFonts w:cs="Arial"/>
        </w:rPr>
        <w:t xml:space="preserve">ISO </w:t>
      </w:r>
      <w:r w:rsidRPr="005F06B1">
        <w:rPr>
          <w:rFonts w:cs="Arial"/>
        </w:rPr>
        <w:t xml:space="preserve">will not consider this cost when it dispatches this generation </w:t>
      </w:r>
      <w:r>
        <w:rPr>
          <w:rFonts w:cs="Arial"/>
        </w:rPr>
        <w:t xml:space="preserve">that is attributable </w:t>
      </w:r>
      <w:r w:rsidRPr="005F06B1">
        <w:rPr>
          <w:rFonts w:cs="Arial"/>
        </w:rPr>
        <w:t>to serv</w:t>
      </w:r>
      <w:r>
        <w:rPr>
          <w:rFonts w:cs="Arial"/>
        </w:rPr>
        <w:t>ing</w:t>
      </w:r>
      <w:r w:rsidR="00C40C29">
        <w:rPr>
          <w:rFonts w:cs="Arial"/>
        </w:rPr>
        <w:t xml:space="preserve"> load outside </w:t>
      </w:r>
      <w:r w:rsidR="006A582E">
        <w:rPr>
          <w:rFonts w:cs="Arial"/>
        </w:rPr>
        <w:t>CA</w:t>
      </w:r>
      <w:r w:rsidRPr="005F06B1">
        <w:rPr>
          <w:rFonts w:cs="Arial"/>
        </w:rPr>
        <w:t>ISO</w:t>
      </w:r>
      <w:r w:rsidR="004C2528">
        <w:rPr>
          <w:rFonts w:cs="Arial"/>
        </w:rPr>
        <w:t xml:space="preserve">, and </w:t>
      </w:r>
      <w:r>
        <w:rPr>
          <w:rFonts w:cs="Arial"/>
        </w:rPr>
        <w:t>therefore, g</w:t>
      </w:r>
      <w:r w:rsidRPr="005F06B1">
        <w:rPr>
          <w:rFonts w:cs="Arial"/>
        </w:rPr>
        <w:t xml:space="preserve">reenhouse gas regulation compliance costs will not affect </w:t>
      </w:r>
      <w:r>
        <w:rPr>
          <w:rFonts w:cs="Arial"/>
        </w:rPr>
        <w:t xml:space="preserve">locational prices outside the </w:t>
      </w:r>
      <w:r w:rsidR="006A582E">
        <w:rPr>
          <w:rFonts w:cs="Arial"/>
        </w:rPr>
        <w:t>CA</w:t>
      </w:r>
      <w:r>
        <w:rPr>
          <w:rFonts w:cs="Arial"/>
        </w:rPr>
        <w:t>ISO balancing authority area</w:t>
      </w:r>
      <w:r w:rsidRPr="005F06B1">
        <w:rPr>
          <w:rFonts w:cs="Arial"/>
        </w:rPr>
        <w:t>.</w:t>
      </w:r>
      <w:r>
        <w:rPr>
          <w:rFonts w:cs="Arial"/>
        </w:rPr>
        <w:t xml:space="preserve"> </w:t>
      </w:r>
    </w:p>
    <w:p w14:paraId="2778BFF9" w14:textId="77777777" w:rsidR="00846CAB" w:rsidRDefault="00924ADE" w:rsidP="00DF0BA1">
      <w:pPr>
        <w:pStyle w:val="Bullet1HRt"/>
        <w:numPr>
          <w:ilvl w:val="0"/>
          <w:numId w:val="0"/>
        </w:numPr>
        <w:rPr>
          <w:rFonts w:cs="Arial"/>
        </w:rPr>
      </w:pPr>
      <w:r>
        <w:rPr>
          <w:rFonts w:cs="Arial"/>
        </w:rPr>
        <w:lastRenderedPageBreak/>
        <w:t>Transmission access to the E</w:t>
      </w:r>
      <w:r w:rsidR="00963966">
        <w:rPr>
          <w:rFonts w:cs="Arial"/>
        </w:rPr>
        <w:t>IM</w:t>
      </w:r>
      <w:r w:rsidR="00E76673">
        <w:rPr>
          <w:rFonts w:cs="Arial"/>
        </w:rPr>
        <w:t xml:space="preserve"> </w:t>
      </w:r>
      <w:r>
        <w:rPr>
          <w:rFonts w:cs="Arial"/>
        </w:rPr>
        <w:t>will be provided under the applicable transmission service provider tariffs.  As par</w:t>
      </w:r>
      <w:r w:rsidR="00E76673">
        <w:rPr>
          <w:rFonts w:cs="Arial"/>
        </w:rPr>
        <w:t xml:space="preserve">t of a reciprocal arrangement, </w:t>
      </w:r>
      <w:r w:rsidR="006A582E">
        <w:rPr>
          <w:rFonts w:cs="Arial"/>
        </w:rPr>
        <w:t>CA</w:t>
      </w:r>
      <w:r w:rsidRPr="005F06B1">
        <w:rPr>
          <w:rFonts w:cs="Arial"/>
        </w:rPr>
        <w:t xml:space="preserve">ISO </w:t>
      </w:r>
      <w:r>
        <w:rPr>
          <w:rFonts w:cs="Arial"/>
        </w:rPr>
        <w:t xml:space="preserve">has proposed </w:t>
      </w:r>
      <w:r w:rsidRPr="005F06B1">
        <w:rPr>
          <w:rFonts w:cs="Arial"/>
        </w:rPr>
        <w:t xml:space="preserve">that there be no </w:t>
      </w:r>
      <w:r>
        <w:rPr>
          <w:rFonts w:cs="Arial"/>
        </w:rPr>
        <w:t xml:space="preserve">incremental transmission </w:t>
      </w:r>
      <w:r w:rsidRPr="005F06B1">
        <w:rPr>
          <w:rFonts w:cs="Arial"/>
        </w:rPr>
        <w:t>charge for the use of transmission to support E</w:t>
      </w:r>
      <w:r w:rsidR="00963966">
        <w:rPr>
          <w:rFonts w:cs="Arial"/>
        </w:rPr>
        <w:t>IM</w:t>
      </w:r>
      <w:r w:rsidR="00E76673">
        <w:rPr>
          <w:rFonts w:cs="Arial"/>
        </w:rPr>
        <w:t xml:space="preserve"> </w:t>
      </w:r>
      <w:r w:rsidRPr="005F06B1">
        <w:rPr>
          <w:rFonts w:cs="Arial"/>
        </w:rPr>
        <w:t>transfers</w:t>
      </w:r>
      <w:r>
        <w:rPr>
          <w:rFonts w:cs="Arial"/>
        </w:rPr>
        <w:t xml:space="preserve"> between participating balancing authority areas</w:t>
      </w:r>
      <w:r w:rsidRPr="005F06B1">
        <w:rPr>
          <w:rFonts w:cs="Arial"/>
        </w:rPr>
        <w:t xml:space="preserve">.  </w:t>
      </w:r>
      <w:r>
        <w:rPr>
          <w:rFonts w:cs="Arial"/>
        </w:rPr>
        <w:t>Within the first year of op</w:t>
      </w:r>
      <w:r w:rsidR="00E76673">
        <w:rPr>
          <w:rFonts w:cs="Arial"/>
        </w:rPr>
        <w:t xml:space="preserve">eration, </w:t>
      </w:r>
      <w:r w:rsidR="006A582E">
        <w:rPr>
          <w:rFonts w:cs="Arial"/>
        </w:rPr>
        <w:t>CA</w:t>
      </w:r>
      <w:r>
        <w:rPr>
          <w:rFonts w:cs="Arial"/>
        </w:rPr>
        <w:t xml:space="preserve">ISO will consider in consultation with </w:t>
      </w:r>
      <w:r w:rsidRPr="005F06B1">
        <w:rPr>
          <w:rFonts w:cs="Arial"/>
        </w:rPr>
        <w:t>stakeholders</w:t>
      </w:r>
      <w:r>
        <w:rPr>
          <w:rFonts w:cs="Arial"/>
        </w:rPr>
        <w:t xml:space="preserve"> whether to continue this arrangement or to modify it, and this BPM will be updated </w:t>
      </w:r>
      <w:r w:rsidR="00F73DA7">
        <w:rPr>
          <w:rFonts w:cs="Arial"/>
        </w:rPr>
        <w:t>accordingly</w:t>
      </w:r>
      <w:r>
        <w:rPr>
          <w:rFonts w:cs="Arial"/>
        </w:rPr>
        <w:t>.</w:t>
      </w:r>
    </w:p>
    <w:p w14:paraId="5E696CDA" w14:textId="77777777" w:rsidR="00DF0BA1" w:rsidRPr="00DF0BA1" w:rsidRDefault="00DF0BA1" w:rsidP="00DF0BA1">
      <w:pPr>
        <w:pStyle w:val="Bullet1HRt"/>
        <w:numPr>
          <w:ilvl w:val="0"/>
          <w:numId w:val="0"/>
        </w:numPr>
        <w:rPr>
          <w:rFonts w:cs="Arial"/>
        </w:rPr>
      </w:pPr>
    </w:p>
    <w:p w14:paraId="0D81C648" w14:textId="77777777" w:rsidR="00B84E9F" w:rsidRDefault="009D5C89" w:rsidP="00B84E9F">
      <w:pPr>
        <w:pStyle w:val="Heading1"/>
      </w:pPr>
      <w:bookmarkStart w:id="32" w:name="_Toc389662565"/>
      <w:bookmarkStart w:id="33" w:name="_Toc390946250"/>
      <w:bookmarkStart w:id="34" w:name="_Toc391969815"/>
      <w:bookmarkStart w:id="35" w:name="_Toc460320414"/>
      <w:r>
        <w:t>ROLES AND</w:t>
      </w:r>
      <w:r w:rsidR="00B84E9F">
        <w:t xml:space="preserve"> RESPONSIBILITIES</w:t>
      </w:r>
      <w:bookmarkEnd w:id="32"/>
      <w:bookmarkEnd w:id="33"/>
      <w:bookmarkEnd w:id="34"/>
      <w:bookmarkEnd w:id="35"/>
      <w:r w:rsidR="00E26236">
        <w:t xml:space="preserve"> </w:t>
      </w:r>
    </w:p>
    <w:p w14:paraId="46A07EE3" w14:textId="77777777" w:rsidR="001B2475" w:rsidRDefault="001B2475" w:rsidP="00B00E71">
      <w:pPr>
        <w:spacing w:after="240" w:line="300" w:lineRule="auto"/>
        <w:rPr>
          <w:rFonts w:cs="Arial"/>
        </w:rPr>
      </w:pPr>
      <w:r>
        <w:rPr>
          <w:rFonts w:cs="Arial"/>
        </w:rPr>
        <w:t xml:space="preserve">Welcome to the </w:t>
      </w:r>
      <w:r w:rsidRPr="00FA595A">
        <w:rPr>
          <w:rFonts w:cs="Arial"/>
          <w:i/>
        </w:rPr>
        <w:t>Roles and Responsibilities</w:t>
      </w:r>
      <w:r>
        <w:rPr>
          <w:rFonts w:cs="Arial"/>
        </w:rPr>
        <w:t xml:space="preserve"> section of the CAISO </w:t>
      </w:r>
      <w:r w:rsidRPr="00FA595A">
        <w:rPr>
          <w:rFonts w:cs="Arial"/>
          <w:i/>
        </w:rPr>
        <w:t>BPM for the Energy Imbalance Market</w:t>
      </w:r>
      <w:r>
        <w:rPr>
          <w:rFonts w:cs="Arial"/>
        </w:rPr>
        <w:t>.  In this section you will find the following information:</w:t>
      </w:r>
    </w:p>
    <w:p w14:paraId="1630B64A" w14:textId="77777777" w:rsidR="001B2475" w:rsidRPr="00FA595A" w:rsidRDefault="008960C5" w:rsidP="00FA595A">
      <w:pPr>
        <w:pStyle w:val="ListParagraph"/>
        <w:numPr>
          <w:ilvl w:val="0"/>
          <w:numId w:val="123"/>
        </w:numPr>
        <w:spacing w:after="240" w:line="300" w:lineRule="auto"/>
      </w:pPr>
      <w:r w:rsidRPr="00FA595A">
        <w:rPr>
          <w:rFonts w:cs="Arial"/>
        </w:rPr>
        <w:t xml:space="preserve">This </w:t>
      </w:r>
      <w:r w:rsidR="007B20C1" w:rsidRPr="00FA595A">
        <w:rPr>
          <w:rFonts w:cs="Arial"/>
        </w:rPr>
        <w:t>section identifies and describes t</w:t>
      </w:r>
      <w:r w:rsidR="009D5C89" w:rsidRPr="00FA595A">
        <w:rPr>
          <w:rFonts w:cs="Arial"/>
        </w:rPr>
        <w:t xml:space="preserve">he basic </w:t>
      </w:r>
      <w:r w:rsidR="009D5C89" w:rsidRPr="00FA595A">
        <w:rPr>
          <w:rFonts w:cs="Arial"/>
          <w:i/>
        </w:rPr>
        <w:t>Roles and R</w:t>
      </w:r>
      <w:r w:rsidR="007B20C1" w:rsidRPr="00FA595A">
        <w:rPr>
          <w:rFonts w:cs="Arial"/>
          <w:i/>
        </w:rPr>
        <w:t>esponsibilities</w:t>
      </w:r>
      <w:r w:rsidR="007B20C1" w:rsidRPr="00FA595A">
        <w:rPr>
          <w:rFonts w:cs="Arial"/>
        </w:rPr>
        <w:t xml:space="preserve"> of the entities that participate in the CAISO Markets.</w:t>
      </w:r>
      <w:r w:rsidR="00924ADE" w:rsidRPr="00FA595A">
        <w:rPr>
          <w:rFonts w:cs="Arial"/>
        </w:rPr>
        <w:t xml:space="preserve">  </w:t>
      </w:r>
    </w:p>
    <w:p w14:paraId="65CDF6F8" w14:textId="77777777" w:rsidR="00924ADE" w:rsidRDefault="006566B0" w:rsidP="00FA595A">
      <w:pPr>
        <w:pStyle w:val="ListParagraph"/>
        <w:numPr>
          <w:ilvl w:val="0"/>
          <w:numId w:val="123"/>
        </w:numPr>
        <w:spacing w:after="240" w:line="300" w:lineRule="auto"/>
      </w:pPr>
      <w:r>
        <w:t>This section introduces</w:t>
      </w:r>
      <w:r w:rsidR="001B2475">
        <w:t xml:space="preserve"> </w:t>
      </w:r>
      <w:r w:rsidR="00924ADE" w:rsidRPr="00A23926">
        <w:t xml:space="preserve">four new types of </w:t>
      </w:r>
      <w:r w:rsidR="00924ADE">
        <w:t>p</w:t>
      </w:r>
      <w:r w:rsidR="00924ADE" w:rsidRPr="00A23926">
        <w:t>articipants</w:t>
      </w:r>
      <w:r w:rsidR="00FC30E3">
        <w:t xml:space="preserve"> in the Real-Time M</w:t>
      </w:r>
      <w:r w:rsidR="00924ADE">
        <w:t>arket</w:t>
      </w:r>
      <w:r w:rsidR="00924ADE" w:rsidRPr="00A23926">
        <w:t xml:space="preserve">, which are collectively known as EIM </w:t>
      </w:r>
      <w:r w:rsidR="00924ADE">
        <w:t>M</w:t>
      </w:r>
      <w:r w:rsidR="00924ADE" w:rsidRPr="00A23926">
        <w:t xml:space="preserve">arket </w:t>
      </w:r>
      <w:r w:rsidR="00924ADE">
        <w:t>P</w:t>
      </w:r>
      <w:r w:rsidR="00924ADE" w:rsidRPr="00A23926">
        <w:t xml:space="preserve">articipants.  </w:t>
      </w:r>
    </w:p>
    <w:p w14:paraId="298869E0" w14:textId="77777777" w:rsidR="001D24E5" w:rsidRDefault="00924ADE" w:rsidP="00B00E71">
      <w:pPr>
        <w:tabs>
          <w:tab w:val="left" w:pos="720"/>
        </w:tabs>
        <w:spacing w:after="240" w:line="300" w:lineRule="auto"/>
      </w:pPr>
      <w:r w:rsidRPr="0005695E">
        <w:rPr>
          <w:b/>
        </w:rPr>
        <w:t xml:space="preserve">EIM </w:t>
      </w:r>
      <w:r>
        <w:rPr>
          <w:b/>
        </w:rPr>
        <w:t>E</w:t>
      </w:r>
      <w:r w:rsidRPr="0005695E">
        <w:rPr>
          <w:b/>
        </w:rPr>
        <w:t>ntity</w:t>
      </w:r>
      <w:r w:rsidRPr="003D447F">
        <w:rPr>
          <w:b/>
        </w:rPr>
        <w:t>:</w:t>
      </w:r>
      <w:r>
        <w:t xml:space="preserve">  The EIM Entity </w:t>
      </w:r>
      <w:r w:rsidRPr="00A23926">
        <w:t xml:space="preserve">is a balancing authority that </w:t>
      </w:r>
      <w:r>
        <w:t xml:space="preserve">elects to participate in </w:t>
      </w:r>
      <w:r w:rsidRPr="00A23926">
        <w:t xml:space="preserve">the Energy Imbalance Market.  As an EIM </w:t>
      </w:r>
      <w:r>
        <w:t>M</w:t>
      </w:r>
      <w:r w:rsidRPr="00A23926">
        <w:t xml:space="preserve">arket </w:t>
      </w:r>
      <w:r>
        <w:t>P</w:t>
      </w:r>
      <w:r w:rsidRPr="00A23926">
        <w:t xml:space="preserve">articipant, the EIM </w:t>
      </w:r>
      <w:r>
        <w:t>E</w:t>
      </w:r>
      <w:r w:rsidRPr="00A23926">
        <w:t>ntity is responsible</w:t>
      </w:r>
      <w:r w:rsidR="008C6848">
        <w:t>: (1) f</w:t>
      </w:r>
      <w:r w:rsidRPr="00A23926">
        <w:t xml:space="preserve">or </w:t>
      </w:r>
      <w:r>
        <w:t>identifying</w:t>
      </w:r>
      <w:r w:rsidRPr="00A23926">
        <w:t xml:space="preserve"> </w:t>
      </w:r>
      <w:r>
        <w:t xml:space="preserve">available </w:t>
      </w:r>
      <w:r w:rsidRPr="00A23926">
        <w:t xml:space="preserve">transmission </w:t>
      </w:r>
      <w:r>
        <w:t>intertie</w:t>
      </w:r>
      <w:r w:rsidRPr="00A23926">
        <w:t xml:space="preserve"> capacity in its balanci</w:t>
      </w:r>
      <w:r w:rsidR="008C6848">
        <w:t xml:space="preserve">ng authority area for use in </w:t>
      </w:r>
      <w:r w:rsidRPr="00A23926">
        <w:t xml:space="preserve"> </w:t>
      </w:r>
      <w:r w:rsidR="006A582E">
        <w:t>CA</w:t>
      </w:r>
      <w:r w:rsidR="00FC30E3">
        <w:t>ISO’s Real-Time M</w:t>
      </w:r>
      <w:r w:rsidRPr="00A23926">
        <w:t xml:space="preserve">arket and, (2) through its EIM </w:t>
      </w:r>
      <w:r>
        <w:t>Entity S</w:t>
      </w:r>
      <w:r w:rsidRPr="00A23926">
        <w:t xml:space="preserve">cheduling </w:t>
      </w:r>
      <w:r>
        <w:t>C</w:t>
      </w:r>
      <w:r w:rsidRPr="00A23926">
        <w:t xml:space="preserve">oordinator, for scheduling all load and resources in </w:t>
      </w:r>
      <w:r>
        <w:t>its balancing authority a</w:t>
      </w:r>
      <w:r w:rsidRPr="00A23926">
        <w:t xml:space="preserve">rea that do not participate in the </w:t>
      </w:r>
      <w:r w:rsidR="00FC30E3">
        <w:t>Real-Time</w:t>
      </w:r>
      <w:r w:rsidR="00303EEF">
        <w:t xml:space="preserve"> M</w:t>
      </w:r>
      <w:r w:rsidRPr="00A23926">
        <w:t xml:space="preserve">arket (known as </w:t>
      </w:r>
      <w:r w:rsidR="00C148A5">
        <w:t>non-participating load and non-p</w:t>
      </w:r>
      <w:r w:rsidRPr="00A23926">
        <w:t xml:space="preserve">articipating resources) and for </w:t>
      </w:r>
      <w:r>
        <w:t>settling</w:t>
      </w:r>
      <w:r w:rsidRPr="00A23926">
        <w:t xml:space="preserve"> charges </w:t>
      </w:r>
      <w:r>
        <w:t xml:space="preserve">and payments </w:t>
      </w:r>
      <w:r w:rsidRPr="00A23926">
        <w:t>related to non-participating load and non-participating resources.</w:t>
      </w:r>
    </w:p>
    <w:p w14:paraId="715291C9" w14:textId="77777777" w:rsidR="001D24E5" w:rsidRDefault="00924ADE" w:rsidP="00B00E71">
      <w:pPr>
        <w:tabs>
          <w:tab w:val="left" w:pos="720"/>
        </w:tabs>
        <w:spacing w:after="240" w:line="300" w:lineRule="auto"/>
      </w:pPr>
      <w:r>
        <w:rPr>
          <w:b/>
        </w:rPr>
        <w:t xml:space="preserve">EIM Entity Scheduling Coordinator:  </w:t>
      </w:r>
      <w:r w:rsidRPr="00A23926">
        <w:t xml:space="preserve">The EIM </w:t>
      </w:r>
      <w:r>
        <w:t>E</w:t>
      </w:r>
      <w:r w:rsidRPr="00A23926">
        <w:t xml:space="preserve">ntity </w:t>
      </w:r>
      <w:r>
        <w:t>S</w:t>
      </w:r>
      <w:r w:rsidRPr="00A23926">
        <w:t xml:space="preserve">cheduling </w:t>
      </w:r>
      <w:r>
        <w:t>C</w:t>
      </w:r>
      <w:r w:rsidRPr="00A23926">
        <w:t xml:space="preserve">oordinator is the entity through which the EIM </w:t>
      </w:r>
      <w:r>
        <w:t>E</w:t>
      </w:r>
      <w:r w:rsidRPr="00A23926">
        <w:t xml:space="preserve">ntity participates in the </w:t>
      </w:r>
      <w:r w:rsidR="00FC30E3">
        <w:t>Real-Time</w:t>
      </w:r>
      <w:r w:rsidR="00303EEF">
        <w:t xml:space="preserve"> M</w:t>
      </w:r>
      <w:r w:rsidRPr="00A23926">
        <w:t xml:space="preserve">arket.  In order to prevent the </w:t>
      </w:r>
      <w:r>
        <w:t xml:space="preserve">inappropriate </w:t>
      </w:r>
      <w:r w:rsidRPr="00A23926">
        <w:t xml:space="preserve">sharing of information regarding transmission and generation, an EIM </w:t>
      </w:r>
      <w:r>
        <w:t>E</w:t>
      </w:r>
      <w:r w:rsidRPr="00A23926">
        <w:t xml:space="preserve">ntity </w:t>
      </w:r>
      <w:r>
        <w:t>S</w:t>
      </w:r>
      <w:r w:rsidRPr="00A23926">
        <w:t xml:space="preserve">cheduling </w:t>
      </w:r>
      <w:r>
        <w:t>C</w:t>
      </w:r>
      <w:r w:rsidRPr="00A23926">
        <w:t xml:space="preserve">oordinator cannot be a </w:t>
      </w:r>
      <w:r>
        <w:t>s</w:t>
      </w:r>
      <w:r w:rsidRPr="00A23926">
        <w:t xml:space="preserve">cheduling </w:t>
      </w:r>
      <w:r>
        <w:t>c</w:t>
      </w:r>
      <w:r w:rsidRPr="00A23926">
        <w:t xml:space="preserve">oordinator for </w:t>
      </w:r>
      <w:r>
        <w:t xml:space="preserve">a </w:t>
      </w:r>
      <w:r w:rsidRPr="00A23926">
        <w:t xml:space="preserve">supply </w:t>
      </w:r>
      <w:r>
        <w:t xml:space="preserve">resource </w:t>
      </w:r>
      <w:r w:rsidRPr="00A23926">
        <w:t xml:space="preserve">unless it is a transmission provider subject to the Commission’s standards of conduct </w:t>
      </w:r>
      <w:r>
        <w:t xml:space="preserve">set forth </w:t>
      </w:r>
      <w:r w:rsidRPr="00A23926">
        <w:t>in 18 C.F.R. § 358.</w:t>
      </w:r>
    </w:p>
    <w:p w14:paraId="07AFBCF1" w14:textId="77777777" w:rsidR="001D24E5" w:rsidRDefault="00924ADE" w:rsidP="00B00E71">
      <w:pPr>
        <w:tabs>
          <w:tab w:val="left" w:pos="720"/>
        </w:tabs>
        <w:spacing w:after="240" w:line="300" w:lineRule="auto"/>
      </w:pPr>
      <w:r>
        <w:rPr>
          <w:b/>
        </w:rPr>
        <w:lastRenderedPageBreak/>
        <w:t xml:space="preserve">EIM Participating Resources:  </w:t>
      </w:r>
      <w:r w:rsidRPr="00A23926">
        <w:t xml:space="preserve">The EIM </w:t>
      </w:r>
      <w:r w:rsidR="00220498">
        <w:t>P</w:t>
      </w:r>
      <w:r w:rsidRPr="00A23926">
        <w:t xml:space="preserve">articipating </w:t>
      </w:r>
      <w:r w:rsidR="00220498">
        <w:t>R</w:t>
      </w:r>
      <w:r w:rsidRPr="00A23926">
        <w:t xml:space="preserve">esources are </w:t>
      </w:r>
      <w:r>
        <w:t xml:space="preserve">the owners or operators of EIM </w:t>
      </w:r>
      <w:r w:rsidRPr="00A23926">
        <w:t xml:space="preserve">resources that wish to bid supply into the </w:t>
      </w:r>
      <w:r w:rsidR="00FC30E3">
        <w:t>Real-Time</w:t>
      </w:r>
      <w:r w:rsidR="00303EEF">
        <w:t xml:space="preserve"> M</w:t>
      </w:r>
      <w:r w:rsidRPr="00A23926">
        <w:t xml:space="preserve">arket.  EIM </w:t>
      </w:r>
      <w:r>
        <w:t xml:space="preserve">resources </w:t>
      </w:r>
      <w:r w:rsidRPr="00A23926">
        <w:t>can be generating unit</w:t>
      </w:r>
      <w:r>
        <w:t>s</w:t>
      </w:r>
      <w:r w:rsidRPr="00A23926">
        <w:t>, participating load, demand resource provider</w:t>
      </w:r>
      <w:r>
        <w:t>s, or other resources qualified to deliver energy or similar services, such as non-generation resources</w:t>
      </w:r>
      <w:r w:rsidRPr="00A23926">
        <w:t>.</w:t>
      </w:r>
      <w:r>
        <w:t xml:space="preserve">  Each type of resource that is eligible to participate in the current </w:t>
      </w:r>
      <w:r w:rsidR="006A582E">
        <w:t>CA</w:t>
      </w:r>
      <w:r>
        <w:t xml:space="preserve">ISO </w:t>
      </w:r>
      <w:r w:rsidR="00FC30E3">
        <w:t>Real-Time M</w:t>
      </w:r>
      <w:r>
        <w:t xml:space="preserve">arket is eligible to participate through the Energy Imbalance Market, but only if the EIM Entity supports participation by that type of resource and the resource meets the technical requirements for such participation pursuant to the terms and conditions of the </w:t>
      </w:r>
      <w:r w:rsidR="006A582E">
        <w:t>CA</w:t>
      </w:r>
      <w:r>
        <w:t>ISO tariff and the EIM Entity’s open access transmission tariff.</w:t>
      </w:r>
      <w:r w:rsidRPr="00A23926">
        <w:t xml:space="preserve">  </w:t>
      </w:r>
    </w:p>
    <w:p w14:paraId="7BF012D5" w14:textId="77777777" w:rsidR="00924ADE" w:rsidRDefault="00924ADE" w:rsidP="00B00E71">
      <w:pPr>
        <w:tabs>
          <w:tab w:val="left" w:pos="720"/>
        </w:tabs>
        <w:spacing w:after="240" w:line="300" w:lineRule="auto"/>
      </w:pPr>
      <w:r>
        <w:rPr>
          <w:b/>
        </w:rPr>
        <w:t xml:space="preserve">EIM Participating Resource Scheduling Coordinator:  </w:t>
      </w:r>
      <w:r w:rsidRPr="00A23926">
        <w:t xml:space="preserve">The EIM </w:t>
      </w:r>
      <w:r>
        <w:t>Participating Resource S</w:t>
      </w:r>
      <w:r w:rsidRPr="00A23926">
        <w:t xml:space="preserve">cheduling </w:t>
      </w:r>
      <w:r>
        <w:t>C</w:t>
      </w:r>
      <w:r w:rsidRPr="00A23926">
        <w:t xml:space="preserve">oordinator is the entity through which the EIM </w:t>
      </w:r>
      <w:r>
        <w:t xml:space="preserve">Participating Resource </w:t>
      </w:r>
      <w:r w:rsidRPr="00A23926">
        <w:t xml:space="preserve">participates in the </w:t>
      </w:r>
      <w:r w:rsidR="00FC30E3">
        <w:t>Real-Time M</w:t>
      </w:r>
      <w:r w:rsidRPr="00A23926">
        <w:t xml:space="preserve">arket.  </w:t>
      </w:r>
      <w:r>
        <w:t>T</w:t>
      </w:r>
      <w:r w:rsidRPr="00A23926">
        <w:t xml:space="preserve">o prevent the </w:t>
      </w:r>
      <w:r>
        <w:t xml:space="preserve">inappropriate </w:t>
      </w:r>
      <w:r w:rsidRPr="00A23926">
        <w:t xml:space="preserve">sharing of information regarding transmission and generation, an EIM </w:t>
      </w:r>
      <w:r>
        <w:t>Participating Resource S</w:t>
      </w:r>
      <w:r w:rsidRPr="00A23926">
        <w:t xml:space="preserve">cheduling </w:t>
      </w:r>
      <w:r>
        <w:t>C</w:t>
      </w:r>
      <w:r w:rsidRPr="00A23926">
        <w:t>oordinator cannot be a</w:t>
      </w:r>
      <w:r>
        <w:t>n EIM Entity</w:t>
      </w:r>
      <w:r w:rsidRPr="00A23926">
        <w:t xml:space="preserve"> </w:t>
      </w:r>
      <w:r>
        <w:t>S</w:t>
      </w:r>
      <w:r w:rsidRPr="00A23926">
        <w:t xml:space="preserve">cheduling </w:t>
      </w:r>
      <w:r>
        <w:t>C</w:t>
      </w:r>
      <w:r w:rsidRPr="00A23926">
        <w:t xml:space="preserve">oordinator unless it is a transmission provider subject to the Commission’s standards of conduct </w:t>
      </w:r>
      <w:r>
        <w:t xml:space="preserve">set forth </w:t>
      </w:r>
      <w:r w:rsidRPr="00A23926">
        <w:t>in 18 C.F.R. § 358.</w:t>
      </w:r>
    </w:p>
    <w:p w14:paraId="440F78CE" w14:textId="77777777" w:rsidR="00924ADE" w:rsidRDefault="00924ADE" w:rsidP="00924ADE">
      <w:pPr>
        <w:spacing w:after="240" w:line="300" w:lineRule="auto"/>
      </w:pPr>
      <w:r>
        <w:t xml:space="preserve">To participate in the </w:t>
      </w:r>
      <w:r w:rsidR="00FC30E3">
        <w:t>Real-Time M</w:t>
      </w:r>
      <w:r>
        <w:t xml:space="preserve">arket through the Energy Imbalance Market, an </w:t>
      </w:r>
      <w:r w:rsidRPr="00A23926">
        <w:t xml:space="preserve">entity must enter </w:t>
      </w:r>
      <w:r>
        <w:t xml:space="preserve">into </w:t>
      </w:r>
      <w:r w:rsidR="001D24E5">
        <w:t xml:space="preserve">a </w:t>
      </w:r>
      <w:r w:rsidRPr="00B31177">
        <w:rPr>
          <w:i/>
        </w:rPr>
        <w:t>pro forma</w:t>
      </w:r>
      <w:r w:rsidR="009D507A">
        <w:t xml:space="preserve"> agreement with </w:t>
      </w:r>
      <w:r w:rsidR="006A582E">
        <w:t>CA</w:t>
      </w:r>
      <w:r w:rsidRPr="00A23926">
        <w:t>ISO that sets out the parties</w:t>
      </w:r>
      <w:r>
        <w:t>’</w:t>
      </w:r>
      <w:r w:rsidRPr="00A23926">
        <w:t xml:space="preserve"> respective obligations</w:t>
      </w:r>
      <w:r>
        <w:t xml:space="preserve"> with respect to the entity’s role.</w:t>
      </w:r>
      <w:r w:rsidR="001D24E5">
        <w:t xml:space="preserve">  The </w:t>
      </w:r>
      <w:r w:rsidR="001D24E5">
        <w:rPr>
          <w:i/>
        </w:rPr>
        <w:t xml:space="preserve">pro forma </w:t>
      </w:r>
      <w:r w:rsidR="001D24E5">
        <w:t>agreements are included in</w:t>
      </w:r>
      <w:r w:rsidR="00DF0BA1">
        <w:t xml:space="preserve"> Appendix B of the tariff</w:t>
      </w:r>
      <w:r w:rsidR="008F782A">
        <w:t>.</w:t>
      </w:r>
    </w:p>
    <w:p w14:paraId="209A4164" w14:textId="77777777" w:rsidR="00424480" w:rsidRPr="00424480" w:rsidRDefault="003F271C" w:rsidP="005F6CDE">
      <w:pPr>
        <w:pStyle w:val="Heading2"/>
      </w:pPr>
      <w:bookmarkStart w:id="36" w:name="_Toc460320415"/>
      <w:r>
        <w:t xml:space="preserve">Implementing and Terminating the </w:t>
      </w:r>
      <w:r w:rsidR="00424480" w:rsidRPr="00424480">
        <w:t>EIM Entit</w:t>
      </w:r>
      <w:r>
        <w:t>y Participation</w:t>
      </w:r>
      <w:bookmarkEnd w:id="36"/>
    </w:p>
    <w:p w14:paraId="58CB68E7" w14:textId="77777777" w:rsidR="00486B53" w:rsidRPr="00486B53" w:rsidRDefault="00963966" w:rsidP="00FA595A">
      <w:pPr>
        <w:spacing w:after="240" w:line="300" w:lineRule="auto"/>
        <w:rPr>
          <w:rFonts w:cs="Arial"/>
          <w:b/>
        </w:rPr>
      </w:pPr>
      <w:r>
        <w:rPr>
          <w:rFonts w:cs="Arial"/>
        </w:rPr>
        <w:t xml:space="preserve">Prior to becoming an EIM Entity, an interested balancing authority must enter into an </w:t>
      </w:r>
      <w:r w:rsidR="00AB2354">
        <w:rPr>
          <w:rFonts w:cs="Arial"/>
        </w:rPr>
        <w:t>implementation</w:t>
      </w:r>
      <w:r>
        <w:rPr>
          <w:rFonts w:cs="Arial"/>
        </w:rPr>
        <w:t xml:space="preserve"> agreeme</w:t>
      </w:r>
      <w:r w:rsidR="00B5293B">
        <w:rPr>
          <w:rFonts w:cs="Arial"/>
        </w:rPr>
        <w:t xml:space="preserve">nt with </w:t>
      </w:r>
      <w:r w:rsidR="006A582E">
        <w:rPr>
          <w:rFonts w:cs="Arial"/>
        </w:rPr>
        <w:t>CA</w:t>
      </w:r>
      <w:r>
        <w:rPr>
          <w:rFonts w:cs="Arial"/>
        </w:rPr>
        <w:t xml:space="preserve">ISO.  </w:t>
      </w:r>
      <w:r w:rsidR="00AD5840">
        <w:rPr>
          <w:rFonts w:cs="Arial"/>
        </w:rPr>
        <w:t>See Tariff S</w:t>
      </w:r>
      <w:r w:rsidR="00450F1E" w:rsidRPr="00424480">
        <w:rPr>
          <w:rFonts w:cs="Arial"/>
        </w:rPr>
        <w:t>ection 29.2(b).</w:t>
      </w:r>
      <w:r w:rsidR="00450F1E">
        <w:rPr>
          <w:rFonts w:cs="Arial"/>
        </w:rPr>
        <w:t xml:space="preserve">  </w:t>
      </w:r>
      <w:r>
        <w:rPr>
          <w:rFonts w:cs="Arial"/>
        </w:rPr>
        <w:t xml:space="preserve">Each </w:t>
      </w:r>
      <w:r w:rsidR="00450F1E">
        <w:rPr>
          <w:rFonts w:cs="Arial"/>
        </w:rPr>
        <w:t>ne</w:t>
      </w:r>
      <w:r w:rsidR="00424480" w:rsidRPr="00424480">
        <w:rPr>
          <w:rFonts w:cs="Arial"/>
        </w:rPr>
        <w:t>w EIM entit</w:t>
      </w:r>
      <w:r w:rsidR="00450F1E">
        <w:rPr>
          <w:rFonts w:cs="Arial"/>
        </w:rPr>
        <w:t>y</w:t>
      </w:r>
      <w:r w:rsidR="00424480" w:rsidRPr="00424480">
        <w:rPr>
          <w:rFonts w:cs="Arial"/>
        </w:rPr>
        <w:t xml:space="preserve"> will be </w:t>
      </w:r>
      <w:r w:rsidR="00450F1E">
        <w:rPr>
          <w:rFonts w:cs="Arial"/>
        </w:rPr>
        <w:t>made public through</w:t>
      </w:r>
      <w:r w:rsidR="00B5293B">
        <w:rPr>
          <w:rFonts w:cs="Arial"/>
        </w:rPr>
        <w:t xml:space="preserve"> the filing of </w:t>
      </w:r>
      <w:r w:rsidR="00424480" w:rsidRPr="00B5293B">
        <w:rPr>
          <w:rFonts w:cs="Arial"/>
          <w:i/>
        </w:rPr>
        <w:t>New EIM Entities</w:t>
      </w:r>
      <w:bookmarkStart w:id="37" w:name="_Toc389662566"/>
      <w:r w:rsidR="00B5293B">
        <w:rPr>
          <w:rFonts w:cs="Arial"/>
        </w:rPr>
        <w:t>.</w:t>
      </w:r>
    </w:p>
    <w:p w14:paraId="0E843C04" w14:textId="77777777" w:rsidR="008F782A" w:rsidRPr="0028031A" w:rsidRDefault="008F782A" w:rsidP="00FA595A">
      <w:pPr>
        <w:spacing w:after="240" w:line="300" w:lineRule="auto"/>
        <w:rPr>
          <w:rFonts w:cs="Arial"/>
          <w:b/>
        </w:rPr>
      </w:pPr>
      <w:r w:rsidRPr="008F782A">
        <w:t>An EIM Entity may terminate participation in the EIM by pr</w:t>
      </w:r>
      <w:r w:rsidR="00B5293B">
        <w:t xml:space="preserve">oviding 180 days’ notice to </w:t>
      </w:r>
      <w:r w:rsidR="006A582E">
        <w:t>CA</w:t>
      </w:r>
      <w:r w:rsidRPr="008F782A">
        <w:t>ISO.  In addition, the EIM Entity may suspend operation of the EIM in its balancin</w:t>
      </w:r>
      <w:r w:rsidR="0003458D">
        <w:t>g authority area during the 180-</w:t>
      </w:r>
      <w:r w:rsidRPr="008F782A">
        <w:t>day notic</w:t>
      </w:r>
      <w:r w:rsidR="00AD5840">
        <w:t>e provision in accordance with S</w:t>
      </w:r>
      <w:r w:rsidRPr="008F782A">
        <w:t>ection 1</w:t>
      </w:r>
      <w:r w:rsidR="00BF675A">
        <w:t>0.5</w:t>
      </w:r>
      <w:r w:rsidRPr="008F782A">
        <w:t xml:space="preserve"> of this BPM.</w:t>
      </w:r>
    </w:p>
    <w:p w14:paraId="01FF0D9E" w14:textId="77777777" w:rsidR="0028031A" w:rsidRPr="00486B53" w:rsidRDefault="0028031A" w:rsidP="0028031A">
      <w:pPr>
        <w:spacing w:after="240" w:line="300" w:lineRule="auto"/>
        <w:ind w:left="1080"/>
        <w:rPr>
          <w:rFonts w:cs="Arial"/>
          <w:b/>
        </w:rPr>
      </w:pPr>
    </w:p>
    <w:p w14:paraId="30BA27AA" w14:textId="77777777" w:rsidR="006C2CAC" w:rsidRDefault="0033195C" w:rsidP="008F782A">
      <w:pPr>
        <w:pStyle w:val="Heading1"/>
      </w:pPr>
      <w:bookmarkStart w:id="38" w:name="_Toc389662570"/>
      <w:bookmarkStart w:id="39" w:name="_Toc390946255"/>
      <w:bookmarkStart w:id="40" w:name="_Toc391969816"/>
      <w:bookmarkStart w:id="41" w:name="_Toc460320416"/>
      <w:bookmarkEnd w:id="37"/>
      <w:r>
        <w:lastRenderedPageBreak/>
        <w:t>SCHEDULING COORDINATOR CERTIFICATION</w:t>
      </w:r>
      <w:bookmarkEnd w:id="38"/>
      <w:bookmarkEnd w:id="39"/>
      <w:bookmarkEnd w:id="40"/>
      <w:bookmarkEnd w:id="41"/>
      <w:r w:rsidR="0039613C" w:rsidRPr="008F782A">
        <w:t xml:space="preserve"> </w:t>
      </w:r>
    </w:p>
    <w:p w14:paraId="70906040" w14:textId="77777777" w:rsidR="00EC4CBC" w:rsidRDefault="007D543C" w:rsidP="006F6DD6">
      <w:pPr>
        <w:spacing w:after="240" w:line="300" w:lineRule="auto"/>
        <w:ind w:left="-90"/>
      </w:pPr>
      <w:r>
        <w:t xml:space="preserve">Welcome to </w:t>
      </w:r>
      <w:r w:rsidR="00EC4CBC">
        <w:t xml:space="preserve">the </w:t>
      </w:r>
      <w:r w:rsidR="00EC4CBC" w:rsidRPr="00EC4CBC">
        <w:rPr>
          <w:i/>
        </w:rPr>
        <w:t>Scheduling Coordinator Certification</w:t>
      </w:r>
      <w:r w:rsidR="00EC4CBC">
        <w:t xml:space="preserve"> section of th</w:t>
      </w:r>
      <w:r>
        <w:t>e</w:t>
      </w:r>
      <w:r w:rsidR="00EC4CBC">
        <w:t xml:space="preserve"> </w:t>
      </w:r>
      <w:r>
        <w:t xml:space="preserve">CAISO </w:t>
      </w:r>
      <w:r w:rsidR="00EC4CBC" w:rsidRPr="007D543C">
        <w:rPr>
          <w:i/>
        </w:rPr>
        <w:t>BPM</w:t>
      </w:r>
      <w:r w:rsidRPr="007D543C">
        <w:rPr>
          <w:i/>
        </w:rPr>
        <w:t xml:space="preserve"> for the Energy Imbalance Market</w:t>
      </w:r>
      <w:r>
        <w:t>.  In this section</w:t>
      </w:r>
      <w:r w:rsidR="00775CF7">
        <w:t xml:space="preserve"> </w:t>
      </w:r>
      <w:r w:rsidR="00EC4CBC">
        <w:t>you will find the following information:</w:t>
      </w:r>
    </w:p>
    <w:p w14:paraId="6DC970A2" w14:textId="77777777" w:rsidR="006A26A7" w:rsidRDefault="00EC4CBC" w:rsidP="006A26A7">
      <w:pPr>
        <w:numPr>
          <w:ilvl w:val="0"/>
          <w:numId w:val="113"/>
        </w:numPr>
        <w:spacing w:after="240" w:line="300" w:lineRule="auto"/>
      </w:pPr>
      <w:r>
        <w:t>An overview of how p</w:t>
      </w:r>
      <w:r w:rsidR="002E46E9" w:rsidRPr="00E60EED">
        <w:t>articipants in the EIM</w:t>
      </w:r>
      <w:r w:rsidR="009D507A">
        <w:t xml:space="preserve"> transact with </w:t>
      </w:r>
      <w:r w:rsidR="002E46E9" w:rsidRPr="00B06DE4">
        <w:t>CAISO through a Scheduling Coordinator</w:t>
      </w:r>
      <w:r w:rsidR="005F0DEA" w:rsidRPr="00B06DE4">
        <w:t xml:space="preserve"> (SC)</w:t>
      </w:r>
      <w:r w:rsidR="002E46E9" w:rsidRPr="00BB070F">
        <w:t>.</w:t>
      </w:r>
      <w:r w:rsidR="006A26A7">
        <w:t xml:space="preserve"> </w:t>
      </w:r>
    </w:p>
    <w:p w14:paraId="63F2DA94" w14:textId="77777777" w:rsidR="00EC4CBC" w:rsidRDefault="006A26A7" w:rsidP="006A26A7">
      <w:pPr>
        <w:numPr>
          <w:ilvl w:val="0"/>
          <w:numId w:val="113"/>
        </w:numPr>
        <w:spacing w:after="240" w:line="300" w:lineRule="auto"/>
      </w:pPr>
      <w:r>
        <w:t>An overview of the process used for Scheduling Coordinator Certification</w:t>
      </w:r>
      <w:r w:rsidR="00CA517E">
        <w:t>.</w:t>
      </w:r>
      <w:r>
        <w:t xml:space="preserve">  </w:t>
      </w:r>
      <w:r w:rsidR="002E46E9" w:rsidRPr="00BB070F">
        <w:t xml:space="preserve">  </w:t>
      </w:r>
    </w:p>
    <w:p w14:paraId="76B856F9" w14:textId="77777777" w:rsidR="00E77E45" w:rsidRPr="00480065" w:rsidRDefault="002E46E9" w:rsidP="006F6DD6">
      <w:pPr>
        <w:spacing w:after="240" w:line="300" w:lineRule="auto"/>
        <w:ind w:left="-90"/>
      </w:pPr>
      <w:r w:rsidRPr="00BB070F">
        <w:t>There are two types of Scheduling Coordinators</w:t>
      </w:r>
      <w:r w:rsidR="006362F9" w:rsidRPr="003D6985">
        <w:t xml:space="preserve"> </w:t>
      </w:r>
      <w:r w:rsidRPr="003D6985">
        <w:t>specific t</w:t>
      </w:r>
      <w:r w:rsidR="006362F9" w:rsidRPr="003D6985">
        <w:t xml:space="preserve">o participation in the EIM that </w:t>
      </w:r>
      <w:r w:rsidRPr="003D6985">
        <w:t>are d</w:t>
      </w:r>
      <w:r w:rsidR="00FF4643" w:rsidRPr="003D6985">
        <w:t>ifferent from the</w:t>
      </w:r>
      <w:r w:rsidRPr="00480065">
        <w:t xml:space="preserve"> Scheduling Coordinators listed in the </w:t>
      </w:r>
      <w:hyperlink r:id="rId116" w:history="1">
        <w:r w:rsidRPr="00480065">
          <w:rPr>
            <w:rStyle w:val="Hyperlink"/>
            <w:b/>
          </w:rPr>
          <w:t>BPM for Scheduling Coordinator Certification and Termination</w:t>
        </w:r>
      </w:hyperlink>
      <w:r w:rsidRPr="00480065">
        <w:t xml:space="preserve">.  The two types of Scheduling Coordinators that may transact in the EIM are:  </w:t>
      </w:r>
    </w:p>
    <w:p w14:paraId="18ED8E4A" w14:textId="77777777" w:rsidR="00E77E45" w:rsidRPr="00BA2E6E" w:rsidRDefault="00F849F7" w:rsidP="00BA2E6E">
      <w:pPr>
        <w:numPr>
          <w:ilvl w:val="0"/>
          <w:numId w:val="9"/>
        </w:numPr>
        <w:spacing w:after="240" w:line="300" w:lineRule="auto"/>
      </w:pPr>
      <w:r w:rsidRPr="00F95AB3">
        <w:rPr>
          <w:b/>
        </w:rPr>
        <w:t xml:space="preserve">EIM </w:t>
      </w:r>
      <w:r w:rsidR="00CA517E" w:rsidRPr="00F95AB3">
        <w:rPr>
          <w:b/>
        </w:rPr>
        <w:t>Entity Scheduling Coordinators:</w:t>
      </w:r>
      <w:r w:rsidR="00CA517E">
        <w:t xml:space="preserve">  </w:t>
      </w:r>
      <w:r w:rsidRPr="00480065">
        <w:t xml:space="preserve">Represent non-participating load and non-participating resources within the EIM.   An EIM Entity Scheduling Coordinator may represent multiple EIM Entities if it has informed each EIM Entity of the multiple </w:t>
      </w:r>
      <w:r w:rsidR="009C0EE3" w:rsidRPr="00480065">
        <w:t>representations</w:t>
      </w:r>
      <w:r w:rsidRPr="00480065">
        <w:t xml:space="preserve">, </w:t>
      </w:r>
      <w:r w:rsidR="009C0EE3" w:rsidRPr="00480065">
        <w:t>and has</w:t>
      </w:r>
      <w:r w:rsidRPr="00480065">
        <w:t xml:space="preserve"> completed an EIM Entity Schedulin</w:t>
      </w:r>
      <w:r w:rsidR="00F429F2">
        <w:t xml:space="preserve">g </w:t>
      </w:r>
      <w:r w:rsidRPr="00480065">
        <w:t>Coordinator Representation Form and submitted it to</w:t>
      </w:r>
      <w:r w:rsidR="009D507A">
        <w:t xml:space="preserve"> </w:t>
      </w:r>
      <w:r w:rsidR="00577BCD">
        <w:t>CAISO in the manner noted o</w:t>
      </w:r>
      <w:r w:rsidRPr="00480065">
        <w:t xml:space="preserve">n the form. </w:t>
      </w:r>
    </w:p>
    <w:p w14:paraId="6C785BDC" w14:textId="77777777" w:rsidR="002E46E9" w:rsidRPr="00BB070F" w:rsidRDefault="002E46E9" w:rsidP="000879D6">
      <w:pPr>
        <w:numPr>
          <w:ilvl w:val="0"/>
          <w:numId w:val="9"/>
        </w:numPr>
        <w:spacing w:after="240" w:line="300" w:lineRule="auto"/>
      </w:pPr>
      <w:r w:rsidRPr="00F95AB3">
        <w:rPr>
          <w:b/>
        </w:rPr>
        <w:t>EIM Participating Resource Scheduling Coordinators</w:t>
      </w:r>
      <w:r w:rsidR="00E77E45" w:rsidRPr="00F95AB3">
        <w:rPr>
          <w:b/>
        </w:rPr>
        <w:t>:</w:t>
      </w:r>
      <w:r w:rsidR="00F429F2">
        <w:t xml:space="preserve">  </w:t>
      </w:r>
      <w:r w:rsidR="00E77E45" w:rsidRPr="00B06DE4">
        <w:t>Only represent resources that plan to participate in the EIM and may not be the EIM Entity Scheduling Coordinator.</w:t>
      </w:r>
    </w:p>
    <w:p w14:paraId="606902DA" w14:textId="77777777" w:rsidR="00842CCC" w:rsidRPr="00B06DE4" w:rsidRDefault="002E46E9" w:rsidP="006F6DD6">
      <w:pPr>
        <w:spacing w:after="240" w:line="300" w:lineRule="auto"/>
      </w:pPr>
      <w:r w:rsidRPr="003D6985">
        <w:t xml:space="preserve">The </w:t>
      </w:r>
      <w:hyperlink r:id="rId117" w:history="1">
        <w:r w:rsidR="00A21E2E" w:rsidRPr="00B06DE4">
          <w:rPr>
            <w:rStyle w:val="Hyperlink"/>
            <w:b/>
          </w:rPr>
          <w:t>BPM for Scheduling Coordinator Certification and Termination</w:t>
        </w:r>
      </w:hyperlink>
      <w:r w:rsidR="005F0DEA" w:rsidRPr="00B06DE4">
        <w:rPr>
          <w:b/>
        </w:rPr>
        <w:t xml:space="preserve"> </w:t>
      </w:r>
      <w:r w:rsidRPr="00B06DE4">
        <w:t>outlines the processes and approximate associated timelines, including the training, testi</w:t>
      </w:r>
      <w:r w:rsidRPr="00BB070F">
        <w:t>ng</w:t>
      </w:r>
      <w:r w:rsidR="00D144D0" w:rsidRPr="003D6985">
        <w:t xml:space="preserve">, and informational submissions </w:t>
      </w:r>
      <w:r w:rsidRPr="00480065">
        <w:t>that an applicant must complete in order to become a</w:t>
      </w:r>
      <w:r w:rsidR="005F0DEA" w:rsidRPr="00480065">
        <w:t>n eligible</w:t>
      </w:r>
      <w:r w:rsidRPr="00480065">
        <w:t xml:space="preserve"> certified Scheduling Coordinator (SC)</w:t>
      </w:r>
      <w:r w:rsidR="00577BCD">
        <w:t xml:space="preserve"> with </w:t>
      </w:r>
      <w:r w:rsidR="00842CCC" w:rsidRPr="00480065">
        <w:t xml:space="preserve">CAISO.  Both types of EIM </w:t>
      </w:r>
      <w:r w:rsidR="002556CA">
        <w:t xml:space="preserve">Entity </w:t>
      </w:r>
      <w:r w:rsidR="00842CCC" w:rsidRPr="00480065">
        <w:t>Scheduling Coordinators are also respo</w:t>
      </w:r>
      <w:r w:rsidR="00577BCD">
        <w:t xml:space="preserve">nsible for registering with </w:t>
      </w:r>
      <w:r w:rsidR="00842CCC" w:rsidRPr="00480065">
        <w:t xml:space="preserve">CAISO the resources that they will represent as noted in the </w:t>
      </w:r>
      <w:hyperlink w:anchor="_FULL_NETWORK_MODEL" w:history="1">
        <w:r w:rsidR="00842CCC" w:rsidRPr="00F95AB3">
          <w:rPr>
            <w:rStyle w:val="Hyperlink"/>
          </w:rPr>
          <w:t>Full Network Model section of this BPM</w:t>
        </w:r>
      </w:hyperlink>
      <w:r w:rsidR="00842CCC" w:rsidRPr="00480065">
        <w:t>.</w:t>
      </w:r>
    </w:p>
    <w:p w14:paraId="379F4FD2" w14:textId="77777777" w:rsidR="00E16545" w:rsidRDefault="00842CCC" w:rsidP="006F6DD6">
      <w:pPr>
        <w:spacing w:after="240" w:line="300" w:lineRule="auto"/>
      </w:pPr>
      <w:r w:rsidRPr="00B06DE4">
        <w:t xml:space="preserve">The </w:t>
      </w:r>
      <w:hyperlink r:id="rId118" w:history="1">
        <w:r w:rsidRPr="00B06DE4">
          <w:rPr>
            <w:rStyle w:val="Hyperlink"/>
            <w:b/>
          </w:rPr>
          <w:t>BPM for Scheduling Coordinator Certification and Termination</w:t>
        </w:r>
      </w:hyperlink>
      <w:r w:rsidR="005F0DEA" w:rsidRPr="00B06DE4">
        <w:rPr>
          <w:b/>
        </w:rPr>
        <w:t xml:space="preserve"> </w:t>
      </w:r>
      <w:r w:rsidR="002E46E9" w:rsidRPr="00B06DE4">
        <w:t xml:space="preserve">also addresses the </w:t>
      </w:r>
      <w:r w:rsidR="002E46E9" w:rsidRPr="003D6985">
        <w:t xml:space="preserve">responsibilities </w:t>
      </w:r>
      <w:r w:rsidR="005F0DEA" w:rsidRPr="003D6985">
        <w:t xml:space="preserve">and status that an SC must maintain in order to participate in the markets </w:t>
      </w:r>
      <w:r w:rsidR="00577BCD">
        <w:t xml:space="preserve">operated by </w:t>
      </w:r>
      <w:r w:rsidR="005F0DEA" w:rsidRPr="00480065">
        <w:t>CAISO.</w:t>
      </w:r>
      <w:r w:rsidR="005F0DEA" w:rsidRPr="00480065" w:rsidDel="005F0DEA">
        <w:t xml:space="preserve"> </w:t>
      </w:r>
      <w:r w:rsidR="002E46E9" w:rsidRPr="00480065">
        <w:t>To particip</w:t>
      </w:r>
      <w:r w:rsidR="00D144D0" w:rsidRPr="00480065">
        <w:t>ate in the EIM, entities must</w:t>
      </w:r>
      <w:r w:rsidR="002E46E9" w:rsidRPr="00480065">
        <w:t xml:space="preserve"> request access to a variety of applications as noted in Section 5.3.4 of the </w:t>
      </w:r>
      <w:hyperlink r:id="rId119" w:history="1">
        <w:r w:rsidR="00A21E2E" w:rsidRPr="00B06DE4">
          <w:rPr>
            <w:rStyle w:val="Hyperlink"/>
            <w:b/>
          </w:rPr>
          <w:t>BPM for Scheduling Coordinator Certification and Termination</w:t>
        </w:r>
      </w:hyperlink>
      <w:r w:rsidR="002E46E9" w:rsidRPr="00B06DE4">
        <w:t xml:space="preserve">.  While registration </w:t>
      </w:r>
      <w:r w:rsidR="002E46E9" w:rsidRPr="00B06DE4">
        <w:lastRenderedPageBreak/>
        <w:t>as an EIM participant is part of the s</w:t>
      </w:r>
      <w:r w:rsidR="002E46E9" w:rsidRPr="00BB070F">
        <w:t>tandard process to</w:t>
      </w:r>
      <w:r w:rsidR="002E46E9" w:rsidRPr="002E46E9">
        <w:t xml:space="preserve"> become a</w:t>
      </w:r>
      <w:r w:rsidR="005F0DEA">
        <w:t>n</w:t>
      </w:r>
      <w:r w:rsidR="002E46E9" w:rsidRPr="002E46E9">
        <w:t xml:space="preserve"> SC, if additional SC_IDs are desired, an EIM participant should refer to Section 5.5 of the </w:t>
      </w:r>
      <w:hyperlink r:id="rId120" w:history="1">
        <w:r w:rsidR="00A21E2E" w:rsidRPr="00B84E9F">
          <w:rPr>
            <w:rStyle w:val="Hyperlink"/>
            <w:b/>
          </w:rPr>
          <w:t>BPM for Scheduling Coordinator Certification and Termination</w:t>
        </w:r>
      </w:hyperlink>
      <w:r w:rsidR="002E46E9" w:rsidRPr="002E46E9">
        <w:t xml:space="preserve"> for more information.  </w:t>
      </w:r>
    </w:p>
    <w:p w14:paraId="75C5F0F8" w14:textId="77777777" w:rsidR="006B2D5F" w:rsidRDefault="002E46E9" w:rsidP="006B2D5F">
      <w:pPr>
        <w:spacing w:after="240" w:line="300" w:lineRule="auto"/>
      </w:pPr>
      <w:r w:rsidRPr="002E46E9">
        <w:t>For EIM Entity Scheduling Coordinators and EIM Participating Resource Scheduling Coordinators, certain activities outlined in Section 3 of</w:t>
      </w:r>
      <w:r w:rsidR="00E16545">
        <w:t xml:space="preserve"> the</w:t>
      </w:r>
      <w:r w:rsidRPr="002E46E9">
        <w:t xml:space="preserve"> </w:t>
      </w:r>
      <w:hyperlink r:id="rId121" w:history="1">
        <w:r w:rsidR="00A21E2E" w:rsidRPr="00B84E9F">
          <w:rPr>
            <w:rStyle w:val="Hyperlink"/>
            <w:b/>
          </w:rPr>
          <w:t>BPM for Scheduling Coordinator Certification and Termination</w:t>
        </w:r>
      </w:hyperlink>
      <w:r w:rsidRPr="00E16545">
        <w:rPr>
          <w:b/>
        </w:rPr>
        <w:t xml:space="preserve"> </w:t>
      </w:r>
      <w:r w:rsidRPr="002E46E9">
        <w:t>do not apply</w:t>
      </w:r>
      <w:r w:rsidR="00967ECB">
        <w:t xml:space="preserve"> to participation in</w:t>
      </w:r>
      <w:r w:rsidR="005F0DEA">
        <w:t xml:space="preserve"> the</w:t>
      </w:r>
      <w:r w:rsidR="00967ECB">
        <w:t xml:space="preserve"> EIM</w:t>
      </w:r>
      <w:r w:rsidRPr="002E46E9">
        <w:t xml:space="preserve">.  </w:t>
      </w:r>
      <w:r w:rsidRPr="009C0623">
        <w:t>Specifically, those activities listed that reflect Inter-SC Trades, CAISO Balancing Authority Area Generating Units, CAISO Balancing Authority Area Load,</w:t>
      </w:r>
      <w:r w:rsidR="00967ECB" w:rsidRPr="009C0623">
        <w:t xml:space="preserve"> </w:t>
      </w:r>
      <w:r w:rsidRPr="009C0623">
        <w:t>and Convergence Bidding are not applicable to participation in the EIM.</w:t>
      </w:r>
      <w:bookmarkStart w:id="42" w:name="_Toc389662571"/>
      <w:bookmarkStart w:id="43" w:name="_Toc390946256"/>
    </w:p>
    <w:p w14:paraId="45BA5773" w14:textId="77777777" w:rsidR="007C7A35" w:rsidRDefault="007C7A35" w:rsidP="005F6CDE">
      <w:pPr>
        <w:pStyle w:val="Heading2"/>
      </w:pPr>
      <w:bookmarkStart w:id="44" w:name="_Toc460320417"/>
      <w:r w:rsidRPr="00423E1F">
        <w:t>Determination of SC Certification Requirements</w:t>
      </w:r>
      <w:bookmarkEnd w:id="44"/>
      <w:r w:rsidRPr="00423E1F">
        <w:t xml:space="preserve"> </w:t>
      </w:r>
    </w:p>
    <w:p w14:paraId="18B9AC46" w14:textId="77777777" w:rsidR="007A721E" w:rsidRDefault="007A721E">
      <w:r w:rsidRPr="00877DDB">
        <w:t xml:space="preserve">An existing Certified Scheduling Coordinator with a valid Scheduling Coordinator Agreement (SCA) in place for the corporate parent of the EIM Entity may qualify for certification requirements for EIM Participating Resource Scheduling Coordinator and/or EIM Entity Scheduling Coordinator certification requirements. Please review the provision set forth in tariff section 29.4 and section 3 of the EIM BPM for determination of SC certification requirements: </w:t>
      </w:r>
    </w:p>
    <w:p w14:paraId="2612B693" w14:textId="77777777" w:rsidR="00BE02D8" w:rsidRPr="00877DDB" w:rsidRDefault="00BE02D8" w:rsidP="007A721E">
      <w:r w:rsidRPr="00877DDB">
        <w:t xml:space="preserve"> </w:t>
      </w:r>
      <w:r w:rsidRPr="00877DDB">
        <w:br/>
      </w:r>
      <w:r w:rsidRPr="00877DDB">
        <w:rPr>
          <w:color w:val="000000" w:themeColor="text1"/>
        </w:rPr>
        <w:t>Tariff section 29.4 Roles and Responsibilities; (c) 3 (b). An EIM Entity Scheduling Coordinator may not also be an EIM Participating Resources Scheduling Coordinator or a Scheduling Coordinator for a Participating Generator, Participating Load or Demand Response Provider, unless the EIM Entity Scheduling Coordinator is a transmission provider subject to the standards of conduct set forth in 18 C.F.R § 358.</w:t>
      </w:r>
    </w:p>
    <w:p w14:paraId="36F2E145" w14:textId="77777777" w:rsidR="00BE02D8" w:rsidRDefault="00BE02D8" w:rsidP="00BE02D8">
      <w:pPr>
        <w:ind w:left="720"/>
      </w:pPr>
    </w:p>
    <w:p w14:paraId="1EB8F2EE" w14:textId="2C11AF7D" w:rsidR="007A721E" w:rsidRDefault="007A721E" w:rsidP="00BE02D8">
      <w:r>
        <w:t xml:space="preserve">The determination of requirements will depend on the corporate structure of the EIM Entity and EIM Participating Resources owned by the parent company.  Discussions between CAISO legal counsel and EIM Entity legal counsel will be required. If it is determined that the EIM Entity does not meet the stated exception, the EIM Entity SC must complete the entire SC certification process which can take a minimum of 120 days. Please refer to the BPM for the requirements for SC certification.  </w:t>
      </w:r>
    </w:p>
    <w:p w14:paraId="384C464A" w14:textId="77777777" w:rsidR="00BE02D8" w:rsidRDefault="00BE02D8" w:rsidP="00BE02D8"/>
    <w:p w14:paraId="613156B4" w14:textId="77777777" w:rsidR="00BE02D8" w:rsidRPr="00877DDB" w:rsidRDefault="00BE02D8" w:rsidP="00BE02D8">
      <w:r>
        <w:t xml:space="preserve">If it is determined that the EIM Entity does in fact  meet the stated exception, then the EIM entity SC will not need to complete the entire certification process. </w:t>
      </w:r>
    </w:p>
    <w:p w14:paraId="3CD81EB8" w14:textId="3D862B2C" w:rsidR="00BE02D8" w:rsidRPr="00877DDB" w:rsidRDefault="00BE02D8">
      <w:pPr>
        <w:pStyle w:val="ListParagraph"/>
        <w:numPr>
          <w:ilvl w:val="0"/>
          <w:numId w:val="221"/>
        </w:numPr>
      </w:pPr>
      <w:r w:rsidRPr="00877DDB">
        <w:lastRenderedPageBreak/>
        <w:t>Business Practice Manual (BPM) Library</w:t>
      </w:r>
      <w:r w:rsidR="005F71AB">
        <w:t>:</w:t>
      </w:r>
      <w:r w:rsidRPr="00877DDB">
        <w:t xml:space="preserve"> </w:t>
      </w:r>
      <w:hyperlink r:id="rId122" w:history="1">
        <w:r w:rsidRPr="00877DDB">
          <w:t>http://bpmcm.caiso.com/Pages/BPMLibrary.aspx</w:t>
        </w:r>
      </w:hyperlink>
      <w:r w:rsidRPr="00877DDB">
        <w:t xml:space="preserve"> </w:t>
      </w:r>
    </w:p>
    <w:p w14:paraId="4A1F3ED4" w14:textId="77777777" w:rsidR="00BE02D8" w:rsidRPr="00877DDB" w:rsidRDefault="00BE02D8" w:rsidP="00BE02D8">
      <w:pPr>
        <w:pStyle w:val="ListParagraph"/>
        <w:ind w:left="1080"/>
      </w:pPr>
      <w:r w:rsidRPr="00877DDB">
        <w:t>(Scheduling Coordinator Certification and Termination)</w:t>
      </w:r>
    </w:p>
    <w:p w14:paraId="2BBA1785" w14:textId="77777777" w:rsidR="00BE02D8" w:rsidRDefault="00BE02D8" w:rsidP="006B2D5F">
      <w:pPr>
        <w:spacing w:after="240" w:line="300" w:lineRule="auto"/>
      </w:pPr>
    </w:p>
    <w:p w14:paraId="1D250E41" w14:textId="77777777" w:rsidR="00AE404B" w:rsidRDefault="00AE404B" w:rsidP="00AE404B">
      <w:pPr>
        <w:pStyle w:val="Heading1"/>
      </w:pPr>
      <w:bookmarkStart w:id="45" w:name="_AGREEMENTS"/>
      <w:bookmarkStart w:id="46" w:name="_Toc460320418"/>
      <w:bookmarkEnd w:id="45"/>
      <w:r>
        <w:t>AGREEMENTS</w:t>
      </w:r>
      <w:bookmarkEnd w:id="46"/>
    </w:p>
    <w:p w14:paraId="31A08B49" w14:textId="77777777" w:rsidR="00BE02D8" w:rsidRPr="00BE02D8" w:rsidRDefault="00BE02D8" w:rsidP="00BE02D8">
      <w:r w:rsidRPr="00BE02D8">
        <w:t xml:space="preserve">For entities that have signed an EIM implementation agreement, the purpose of this document is to provide the specific steps and appropriate links to obtain all the applicable agreements to be completed and executed in order to participate in the energy imbalance market.  References made to the EIM BPM and CAISO tariff refer to the most current versions of these documents.  </w:t>
      </w:r>
      <w:r w:rsidRPr="00BE02D8">
        <w:br/>
      </w:r>
    </w:p>
    <w:p w14:paraId="2D2AC2D0" w14:textId="445B88DC" w:rsidR="00BE02D8" w:rsidRDefault="00BE02D8" w:rsidP="001D354A">
      <w:pPr>
        <w:pStyle w:val="ListParagraph"/>
        <w:numPr>
          <w:ilvl w:val="0"/>
          <w:numId w:val="221"/>
        </w:numPr>
      </w:pPr>
      <w:r w:rsidRPr="00BE02D8">
        <w:t>Business Practice Manual (BPM) library</w:t>
      </w:r>
      <w:r w:rsidR="005F71AB">
        <w:t>:</w:t>
      </w:r>
      <w:r w:rsidRPr="00BE02D8">
        <w:t xml:space="preserve"> </w:t>
      </w:r>
      <w:hyperlink r:id="rId123" w:history="1">
        <w:r w:rsidRPr="00BE02D8">
          <w:rPr>
            <w:color w:val="0000FF"/>
            <w:u w:val="single"/>
          </w:rPr>
          <w:t>http://bpmcm.caiso.com/Pages/BPMLibrary.aspx</w:t>
        </w:r>
      </w:hyperlink>
      <w:r w:rsidRPr="00BE02D8">
        <w:t xml:space="preserve"> </w:t>
      </w:r>
      <w:r w:rsidR="005F71AB">
        <w:t xml:space="preserve">under </w:t>
      </w:r>
      <w:r w:rsidRPr="00BE02D8">
        <w:t>Energy Imbalance Market</w:t>
      </w:r>
    </w:p>
    <w:p w14:paraId="1F74F5F4" w14:textId="7354DC8F" w:rsidR="00BE02D8" w:rsidRPr="00BE02D8" w:rsidRDefault="00BE02D8" w:rsidP="00BE02D8">
      <w:pPr>
        <w:pStyle w:val="ListParagraph"/>
        <w:ind w:left="1080"/>
      </w:pPr>
      <w:r>
        <w:t>CAISO</w:t>
      </w:r>
      <w:r w:rsidRPr="00BE02D8">
        <w:t xml:space="preserve"> Conformed Tariff </w:t>
      </w:r>
      <w:r w:rsidR="005F71AB">
        <w:t xml:space="preserve"> </w:t>
      </w:r>
    </w:p>
    <w:p w14:paraId="650C4258" w14:textId="77777777" w:rsidR="00BE02D8" w:rsidRPr="00BE02D8" w:rsidRDefault="00BE02D8" w:rsidP="00BE02D8">
      <w:r w:rsidRPr="00BE02D8">
        <w:t xml:space="preserve">The addition of a new balancing area to the EIM will typically involve the agreements listed below.  The schedule for completion of these agreements will be developed during the initial project planning phases.  It is recommended that the Implementation Agreement be executed 8-9 months prior to initial participation in order to begin the process for completing and executing the below agreements: </w:t>
      </w:r>
    </w:p>
    <w:p w14:paraId="225A065C" w14:textId="77777777" w:rsidR="00BE02D8" w:rsidRPr="00BE02D8" w:rsidRDefault="00BE02D8" w:rsidP="00BE02D8">
      <w:pPr>
        <w:numPr>
          <w:ilvl w:val="0"/>
          <w:numId w:val="214"/>
        </w:numPr>
      </w:pPr>
      <w:r w:rsidRPr="00BE02D8">
        <w:t>EIM Entity Agreement</w:t>
      </w:r>
    </w:p>
    <w:p w14:paraId="72B2A979" w14:textId="77777777" w:rsidR="00BE02D8" w:rsidRPr="00BE02D8" w:rsidRDefault="00BE02D8" w:rsidP="00BE02D8">
      <w:pPr>
        <w:numPr>
          <w:ilvl w:val="0"/>
          <w:numId w:val="214"/>
        </w:numPr>
      </w:pPr>
      <w:r w:rsidRPr="00BE02D8">
        <w:t xml:space="preserve">EIM Entity Scheduling Coordinator Agreement </w:t>
      </w:r>
    </w:p>
    <w:p w14:paraId="4B1C6DAF" w14:textId="77777777" w:rsidR="00BE02D8" w:rsidRPr="00BE02D8" w:rsidRDefault="00BE02D8" w:rsidP="00BE02D8">
      <w:pPr>
        <w:numPr>
          <w:ilvl w:val="1"/>
          <w:numId w:val="214"/>
        </w:numPr>
      </w:pPr>
      <w:r w:rsidRPr="00BE02D8">
        <w:t>Meter Service Agreement for Scheduling Coordinators</w:t>
      </w:r>
    </w:p>
    <w:p w14:paraId="1CA8AD9D" w14:textId="77777777" w:rsidR="00BE02D8" w:rsidRPr="00BE02D8" w:rsidRDefault="00BE02D8" w:rsidP="00BE02D8">
      <w:pPr>
        <w:numPr>
          <w:ilvl w:val="0"/>
          <w:numId w:val="214"/>
        </w:numPr>
      </w:pPr>
      <w:r w:rsidRPr="00BE02D8">
        <w:t>EIM Participating Resource Scheduling Coordinator Agreements</w:t>
      </w:r>
    </w:p>
    <w:p w14:paraId="0E192E1D" w14:textId="77777777" w:rsidR="00BE02D8" w:rsidRPr="00BE02D8" w:rsidRDefault="00BE02D8" w:rsidP="00BE02D8">
      <w:pPr>
        <w:numPr>
          <w:ilvl w:val="1"/>
          <w:numId w:val="214"/>
        </w:numPr>
      </w:pPr>
      <w:r w:rsidRPr="00BE02D8">
        <w:t>Meter Service Agreement for Scheduling Coordinators</w:t>
      </w:r>
    </w:p>
    <w:p w14:paraId="770ACC59" w14:textId="77777777" w:rsidR="00BE02D8" w:rsidRPr="00BE02D8" w:rsidRDefault="00BE02D8" w:rsidP="00BE02D8">
      <w:pPr>
        <w:numPr>
          <w:ilvl w:val="0"/>
          <w:numId w:val="214"/>
        </w:numPr>
      </w:pPr>
      <w:r w:rsidRPr="00BE02D8">
        <w:t>EIM Participating Resource Agreement</w:t>
      </w:r>
    </w:p>
    <w:p w14:paraId="744E6CE9" w14:textId="77777777" w:rsidR="00BE02D8" w:rsidRDefault="00BE02D8" w:rsidP="00BE02D8">
      <w:pPr>
        <w:numPr>
          <w:ilvl w:val="1"/>
          <w:numId w:val="214"/>
        </w:numPr>
      </w:pPr>
      <w:r w:rsidRPr="00BE02D8">
        <w:t xml:space="preserve">(optional) Meter Service Agreement for </w:t>
      </w:r>
      <w:r>
        <w:t>CA</w:t>
      </w:r>
      <w:r w:rsidRPr="00BE02D8">
        <w:t>ISO Metered Entities</w:t>
      </w:r>
    </w:p>
    <w:p w14:paraId="7FB52D23" w14:textId="77777777" w:rsidR="00BE02D8" w:rsidRDefault="00BE02D8" w:rsidP="00BE02D8"/>
    <w:p w14:paraId="649199B7" w14:textId="77777777" w:rsidR="00BE02D8" w:rsidRDefault="00BE02D8" w:rsidP="00BE02D8">
      <w:pPr>
        <w:outlineLvl w:val="0"/>
        <w:rPr>
          <w:color w:val="244061"/>
        </w:rPr>
      </w:pPr>
    </w:p>
    <w:p w14:paraId="40C2E104" w14:textId="77777777" w:rsidR="00BE02D8" w:rsidRPr="00BA7F31" w:rsidRDefault="00BE02D8" w:rsidP="00D46AE0">
      <w:pPr>
        <w:pStyle w:val="Heading2"/>
      </w:pPr>
      <w:bookmarkStart w:id="47" w:name="_Toc460320419"/>
      <w:r w:rsidRPr="00BA7F31">
        <w:lastRenderedPageBreak/>
        <w:t>EIM Entity Agreement</w:t>
      </w:r>
      <w:bookmarkEnd w:id="47"/>
    </w:p>
    <w:p w14:paraId="0F3F20A3" w14:textId="77777777" w:rsidR="00BE02D8" w:rsidRPr="00877DDB" w:rsidRDefault="00BE02D8" w:rsidP="00BE02D8">
      <w:pPr>
        <w:pStyle w:val="ListParagraph"/>
        <w:numPr>
          <w:ilvl w:val="0"/>
          <w:numId w:val="226"/>
        </w:numPr>
        <w:rPr>
          <w:b/>
        </w:rPr>
      </w:pPr>
      <w:r w:rsidRPr="00877DDB">
        <w:t>Submit the Information Request Sheet for EIM Entity Agreement</w:t>
      </w:r>
    </w:p>
    <w:p w14:paraId="03D3B9F3" w14:textId="77777777" w:rsidR="005F71AB" w:rsidRDefault="00AE7E55" w:rsidP="00545134">
      <w:pPr>
        <w:ind w:left="720"/>
        <w:rPr>
          <w:color w:val="1F497D"/>
        </w:rPr>
      </w:pPr>
      <w:hyperlink r:id="rId124" w:history="1">
        <w:r w:rsidR="00BE02D8" w:rsidRPr="00BE02D8">
          <w:rPr>
            <w:rStyle w:val="Hyperlink"/>
          </w:rPr>
          <w:t>http://www.caiso.com/Documents/EnergyImbalanceMarketEntityAgreementInformationRequestSheet.doc</w:t>
        </w:r>
      </w:hyperlink>
      <w:r w:rsidR="00BE02D8" w:rsidRPr="00172552">
        <w:rPr>
          <w:color w:val="1F497D"/>
        </w:rPr>
        <w:t xml:space="preserve"> </w:t>
      </w:r>
    </w:p>
    <w:p w14:paraId="6C91639C" w14:textId="199E43E7" w:rsidR="00BE02D8" w:rsidRDefault="005F71AB" w:rsidP="00545134">
      <w:pPr>
        <w:ind w:left="720"/>
        <w:rPr>
          <w:color w:val="1F497D"/>
        </w:rPr>
      </w:pPr>
      <w:r w:rsidRPr="00877DDB">
        <w:t xml:space="preserve">Send submissions </w:t>
      </w:r>
      <w:r w:rsidR="00BE02D8" w:rsidRPr="00877DDB">
        <w:t xml:space="preserve">to: </w:t>
      </w:r>
      <w:hyperlink r:id="rId125" w:history="1">
        <w:r w:rsidR="00BE02D8" w:rsidRPr="009743F6">
          <w:rPr>
            <w:rStyle w:val="Hyperlink"/>
          </w:rPr>
          <w:t>RegulatoryContracts@caiso.com</w:t>
        </w:r>
      </w:hyperlink>
      <w:r w:rsidR="00BE02D8">
        <w:rPr>
          <w:color w:val="1F497D"/>
        </w:rPr>
        <w:t xml:space="preserve"> </w:t>
      </w:r>
    </w:p>
    <w:p w14:paraId="20A74AB0" w14:textId="77777777" w:rsidR="00BE02D8" w:rsidRPr="00172552" w:rsidRDefault="00BE02D8" w:rsidP="00BE02D8">
      <w:pPr>
        <w:rPr>
          <w:color w:val="1F497D"/>
        </w:rPr>
      </w:pPr>
    </w:p>
    <w:p w14:paraId="4CE914E2" w14:textId="77777777" w:rsidR="00BE02D8" w:rsidRDefault="00BE02D8" w:rsidP="00D46AE0">
      <w:pPr>
        <w:pStyle w:val="Heading2"/>
      </w:pPr>
      <w:bookmarkStart w:id="48" w:name="_Toc460320420"/>
      <w:r w:rsidRPr="00BA7F31">
        <w:t>EIM Entity Scheduling Coordinator (Entity SC)</w:t>
      </w:r>
      <w:bookmarkEnd w:id="48"/>
      <w:r>
        <w:t xml:space="preserve"> </w:t>
      </w:r>
    </w:p>
    <w:p w14:paraId="24D2FEDD" w14:textId="77777777" w:rsidR="007A721E" w:rsidRDefault="007A721E"/>
    <w:p w14:paraId="4D88392E" w14:textId="77777777" w:rsidR="00BE02D8" w:rsidRDefault="00BE02D8" w:rsidP="00BE02D8">
      <w:pPr>
        <w:outlineLvl w:val="0"/>
        <w:rPr>
          <w:color w:val="1F497D"/>
        </w:rPr>
      </w:pPr>
      <w:bookmarkStart w:id="49" w:name="_Toc460320421"/>
      <w:r w:rsidRPr="00877DDB">
        <w:t>The submittals listed below should be sent to:</w:t>
      </w:r>
      <w:r w:rsidRPr="00877DDB">
        <w:rPr>
          <w:b/>
        </w:rPr>
        <w:t xml:space="preserve"> </w:t>
      </w:r>
      <w:hyperlink r:id="rId126" w:history="1">
        <w:r w:rsidRPr="00172552">
          <w:rPr>
            <w:rStyle w:val="Hyperlink"/>
          </w:rPr>
          <w:t>SCRequests@caiso.com</w:t>
        </w:r>
        <w:bookmarkEnd w:id="49"/>
      </w:hyperlink>
    </w:p>
    <w:p w14:paraId="7E066BD4" w14:textId="77777777" w:rsidR="00BE02D8" w:rsidRDefault="00BE02D8" w:rsidP="00BE02D8">
      <w:pPr>
        <w:outlineLvl w:val="0"/>
        <w:rPr>
          <w:color w:val="1F497D"/>
        </w:rPr>
      </w:pPr>
    </w:p>
    <w:p w14:paraId="5763A737" w14:textId="679FA266" w:rsidR="00BE02D8" w:rsidRDefault="00BE02D8" w:rsidP="00D46AE0">
      <w:pPr>
        <w:pStyle w:val="ListParagraph"/>
        <w:numPr>
          <w:ilvl w:val="0"/>
          <w:numId w:val="227"/>
        </w:numPr>
      </w:pPr>
      <w:r>
        <w:t>EIM Entity will work with the CAISO to determine the SCID naming options. In addition to the SCID, there will be various other IDs that need to be set up for the EIM Entity and the EIM Entity SC. The CAISO will work with the EIM Entity to have these IDs set up in the MAPStage testing environment.</w:t>
      </w:r>
    </w:p>
    <w:p w14:paraId="2512C4EB" w14:textId="77777777" w:rsidR="00BE02D8" w:rsidRPr="00BE02D8" w:rsidRDefault="00BE02D8" w:rsidP="00D46AE0">
      <w:pPr>
        <w:pStyle w:val="ListParagraph"/>
        <w:numPr>
          <w:ilvl w:val="0"/>
          <w:numId w:val="227"/>
        </w:numPr>
      </w:pPr>
      <w:r w:rsidRPr="00640A94">
        <w:t>Submit the EIM entity SC application with the EIM entity (balancing authority) box checked per example below</w:t>
      </w:r>
    </w:p>
    <w:p w14:paraId="5C194057" w14:textId="77777777" w:rsidR="00BE02D8" w:rsidRPr="00640A94" w:rsidRDefault="00BE02D8" w:rsidP="009540DF">
      <w:r>
        <w:br/>
      </w:r>
    </w:p>
    <w:p w14:paraId="4FC622B2" w14:textId="77777777" w:rsidR="00BE02D8" w:rsidRPr="006E2D91" w:rsidRDefault="00AE7E55" w:rsidP="00D46AE0">
      <w:hyperlink r:id="rId127" w:history="1">
        <w:r w:rsidR="00BE02D8" w:rsidRPr="00BE02D8">
          <w:rPr>
            <w:rStyle w:val="Hyperlink"/>
          </w:rPr>
          <w:t>http://www.caiso.com/Documents/SchedulingCoordinatorApplicationFormEIM-SelectionOptions.doc</w:t>
        </w:r>
      </w:hyperlink>
      <w:r w:rsidR="00BE02D8" w:rsidRPr="006E2D91">
        <w:t xml:space="preserve"> </w:t>
      </w:r>
    </w:p>
    <w:p w14:paraId="7F2DDF60" w14:textId="77777777" w:rsidR="00BE02D8" w:rsidRPr="006E2D91" w:rsidRDefault="00BE02D8" w:rsidP="00D46AE0">
      <w:r w:rsidRPr="006E2D91">
        <w:t>Indicate designated SCID on page 1</w:t>
      </w:r>
    </w:p>
    <w:p w14:paraId="1DDF687A" w14:textId="77777777" w:rsidR="00BE02D8" w:rsidRPr="006E2D91" w:rsidRDefault="00BE02D8" w:rsidP="00BE02D8">
      <w:pPr>
        <w:ind w:firstLine="450"/>
        <w:rPr>
          <w:color w:val="1F497D"/>
        </w:rPr>
      </w:pPr>
    </w:p>
    <w:p w14:paraId="1EB7DAE0" w14:textId="77777777" w:rsidR="00BE02D8" w:rsidRPr="006E2D91" w:rsidRDefault="00BE02D8" w:rsidP="00BE02D8">
      <w:pPr>
        <w:ind w:firstLine="450"/>
        <w:rPr>
          <w:color w:val="1F497D"/>
        </w:rPr>
      </w:pPr>
      <w:r w:rsidRPr="00F55A81">
        <w:rPr>
          <w:noProof/>
          <w:color w:val="1F497D"/>
        </w:rPr>
        <w:drawing>
          <wp:inline distT="0" distB="0" distL="0" distR="0" wp14:anchorId="056D4506" wp14:editId="4BFDBB70">
            <wp:extent cx="61436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143625" cy="1447800"/>
                    </a:xfrm>
                    <a:prstGeom prst="rect">
                      <a:avLst/>
                    </a:prstGeom>
                    <a:noFill/>
                    <a:ln>
                      <a:noFill/>
                    </a:ln>
                  </pic:spPr>
                </pic:pic>
              </a:graphicData>
            </a:graphic>
          </wp:inline>
        </w:drawing>
      </w:r>
    </w:p>
    <w:p w14:paraId="0E5492F4" w14:textId="77777777" w:rsidR="00BE02D8" w:rsidRPr="006E2D91" w:rsidRDefault="00BE02D8" w:rsidP="00BE02D8">
      <w:pPr>
        <w:ind w:firstLine="450"/>
        <w:rPr>
          <w:color w:val="1F497D"/>
        </w:rPr>
      </w:pPr>
    </w:p>
    <w:p w14:paraId="5D964A5E" w14:textId="77777777" w:rsidR="00BE02D8" w:rsidRPr="00877DDB" w:rsidRDefault="00BE02D8" w:rsidP="00BE02D8">
      <w:pPr>
        <w:pStyle w:val="ListParagraph"/>
        <w:numPr>
          <w:ilvl w:val="0"/>
          <w:numId w:val="222"/>
        </w:numPr>
        <w:rPr>
          <w:b/>
        </w:rPr>
      </w:pPr>
      <w:r w:rsidRPr="00877DDB">
        <w:t xml:space="preserve">Submit the Information Request Sheet for EIM Entity SC </w:t>
      </w:r>
    </w:p>
    <w:p w14:paraId="69AFED09" w14:textId="77777777" w:rsidR="00BE02D8" w:rsidRPr="006E2D91" w:rsidRDefault="00AE7E55" w:rsidP="00BE02D8">
      <w:pPr>
        <w:ind w:left="450"/>
        <w:rPr>
          <w:color w:val="1F497D"/>
        </w:rPr>
      </w:pPr>
      <w:hyperlink r:id="rId129" w:history="1">
        <w:r w:rsidR="00BE02D8" w:rsidRPr="00BE02D8">
          <w:rPr>
            <w:rStyle w:val="Hyperlink"/>
          </w:rPr>
          <w:t>http://www.caiso.com/Documents/EnergyImbalanceMarketEntitySchedulingCoordinatorAgreementInformationRequestSheet.doc</w:t>
        </w:r>
      </w:hyperlink>
      <w:r w:rsidR="00BE02D8" w:rsidRPr="006E2D91">
        <w:rPr>
          <w:color w:val="1F497D"/>
        </w:rPr>
        <w:t xml:space="preserve"> </w:t>
      </w:r>
    </w:p>
    <w:p w14:paraId="1D2559E6" w14:textId="77777777" w:rsidR="00BE02D8" w:rsidRPr="006E2D91" w:rsidRDefault="00BE02D8" w:rsidP="00BE02D8">
      <w:pPr>
        <w:ind w:firstLine="450"/>
        <w:rPr>
          <w:color w:val="1F497D"/>
        </w:rPr>
      </w:pPr>
    </w:p>
    <w:p w14:paraId="3CF6880C" w14:textId="77777777" w:rsidR="00BE02D8" w:rsidRPr="00877DDB" w:rsidRDefault="00BE02D8" w:rsidP="00BE02D8">
      <w:pPr>
        <w:pStyle w:val="ListParagraph"/>
        <w:numPr>
          <w:ilvl w:val="0"/>
          <w:numId w:val="222"/>
        </w:numPr>
      </w:pPr>
      <w:r w:rsidRPr="00877DDB">
        <w:t>Download the template from the CAISO website for the MSA/SC agreement for the EIM entity (balancing area). Submit the MSA/SC Information Request Sheet – (Specific verbiage will be provided by the CAISO for the Schedule 3)</w:t>
      </w:r>
    </w:p>
    <w:p w14:paraId="58CE16BD" w14:textId="77777777" w:rsidR="00BE02D8" w:rsidRPr="00877DDB" w:rsidRDefault="00BE02D8" w:rsidP="00BE02D8">
      <w:r w:rsidRPr="00877DDB">
        <w:t>After all the requirements have been met by the EIM entity SC, agreements are issued.</w:t>
      </w:r>
    </w:p>
    <w:p w14:paraId="754B3D74" w14:textId="77777777" w:rsidR="00BE02D8" w:rsidRPr="00877DDB" w:rsidRDefault="007C7A35" w:rsidP="00BE02D8">
      <w:pPr>
        <w:rPr>
          <w:b/>
        </w:rPr>
      </w:pPr>
      <w:r w:rsidRPr="00877DDB">
        <w:t xml:space="preserve">The following requirements </w:t>
      </w:r>
      <w:r w:rsidR="00BE02D8" w:rsidRPr="00877DDB">
        <w:t xml:space="preserve">to be met no later than 30 days prior to parallel operations. </w:t>
      </w:r>
      <w:r w:rsidR="00BE02D8" w:rsidRPr="00877DDB">
        <w:br/>
      </w:r>
    </w:p>
    <w:p w14:paraId="62818173" w14:textId="77777777" w:rsidR="007C7A35" w:rsidRPr="00877DDB" w:rsidRDefault="00BE02D8" w:rsidP="00D46AE0">
      <w:pPr>
        <w:pStyle w:val="ListParagraph"/>
        <w:numPr>
          <w:ilvl w:val="0"/>
          <w:numId w:val="222"/>
        </w:numPr>
      </w:pPr>
      <w:r w:rsidRPr="00877DDB">
        <w:t>Submit the updated Affiliate Form -</w:t>
      </w:r>
      <w:r w:rsidR="007C7A35" w:rsidRPr="00877DDB">
        <w:t xml:space="preserve"> (all SCs must have an up-to-date Affialiate form on file with the CAISO as affiliates change)</w:t>
      </w:r>
    </w:p>
    <w:p w14:paraId="1D5011CA" w14:textId="77777777" w:rsidR="00BE02D8" w:rsidRDefault="00AE7E55" w:rsidP="00BE02D8">
      <w:pPr>
        <w:ind w:left="720"/>
        <w:rPr>
          <w:color w:val="1F497D"/>
        </w:rPr>
      </w:pPr>
      <w:hyperlink r:id="rId130" w:history="1">
        <w:r w:rsidR="00BE02D8" w:rsidRPr="00BE02D8">
          <w:rPr>
            <w:rStyle w:val="Hyperlink"/>
          </w:rPr>
          <w:t>http://www.caiso.com/Documents/ISOAffiliationResourceControlAgreementDisclosureForm.xls</w:t>
        </w:r>
      </w:hyperlink>
    </w:p>
    <w:p w14:paraId="23C73346" w14:textId="77777777" w:rsidR="00BE02D8" w:rsidRDefault="00BE02D8" w:rsidP="00BE02D8">
      <w:pPr>
        <w:rPr>
          <w:b/>
          <w:color w:val="FF0000"/>
        </w:rPr>
      </w:pPr>
    </w:p>
    <w:p w14:paraId="2C06C372" w14:textId="77777777" w:rsidR="007C7A35" w:rsidRPr="00877DDB" w:rsidRDefault="00BE02D8" w:rsidP="00D46AE0">
      <w:pPr>
        <w:pStyle w:val="ListParagraph"/>
        <w:numPr>
          <w:ilvl w:val="0"/>
          <w:numId w:val="222"/>
        </w:numPr>
      </w:pPr>
      <w:r w:rsidRPr="00877DDB">
        <w:t xml:space="preserve">Submit the Electronic Funds Transfer form – </w:t>
      </w:r>
      <w:r w:rsidR="007C7A35" w:rsidRPr="00877DDB">
        <w:t>(if the EIM Entity SC plans on using a separate bank account different from the bank account currently on file with the CAISO)</w:t>
      </w:r>
    </w:p>
    <w:p w14:paraId="1A84BD0A" w14:textId="77777777" w:rsidR="00BE02D8" w:rsidRDefault="00AE7E55" w:rsidP="00BE02D8">
      <w:pPr>
        <w:ind w:firstLine="720"/>
        <w:rPr>
          <w:color w:val="1F497D"/>
        </w:rPr>
      </w:pPr>
      <w:hyperlink r:id="rId131" w:history="1">
        <w:r w:rsidR="00BE02D8" w:rsidRPr="009743F6">
          <w:rPr>
            <w:rStyle w:val="Hyperlink"/>
          </w:rPr>
          <w:t>http://www.caiso.com/Documents/ISO_PaymentSelectionInstructions-EFT-Form.doc</w:t>
        </w:r>
      </w:hyperlink>
      <w:r w:rsidR="00BE02D8">
        <w:rPr>
          <w:color w:val="1F497D"/>
        </w:rPr>
        <w:t xml:space="preserve"> </w:t>
      </w:r>
    </w:p>
    <w:p w14:paraId="7154ED31" w14:textId="77777777" w:rsidR="00BE02D8" w:rsidRPr="00877DDB" w:rsidRDefault="00BE02D8" w:rsidP="00BE02D8">
      <w:pPr>
        <w:ind w:firstLine="720"/>
      </w:pPr>
      <w:r w:rsidRPr="00877DDB">
        <w:t>Required if EIM entity SC will be using a separate bank account from the EIM PR SC.</w:t>
      </w:r>
    </w:p>
    <w:p w14:paraId="621C525B" w14:textId="77777777" w:rsidR="00BE02D8" w:rsidRPr="006E2D91" w:rsidRDefault="00BE02D8" w:rsidP="00BE02D8">
      <w:pPr>
        <w:ind w:firstLine="450"/>
        <w:rPr>
          <w:color w:val="1F497D"/>
        </w:rPr>
      </w:pPr>
    </w:p>
    <w:p w14:paraId="73905A14" w14:textId="77777777" w:rsidR="00BE02D8" w:rsidRPr="00877DDB" w:rsidRDefault="00BE02D8" w:rsidP="00BE02D8">
      <w:pPr>
        <w:pStyle w:val="ListParagraph"/>
        <w:numPr>
          <w:ilvl w:val="0"/>
          <w:numId w:val="222"/>
        </w:numPr>
      </w:pPr>
      <w:r w:rsidRPr="00877DDB">
        <w:t xml:space="preserve">Submit an Emergency Plan </w:t>
      </w:r>
      <w:r w:rsidR="007C7A35" w:rsidRPr="00877DDB">
        <w:t>–</w:t>
      </w:r>
      <w:r w:rsidRPr="00877DDB">
        <w:t xml:space="preserve"> </w:t>
      </w:r>
      <w:r w:rsidR="007C7A35" w:rsidRPr="00877DDB">
        <w:t>(If the EIM Entity SC plans on having a separate operations real time desk from what is currently on file with the CAISO)</w:t>
      </w:r>
    </w:p>
    <w:p w14:paraId="03DC9620" w14:textId="77777777" w:rsidR="00BE02D8" w:rsidRDefault="00AE7E55" w:rsidP="00D46AE0">
      <w:pPr>
        <w:ind w:firstLine="720"/>
        <w:rPr>
          <w:color w:val="1F497D"/>
        </w:rPr>
      </w:pPr>
      <w:hyperlink r:id="rId132" w:history="1">
        <w:r w:rsidR="00BE02D8" w:rsidRPr="009743F6">
          <w:rPr>
            <w:rStyle w:val="Hyperlink"/>
          </w:rPr>
          <w:t>http://www.caiso.com/Documents/EmergencyPlanForm.doc</w:t>
        </w:r>
      </w:hyperlink>
    </w:p>
    <w:p w14:paraId="4077E99F" w14:textId="77777777" w:rsidR="00BE02D8" w:rsidRDefault="00BE02D8" w:rsidP="00BE02D8">
      <w:pPr>
        <w:rPr>
          <w:color w:val="1F497D"/>
        </w:rPr>
      </w:pPr>
    </w:p>
    <w:p w14:paraId="534A41BE" w14:textId="77777777" w:rsidR="00BE02D8" w:rsidRPr="00877DDB" w:rsidRDefault="00BE02D8" w:rsidP="00BE02D8">
      <w:pPr>
        <w:pStyle w:val="ListParagraph"/>
        <w:numPr>
          <w:ilvl w:val="0"/>
          <w:numId w:val="222"/>
        </w:numPr>
      </w:pPr>
      <w:r w:rsidRPr="00877DDB">
        <w:t xml:space="preserve">Perform Real Time Grid Ops test. The real time test is a series of 5 calls from the CAISO real time desk to the 24 hour number provided in the submitted Emergency Plan at any time or any day over a   7-10 period. </w:t>
      </w:r>
      <w:r w:rsidR="007C7A35" w:rsidRPr="00877DDB">
        <w:t>(based on the submission of the Emergency Plan in #5)</w:t>
      </w:r>
    </w:p>
    <w:p w14:paraId="62C8ECB7" w14:textId="77777777" w:rsidR="00BE02D8" w:rsidRDefault="00BE02D8" w:rsidP="00BE02D8">
      <w:pPr>
        <w:ind w:left="720"/>
        <w:rPr>
          <w:color w:val="1F497D"/>
        </w:rPr>
      </w:pPr>
    </w:p>
    <w:p w14:paraId="512E0863" w14:textId="77777777" w:rsidR="00BE02D8" w:rsidRPr="00BA7F31" w:rsidRDefault="00BE02D8" w:rsidP="00D46AE0">
      <w:pPr>
        <w:pStyle w:val="Heading2"/>
      </w:pPr>
      <w:bookmarkStart w:id="50" w:name="_Toc460320422"/>
      <w:r w:rsidRPr="00BA7F31">
        <w:t>EIM Participating Resource Scheduling Coordinator (EIM PR SC)</w:t>
      </w:r>
      <w:bookmarkEnd w:id="50"/>
      <w:r w:rsidRPr="00BA7F31">
        <w:t xml:space="preserve"> </w:t>
      </w:r>
    </w:p>
    <w:p w14:paraId="6E04AAFC" w14:textId="77777777" w:rsidR="007A721E" w:rsidRDefault="007A721E" w:rsidP="00BE02D8">
      <w:pPr>
        <w:rPr>
          <w:b/>
          <w:color w:val="1F497D"/>
        </w:rPr>
      </w:pPr>
      <w:r w:rsidRPr="00877DDB">
        <w:t>All of the following submittals should be sent to</w:t>
      </w:r>
      <w:r w:rsidRPr="00877DDB">
        <w:rPr>
          <w:b/>
        </w:rPr>
        <w:t xml:space="preserve"> </w:t>
      </w:r>
      <w:hyperlink r:id="rId133" w:history="1">
        <w:r w:rsidRPr="008D6FD4">
          <w:rPr>
            <w:rStyle w:val="Hyperlink"/>
            <w:b/>
          </w:rPr>
          <w:t>SCRequests@caiso.com</w:t>
        </w:r>
      </w:hyperlink>
    </w:p>
    <w:p w14:paraId="44206A67" w14:textId="77777777" w:rsidR="007A721E" w:rsidRPr="00642F1C" w:rsidRDefault="007A721E" w:rsidP="00BE02D8">
      <w:pPr>
        <w:spacing w:after="200" w:line="276" w:lineRule="auto"/>
        <w:rPr>
          <w:rFonts w:cs="Arial"/>
        </w:rPr>
      </w:pPr>
      <w:r w:rsidRPr="00877DDB">
        <w:rPr>
          <w:rFonts w:cs="Arial"/>
        </w:rPr>
        <w:t>Special Note: For other EIM PR SCs not part of the EIM entity, there are steps and requirements. Refer to documentation posted on the CAISO web site:</w:t>
      </w:r>
    </w:p>
    <w:p w14:paraId="2A9EB7C7" w14:textId="77777777" w:rsidR="007A721E" w:rsidRDefault="007A721E"/>
    <w:p w14:paraId="25FD1646" w14:textId="77777777" w:rsidR="00BE02D8" w:rsidRPr="00BE02D8" w:rsidRDefault="00BE02D8" w:rsidP="00BE02D8">
      <w:pPr>
        <w:pStyle w:val="ListParagraph"/>
        <w:numPr>
          <w:ilvl w:val="0"/>
          <w:numId w:val="223"/>
        </w:numPr>
        <w:rPr>
          <w:rFonts w:cs="Arial"/>
          <w:color w:val="1F497D"/>
        </w:rPr>
      </w:pPr>
      <w:r w:rsidRPr="00877DDB">
        <w:rPr>
          <w:rFonts w:eastAsia="Calibri" w:cs="Arial"/>
        </w:rPr>
        <w:t>Submit</w:t>
      </w:r>
      <w:r w:rsidRPr="00877DDB">
        <w:rPr>
          <w:rFonts w:ascii="Calibri" w:eastAsia="Calibri" w:hAnsi="Calibri"/>
        </w:rPr>
        <w:t xml:space="preserve"> </w:t>
      </w:r>
      <w:r w:rsidRPr="00877DDB">
        <w:rPr>
          <w:rFonts w:eastAsia="Calibri" w:cs="Arial"/>
        </w:rPr>
        <w:t xml:space="preserve">a request (email) for an additional SCID to </w:t>
      </w:r>
      <w:hyperlink r:id="rId134" w:history="1">
        <w:r w:rsidRPr="00BE02D8">
          <w:rPr>
            <w:rStyle w:val="Hyperlink"/>
            <w:rFonts w:eastAsia="Calibri" w:cs="Arial"/>
          </w:rPr>
          <w:t>SCRequests@caiso.com</w:t>
        </w:r>
      </w:hyperlink>
      <w:r w:rsidRPr="00BE02D8">
        <w:rPr>
          <w:rFonts w:eastAsia="Calibri" w:cs="Arial"/>
          <w:color w:val="1F497D"/>
        </w:rPr>
        <w:t xml:space="preserve"> </w:t>
      </w:r>
      <w:r w:rsidRPr="00877DDB">
        <w:rPr>
          <w:rFonts w:eastAsia="Calibri" w:cs="Arial"/>
        </w:rPr>
        <w:t>(indicating this is for EIM)</w:t>
      </w:r>
    </w:p>
    <w:p w14:paraId="794C521E" w14:textId="722606B5" w:rsidR="00BE02D8" w:rsidRPr="00877DDB" w:rsidRDefault="00BE02D8" w:rsidP="00BE02D8">
      <w:pPr>
        <w:ind w:left="630"/>
      </w:pPr>
      <w:r w:rsidRPr="00BE02D8">
        <w:rPr>
          <w:b/>
          <w:color w:val="943634"/>
        </w:rPr>
        <w:t>Optional</w:t>
      </w:r>
      <w:r w:rsidR="005F71AB">
        <w:rPr>
          <w:b/>
          <w:color w:val="943634"/>
        </w:rPr>
        <w:t>:</w:t>
      </w:r>
      <w:r w:rsidRPr="00BE02D8">
        <w:rPr>
          <w:color w:val="1F497D"/>
        </w:rPr>
        <w:t xml:space="preserve"> </w:t>
      </w:r>
      <w:r w:rsidRPr="00877DDB">
        <w:t>A separate SCID for the EIM participating resource SC is not required, but it is recommended to have a dedicate</w:t>
      </w:r>
      <w:r w:rsidR="007C7A35" w:rsidRPr="00877DDB">
        <w:t>d SCID due to the fact the EIM E</w:t>
      </w:r>
      <w:r w:rsidRPr="00877DDB">
        <w:t>ntity SC will have visibility to the resource data templates for all resources associated with the specified SCID.</w:t>
      </w:r>
    </w:p>
    <w:p w14:paraId="7FF74F2B" w14:textId="77777777" w:rsidR="00BE02D8" w:rsidRPr="00877DDB" w:rsidRDefault="00BE02D8" w:rsidP="00BE02D8">
      <w:pPr>
        <w:pStyle w:val="ListParagraph"/>
        <w:rPr>
          <w:rFonts w:cs="Arial"/>
        </w:rPr>
      </w:pPr>
      <w:r w:rsidRPr="00877DDB">
        <w:rPr>
          <w:rFonts w:cs="Arial"/>
        </w:rPr>
        <w:tab/>
      </w:r>
    </w:p>
    <w:p w14:paraId="4DA511A4" w14:textId="77777777" w:rsidR="00BE02D8" w:rsidRPr="00BE02D8" w:rsidRDefault="00BE02D8" w:rsidP="00BE02D8">
      <w:pPr>
        <w:pStyle w:val="ListParagraph"/>
        <w:numPr>
          <w:ilvl w:val="0"/>
          <w:numId w:val="223"/>
        </w:numPr>
        <w:rPr>
          <w:rFonts w:ascii="Calibri" w:eastAsia="Calibri" w:hAnsi="Calibri"/>
          <w:color w:val="1F497D"/>
        </w:rPr>
      </w:pPr>
      <w:r w:rsidRPr="00877DDB">
        <w:t>The PR SC will be notified of approval of the requested SCID and will be instructed to submit the SCID request letter</w:t>
      </w:r>
    </w:p>
    <w:p w14:paraId="50A2A581" w14:textId="77777777" w:rsidR="00BE02D8" w:rsidRPr="009E4DB2" w:rsidRDefault="00AE7E55" w:rsidP="00BE02D8">
      <w:pPr>
        <w:ind w:left="630"/>
        <w:rPr>
          <w:color w:val="1F497D"/>
        </w:rPr>
      </w:pPr>
      <w:hyperlink r:id="rId135" w:history="1">
        <w:r w:rsidR="00BE02D8">
          <w:rPr>
            <w:rStyle w:val="Hyperlink"/>
          </w:rPr>
          <w:t>http://www.caiso.com/Documents/ExistingSchedulingCoordinatorRequestsAdditionalSCID.doc</w:t>
        </w:r>
      </w:hyperlink>
    </w:p>
    <w:p w14:paraId="0AB43968" w14:textId="77777777" w:rsidR="00BE02D8" w:rsidRDefault="00BE02D8" w:rsidP="00BE02D8">
      <w:pPr>
        <w:rPr>
          <w:color w:val="1F497D"/>
        </w:rPr>
      </w:pPr>
    </w:p>
    <w:p w14:paraId="3F0B01B4" w14:textId="77777777" w:rsidR="00BE02D8" w:rsidRPr="00877DDB" w:rsidRDefault="00BE02D8" w:rsidP="00BE02D8">
      <w:pPr>
        <w:pStyle w:val="ListParagraph"/>
        <w:numPr>
          <w:ilvl w:val="0"/>
          <w:numId w:val="223"/>
        </w:numPr>
      </w:pPr>
      <w:r w:rsidRPr="00877DDB">
        <w:t>Submit Base Schedule Coordinator (BSC) ID request form -- CAISO will provide the BSCID based on a specific naming convention. This form should be submitted along with the Additional SCID request letter to have the same effective start date. The BSC ID is used for the submission of base schedules into the BSAP (base schedule application)</w:t>
      </w:r>
    </w:p>
    <w:p w14:paraId="244D35B4" w14:textId="77777777" w:rsidR="00BE02D8" w:rsidRPr="00877DDB" w:rsidRDefault="00BE02D8" w:rsidP="00BE02D8">
      <w:pPr>
        <w:pStyle w:val="ListParagraph"/>
        <w:numPr>
          <w:ilvl w:val="0"/>
          <w:numId w:val="221"/>
        </w:numPr>
      </w:pPr>
      <w:r w:rsidRPr="00877DDB">
        <w:t xml:space="preserve">The master file is updated with an effective start date for the SCID and BSCID per this submission. </w:t>
      </w:r>
    </w:p>
    <w:p w14:paraId="4111EFAA" w14:textId="77777777" w:rsidR="00BE02D8" w:rsidRPr="00877DDB" w:rsidRDefault="00BE02D8" w:rsidP="00BE02D8"/>
    <w:p w14:paraId="4EC1238E" w14:textId="37DC3DEC" w:rsidR="005F71AB" w:rsidRPr="00877DDB" w:rsidRDefault="00BE02D8" w:rsidP="00BE02D8">
      <w:pPr>
        <w:pStyle w:val="ListParagraph"/>
        <w:numPr>
          <w:ilvl w:val="0"/>
          <w:numId w:val="223"/>
        </w:numPr>
      </w:pPr>
      <w:r w:rsidRPr="00877DDB">
        <w:t>Submit the PR SC application with the EIM participating Resource box checked per example below.</w:t>
      </w:r>
      <w:r w:rsidR="005F71AB">
        <w:t xml:space="preserve"> </w:t>
      </w:r>
    </w:p>
    <w:p w14:paraId="627DD5CD" w14:textId="77777777" w:rsidR="00BE02D8" w:rsidRPr="00642F1C" w:rsidRDefault="00AE7E55" w:rsidP="00877DDB">
      <w:pPr>
        <w:pStyle w:val="ListParagraph"/>
        <w:rPr>
          <w:color w:val="1F497D"/>
        </w:rPr>
      </w:pPr>
      <w:hyperlink r:id="rId136" w:history="1">
        <w:r w:rsidR="00BE02D8" w:rsidRPr="00BE02D8">
          <w:rPr>
            <w:rStyle w:val="Hyperlink"/>
          </w:rPr>
          <w:t>http://www.caiso.com/Documents/SchedulingCoordinatorApplicationFormEIM-SelectionOptions.doc</w:t>
        </w:r>
      </w:hyperlink>
      <w:r w:rsidR="00BE02D8" w:rsidRPr="00642F1C">
        <w:rPr>
          <w:color w:val="1F497D"/>
        </w:rPr>
        <w:t xml:space="preserve"> </w:t>
      </w:r>
      <w:r w:rsidR="00BE02D8" w:rsidRPr="00642F1C">
        <w:rPr>
          <w:color w:val="1F497D"/>
        </w:rPr>
        <w:br/>
      </w:r>
    </w:p>
    <w:p w14:paraId="108003CD" w14:textId="77777777" w:rsidR="00BE02D8" w:rsidRDefault="00BE02D8" w:rsidP="00BE02D8">
      <w:pPr>
        <w:ind w:left="720"/>
        <w:rPr>
          <w:color w:val="1F497D"/>
        </w:rPr>
      </w:pPr>
    </w:p>
    <w:p w14:paraId="1A1E7949" w14:textId="77777777" w:rsidR="00BE02D8" w:rsidRDefault="00BE02D8" w:rsidP="00BE02D8">
      <w:pPr>
        <w:ind w:left="720"/>
        <w:rPr>
          <w:color w:val="1F497D"/>
        </w:rPr>
      </w:pPr>
      <w:r w:rsidRPr="00F55A81">
        <w:rPr>
          <w:noProof/>
          <w:color w:val="1F497D"/>
        </w:rPr>
        <w:drawing>
          <wp:inline distT="0" distB="0" distL="0" distR="0" wp14:anchorId="600CA3BC" wp14:editId="5FF23A49">
            <wp:extent cx="5391150" cy="1200150"/>
            <wp:effectExtent l="0" t="0" r="0" b="0"/>
            <wp:docPr id="36" name="Picture 36" descr="PR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 SC"/>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1E1FA6A2" w14:textId="77777777" w:rsidR="00BE02D8" w:rsidRDefault="00BE02D8" w:rsidP="00BE02D8">
      <w:pPr>
        <w:ind w:left="720"/>
        <w:rPr>
          <w:color w:val="1F497D"/>
        </w:rPr>
      </w:pPr>
    </w:p>
    <w:p w14:paraId="3F4868C6" w14:textId="77777777" w:rsidR="00BE02D8" w:rsidRPr="00877DDB" w:rsidRDefault="00BE02D8" w:rsidP="00BE02D8">
      <w:pPr>
        <w:ind w:left="720"/>
      </w:pPr>
    </w:p>
    <w:p w14:paraId="57E83830" w14:textId="77777777" w:rsidR="00BE02D8" w:rsidRPr="00877DDB" w:rsidRDefault="00BE02D8" w:rsidP="00BE02D8">
      <w:pPr>
        <w:pStyle w:val="ListParagraph"/>
        <w:numPr>
          <w:ilvl w:val="0"/>
          <w:numId w:val="223"/>
        </w:numPr>
        <w:rPr>
          <w:b/>
        </w:rPr>
      </w:pPr>
      <w:r w:rsidRPr="00877DDB">
        <w:t xml:space="preserve">Submit the Information Request Sheet for EIM PR SC </w:t>
      </w:r>
    </w:p>
    <w:p w14:paraId="02C0757D" w14:textId="77777777" w:rsidR="00BE02D8" w:rsidRDefault="00AE7E55" w:rsidP="00BE02D8">
      <w:pPr>
        <w:ind w:left="720"/>
        <w:rPr>
          <w:color w:val="1F497D"/>
        </w:rPr>
      </w:pPr>
      <w:hyperlink r:id="rId138" w:history="1">
        <w:r w:rsidR="00BE02D8" w:rsidRPr="008D6FD4">
          <w:rPr>
            <w:rStyle w:val="Hyperlink"/>
          </w:rPr>
          <w:t>http://www.caiso.com/Documents/EnergyImbalanceMarketParticipatingResourceSchedulingCoordinatorAgreementInformationRequestSheet.doc</w:t>
        </w:r>
      </w:hyperlink>
      <w:r w:rsidR="00BE02D8">
        <w:rPr>
          <w:color w:val="1F497D"/>
        </w:rPr>
        <w:t xml:space="preserve"> </w:t>
      </w:r>
    </w:p>
    <w:p w14:paraId="2C67ED0A" w14:textId="77777777" w:rsidR="00BE02D8" w:rsidRDefault="00BE02D8" w:rsidP="00BE02D8">
      <w:pPr>
        <w:ind w:left="720"/>
        <w:rPr>
          <w:color w:val="1F497D"/>
        </w:rPr>
      </w:pPr>
    </w:p>
    <w:p w14:paraId="29FD6E0E" w14:textId="77777777" w:rsidR="00BE02D8" w:rsidRPr="00877DDB" w:rsidRDefault="00BE02D8" w:rsidP="00BE02D8">
      <w:pPr>
        <w:pStyle w:val="ListParagraph"/>
        <w:numPr>
          <w:ilvl w:val="0"/>
          <w:numId w:val="223"/>
        </w:numPr>
      </w:pPr>
      <w:r w:rsidRPr="00877DDB">
        <w:t xml:space="preserve">Download the template from the </w:t>
      </w:r>
      <w:r w:rsidR="006B6F17" w:rsidRPr="00877DDB">
        <w:t>CA</w:t>
      </w:r>
      <w:r w:rsidRPr="00877DDB">
        <w:t>ISO website for th</w:t>
      </w:r>
      <w:r w:rsidR="007C7A35" w:rsidRPr="00877DDB">
        <w:t>e MSA/SC agreement for the EIM E</w:t>
      </w:r>
      <w:r w:rsidRPr="00877DDB">
        <w:t>ntity (balancing area)</w:t>
      </w:r>
    </w:p>
    <w:p w14:paraId="7A73DC42" w14:textId="77777777" w:rsidR="00BE02D8" w:rsidRPr="00877DDB" w:rsidRDefault="00BE02D8" w:rsidP="00BE02D8">
      <w:pPr>
        <w:ind w:left="720"/>
      </w:pPr>
      <w:r w:rsidRPr="00877DDB">
        <w:t xml:space="preserve">Submit the MSA/SC Information Request Sheet – (Specific verbiage will be provided by the </w:t>
      </w:r>
      <w:r w:rsidR="000D72C0" w:rsidRPr="00877DDB">
        <w:t>CA</w:t>
      </w:r>
      <w:r w:rsidRPr="00877DDB">
        <w:t>ISO for the Schedule 3)</w:t>
      </w:r>
    </w:p>
    <w:p w14:paraId="49D5D3A0" w14:textId="77777777" w:rsidR="00BE02D8" w:rsidRPr="00877DDB" w:rsidRDefault="00BE02D8" w:rsidP="00BE02D8">
      <w:pPr>
        <w:pStyle w:val="ListParagraph"/>
        <w:numPr>
          <w:ilvl w:val="0"/>
          <w:numId w:val="221"/>
        </w:numPr>
      </w:pPr>
      <w:r w:rsidRPr="00877DDB">
        <w:t>After all the requirements have been met by the EIM PR SC, agreements are issued.</w:t>
      </w:r>
    </w:p>
    <w:p w14:paraId="2B248083" w14:textId="77777777" w:rsidR="00BE02D8" w:rsidRDefault="00BE02D8" w:rsidP="00BE02D8">
      <w:pPr>
        <w:rPr>
          <w:b/>
          <w:color w:val="1F497D"/>
        </w:rPr>
      </w:pPr>
    </w:p>
    <w:p w14:paraId="3262DDD5" w14:textId="77777777" w:rsidR="00BE02D8" w:rsidRPr="00877DDB" w:rsidRDefault="00BE02D8" w:rsidP="00BE02D8">
      <w:pPr>
        <w:rPr>
          <w:b/>
        </w:rPr>
      </w:pPr>
      <w:r w:rsidRPr="00877DDB">
        <w:rPr>
          <w:b/>
        </w:rPr>
        <w:t>The following requirements need to be met no later than 30 days prior to parallel operations.</w:t>
      </w:r>
      <w:r w:rsidRPr="00877DDB">
        <w:rPr>
          <w:b/>
        </w:rPr>
        <w:br/>
      </w:r>
    </w:p>
    <w:p w14:paraId="15E50FB8" w14:textId="77777777" w:rsidR="00BE02D8" w:rsidRPr="00877DDB" w:rsidRDefault="00BE02D8" w:rsidP="00BE02D8">
      <w:pPr>
        <w:pStyle w:val="ListParagraph"/>
        <w:numPr>
          <w:ilvl w:val="0"/>
          <w:numId w:val="223"/>
        </w:numPr>
      </w:pPr>
      <w:r w:rsidRPr="00877DDB">
        <w:t>Submit an updated Affiliate Form</w:t>
      </w:r>
      <w:r w:rsidR="007C7A35" w:rsidRPr="00877DDB">
        <w:t xml:space="preserve"> - (all SCs must have an up-to-date </w:t>
      </w:r>
      <w:r w:rsidR="003F0008" w:rsidRPr="00877DDB">
        <w:t>Affiliate</w:t>
      </w:r>
      <w:r w:rsidR="007C7A35" w:rsidRPr="00877DDB">
        <w:t xml:space="preserve"> form on file with the </w:t>
      </w:r>
      <w:r w:rsidR="000D72C0" w:rsidRPr="00877DDB">
        <w:t>CA</w:t>
      </w:r>
      <w:r w:rsidR="007C7A35" w:rsidRPr="00877DDB">
        <w:t>ISO as affiliates change)</w:t>
      </w:r>
    </w:p>
    <w:p w14:paraId="0F98C96F" w14:textId="77777777" w:rsidR="00BE02D8" w:rsidRDefault="00AE7E55" w:rsidP="00D46AE0">
      <w:pPr>
        <w:ind w:left="720"/>
        <w:rPr>
          <w:color w:val="1F497D"/>
        </w:rPr>
      </w:pPr>
      <w:hyperlink r:id="rId139" w:history="1">
        <w:r w:rsidR="00C82C40" w:rsidRPr="00C82C40">
          <w:rPr>
            <w:rStyle w:val="Hyperlink"/>
          </w:rPr>
          <w:t>http://www.caiso.com/Documents/ISOAffiliationResourceControlAgreementDisclosureForm.xls</w:t>
        </w:r>
      </w:hyperlink>
      <w:r w:rsidR="00BE02D8">
        <w:rPr>
          <w:color w:val="1F497D"/>
        </w:rPr>
        <w:t xml:space="preserve"> </w:t>
      </w:r>
    </w:p>
    <w:p w14:paraId="737454A7" w14:textId="77777777" w:rsidR="00BE02D8" w:rsidRDefault="00BE02D8" w:rsidP="00BE02D8">
      <w:pPr>
        <w:rPr>
          <w:color w:val="1F497D"/>
        </w:rPr>
      </w:pPr>
    </w:p>
    <w:p w14:paraId="50E086C0" w14:textId="77777777" w:rsidR="00BE02D8" w:rsidRPr="00877DDB" w:rsidRDefault="00BE02D8" w:rsidP="00BE02D8">
      <w:pPr>
        <w:pStyle w:val="ListParagraph"/>
        <w:numPr>
          <w:ilvl w:val="0"/>
          <w:numId w:val="223"/>
        </w:numPr>
      </w:pPr>
      <w:r w:rsidRPr="00877DDB">
        <w:lastRenderedPageBreak/>
        <w:t>Submit the SC Acceptance letter – This is submitted to indicate agreement to be the SC for specified EIM participating resources.</w:t>
      </w:r>
    </w:p>
    <w:p w14:paraId="509E45CC" w14:textId="77777777" w:rsidR="00BE02D8" w:rsidRPr="00BE02D8" w:rsidRDefault="00AE7E55" w:rsidP="00BE02D8">
      <w:pPr>
        <w:pStyle w:val="ListParagraph"/>
        <w:rPr>
          <w:color w:val="1F497D"/>
        </w:rPr>
      </w:pPr>
      <w:hyperlink r:id="rId140" w:history="1">
        <w:r w:rsidR="00BE02D8" w:rsidRPr="009743F6">
          <w:rPr>
            <w:rStyle w:val="Hyperlink"/>
          </w:rPr>
          <w:t>http://www.caiso.com/Documents/NewSCAcceptanceLetter_Sept2014.doc</w:t>
        </w:r>
      </w:hyperlink>
    </w:p>
    <w:p w14:paraId="62E878FA" w14:textId="77777777" w:rsidR="00BE02D8" w:rsidRDefault="00BE02D8" w:rsidP="00BE02D8">
      <w:pPr>
        <w:ind w:firstLine="720"/>
        <w:rPr>
          <w:color w:val="1F497D"/>
        </w:rPr>
      </w:pPr>
    </w:p>
    <w:p w14:paraId="0B75EECF" w14:textId="77777777" w:rsidR="00BE02D8" w:rsidRPr="00877DDB" w:rsidRDefault="00BE02D8" w:rsidP="00BE02D8">
      <w:pPr>
        <w:pStyle w:val="ListParagraph"/>
        <w:numPr>
          <w:ilvl w:val="0"/>
          <w:numId w:val="223"/>
        </w:numPr>
      </w:pPr>
      <w:r w:rsidRPr="00877DDB">
        <w:t>Submit the RDT (resource data template) with the SC Acceptance letter</w:t>
      </w:r>
    </w:p>
    <w:p w14:paraId="46572276" w14:textId="77777777" w:rsidR="00BE02D8" w:rsidRDefault="00BE02D8" w:rsidP="00BE02D8">
      <w:pPr>
        <w:rPr>
          <w:color w:val="1F497D"/>
        </w:rPr>
      </w:pPr>
    </w:p>
    <w:p w14:paraId="17D1E99A" w14:textId="77777777" w:rsidR="00BE02D8" w:rsidRDefault="00BE02D8" w:rsidP="00D46AE0">
      <w:pPr>
        <w:pStyle w:val="Heading2"/>
      </w:pPr>
      <w:bookmarkStart w:id="51" w:name="_Toc460320423"/>
      <w:r w:rsidRPr="00BA7F31">
        <w:t>EIM Participating Resource (PR)</w:t>
      </w:r>
      <w:bookmarkEnd w:id="51"/>
    </w:p>
    <w:p w14:paraId="6AFB7F87" w14:textId="17405D6E" w:rsidR="00BE02D8" w:rsidRPr="00E80540" w:rsidRDefault="00BE02D8" w:rsidP="00BE02D8">
      <w:r w:rsidRPr="00877DDB">
        <w:t>All of the following submittals should be sent to:</w:t>
      </w:r>
      <w:r w:rsidRPr="00877DDB">
        <w:rPr>
          <w:b/>
          <w:sz w:val="28"/>
          <w:szCs w:val="28"/>
        </w:rPr>
        <w:t xml:space="preserve"> </w:t>
      </w:r>
      <w:hyperlink r:id="rId141" w:history="1">
        <w:r w:rsidRPr="00BE02D8">
          <w:rPr>
            <w:rStyle w:val="Hyperlink"/>
          </w:rPr>
          <w:t>SCRequests@caiso.com</w:t>
        </w:r>
      </w:hyperlink>
    </w:p>
    <w:p w14:paraId="4D583BED" w14:textId="77777777" w:rsidR="00BE02D8" w:rsidRPr="00877DDB" w:rsidRDefault="00BE02D8" w:rsidP="00BE02D8">
      <w:r w:rsidRPr="00877DDB">
        <w:t>IMPORTANT: The PR needs to submit an application to the EIM entity and meet</w:t>
      </w:r>
      <w:r w:rsidR="00C82C40" w:rsidRPr="00877DDB">
        <w:t xml:space="preserve"> the requirements for that EIM E</w:t>
      </w:r>
      <w:r w:rsidRPr="00877DDB">
        <w:t>ntity.</w:t>
      </w:r>
    </w:p>
    <w:p w14:paraId="4CFFE3DD" w14:textId="77777777" w:rsidR="00BE02D8" w:rsidRPr="00877DDB" w:rsidRDefault="00BE02D8" w:rsidP="00BE02D8">
      <w:pPr>
        <w:pStyle w:val="ListParagraph"/>
        <w:numPr>
          <w:ilvl w:val="0"/>
          <w:numId w:val="221"/>
        </w:numPr>
      </w:pPr>
      <w:r w:rsidRPr="00877DDB">
        <w:t xml:space="preserve">The EIM </w:t>
      </w:r>
      <w:r w:rsidR="00C82C40" w:rsidRPr="00877DDB">
        <w:t>E</w:t>
      </w:r>
      <w:r w:rsidRPr="00877DDB">
        <w:t>ntity notifies the CAISO that the resource(s) have met the entities requirements and requests confirmation from the CAISO that the resource(s) have also met CAISO requirements.</w:t>
      </w:r>
    </w:p>
    <w:p w14:paraId="0FD57D4A" w14:textId="77777777" w:rsidR="00BE02D8" w:rsidRPr="00877DDB" w:rsidRDefault="00BE02D8" w:rsidP="00BE02D8">
      <w:pPr>
        <w:pStyle w:val="ListParagraph"/>
        <w:numPr>
          <w:ilvl w:val="0"/>
          <w:numId w:val="221"/>
        </w:numPr>
      </w:pPr>
      <w:r w:rsidRPr="00877DDB">
        <w:t xml:space="preserve">The PR needs to follow the steps below while working with the EIM </w:t>
      </w:r>
      <w:r w:rsidR="00C82C40" w:rsidRPr="00877DDB">
        <w:t>E</w:t>
      </w:r>
      <w:r w:rsidRPr="00877DDB">
        <w:t>ntity</w:t>
      </w:r>
    </w:p>
    <w:p w14:paraId="0C3437DC" w14:textId="77777777" w:rsidR="00BE02D8" w:rsidRPr="00877DDB" w:rsidRDefault="00BE02D8" w:rsidP="00BE02D8"/>
    <w:p w14:paraId="4A4F9A55" w14:textId="77777777" w:rsidR="00BE02D8" w:rsidRPr="00877DDB" w:rsidRDefault="00BE02D8" w:rsidP="00BE02D8">
      <w:pPr>
        <w:pStyle w:val="ListParagraph"/>
        <w:numPr>
          <w:ilvl w:val="0"/>
          <w:numId w:val="224"/>
        </w:numPr>
      </w:pPr>
      <w:r w:rsidRPr="00877DDB">
        <w:t>Submit EIM Participating Resource Agreement Information Request sheet</w:t>
      </w:r>
    </w:p>
    <w:p w14:paraId="6AE09D8C" w14:textId="77777777" w:rsidR="00BE02D8" w:rsidRDefault="00AE7E55" w:rsidP="00BE02D8">
      <w:pPr>
        <w:ind w:left="720"/>
        <w:rPr>
          <w:color w:val="1F497D"/>
        </w:rPr>
      </w:pPr>
      <w:hyperlink r:id="rId142" w:history="1">
        <w:r w:rsidR="00BE02D8" w:rsidRPr="00406430">
          <w:rPr>
            <w:rStyle w:val="Hyperlink"/>
          </w:rPr>
          <w:t>http://www.caiso.com/Documents/EnergyImbalanceMarketParticipatingResourceAgreementInformationRequestSheet.doc</w:t>
        </w:r>
      </w:hyperlink>
      <w:r w:rsidR="00BE02D8">
        <w:rPr>
          <w:color w:val="1F497D"/>
        </w:rPr>
        <w:t xml:space="preserve"> </w:t>
      </w:r>
      <w:r w:rsidR="00BE02D8">
        <w:rPr>
          <w:color w:val="1F497D"/>
        </w:rPr>
        <w:br/>
      </w:r>
    </w:p>
    <w:p w14:paraId="4608E890" w14:textId="77777777" w:rsidR="00BE02D8" w:rsidRPr="00877DDB" w:rsidRDefault="00BE02D8" w:rsidP="00BE02D8">
      <w:pPr>
        <w:pStyle w:val="ListParagraph"/>
        <w:numPr>
          <w:ilvl w:val="0"/>
          <w:numId w:val="224"/>
        </w:numPr>
      </w:pPr>
      <w:r w:rsidRPr="00877DDB">
        <w:t>Submit the Schedule 1 (the schedule 1 needs to match the RDT submitted by the EIM PR SC for the resource)</w:t>
      </w:r>
    </w:p>
    <w:p w14:paraId="5ECEBAF2" w14:textId="77777777" w:rsidR="00BE02D8" w:rsidRDefault="00AE7E55" w:rsidP="00BE02D8">
      <w:pPr>
        <w:ind w:left="720"/>
        <w:rPr>
          <w:color w:val="1F497D"/>
        </w:rPr>
      </w:pPr>
      <w:hyperlink r:id="rId143" w:history="1">
        <w:r w:rsidR="00BE02D8" w:rsidRPr="00BE02D8">
          <w:rPr>
            <w:rStyle w:val="Hyperlink"/>
          </w:rPr>
          <w:t>http://www.caiso.com/Documents/EnergyImbalanceMarketParticipatingResourceAgreementSchedule1.xls</w:t>
        </w:r>
      </w:hyperlink>
      <w:r w:rsidR="00BE02D8">
        <w:rPr>
          <w:color w:val="1F497D"/>
        </w:rPr>
        <w:t xml:space="preserve"> </w:t>
      </w:r>
      <w:r w:rsidR="00BE02D8">
        <w:rPr>
          <w:color w:val="1F497D"/>
        </w:rPr>
        <w:br/>
      </w:r>
    </w:p>
    <w:p w14:paraId="1E4FD580" w14:textId="73CC87E2" w:rsidR="00BE02D8" w:rsidRPr="00877DDB" w:rsidRDefault="00BE02D8" w:rsidP="00BE02D8">
      <w:r w:rsidRPr="00877DDB">
        <w:rPr>
          <w:rFonts w:eastAsia="Calibri" w:cs="Arial"/>
        </w:rPr>
        <w:t>NOTE: After all the requirements have been met by the resource for the EIM entity and the CAISO, agreements are issued.</w:t>
      </w:r>
    </w:p>
    <w:p w14:paraId="77BE4F56" w14:textId="77777777" w:rsidR="00BE02D8" w:rsidRPr="00877DDB" w:rsidRDefault="00BE02D8" w:rsidP="00BE02D8">
      <w:pPr>
        <w:pStyle w:val="ListParagraph"/>
        <w:numPr>
          <w:ilvl w:val="0"/>
          <w:numId w:val="225"/>
        </w:numPr>
      </w:pPr>
      <w:r w:rsidRPr="00877DDB">
        <w:lastRenderedPageBreak/>
        <w:t>The EIM entity officially notifies the resource and the CAISO that the resource is an EIM participating resource.</w:t>
      </w:r>
    </w:p>
    <w:p w14:paraId="5AF68D27" w14:textId="77777777" w:rsidR="00BE02D8" w:rsidRDefault="00BE02D8" w:rsidP="00BE02D8">
      <w:pPr>
        <w:ind w:firstLine="720"/>
        <w:rPr>
          <w:color w:val="1F497D"/>
        </w:rPr>
      </w:pPr>
    </w:p>
    <w:p w14:paraId="3F91F533" w14:textId="77777777" w:rsidR="00BE02D8" w:rsidRPr="00877DDB" w:rsidRDefault="00BE02D8" w:rsidP="00BE02D8">
      <w:pPr>
        <w:pStyle w:val="ListParagraph"/>
        <w:numPr>
          <w:ilvl w:val="0"/>
          <w:numId w:val="224"/>
        </w:numPr>
      </w:pPr>
      <w:r w:rsidRPr="00877DDB">
        <w:t>Submit the Resource Owner SC Selection letter – This is submitted to indicate the selection of the SC that is to represent and schedule for the PR in the EIM.</w:t>
      </w:r>
    </w:p>
    <w:p w14:paraId="5D786BCF" w14:textId="77777777" w:rsidR="00BE02D8" w:rsidRDefault="00AE7E55" w:rsidP="00877DDB">
      <w:pPr>
        <w:ind w:firstLine="720"/>
        <w:rPr>
          <w:color w:val="1F497D"/>
        </w:rPr>
      </w:pPr>
      <w:hyperlink r:id="rId144" w:history="1">
        <w:r w:rsidR="00BE02D8" w:rsidRPr="009743F6">
          <w:rPr>
            <w:rStyle w:val="Hyperlink"/>
          </w:rPr>
          <w:t>http://www.caiso.com/Documents/ResourceOwnerLetter_Sept2014.doc</w:t>
        </w:r>
      </w:hyperlink>
      <w:r w:rsidR="00BE02D8">
        <w:rPr>
          <w:color w:val="1F497D"/>
        </w:rPr>
        <w:t xml:space="preserve"> </w:t>
      </w:r>
    </w:p>
    <w:p w14:paraId="1ED0FE38" w14:textId="77777777" w:rsidR="00AE404B" w:rsidRDefault="00AE404B" w:rsidP="006B2D5F">
      <w:pPr>
        <w:spacing w:after="240" w:line="300" w:lineRule="auto"/>
      </w:pPr>
    </w:p>
    <w:p w14:paraId="52B56383" w14:textId="77777777" w:rsidR="006B2D5F" w:rsidRPr="006B2D5F" w:rsidRDefault="006B2D5F" w:rsidP="006B2D5F">
      <w:pPr>
        <w:spacing w:after="240" w:line="300" w:lineRule="auto"/>
      </w:pPr>
    </w:p>
    <w:p w14:paraId="13B78923" w14:textId="77777777" w:rsidR="002E46E9" w:rsidRDefault="002E46E9" w:rsidP="002E46E9">
      <w:pPr>
        <w:pStyle w:val="Heading1"/>
      </w:pPr>
      <w:bookmarkStart w:id="52" w:name="_Toc391969817"/>
      <w:bookmarkStart w:id="53" w:name="_Toc460320424"/>
      <w:r>
        <w:t>CREDIT MANAGEMENT</w:t>
      </w:r>
      <w:bookmarkEnd w:id="42"/>
      <w:bookmarkEnd w:id="43"/>
      <w:bookmarkEnd w:id="52"/>
      <w:bookmarkEnd w:id="53"/>
    </w:p>
    <w:p w14:paraId="0314B073" w14:textId="77777777" w:rsidR="00590657" w:rsidRDefault="00023A66" w:rsidP="0021347B">
      <w:pPr>
        <w:spacing w:after="240" w:line="300" w:lineRule="auto"/>
      </w:pPr>
      <w:r>
        <w:t xml:space="preserve">Welcome to the </w:t>
      </w:r>
      <w:r w:rsidRPr="00590657">
        <w:rPr>
          <w:i/>
        </w:rPr>
        <w:t>Credit Management</w:t>
      </w:r>
      <w:r>
        <w:t xml:space="preserve"> </w:t>
      </w:r>
      <w:r w:rsidR="006A26A7">
        <w:t>section</w:t>
      </w:r>
      <w:r w:rsidR="00590657">
        <w:t xml:space="preserve"> of the CAISO </w:t>
      </w:r>
      <w:r w:rsidR="00590657" w:rsidRPr="00590657">
        <w:rPr>
          <w:i/>
        </w:rPr>
        <w:t>BPM for the Energy Imbalance Market</w:t>
      </w:r>
      <w:r w:rsidR="00590657">
        <w:t xml:space="preserve">. In this section </w:t>
      </w:r>
      <w:r w:rsidR="006A26A7">
        <w:t xml:space="preserve">you will find the </w:t>
      </w:r>
      <w:r w:rsidR="00590657">
        <w:t xml:space="preserve">following </w:t>
      </w:r>
      <w:r w:rsidR="006A26A7">
        <w:t>information</w:t>
      </w:r>
      <w:r w:rsidR="00590657">
        <w:t>:</w:t>
      </w:r>
    </w:p>
    <w:p w14:paraId="4BC1F01D" w14:textId="77777777" w:rsidR="00590657" w:rsidRDefault="00590657" w:rsidP="00590657">
      <w:pPr>
        <w:pStyle w:val="ListParagraph"/>
        <w:numPr>
          <w:ilvl w:val="0"/>
          <w:numId w:val="119"/>
        </w:numPr>
        <w:spacing w:after="240" w:line="300" w:lineRule="auto"/>
      </w:pPr>
      <w:r>
        <w:t>Summary of CAISO’s Credit Management policies and processes within the context of the EIM.</w:t>
      </w:r>
    </w:p>
    <w:p w14:paraId="6A255530" w14:textId="77777777" w:rsidR="002E46E9" w:rsidRDefault="00590657" w:rsidP="00E62C48">
      <w:pPr>
        <w:spacing w:after="240" w:line="300" w:lineRule="auto"/>
      </w:pPr>
      <w:r>
        <w:t xml:space="preserve">EIM </w:t>
      </w:r>
      <w:r w:rsidR="002E46E9" w:rsidRPr="002E46E9">
        <w:t>Participants must comply wit</w:t>
      </w:r>
      <w:r w:rsidR="00577BCD">
        <w:t xml:space="preserve">h all applicable aspects of </w:t>
      </w:r>
      <w:r w:rsidR="002E46E9" w:rsidRPr="002E46E9">
        <w:t xml:space="preserve">CAISO’s Credit Management Policy. </w:t>
      </w:r>
      <w:r w:rsidR="00E26236">
        <w:t xml:space="preserve">The </w:t>
      </w:r>
      <w:hyperlink r:id="rId145" w:history="1">
        <w:r w:rsidR="00E26236" w:rsidRPr="00590657">
          <w:rPr>
            <w:rStyle w:val="Hyperlink"/>
            <w:b/>
          </w:rPr>
          <w:t>BPM for Credit Management</w:t>
        </w:r>
      </w:hyperlink>
      <w:r w:rsidR="002E46E9" w:rsidRPr="002E46E9">
        <w:t xml:space="preserve"> describes the credit-related pol</w:t>
      </w:r>
      <w:r w:rsidR="00577BCD">
        <w:t xml:space="preserve">icies and processes used at </w:t>
      </w:r>
      <w:r w:rsidR="002E46E9" w:rsidRPr="002E46E9">
        <w:t>CAISO to protect the financial integrity and effectiveness of the CAISO markets.  For EIM participants, since Virtual Bidding, Reliability Must Run contracts</w:t>
      </w:r>
      <w:r w:rsidR="008C6B50">
        <w:t>,</w:t>
      </w:r>
      <w:r w:rsidR="002E46E9" w:rsidRPr="002E46E9">
        <w:t xml:space="preserve"> and Congestion Revenue Right</w:t>
      </w:r>
      <w:r w:rsidR="008C6B50">
        <w:t>s are not applicable to the EIM,</w:t>
      </w:r>
      <w:r w:rsidR="002E46E9" w:rsidRPr="002E46E9">
        <w:t xml:space="preserve"> these portions of the Financial Responsibilities outlined in the </w:t>
      </w:r>
      <w:hyperlink r:id="rId146" w:history="1">
        <w:r w:rsidR="00A21E2E" w:rsidRPr="00590657">
          <w:rPr>
            <w:rStyle w:val="Hyperlink"/>
            <w:b/>
          </w:rPr>
          <w:t>BPM for Credit Management</w:t>
        </w:r>
      </w:hyperlink>
      <w:r w:rsidR="00A21E2E">
        <w:t xml:space="preserve"> </w:t>
      </w:r>
      <w:r w:rsidR="002E46E9" w:rsidRPr="002E46E9">
        <w:t>are not applicable.</w:t>
      </w:r>
    </w:p>
    <w:p w14:paraId="3541FC50" w14:textId="77777777" w:rsidR="0021347B" w:rsidRPr="0021347B" w:rsidRDefault="0021347B" w:rsidP="0021347B">
      <w:pPr>
        <w:spacing w:after="240" w:line="300" w:lineRule="auto"/>
      </w:pPr>
    </w:p>
    <w:p w14:paraId="3F7955CA" w14:textId="77777777" w:rsidR="002E46E9" w:rsidRDefault="002E46E9" w:rsidP="002E46E9">
      <w:pPr>
        <w:pStyle w:val="Heading1"/>
      </w:pPr>
      <w:bookmarkStart w:id="54" w:name="_FULL_NETWORK_MODEL"/>
      <w:bookmarkStart w:id="55" w:name="_Toc389662572"/>
      <w:bookmarkStart w:id="56" w:name="_Toc390946257"/>
      <w:bookmarkStart w:id="57" w:name="_Toc391969818"/>
      <w:bookmarkStart w:id="58" w:name="_Toc460320425"/>
      <w:bookmarkEnd w:id="54"/>
      <w:r>
        <w:t>FULL NETWORK MODEL</w:t>
      </w:r>
      <w:bookmarkEnd w:id="55"/>
      <w:bookmarkEnd w:id="56"/>
      <w:bookmarkEnd w:id="57"/>
      <w:bookmarkEnd w:id="58"/>
    </w:p>
    <w:p w14:paraId="2CDD0039" w14:textId="4D22841A" w:rsidR="00590657" w:rsidRDefault="000B3BB4" w:rsidP="006F6DD6">
      <w:pPr>
        <w:spacing w:after="240" w:line="300" w:lineRule="auto"/>
        <w:rPr>
          <w:rFonts w:cs="Arial"/>
        </w:rPr>
      </w:pPr>
      <w:r>
        <w:rPr>
          <w:rFonts w:cs="Arial"/>
        </w:rPr>
        <w:t>W</w:t>
      </w:r>
      <w:r w:rsidR="00590657">
        <w:rPr>
          <w:rFonts w:cs="Arial"/>
        </w:rPr>
        <w:t>elcome to</w:t>
      </w:r>
      <w:r>
        <w:rPr>
          <w:rFonts w:cs="Arial"/>
        </w:rPr>
        <w:t xml:space="preserve"> the </w:t>
      </w:r>
      <w:r w:rsidRPr="00C8620C">
        <w:rPr>
          <w:rFonts w:cs="Arial"/>
          <w:i/>
        </w:rPr>
        <w:t>Full Network Model</w:t>
      </w:r>
      <w:r>
        <w:rPr>
          <w:rFonts w:cs="Arial"/>
        </w:rPr>
        <w:t xml:space="preserve"> section</w:t>
      </w:r>
      <w:r w:rsidR="00590657">
        <w:rPr>
          <w:rFonts w:cs="Arial"/>
        </w:rPr>
        <w:t xml:space="preserve"> of the CAISO </w:t>
      </w:r>
      <w:r w:rsidR="00590657" w:rsidRPr="00590657">
        <w:rPr>
          <w:rFonts w:cs="Arial"/>
          <w:i/>
        </w:rPr>
        <w:t>BPM for the Energy Imbalance Market</w:t>
      </w:r>
      <w:r w:rsidR="00590657">
        <w:rPr>
          <w:rFonts w:cs="Arial"/>
        </w:rPr>
        <w:t xml:space="preserve">.  In this section </w:t>
      </w:r>
      <w:r>
        <w:rPr>
          <w:rFonts w:cs="Arial"/>
        </w:rPr>
        <w:t xml:space="preserve">you will find </w:t>
      </w:r>
      <w:r w:rsidR="00590657">
        <w:rPr>
          <w:rFonts w:cs="Arial"/>
        </w:rPr>
        <w:t xml:space="preserve">the following </w:t>
      </w:r>
      <w:r>
        <w:rPr>
          <w:rFonts w:cs="Arial"/>
        </w:rPr>
        <w:t>information</w:t>
      </w:r>
      <w:r w:rsidR="00590657">
        <w:rPr>
          <w:rFonts w:cs="Arial"/>
        </w:rPr>
        <w:t>:</w:t>
      </w:r>
    </w:p>
    <w:p w14:paraId="355E5C61" w14:textId="77777777" w:rsidR="00590657" w:rsidRPr="00590657" w:rsidRDefault="00590657" w:rsidP="00FA595A">
      <w:pPr>
        <w:pStyle w:val="ListParagraph"/>
        <w:numPr>
          <w:ilvl w:val="0"/>
          <w:numId w:val="119"/>
        </w:numPr>
        <w:spacing w:after="240" w:line="300" w:lineRule="auto"/>
        <w:rPr>
          <w:rFonts w:cs="Arial"/>
        </w:rPr>
      </w:pPr>
      <w:r>
        <w:rPr>
          <w:rFonts w:cs="Arial"/>
        </w:rPr>
        <w:t>Summary of the Full Network Model in the EIM.</w:t>
      </w:r>
    </w:p>
    <w:p w14:paraId="000ACEA2" w14:textId="77777777" w:rsidR="00C8620C" w:rsidRPr="00590657" w:rsidRDefault="00590657" w:rsidP="00FA595A">
      <w:pPr>
        <w:pStyle w:val="ListParagraph"/>
        <w:numPr>
          <w:ilvl w:val="0"/>
          <w:numId w:val="119"/>
        </w:numPr>
        <w:spacing w:after="240" w:line="300" w:lineRule="auto"/>
        <w:rPr>
          <w:rFonts w:cs="Arial"/>
        </w:rPr>
      </w:pPr>
      <w:r>
        <w:rPr>
          <w:rFonts w:cs="Arial"/>
        </w:rPr>
        <w:lastRenderedPageBreak/>
        <w:t>Information</w:t>
      </w:r>
      <w:r w:rsidR="00775CF7">
        <w:rPr>
          <w:rFonts w:cs="Arial"/>
        </w:rPr>
        <w:t xml:space="preserve"> </w:t>
      </w:r>
      <w:r w:rsidR="000B3BB4" w:rsidRPr="00590657">
        <w:rPr>
          <w:rFonts w:cs="Arial"/>
        </w:rPr>
        <w:t>that describes the</w:t>
      </w:r>
      <w:r w:rsidR="009D507A" w:rsidRPr="00590657">
        <w:rPr>
          <w:rFonts w:cs="Arial"/>
        </w:rPr>
        <w:t xml:space="preserve"> business processes used by </w:t>
      </w:r>
      <w:r w:rsidR="000B3BB4" w:rsidRPr="00590657">
        <w:rPr>
          <w:rFonts w:cs="Arial"/>
        </w:rPr>
        <w:t>CAISO to maintain the Full Net</w:t>
      </w:r>
      <w:r w:rsidR="00C8620C" w:rsidRPr="00590657">
        <w:rPr>
          <w:rFonts w:cs="Arial"/>
        </w:rPr>
        <w:t>work Model in</w:t>
      </w:r>
      <w:r w:rsidR="000B3BB4" w:rsidRPr="00590657">
        <w:rPr>
          <w:rFonts w:cs="Arial"/>
        </w:rPr>
        <w:t xml:space="preserve"> the EIM.</w:t>
      </w:r>
    </w:p>
    <w:p w14:paraId="39A5C4B7" w14:textId="77777777" w:rsidR="00595077" w:rsidRPr="0014307A" w:rsidRDefault="00595077" w:rsidP="00FA595A">
      <w:pPr>
        <w:spacing w:after="80" w:line="300" w:lineRule="auto"/>
      </w:pPr>
      <w:r w:rsidRPr="00B06DE4">
        <w:rPr>
          <w:rFonts w:cs="Arial"/>
        </w:rPr>
        <w:t>CAISO maintains a Network Model for use by the CAISO market</w:t>
      </w:r>
      <w:r w:rsidRPr="00BB070F">
        <w:rPr>
          <w:rFonts w:cs="Arial"/>
        </w:rPr>
        <w:t>s.  The</w:t>
      </w:r>
      <w:r w:rsidRPr="003D6985">
        <w:rPr>
          <w:rFonts w:cs="Arial"/>
          <w:color w:val="0070C0"/>
        </w:rPr>
        <w:t xml:space="preserve"> </w:t>
      </w:r>
      <w:hyperlink r:id="rId147" w:history="1">
        <w:r w:rsidRPr="00480065">
          <w:rPr>
            <w:rStyle w:val="Hyperlink"/>
            <w:b/>
          </w:rPr>
          <w:t>BPM for Managing Full Network Model</w:t>
        </w:r>
      </w:hyperlink>
      <w:r w:rsidRPr="00B06DE4">
        <w:rPr>
          <w:b/>
        </w:rPr>
        <w:t xml:space="preserve"> </w:t>
      </w:r>
      <w:r w:rsidRPr="00BB070F">
        <w:rPr>
          <w:rFonts w:cs="Arial"/>
        </w:rPr>
        <w:t>explains how the Full Network Model and its associated processes are used to support market oper</w:t>
      </w:r>
      <w:r w:rsidRPr="003D6985">
        <w:rPr>
          <w:rFonts w:cs="Arial"/>
        </w:rPr>
        <w:t>ations</w:t>
      </w:r>
      <w:r w:rsidR="0014307A">
        <w:rPr>
          <w:rFonts w:cs="Arial"/>
        </w:rPr>
        <w:t xml:space="preserve">.  </w:t>
      </w:r>
      <w:hyperlink r:id="rId148" w:history="1">
        <w:r w:rsidR="0014307A" w:rsidRPr="0014307A">
          <w:rPr>
            <w:rStyle w:val="Hyperlink"/>
            <w:rFonts w:cs="Arial"/>
            <w:b/>
          </w:rPr>
          <w:t>The BPM for Managing Full Network Model</w:t>
        </w:r>
      </w:hyperlink>
      <w:r w:rsidR="0014307A">
        <w:rPr>
          <w:rFonts w:cs="Arial"/>
          <w:b/>
        </w:rPr>
        <w:t xml:space="preserve"> </w:t>
      </w:r>
      <w:r w:rsidR="0014307A">
        <w:rPr>
          <w:rFonts w:cs="Arial"/>
        </w:rPr>
        <w:t xml:space="preserve">also </w:t>
      </w:r>
      <w:r w:rsidRPr="003D6985">
        <w:rPr>
          <w:rFonts w:cs="Arial"/>
        </w:rPr>
        <w:t>describes the process Market Participants follow in providing data used to support the model and in gaining access to model data.  The CAISO Network Model contains some, but not all</w:t>
      </w:r>
      <w:r w:rsidR="00F12963" w:rsidRPr="00480065">
        <w:rPr>
          <w:rFonts w:cs="Arial"/>
        </w:rPr>
        <w:t>,</w:t>
      </w:r>
      <w:r w:rsidRPr="00480065">
        <w:rPr>
          <w:rFonts w:cs="Arial"/>
        </w:rPr>
        <w:t xml:space="preserve"> of the related information for neighboring Balancing Authority Areas within WECC.  </w:t>
      </w:r>
    </w:p>
    <w:p w14:paraId="27786C3C" w14:textId="77777777" w:rsidR="00595077" w:rsidRPr="00480065" w:rsidRDefault="00595077" w:rsidP="00FA595A">
      <w:pPr>
        <w:spacing w:after="80" w:line="300" w:lineRule="auto"/>
        <w:rPr>
          <w:rFonts w:cs="Arial"/>
        </w:rPr>
      </w:pPr>
      <w:r w:rsidRPr="00480065">
        <w:rPr>
          <w:rFonts w:cs="Arial"/>
        </w:rPr>
        <w:t>Balancing Authority Areas participating in the EIM will maintain their own Network Model processes with resources within their BAA, and will</w:t>
      </w:r>
      <w:r w:rsidR="00577BCD">
        <w:rPr>
          <w:rFonts w:cs="Arial"/>
        </w:rPr>
        <w:t xml:space="preserve"> export that information to </w:t>
      </w:r>
      <w:r w:rsidRPr="00480065">
        <w:rPr>
          <w:rFonts w:cs="Arial"/>
        </w:rPr>
        <w:t>CAISO on a regul</w:t>
      </w:r>
      <w:r w:rsidR="00577BCD">
        <w:rPr>
          <w:rFonts w:cs="Arial"/>
        </w:rPr>
        <w:t xml:space="preserve">ar basis for promotion into </w:t>
      </w:r>
      <w:r w:rsidRPr="00480065">
        <w:rPr>
          <w:rFonts w:cs="Arial"/>
        </w:rPr>
        <w:t>CAISO’s Full Network Model and subsequent use by the EIM.  Any issues identif</w:t>
      </w:r>
      <w:r w:rsidR="00577BCD">
        <w:rPr>
          <w:rFonts w:cs="Arial"/>
        </w:rPr>
        <w:t xml:space="preserve">ied by </w:t>
      </w:r>
      <w:r w:rsidRPr="00480065">
        <w:rPr>
          <w:rFonts w:cs="Arial"/>
        </w:rPr>
        <w:t xml:space="preserve">CAISO in the EIM </w:t>
      </w:r>
      <w:r w:rsidR="005C7A4A">
        <w:rPr>
          <w:rFonts w:cs="Arial"/>
        </w:rPr>
        <w:t xml:space="preserve">Entity </w:t>
      </w:r>
      <w:r w:rsidRPr="00480065">
        <w:rPr>
          <w:rFonts w:cs="Arial"/>
        </w:rPr>
        <w:t>BAA’s model information will be resolved before promoting the information into a model used by the CAISO markets.</w:t>
      </w:r>
      <w:r w:rsidR="00074C0D">
        <w:rPr>
          <w:rFonts w:cs="Arial"/>
        </w:rPr>
        <w:t xml:space="preserve">  EIM Entities are responsible for coordinating their network model updates with other impacted parties, including neighboring Balancing Authorities and WECC as appropriate.</w:t>
      </w:r>
    </w:p>
    <w:p w14:paraId="51DD1369" w14:textId="77777777" w:rsidR="00F344FC" w:rsidRPr="00480065" w:rsidRDefault="00F344FC" w:rsidP="00F344FC">
      <w:pPr>
        <w:spacing w:after="240" w:line="300" w:lineRule="auto"/>
        <w:rPr>
          <w:rFonts w:cs="Arial"/>
        </w:rPr>
      </w:pPr>
      <w:r w:rsidRPr="00480065">
        <w:rPr>
          <w:rFonts w:cs="Arial"/>
        </w:rPr>
        <w:t xml:space="preserve">The CAISO Full Network </w:t>
      </w:r>
      <w:r w:rsidR="00AD5840">
        <w:rPr>
          <w:rFonts w:cs="Arial"/>
        </w:rPr>
        <w:t>Model timeline can be found in S</w:t>
      </w:r>
      <w:r w:rsidRPr="00480065">
        <w:rPr>
          <w:rFonts w:cs="Arial"/>
        </w:rPr>
        <w:t xml:space="preserve">ection 5.1 of the </w:t>
      </w:r>
      <w:hyperlink r:id="rId149" w:history="1">
        <w:r w:rsidRPr="00480065">
          <w:rPr>
            <w:rStyle w:val="Hyperlink"/>
            <w:b/>
          </w:rPr>
          <w:t>BPM for Managing Full Network Model</w:t>
        </w:r>
      </w:hyperlink>
      <w:r w:rsidRPr="00B06DE4">
        <w:rPr>
          <w:rFonts w:cs="Arial"/>
        </w:rPr>
        <w:t xml:space="preserve">.  Before every network model update, an EIM Entity will complete and provide a </w:t>
      </w:r>
      <w:r w:rsidR="00F06893">
        <w:rPr>
          <w:rFonts w:cs="Arial"/>
        </w:rPr>
        <w:t>n</w:t>
      </w:r>
      <w:r w:rsidRPr="00B06DE4">
        <w:rPr>
          <w:rFonts w:cs="Arial"/>
        </w:rPr>
        <w:t>e</w:t>
      </w:r>
      <w:r w:rsidR="00F06893">
        <w:rPr>
          <w:rFonts w:cs="Arial"/>
        </w:rPr>
        <w:t>twork model u</w:t>
      </w:r>
      <w:r w:rsidRPr="00BB070F">
        <w:rPr>
          <w:rFonts w:cs="Arial"/>
        </w:rPr>
        <w:t xml:space="preserve">pdate template to CAISO.  The document will contain a detailed description of the updates for communication between CAISO and the EIM Entity network model teams, and to the </w:t>
      </w:r>
      <w:r w:rsidR="00FC30E3">
        <w:rPr>
          <w:rFonts w:cs="Arial"/>
        </w:rPr>
        <w:t>Real-Time</w:t>
      </w:r>
      <w:r w:rsidRPr="00BB070F">
        <w:rPr>
          <w:rFonts w:cs="Arial"/>
        </w:rPr>
        <w:t xml:space="preserve"> operators. The document is posted on the Network and Resour</w:t>
      </w:r>
      <w:r w:rsidRPr="003D6985">
        <w:rPr>
          <w:rFonts w:cs="Arial"/>
        </w:rPr>
        <w:t xml:space="preserve">ce Modeling section of the CAISO </w:t>
      </w:r>
      <w:r w:rsidR="00816DA7" w:rsidRPr="003D6985">
        <w:rPr>
          <w:rFonts w:cs="Arial"/>
        </w:rPr>
        <w:t>website and</w:t>
      </w:r>
      <w:r w:rsidRPr="003D6985">
        <w:rPr>
          <w:rFonts w:cs="Arial"/>
        </w:rPr>
        <w:t xml:space="preserve"> should contain any changes to the EIM Entity’s network model including, but not limited to, new equipment, equipment commissioning/decommissioning, date/time, new system configurations, display chang</w:t>
      </w:r>
      <w:r w:rsidRPr="00480065">
        <w:rPr>
          <w:rFonts w:cs="Arial"/>
        </w:rPr>
        <w:t>es, SCADA point changes, and interconnection changes.</w:t>
      </w:r>
    </w:p>
    <w:p w14:paraId="293E8647" w14:textId="77777777" w:rsidR="00F344FC" w:rsidRPr="00480065" w:rsidRDefault="00F344FC" w:rsidP="00FA595A">
      <w:pPr>
        <w:spacing w:after="80" w:line="300" w:lineRule="auto"/>
        <w:rPr>
          <w:rFonts w:cs="Arial"/>
        </w:rPr>
      </w:pPr>
      <w:r w:rsidRPr="00480065">
        <w:rPr>
          <w:rFonts w:cs="Arial"/>
        </w:rPr>
        <w:t xml:space="preserve">The EIM Entity shall make </w:t>
      </w:r>
      <w:r w:rsidR="003C2D59">
        <w:rPr>
          <w:rFonts w:cs="Arial"/>
        </w:rPr>
        <w:t>the Network Model Update</w:t>
      </w:r>
      <w:r w:rsidR="009D507A">
        <w:rPr>
          <w:rFonts w:cs="Arial"/>
        </w:rPr>
        <w:t xml:space="preserve"> document available to </w:t>
      </w:r>
      <w:r w:rsidRPr="00480065">
        <w:rPr>
          <w:rFonts w:cs="Arial"/>
        </w:rPr>
        <w:t xml:space="preserve">CAISO before </w:t>
      </w:r>
      <w:r w:rsidR="00B439D6">
        <w:rPr>
          <w:rFonts w:cs="Arial"/>
        </w:rPr>
        <w:t>the</w:t>
      </w:r>
      <w:r w:rsidRPr="00480065">
        <w:rPr>
          <w:rFonts w:cs="Arial"/>
        </w:rPr>
        <w:t xml:space="preserve"> commissioning/decommission</w:t>
      </w:r>
      <w:r w:rsidR="00B439D6">
        <w:rPr>
          <w:rFonts w:cs="Arial"/>
        </w:rPr>
        <w:t>ing</w:t>
      </w:r>
      <w:r w:rsidRPr="00480065">
        <w:rPr>
          <w:rFonts w:cs="Arial"/>
        </w:rPr>
        <w:t xml:space="preserve"> of transmission or generation equipment. This will help resolve and cross the gap between the different cycles of </w:t>
      </w:r>
      <w:r w:rsidR="005D4C7C">
        <w:rPr>
          <w:rFonts w:cs="Arial"/>
        </w:rPr>
        <w:t xml:space="preserve">network model updates among </w:t>
      </w:r>
      <w:r w:rsidRPr="00480065">
        <w:rPr>
          <w:rFonts w:cs="Arial"/>
        </w:rPr>
        <w:t xml:space="preserve">CAISO and the different EIM entities. The document is only used to synchronize the EMS network models between an EIM </w:t>
      </w:r>
      <w:r w:rsidRPr="00480065">
        <w:rPr>
          <w:rFonts w:cs="Arial"/>
        </w:rPr>
        <w:lastRenderedPageBreak/>
        <w:t>Entity and CAISO</w:t>
      </w:r>
      <w:r w:rsidR="00F2256A">
        <w:rPr>
          <w:rFonts w:cs="Arial"/>
        </w:rPr>
        <w:t xml:space="preserve">.  It </w:t>
      </w:r>
      <w:r w:rsidRPr="00480065">
        <w:rPr>
          <w:rFonts w:cs="Arial"/>
        </w:rPr>
        <w:t>does not replace the existing requirement or processes in place to register participating and non-participating resources in an EIM Entity balancing area in the CAISO Market registry system or Master</w:t>
      </w:r>
      <w:r w:rsidR="00F042BE" w:rsidRPr="00480065">
        <w:rPr>
          <w:rFonts w:cs="Arial"/>
        </w:rPr>
        <w:t xml:space="preserve"> </w:t>
      </w:r>
      <w:r w:rsidRPr="00480065">
        <w:rPr>
          <w:rFonts w:cs="Arial"/>
        </w:rPr>
        <w:t xml:space="preserve">File.  </w:t>
      </w:r>
    </w:p>
    <w:p w14:paraId="5EB2112E" w14:textId="77777777" w:rsidR="00F344FC" w:rsidRPr="00480065" w:rsidRDefault="00F344FC" w:rsidP="00FA595A">
      <w:pPr>
        <w:spacing w:after="80" w:line="300" w:lineRule="auto"/>
        <w:rPr>
          <w:rFonts w:cs="Arial"/>
        </w:rPr>
      </w:pPr>
      <w:r w:rsidRPr="00480065">
        <w:rPr>
          <w:rFonts w:cs="Arial"/>
        </w:rPr>
        <w:t>An EIM Entity will expo</w:t>
      </w:r>
      <w:r w:rsidR="005D4C7C">
        <w:rPr>
          <w:rFonts w:cs="Arial"/>
        </w:rPr>
        <w:t xml:space="preserve">rt its EMS network model to </w:t>
      </w:r>
      <w:r w:rsidRPr="00480065">
        <w:rPr>
          <w:rFonts w:cs="Arial"/>
        </w:rPr>
        <w:t>CAISO along with an associate</w:t>
      </w:r>
      <w:r w:rsidR="005D4C7C">
        <w:rPr>
          <w:rFonts w:cs="Arial"/>
        </w:rPr>
        <w:t xml:space="preserve">d limits file. In order for </w:t>
      </w:r>
      <w:r w:rsidRPr="00480065">
        <w:rPr>
          <w:rFonts w:cs="Arial"/>
        </w:rPr>
        <w:t>CAISO to implement</w:t>
      </w:r>
      <w:r w:rsidR="005D4C7C">
        <w:rPr>
          <w:rFonts w:cs="Arial"/>
        </w:rPr>
        <w:t xml:space="preserve"> an EIM Entity’s model into </w:t>
      </w:r>
      <w:r w:rsidRPr="00480065">
        <w:rPr>
          <w:rFonts w:cs="Arial"/>
        </w:rPr>
        <w:t xml:space="preserve">CAISO’s full network model in a timely manner, the EIM </w:t>
      </w:r>
      <w:r w:rsidR="00816DA7" w:rsidRPr="00480065">
        <w:rPr>
          <w:rFonts w:cs="Arial"/>
        </w:rPr>
        <w:t>Entity</w:t>
      </w:r>
      <w:r w:rsidRPr="00480065">
        <w:rPr>
          <w:rFonts w:cs="Arial"/>
        </w:rPr>
        <w:t xml:space="preserve"> will send </w:t>
      </w:r>
      <w:r w:rsidR="005D4C7C">
        <w:rPr>
          <w:rFonts w:cs="Arial"/>
        </w:rPr>
        <w:t xml:space="preserve">the required information to </w:t>
      </w:r>
      <w:r w:rsidRPr="00480065">
        <w:rPr>
          <w:rFonts w:cs="Arial"/>
        </w:rPr>
        <w:t xml:space="preserve">CAISO based on the </w:t>
      </w:r>
      <w:r w:rsidR="00AD5840">
        <w:rPr>
          <w:rFonts w:cs="Arial"/>
        </w:rPr>
        <w:t>full network model timeline in S</w:t>
      </w:r>
      <w:r w:rsidRPr="00480065">
        <w:rPr>
          <w:rFonts w:cs="Arial"/>
        </w:rPr>
        <w:t xml:space="preserve">ection 5.1 of the </w:t>
      </w:r>
      <w:hyperlink r:id="rId150" w:history="1">
        <w:r w:rsidRPr="00480065">
          <w:rPr>
            <w:rStyle w:val="Hyperlink"/>
            <w:b/>
          </w:rPr>
          <w:t>BPM for Managing Full Network Model</w:t>
        </w:r>
      </w:hyperlink>
      <w:r w:rsidRPr="00480065">
        <w:rPr>
          <w:rFonts w:cs="Arial"/>
        </w:rPr>
        <w:t>.</w:t>
      </w:r>
    </w:p>
    <w:p w14:paraId="704A052C" w14:textId="77777777" w:rsidR="00F344FC" w:rsidRPr="00480065" w:rsidRDefault="00F344FC" w:rsidP="00FA595A">
      <w:pPr>
        <w:spacing w:after="80" w:line="300" w:lineRule="auto"/>
        <w:rPr>
          <w:rFonts w:cs="Arial"/>
        </w:rPr>
      </w:pPr>
      <w:r w:rsidRPr="00480065">
        <w:rPr>
          <w:rFonts w:cs="Arial"/>
        </w:rPr>
        <w:t>While an EIM Entity’s model deplo</w:t>
      </w:r>
      <w:r w:rsidR="005D4C7C">
        <w:rPr>
          <w:rFonts w:cs="Arial"/>
        </w:rPr>
        <w:t xml:space="preserve">yment cycle may differ from </w:t>
      </w:r>
      <w:r w:rsidRPr="00480065">
        <w:rPr>
          <w:rFonts w:cs="Arial"/>
        </w:rPr>
        <w:t xml:space="preserve">CAISO’s network model update timeline, any EIM Entity market model changes should follow the effective timelines specified and maintained in </w:t>
      </w:r>
      <w:r w:rsidR="00AD5840">
        <w:rPr>
          <w:rFonts w:cs="Arial"/>
        </w:rPr>
        <w:t>the CAISO BPM S</w:t>
      </w:r>
      <w:r w:rsidRPr="00480065">
        <w:rPr>
          <w:rFonts w:cs="Arial"/>
        </w:rPr>
        <w:t xml:space="preserve">ection 5.1 of the </w:t>
      </w:r>
      <w:hyperlink r:id="rId151" w:history="1">
        <w:r w:rsidRPr="00480065">
          <w:rPr>
            <w:rStyle w:val="Hyperlink"/>
            <w:b/>
          </w:rPr>
          <w:t>BPM for Managing Full Network Model</w:t>
        </w:r>
      </w:hyperlink>
      <w:r w:rsidRPr="00480065">
        <w:rPr>
          <w:rFonts w:cs="Arial"/>
        </w:rPr>
        <w:t xml:space="preserve">.  New resources must complete the interconnection processes of their host Balancing Authority Area </w:t>
      </w:r>
      <w:r w:rsidR="003C2D59">
        <w:rPr>
          <w:rFonts w:cs="Arial"/>
        </w:rPr>
        <w:t>(BAA)</w:t>
      </w:r>
      <w:r w:rsidRPr="00480065">
        <w:rPr>
          <w:rFonts w:cs="Arial"/>
        </w:rPr>
        <w:t xml:space="preserve"> prior to being included in a Full Network Model build and participating in the EIM.</w:t>
      </w:r>
    </w:p>
    <w:p w14:paraId="62B565AA" w14:textId="77777777" w:rsidR="00F344FC" w:rsidRPr="00480065" w:rsidRDefault="00F344FC" w:rsidP="00F344FC">
      <w:pPr>
        <w:spacing w:after="240" w:line="300" w:lineRule="auto"/>
        <w:rPr>
          <w:rFonts w:cs="Arial"/>
        </w:rPr>
      </w:pPr>
      <w:r w:rsidRPr="00480065">
        <w:rPr>
          <w:rFonts w:cs="Arial"/>
        </w:rPr>
        <w:t>All resources within an EIM Entity must be included in the CAISO’s Full Network Model.  The New Resource Implementation guide posted on the CAISO website contains requirements for esta</w:t>
      </w:r>
      <w:r w:rsidR="005D4C7C">
        <w:rPr>
          <w:rFonts w:cs="Arial"/>
        </w:rPr>
        <w:t xml:space="preserve">blishing new resources with </w:t>
      </w:r>
      <w:r w:rsidRPr="00480065">
        <w:rPr>
          <w:rFonts w:cs="Arial"/>
        </w:rPr>
        <w:t>CAISO.  Resources participating in the EIM will be required to subm</w:t>
      </w:r>
      <w:r w:rsidR="005D4C7C">
        <w:rPr>
          <w:rFonts w:cs="Arial"/>
        </w:rPr>
        <w:t xml:space="preserve">it requisite information to </w:t>
      </w:r>
      <w:r w:rsidRPr="00480065">
        <w:rPr>
          <w:rFonts w:cs="Arial"/>
        </w:rPr>
        <w:t>CAISO via the Resource Data Templa</w:t>
      </w:r>
      <w:r w:rsidR="00AD5840">
        <w:rPr>
          <w:rFonts w:cs="Arial"/>
        </w:rPr>
        <w:t>te (RDT) process described in S</w:t>
      </w:r>
      <w:r w:rsidRPr="00480065">
        <w:rPr>
          <w:rFonts w:cs="Arial"/>
        </w:rPr>
        <w:t xml:space="preserve">ection 5.4 of the </w:t>
      </w:r>
      <w:hyperlink r:id="rId152" w:history="1">
        <w:r w:rsidRPr="00480065">
          <w:rPr>
            <w:rStyle w:val="Hyperlink"/>
            <w:b/>
          </w:rPr>
          <w:t>BPM for Managing Full Network Model</w:t>
        </w:r>
      </w:hyperlink>
      <w:r w:rsidRPr="00480065">
        <w:rPr>
          <w:rFonts w:cs="Arial"/>
        </w:rPr>
        <w:t xml:space="preserve">.  Additional information regarding the specific information contained in the RDT can be found in Attachment B of the </w:t>
      </w:r>
      <w:hyperlink r:id="rId153" w:history="1">
        <w:r w:rsidRPr="00480065">
          <w:rPr>
            <w:rStyle w:val="Hyperlink"/>
            <w:rFonts w:cs="Arial"/>
            <w:b/>
          </w:rPr>
          <w:t>BPM for Market Instruments</w:t>
        </w:r>
      </w:hyperlink>
      <w:r w:rsidRPr="00480065">
        <w:rPr>
          <w:rFonts w:cs="Arial"/>
        </w:rPr>
        <w:t xml:space="preserve">.  All EIM </w:t>
      </w:r>
      <w:r w:rsidR="00816DA7" w:rsidRPr="00480065">
        <w:rPr>
          <w:rFonts w:cs="Arial"/>
        </w:rPr>
        <w:t>Participating</w:t>
      </w:r>
      <w:r w:rsidRPr="00480065">
        <w:rPr>
          <w:rFonts w:cs="Arial"/>
        </w:rPr>
        <w:t xml:space="preserve"> Resource Scheduling Coordinators must register the resources that they shall represent using the RDT process, update the information on a timely basis</w:t>
      </w:r>
      <w:r w:rsidR="004D2AB4">
        <w:rPr>
          <w:rFonts w:cs="Arial"/>
        </w:rPr>
        <w:t>,</w:t>
      </w:r>
      <w:r w:rsidRPr="00480065">
        <w:rPr>
          <w:rFonts w:cs="Arial"/>
        </w:rPr>
        <w:t xml:space="preserve"> and share that information with the EIM Entity Scheduling Coord</w:t>
      </w:r>
      <w:r w:rsidR="004D2AB4">
        <w:rPr>
          <w:rFonts w:cs="Arial"/>
        </w:rPr>
        <w:t xml:space="preserve">inator in coordination with </w:t>
      </w:r>
      <w:r w:rsidRPr="00480065">
        <w:rPr>
          <w:rFonts w:cs="Arial"/>
        </w:rPr>
        <w:t xml:space="preserve">CAISO’s network model update timeline.  Also, an EIM Entity Scheduling </w:t>
      </w:r>
      <w:r w:rsidR="00816DA7" w:rsidRPr="00480065">
        <w:rPr>
          <w:rFonts w:cs="Arial"/>
        </w:rPr>
        <w:t>Coordinator</w:t>
      </w:r>
      <w:r w:rsidRPr="00480065">
        <w:rPr>
          <w:rFonts w:cs="Arial"/>
        </w:rPr>
        <w:t xml:space="preserve"> must register all non-participating resources</w:t>
      </w:r>
      <w:r w:rsidR="00000035">
        <w:rPr>
          <w:rFonts w:cs="Arial"/>
        </w:rPr>
        <w:t>,</w:t>
      </w:r>
      <w:r w:rsidRPr="00480065">
        <w:rPr>
          <w:rFonts w:cs="Arial"/>
        </w:rPr>
        <w:t xml:space="preserve"> specifying the EIM Entity within which </w:t>
      </w:r>
      <w:r w:rsidR="00000035">
        <w:rPr>
          <w:rFonts w:cs="Arial"/>
        </w:rPr>
        <w:t>the resources exist,</w:t>
      </w:r>
      <w:r w:rsidRPr="00480065">
        <w:rPr>
          <w:rFonts w:cs="Arial"/>
        </w:rPr>
        <w:t xml:space="preserve"> using the RDT process and update that in</w:t>
      </w:r>
      <w:r w:rsidR="009D507A">
        <w:rPr>
          <w:rFonts w:cs="Arial"/>
        </w:rPr>
        <w:t>formation in accordance with</w:t>
      </w:r>
      <w:r w:rsidRPr="00480065">
        <w:rPr>
          <w:rFonts w:cs="Arial"/>
        </w:rPr>
        <w:t xml:space="preserve"> CAISO’s network model build process.  </w:t>
      </w:r>
    </w:p>
    <w:p w14:paraId="640A0E30" w14:textId="77777777" w:rsidR="00F344FC" w:rsidRPr="00480065" w:rsidRDefault="00F344FC" w:rsidP="00F344FC">
      <w:pPr>
        <w:spacing w:after="240" w:line="300" w:lineRule="auto"/>
        <w:rPr>
          <w:rFonts w:cs="Arial"/>
        </w:rPr>
      </w:pPr>
      <w:r w:rsidRPr="00480065">
        <w:t>An EIM Entity shall update the EIM Transmission Service Information no less frequently than the timelines for updates to the Full Network Model as outlined in</w:t>
      </w:r>
      <w:r w:rsidR="00AD5840">
        <w:rPr>
          <w:rFonts w:cs="Arial"/>
        </w:rPr>
        <w:t xml:space="preserve"> S</w:t>
      </w:r>
      <w:r w:rsidRPr="00480065">
        <w:rPr>
          <w:rFonts w:cs="Arial"/>
        </w:rPr>
        <w:t xml:space="preserve">ection 5.1 of the </w:t>
      </w:r>
      <w:hyperlink r:id="rId154" w:history="1">
        <w:r w:rsidRPr="00480065">
          <w:rPr>
            <w:rStyle w:val="Hyperlink"/>
            <w:b/>
          </w:rPr>
          <w:t>BPM for Managing Full Network Model</w:t>
        </w:r>
      </w:hyperlink>
      <w:r w:rsidRPr="00480065">
        <w:rPr>
          <w:rFonts w:cs="Arial"/>
        </w:rPr>
        <w:t xml:space="preserve">.  Also, upon entering into an EIM Implementation Agreement, an EIM Entity shall establish and inform </w:t>
      </w:r>
      <w:r w:rsidRPr="00480065">
        <w:t>CAISO of the maximum EIM Transfer limit at least ninety days prior to the EIM Entity Implementation Date via the Full Network Model update process.</w:t>
      </w:r>
    </w:p>
    <w:p w14:paraId="70CF22B3" w14:textId="77777777" w:rsidR="00595077" w:rsidRPr="00480065" w:rsidRDefault="00595077" w:rsidP="006F6DD6">
      <w:pPr>
        <w:spacing w:after="240" w:line="300" w:lineRule="auto"/>
        <w:rPr>
          <w:rFonts w:cs="Arial"/>
        </w:rPr>
      </w:pPr>
      <w:r w:rsidRPr="00480065">
        <w:rPr>
          <w:rFonts w:cs="Arial"/>
        </w:rPr>
        <w:lastRenderedPageBreak/>
        <w:t xml:space="preserve">As </w:t>
      </w:r>
      <w:r w:rsidR="00D5695C" w:rsidRPr="00480065">
        <w:rPr>
          <w:rFonts w:cs="Arial"/>
        </w:rPr>
        <w:t>previously described</w:t>
      </w:r>
      <w:r w:rsidRPr="00480065">
        <w:rPr>
          <w:rFonts w:cs="Arial"/>
        </w:rPr>
        <w:t xml:space="preserve">, the </w:t>
      </w:r>
      <w:hyperlink r:id="rId155" w:history="1">
        <w:r w:rsidR="00A21E2E" w:rsidRPr="00480065">
          <w:rPr>
            <w:rStyle w:val="Hyperlink"/>
            <w:b/>
          </w:rPr>
          <w:t>BPM for Managing Full Network Model</w:t>
        </w:r>
      </w:hyperlink>
      <w:r w:rsidR="00A21E2E" w:rsidRPr="00480065">
        <w:rPr>
          <w:b/>
        </w:rPr>
        <w:t xml:space="preserve"> </w:t>
      </w:r>
      <w:r w:rsidRPr="00480065">
        <w:rPr>
          <w:rFonts w:cs="Arial"/>
        </w:rPr>
        <w:t xml:space="preserve">explains how the Full Network Model and its associated processes are used to support market operations.  For EIM participants, references to the IFM, Use Limited Resources, CRR Systems, Participating Transmission Ownership, Metered Sub-Systems, Utility Distribution Companies, Trading Hubs, </w:t>
      </w:r>
      <w:r w:rsidR="00BB16D7" w:rsidRPr="00480065">
        <w:rPr>
          <w:rFonts w:cs="Arial"/>
        </w:rPr>
        <w:t>and RUC</w:t>
      </w:r>
      <w:r w:rsidRPr="00480065">
        <w:rPr>
          <w:rFonts w:cs="Arial"/>
        </w:rPr>
        <w:t xml:space="preserve"> Zones are not applicable to</w:t>
      </w:r>
      <w:r w:rsidR="004C1432">
        <w:rPr>
          <w:rFonts w:cs="Arial"/>
        </w:rPr>
        <w:t xml:space="preserve"> the</w:t>
      </w:r>
      <w:r w:rsidRPr="00480065">
        <w:rPr>
          <w:rFonts w:cs="Arial"/>
        </w:rPr>
        <w:t xml:space="preserve"> EIM.</w:t>
      </w:r>
    </w:p>
    <w:p w14:paraId="55731002" w14:textId="77777777" w:rsidR="00326CC6" w:rsidRDefault="00595077" w:rsidP="00BA2E6E">
      <w:pPr>
        <w:spacing w:after="240" w:line="300" w:lineRule="auto"/>
        <w:rPr>
          <w:rFonts w:cs="Arial"/>
        </w:rPr>
      </w:pPr>
      <w:r w:rsidRPr="00480065">
        <w:rPr>
          <w:rFonts w:cs="Arial"/>
        </w:rPr>
        <w:t xml:space="preserve">The section of the </w:t>
      </w:r>
      <w:hyperlink r:id="rId156" w:history="1">
        <w:r w:rsidR="00A21E2E" w:rsidRPr="00480065">
          <w:rPr>
            <w:rStyle w:val="Hyperlink"/>
            <w:b/>
          </w:rPr>
          <w:t>BPM for Managing Full Network Model</w:t>
        </w:r>
      </w:hyperlink>
      <w:r w:rsidR="00A21E2E" w:rsidRPr="00480065">
        <w:rPr>
          <w:b/>
        </w:rPr>
        <w:t xml:space="preserve"> </w:t>
      </w:r>
      <w:r w:rsidRPr="00480065">
        <w:rPr>
          <w:rFonts w:cs="Arial"/>
        </w:rPr>
        <w:t xml:space="preserve">relating to maintenance of the Full Network Model depicts the existing process, but is currently being evaluated for revisions necessary to appropriately incorporate updates from EIM </w:t>
      </w:r>
      <w:r w:rsidR="00450F1E">
        <w:rPr>
          <w:rFonts w:cs="Arial"/>
        </w:rPr>
        <w:t>Entity</w:t>
      </w:r>
      <w:r w:rsidRPr="00480065">
        <w:rPr>
          <w:rFonts w:cs="Arial"/>
        </w:rPr>
        <w:t xml:space="preserve"> BAAs.</w:t>
      </w:r>
    </w:p>
    <w:p w14:paraId="3A39F49E" w14:textId="77777777" w:rsidR="003932F5" w:rsidRPr="00480065" w:rsidRDefault="00595077" w:rsidP="00BA2E6E">
      <w:pPr>
        <w:spacing w:after="240" w:line="300" w:lineRule="auto"/>
        <w:rPr>
          <w:rFonts w:cs="Arial"/>
        </w:rPr>
      </w:pPr>
      <w:r w:rsidRPr="00480065">
        <w:rPr>
          <w:rFonts w:cs="Arial"/>
        </w:rPr>
        <w:t xml:space="preserve">  </w:t>
      </w:r>
    </w:p>
    <w:p w14:paraId="5C6A2DB5" w14:textId="77777777" w:rsidR="002E46E9" w:rsidRDefault="002E46E9" w:rsidP="002E46E9">
      <w:pPr>
        <w:pStyle w:val="Heading1"/>
      </w:pPr>
      <w:bookmarkStart w:id="59" w:name="_Toc389662573"/>
      <w:bookmarkStart w:id="60" w:name="_Toc390946258"/>
      <w:bookmarkStart w:id="61" w:name="_Toc391969819"/>
      <w:bookmarkStart w:id="62" w:name="_Toc460320426"/>
      <w:r>
        <w:t>METERING</w:t>
      </w:r>
      <w:bookmarkEnd w:id="59"/>
      <w:bookmarkEnd w:id="60"/>
      <w:bookmarkEnd w:id="61"/>
      <w:bookmarkEnd w:id="62"/>
    </w:p>
    <w:p w14:paraId="70687090" w14:textId="4032BE4D" w:rsidR="00772AC4" w:rsidRDefault="00BD1EBB" w:rsidP="006F6DD6">
      <w:pPr>
        <w:spacing w:after="240" w:line="300" w:lineRule="auto"/>
        <w:rPr>
          <w:rFonts w:cs="Arial"/>
        </w:rPr>
      </w:pPr>
      <w:r>
        <w:rPr>
          <w:rFonts w:cs="Arial"/>
        </w:rPr>
        <w:t>W</w:t>
      </w:r>
      <w:r w:rsidR="00772AC4">
        <w:rPr>
          <w:rFonts w:cs="Arial"/>
        </w:rPr>
        <w:t>elcome to</w:t>
      </w:r>
      <w:r>
        <w:rPr>
          <w:rFonts w:cs="Arial"/>
        </w:rPr>
        <w:t xml:space="preserve"> the </w:t>
      </w:r>
      <w:r w:rsidRPr="00BD1EBB">
        <w:rPr>
          <w:rFonts w:cs="Arial"/>
          <w:i/>
        </w:rPr>
        <w:t>Metering</w:t>
      </w:r>
      <w:r>
        <w:rPr>
          <w:rFonts w:cs="Arial"/>
        </w:rPr>
        <w:t xml:space="preserve"> section of th</w:t>
      </w:r>
      <w:r w:rsidR="00772AC4">
        <w:rPr>
          <w:rFonts w:cs="Arial"/>
        </w:rPr>
        <w:t>e</w:t>
      </w:r>
      <w:r w:rsidR="00775CF7">
        <w:rPr>
          <w:rFonts w:cs="Arial"/>
        </w:rPr>
        <w:t xml:space="preserve"> </w:t>
      </w:r>
      <w:r w:rsidR="00772AC4">
        <w:rPr>
          <w:rFonts w:cs="Arial"/>
        </w:rPr>
        <w:t>CAISO</w:t>
      </w:r>
      <w:r>
        <w:rPr>
          <w:rFonts w:cs="Arial"/>
        </w:rPr>
        <w:t xml:space="preserve"> </w:t>
      </w:r>
      <w:r w:rsidRPr="00772AC4">
        <w:rPr>
          <w:rFonts w:cs="Arial"/>
          <w:i/>
        </w:rPr>
        <w:t>BPM</w:t>
      </w:r>
      <w:r w:rsidR="00772AC4" w:rsidRPr="00772AC4">
        <w:rPr>
          <w:rFonts w:cs="Arial"/>
          <w:i/>
        </w:rPr>
        <w:t xml:space="preserve"> for the Energy Imbalance Market</w:t>
      </w:r>
      <w:r w:rsidR="00772AC4">
        <w:rPr>
          <w:rFonts w:cs="Arial"/>
        </w:rPr>
        <w:t>. In this section</w:t>
      </w:r>
      <w:r w:rsidR="00775CF7">
        <w:rPr>
          <w:rFonts w:cs="Arial"/>
        </w:rPr>
        <w:t xml:space="preserve"> </w:t>
      </w:r>
      <w:r>
        <w:rPr>
          <w:rFonts w:cs="Arial"/>
        </w:rPr>
        <w:t>you will</w:t>
      </w:r>
      <w:r w:rsidR="006B378A">
        <w:rPr>
          <w:rFonts w:cs="Arial"/>
        </w:rPr>
        <w:t xml:space="preserve"> find </w:t>
      </w:r>
      <w:r w:rsidR="00772AC4">
        <w:rPr>
          <w:rFonts w:cs="Arial"/>
        </w:rPr>
        <w:t xml:space="preserve">the following </w:t>
      </w:r>
      <w:r w:rsidR="006B378A">
        <w:rPr>
          <w:rFonts w:cs="Arial"/>
        </w:rPr>
        <w:t>information</w:t>
      </w:r>
      <w:r w:rsidR="00772AC4">
        <w:rPr>
          <w:rFonts w:cs="Arial"/>
        </w:rPr>
        <w:t>:</w:t>
      </w:r>
    </w:p>
    <w:p w14:paraId="71B32F28" w14:textId="77777777" w:rsidR="00BD1EBB" w:rsidRPr="00772AC4" w:rsidRDefault="00772AC4" w:rsidP="00877DDB">
      <w:pPr>
        <w:pStyle w:val="ListParagraph"/>
        <w:numPr>
          <w:ilvl w:val="0"/>
          <w:numId w:val="120"/>
        </w:numPr>
        <w:ind w:left="778"/>
        <w:rPr>
          <w:rFonts w:cs="Arial"/>
        </w:rPr>
      </w:pPr>
      <w:r>
        <w:rPr>
          <w:rFonts w:cs="Arial"/>
        </w:rPr>
        <w:t>Description of</w:t>
      </w:r>
      <w:r w:rsidR="00775CF7">
        <w:rPr>
          <w:rFonts w:cs="Arial"/>
        </w:rPr>
        <w:t xml:space="preserve"> </w:t>
      </w:r>
      <w:r w:rsidR="00BD1EBB" w:rsidRPr="00772AC4">
        <w:rPr>
          <w:rFonts w:cs="Arial"/>
        </w:rPr>
        <w:t>the pro</w:t>
      </w:r>
      <w:r w:rsidR="004C1432" w:rsidRPr="00772AC4">
        <w:rPr>
          <w:rFonts w:cs="Arial"/>
        </w:rPr>
        <w:t xml:space="preserve">cess and procedures used by </w:t>
      </w:r>
      <w:r w:rsidR="00BD1EBB" w:rsidRPr="00772AC4">
        <w:rPr>
          <w:rFonts w:cs="Arial"/>
        </w:rPr>
        <w:t xml:space="preserve">CAISO, CAISO Metered Entities, and Scheduling Coordinators for </w:t>
      </w:r>
      <w:r w:rsidR="004813C9" w:rsidRPr="00772AC4">
        <w:rPr>
          <w:rFonts w:cs="Arial"/>
        </w:rPr>
        <w:t>Scheduling</w:t>
      </w:r>
      <w:r w:rsidR="00AB79A0" w:rsidRPr="00772AC4">
        <w:rPr>
          <w:rFonts w:cs="Arial"/>
        </w:rPr>
        <w:t xml:space="preserve"> Coordinator Metered E</w:t>
      </w:r>
      <w:r w:rsidR="00BD1EBB" w:rsidRPr="00772AC4">
        <w:rPr>
          <w:rFonts w:cs="Arial"/>
        </w:rPr>
        <w:t>ntities to obtain</w:t>
      </w:r>
      <w:r w:rsidR="004C1432" w:rsidRPr="00772AC4">
        <w:rPr>
          <w:rFonts w:cs="Arial"/>
        </w:rPr>
        <w:t xml:space="preserve"> Settlement Quality Meter Data</w:t>
      </w:r>
      <w:r w:rsidR="00BD1EBB" w:rsidRPr="00772AC4">
        <w:rPr>
          <w:rFonts w:cs="Arial"/>
        </w:rPr>
        <w:t xml:space="preserve"> </w:t>
      </w:r>
      <w:r w:rsidR="004C1432" w:rsidRPr="00772AC4">
        <w:rPr>
          <w:rFonts w:cs="Arial"/>
        </w:rPr>
        <w:t>(</w:t>
      </w:r>
      <w:r w:rsidR="00BD1EBB" w:rsidRPr="00772AC4">
        <w:rPr>
          <w:rFonts w:cs="Arial"/>
        </w:rPr>
        <w:t>SQMD</w:t>
      </w:r>
      <w:r w:rsidR="004C1432" w:rsidRPr="00772AC4">
        <w:rPr>
          <w:rFonts w:cs="Arial"/>
        </w:rPr>
        <w:t>)</w:t>
      </w:r>
      <w:r w:rsidR="00BD1EBB" w:rsidRPr="00772AC4">
        <w:rPr>
          <w:rFonts w:cs="Arial"/>
        </w:rPr>
        <w:t xml:space="preserve"> used f</w:t>
      </w:r>
      <w:r w:rsidR="00FC30E3" w:rsidRPr="00772AC4">
        <w:rPr>
          <w:rFonts w:cs="Arial"/>
        </w:rPr>
        <w:t>or the Settlement of the CAISO m</w:t>
      </w:r>
      <w:r w:rsidR="00BD1EBB" w:rsidRPr="00772AC4">
        <w:rPr>
          <w:rFonts w:cs="Arial"/>
        </w:rPr>
        <w:t>arkets</w:t>
      </w:r>
      <w:r w:rsidR="006B378A" w:rsidRPr="00772AC4">
        <w:rPr>
          <w:rFonts w:cs="Arial"/>
        </w:rPr>
        <w:t xml:space="preserve"> within the EIM</w:t>
      </w:r>
      <w:r w:rsidR="00BD1EBB" w:rsidRPr="00772AC4">
        <w:rPr>
          <w:rFonts w:cs="Arial"/>
        </w:rPr>
        <w:t xml:space="preserve">.  </w:t>
      </w:r>
    </w:p>
    <w:p w14:paraId="022512A3" w14:textId="77777777" w:rsidR="00772AC4" w:rsidRDefault="00BD1EBB" w:rsidP="006F6DD6">
      <w:pPr>
        <w:spacing w:after="240" w:line="300" w:lineRule="auto"/>
        <w:rPr>
          <w:rFonts w:cs="Arial"/>
        </w:rPr>
      </w:pPr>
      <w:r>
        <w:rPr>
          <w:rFonts w:cs="Arial"/>
        </w:rPr>
        <w:t xml:space="preserve"> </w:t>
      </w:r>
      <w:r w:rsidR="00697F70" w:rsidRPr="009C0623">
        <w:rPr>
          <w:rFonts w:cs="Arial"/>
        </w:rPr>
        <w:t xml:space="preserve">The </w:t>
      </w:r>
      <w:hyperlink r:id="rId157" w:history="1">
        <w:r w:rsidR="00697F70" w:rsidRPr="009C0623">
          <w:rPr>
            <w:rStyle w:val="Hyperlink"/>
            <w:rFonts w:cs="Arial"/>
            <w:b/>
            <w:bCs/>
          </w:rPr>
          <w:t>BPM for Metering</w:t>
        </w:r>
      </w:hyperlink>
      <w:r w:rsidR="00697F70" w:rsidRPr="009C0623">
        <w:rPr>
          <w:rFonts w:cs="Arial"/>
        </w:rPr>
        <w:t xml:space="preserve"> covers the me</w:t>
      </w:r>
      <w:r w:rsidR="004C1432">
        <w:rPr>
          <w:rFonts w:cs="Arial"/>
        </w:rPr>
        <w:t xml:space="preserve">tering responsibilities for </w:t>
      </w:r>
      <w:r w:rsidR="00697F70" w:rsidRPr="009C0623">
        <w:rPr>
          <w:rFonts w:cs="Arial"/>
        </w:rPr>
        <w:t>CAISO, CAISO Metered Entities, Scheduling Coordinator (SC) Metered Entities, and Scheduling Coordinators representing Metered Entities for the meter installation, certification</w:t>
      </w:r>
      <w:r w:rsidR="00AE5C0A">
        <w:rPr>
          <w:rFonts w:cs="Arial"/>
        </w:rPr>
        <w:t>,</w:t>
      </w:r>
      <w:r w:rsidR="00697F70" w:rsidRPr="009C0623">
        <w:rPr>
          <w:rFonts w:cs="Arial"/>
        </w:rPr>
        <w:t xml:space="preserve"> and maintenance in addition to th</w:t>
      </w:r>
      <w:r w:rsidR="004C1432">
        <w:rPr>
          <w:rFonts w:cs="Arial"/>
        </w:rPr>
        <w:t>e creation of SQMD</w:t>
      </w:r>
      <w:r w:rsidR="00AE5C0A" w:rsidRPr="00BB16D7">
        <w:rPr>
          <w:rFonts w:cs="Arial"/>
        </w:rPr>
        <w:t xml:space="preserve">.  </w:t>
      </w:r>
      <w:r w:rsidR="00471DB7">
        <w:rPr>
          <w:rFonts w:cs="Arial"/>
        </w:rPr>
        <w:t>T</w:t>
      </w:r>
      <w:r w:rsidR="00697F70" w:rsidRPr="009C0623">
        <w:rPr>
          <w:rFonts w:cs="Arial"/>
        </w:rPr>
        <w:t xml:space="preserve">he </w:t>
      </w:r>
      <w:hyperlink r:id="rId158" w:history="1">
        <w:r w:rsidR="00A21E2E" w:rsidRPr="009C0623">
          <w:rPr>
            <w:rStyle w:val="Hyperlink"/>
            <w:rFonts w:cs="Arial"/>
            <w:b/>
            <w:bCs/>
          </w:rPr>
          <w:t>BPM for Metering</w:t>
        </w:r>
      </w:hyperlink>
      <w:r w:rsidR="00A21E2E">
        <w:rPr>
          <w:rFonts w:cs="Arial"/>
          <w:b/>
          <w:bCs/>
        </w:rPr>
        <w:t xml:space="preserve"> </w:t>
      </w:r>
      <w:r w:rsidR="00471DB7">
        <w:rPr>
          <w:rFonts w:cs="Arial"/>
          <w:bCs/>
        </w:rPr>
        <w:t xml:space="preserve">also </w:t>
      </w:r>
      <w:r w:rsidR="00697F70" w:rsidRPr="009C0623">
        <w:rPr>
          <w:rFonts w:cs="Arial"/>
        </w:rPr>
        <w:t>describes the process a</w:t>
      </w:r>
      <w:r w:rsidR="00471DB7">
        <w:rPr>
          <w:rFonts w:cs="Arial"/>
        </w:rPr>
        <w:t xml:space="preserve">nd procedures used by </w:t>
      </w:r>
      <w:r w:rsidR="00697F70" w:rsidRPr="009C0623">
        <w:rPr>
          <w:rFonts w:cs="Arial"/>
        </w:rPr>
        <w:t>CAISO, CAISO Metered Entities, and Scheduling Coordinators for Scheduling Coordinator Metered Entities to obtain SQMD used f</w:t>
      </w:r>
      <w:r w:rsidR="004538FE">
        <w:rPr>
          <w:rFonts w:cs="Arial"/>
        </w:rPr>
        <w:t>or the settlement of the CAISO m</w:t>
      </w:r>
      <w:r w:rsidR="00697F70" w:rsidRPr="009C0623">
        <w:rPr>
          <w:rFonts w:cs="Arial"/>
        </w:rPr>
        <w:t>arkets.  SQMD is used for billab</w:t>
      </w:r>
      <w:r w:rsidR="00AE5C0A" w:rsidRPr="00BB16D7">
        <w:rPr>
          <w:rFonts w:cs="Arial"/>
        </w:rPr>
        <w:t xml:space="preserve">le quantities to represent the </w:t>
      </w:r>
      <w:r w:rsidR="00AE5C0A">
        <w:rPr>
          <w:rFonts w:cs="Arial"/>
        </w:rPr>
        <w:t>e</w:t>
      </w:r>
      <w:r w:rsidR="00697F70" w:rsidRPr="009C0623">
        <w:rPr>
          <w:rFonts w:cs="Arial"/>
        </w:rPr>
        <w:t xml:space="preserve">nergy generated or consumed during a Settlement Interval.  </w:t>
      </w:r>
    </w:p>
    <w:p w14:paraId="6348A97D" w14:textId="77777777" w:rsidR="00772AC4" w:rsidRDefault="00697F70" w:rsidP="006F6DD6">
      <w:pPr>
        <w:spacing w:after="240" w:line="300" w:lineRule="auto"/>
        <w:rPr>
          <w:rFonts w:cs="Arial"/>
        </w:rPr>
      </w:pPr>
      <w:r w:rsidRPr="009C0623">
        <w:rPr>
          <w:rFonts w:cs="Arial"/>
        </w:rPr>
        <w:t xml:space="preserve">SQMD is obtained from two different sources: </w:t>
      </w:r>
    </w:p>
    <w:p w14:paraId="759B1C0B" w14:textId="77777777" w:rsidR="00772AC4" w:rsidRDefault="00697F70" w:rsidP="00772AC4">
      <w:pPr>
        <w:pStyle w:val="ListParagraph"/>
        <w:numPr>
          <w:ilvl w:val="0"/>
          <w:numId w:val="121"/>
        </w:numPr>
        <w:spacing w:after="240" w:line="300" w:lineRule="auto"/>
        <w:rPr>
          <w:rFonts w:cs="Arial"/>
        </w:rPr>
      </w:pPr>
      <w:r w:rsidRPr="00772AC4">
        <w:rPr>
          <w:rFonts w:cs="Arial"/>
          <w:b/>
        </w:rPr>
        <w:t>CAISO Metered Entities</w:t>
      </w:r>
      <w:r w:rsidR="00772AC4" w:rsidRPr="00772AC4">
        <w:rPr>
          <w:rFonts w:cs="Arial"/>
          <w:b/>
        </w:rPr>
        <w:t>:</w:t>
      </w:r>
      <w:r w:rsidRPr="00772AC4">
        <w:rPr>
          <w:rFonts w:cs="Arial"/>
        </w:rPr>
        <w:t xml:space="preserve"> Meter Data directly polled by CAISO </w:t>
      </w:r>
    </w:p>
    <w:p w14:paraId="5A8FB799" w14:textId="77777777" w:rsidR="00697F70" w:rsidRPr="00772AC4" w:rsidRDefault="00697F70" w:rsidP="00877DDB">
      <w:pPr>
        <w:pStyle w:val="ListParagraph"/>
        <w:numPr>
          <w:ilvl w:val="0"/>
          <w:numId w:val="121"/>
        </w:numPr>
        <w:rPr>
          <w:rFonts w:cs="Arial"/>
        </w:rPr>
      </w:pPr>
      <w:r w:rsidRPr="00772AC4">
        <w:rPr>
          <w:rFonts w:cs="Arial"/>
          <w:b/>
        </w:rPr>
        <w:t>Scheduling Coordinator Metered Entities</w:t>
      </w:r>
      <w:r w:rsidR="00772AC4" w:rsidRPr="00772AC4">
        <w:rPr>
          <w:rFonts w:cs="Arial"/>
          <w:b/>
        </w:rPr>
        <w:t>:</w:t>
      </w:r>
      <w:r w:rsidRPr="00772AC4">
        <w:rPr>
          <w:rFonts w:cs="Arial"/>
        </w:rPr>
        <w:t xml:space="preserve"> Meter Data submitted to CAISO by Scheduling Coordinators  </w:t>
      </w:r>
    </w:p>
    <w:p w14:paraId="56834E1C" w14:textId="77777777" w:rsidR="00697F70" w:rsidRPr="009C0623" w:rsidRDefault="00697F70" w:rsidP="006F6DD6">
      <w:pPr>
        <w:spacing w:after="240" w:line="300" w:lineRule="auto"/>
        <w:rPr>
          <w:rFonts w:cs="Arial"/>
        </w:rPr>
      </w:pPr>
      <w:r w:rsidRPr="009C0623">
        <w:rPr>
          <w:rFonts w:cs="Arial"/>
        </w:rPr>
        <w:lastRenderedPageBreak/>
        <w:t>Entities participating in the EIM may opt to be CAISO Metered Entities or Scheduling Coordinator Metered Entities.  A determination must be made for each resource in an EIM</w:t>
      </w:r>
      <w:r w:rsidR="005C7A4A">
        <w:rPr>
          <w:rFonts w:cs="Arial"/>
        </w:rPr>
        <w:t xml:space="preserve"> Entity </w:t>
      </w:r>
      <w:r w:rsidRPr="009C0623">
        <w:rPr>
          <w:rFonts w:cs="Arial"/>
        </w:rPr>
        <w:t xml:space="preserve">BAA, and the requisite requirements </w:t>
      </w:r>
      <w:r w:rsidR="00AD5840">
        <w:rPr>
          <w:rFonts w:cs="Arial"/>
        </w:rPr>
        <w:t>of S</w:t>
      </w:r>
      <w:r w:rsidR="000822F4">
        <w:rPr>
          <w:rFonts w:cs="Arial"/>
        </w:rPr>
        <w:t xml:space="preserve">ection </w:t>
      </w:r>
      <w:r w:rsidR="006D124E">
        <w:rPr>
          <w:rFonts w:cs="Arial"/>
        </w:rPr>
        <w:t xml:space="preserve">29.10 of the </w:t>
      </w:r>
      <w:r w:rsidR="00E16431">
        <w:rPr>
          <w:rFonts w:cs="Arial"/>
        </w:rPr>
        <w:t>CAISO T</w:t>
      </w:r>
      <w:r w:rsidR="006D124E">
        <w:rPr>
          <w:rFonts w:cs="Arial"/>
        </w:rPr>
        <w:t xml:space="preserve">ariff </w:t>
      </w:r>
      <w:r w:rsidRPr="009C0623">
        <w:rPr>
          <w:rFonts w:cs="Arial"/>
        </w:rPr>
        <w:t>met, prior to that BAA participating in</w:t>
      </w:r>
      <w:r w:rsidR="00D5695C">
        <w:rPr>
          <w:rFonts w:cs="Arial"/>
        </w:rPr>
        <w:t xml:space="preserve"> the</w:t>
      </w:r>
      <w:r w:rsidR="00C148A5">
        <w:rPr>
          <w:rFonts w:cs="Arial"/>
        </w:rPr>
        <w:t xml:space="preserve"> EIM.  If an EIM Participating R</w:t>
      </w:r>
      <w:r w:rsidRPr="009C0623">
        <w:rPr>
          <w:rFonts w:cs="Arial"/>
        </w:rPr>
        <w:t>esource chooses to switch from one type t</w:t>
      </w:r>
      <w:r w:rsidR="009D507A">
        <w:rPr>
          <w:rFonts w:cs="Arial"/>
        </w:rPr>
        <w:t xml:space="preserve">o another, they must notify </w:t>
      </w:r>
      <w:r w:rsidRPr="009C0623">
        <w:rPr>
          <w:rFonts w:cs="Arial"/>
        </w:rPr>
        <w:t>CAISO and complete the associated pieces of</w:t>
      </w:r>
      <w:r w:rsidR="00C52AC7">
        <w:rPr>
          <w:rFonts w:cs="Arial"/>
        </w:rPr>
        <w:t xml:space="preserve"> the</w:t>
      </w:r>
      <w:r w:rsidRPr="009C0623">
        <w:rPr>
          <w:rFonts w:cs="Arial"/>
        </w:rPr>
        <w:t xml:space="preserve"> </w:t>
      </w:r>
      <w:r w:rsidRPr="00C52AC7">
        <w:rPr>
          <w:rFonts w:cs="Arial"/>
          <w:i/>
        </w:rPr>
        <w:t>New Resource Interconnection Process</w:t>
      </w:r>
      <w:r w:rsidRPr="009C0623">
        <w:rPr>
          <w:rFonts w:cs="Arial"/>
        </w:rPr>
        <w:t>.</w:t>
      </w:r>
    </w:p>
    <w:p w14:paraId="065866BC" w14:textId="77777777" w:rsidR="00AE5C0A" w:rsidRDefault="00697F70" w:rsidP="00B8115B">
      <w:pPr>
        <w:spacing w:after="240" w:line="300" w:lineRule="auto"/>
        <w:rPr>
          <w:rFonts w:cs="Arial"/>
        </w:rPr>
      </w:pPr>
      <w:r w:rsidRPr="009C0623">
        <w:rPr>
          <w:rFonts w:cs="Arial"/>
        </w:rPr>
        <w:t xml:space="preserve">With the exception of </w:t>
      </w:r>
      <w:r w:rsidR="00AD5840">
        <w:rPr>
          <w:rFonts w:cs="Arial"/>
        </w:rPr>
        <w:t>S</w:t>
      </w:r>
      <w:r w:rsidRPr="009C0623">
        <w:rPr>
          <w:rFonts w:cs="Arial"/>
        </w:rPr>
        <w:t xml:space="preserve">ection 9.2, no other portion of the metering configurations listed in </w:t>
      </w:r>
      <w:r w:rsidR="00011A8A">
        <w:rPr>
          <w:rFonts w:cs="Arial"/>
        </w:rPr>
        <w:t>S</w:t>
      </w:r>
      <w:r w:rsidRPr="009C0623">
        <w:rPr>
          <w:rFonts w:cs="Arial"/>
        </w:rPr>
        <w:t>ections 9, 10, 11</w:t>
      </w:r>
      <w:r w:rsidR="00F07A6B">
        <w:rPr>
          <w:rFonts w:cs="Arial"/>
        </w:rPr>
        <w:t>,</w:t>
      </w:r>
      <w:r w:rsidRPr="009C0623">
        <w:rPr>
          <w:rFonts w:cs="Arial"/>
        </w:rPr>
        <w:t xml:space="preserve"> or 12 of the </w:t>
      </w:r>
      <w:hyperlink r:id="rId159" w:history="1">
        <w:r w:rsidR="00A21E2E" w:rsidRPr="009C0623">
          <w:rPr>
            <w:rStyle w:val="Hyperlink"/>
            <w:rFonts w:cs="Arial"/>
            <w:b/>
            <w:bCs/>
          </w:rPr>
          <w:t>BPM for Metering</w:t>
        </w:r>
      </w:hyperlink>
      <w:r w:rsidR="00A21E2E">
        <w:rPr>
          <w:rFonts w:cs="Arial"/>
          <w:b/>
          <w:bCs/>
        </w:rPr>
        <w:t xml:space="preserve"> </w:t>
      </w:r>
      <w:r w:rsidRPr="009C0623">
        <w:rPr>
          <w:rFonts w:cs="Arial"/>
        </w:rPr>
        <w:t>is currently available to EIM participants.</w:t>
      </w:r>
    </w:p>
    <w:p w14:paraId="0869F69E" w14:textId="77777777" w:rsidR="003124A9" w:rsidRPr="00877DDB" w:rsidRDefault="003124A9" w:rsidP="003124A9">
      <w:pPr>
        <w:pStyle w:val="Default"/>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 xml:space="preserve">All Scheduling Coordinators and other entities submitting meter data related to EIM resources for either generation not associated with Ancillary Services, interties, or load, may submit meter data in the following granularity levels not already stated in section 10.3.2.2 of the CAISO Tariff: </w:t>
      </w:r>
    </w:p>
    <w:p w14:paraId="6426C757" w14:textId="77777777" w:rsidR="003124A9" w:rsidRPr="00877DDB" w:rsidRDefault="003124A9" w:rsidP="003124A9">
      <w:pPr>
        <w:pStyle w:val="Default"/>
        <w:numPr>
          <w:ilvl w:val="0"/>
          <w:numId w:val="212"/>
        </w:numPr>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 xml:space="preserve">Generation for participating generators at 5-minute intervals; non-participating generators at 5, 15 or 60-minute intervals. </w:t>
      </w:r>
    </w:p>
    <w:p w14:paraId="3EBA3A6F" w14:textId="77777777" w:rsidR="003124A9" w:rsidRPr="00877DDB" w:rsidRDefault="003124A9" w:rsidP="003124A9">
      <w:pPr>
        <w:pStyle w:val="Default"/>
        <w:numPr>
          <w:ilvl w:val="0"/>
          <w:numId w:val="212"/>
        </w:numPr>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Interties at 5-minute intervals.</w:t>
      </w:r>
    </w:p>
    <w:p w14:paraId="09608866" w14:textId="77777777" w:rsidR="003124A9" w:rsidRDefault="003124A9" w:rsidP="003124A9">
      <w:pPr>
        <w:pStyle w:val="Default"/>
        <w:numPr>
          <w:ilvl w:val="0"/>
          <w:numId w:val="212"/>
        </w:numPr>
        <w:spacing w:after="240" w:line="300" w:lineRule="auto"/>
        <w:jc w:val="both"/>
        <w:rPr>
          <w:color w:val="000000" w:themeColor="text1"/>
          <w:sz w:val="22"/>
          <w:szCs w:val="22"/>
        </w:rPr>
      </w:pPr>
      <w:r w:rsidRPr="00877DDB">
        <w:rPr>
          <w:rFonts w:asciiTheme="minorHAnsi" w:eastAsiaTheme="minorHAnsi" w:hAnsiTheme="minorHAnsi"/>
          <w:color w:val="auto"/>
          <w:sz w:val="22"/>
          <w:szCs w:val="22"/>
        </w:rPr>
        <w:t xml:space="preserve">Load at 5, 15 or 60-minute intervals. </w:t>
      </w:r>
      <w:r>
        <w:rPr>
          <w:color w:val="000000" w:themeColor="text1"/>
          <w:sz w:val="22"/>
          <w:szCs w:val="22"/>
        </w:rPr>
        <w:t xml:space="preserve"> </w:t>
      </w:r>
    </w:p>
    <w:p w14:paraId="575D5CE3" w14:textId="77777777" w:rsidR="00326CC6" w:rsidRPr="00B8115B" w:rsidRDefault="00326CC6" w:rsidP="00B8115B">
      <w:pPr>
        <w:spacing w:after="240" w:line="300" w:lineRule="auto"/>
        <w:rPr>
          <w:rFonts w:cs="Arial"/>
        </w:rPr>
      </w:pPr>
    </w:p>
    <w:p w14:paraId="33C15445" w14:textId="77777777" w:rsidR="002E46E9" w:rsidRDefault="002E46E9" w:rsidP="002E46E9">
      <w:pPr>
        <w:pStyle w:val="Heading1"/>
      </w:pPr>
      <w:bookmarkStart w:id="63" w:name="_Toc388005948"/>
      <w:bookmarkStart w:id="64" w:name="_Toc388006295"/>
      <w:bookmarkStart w:id="65" w:name="_Toc388019347"/>
      <w:bookmarkStart w:id="66" w:name="_Toc388019838"/>
      <w:bookmarkStart w:id="67" w:name="_Toc389662574"/>
      <w:bookmarkStart w:id="68" w:name="_Toc390946259"/>
      <w:bookmarkStart w:id="69" w:name="_Toc391969820"/>
      <w:bookmarkStart w:id="70" w:name="_Toc460320427"/>
      <w:bookmarkEnd w:id="63"/>
      <w:bookmarkEnd w:id="64"/>
      <w:bookmarkEnd w:id="65"/>
      <w:bookmarkEnd w:id="66"/>
      <w:r>
        <w:t>TELEMETRY</w:t>
      </w:r>
      <w:bookmarkEnd w:id="67"/>
      <w:bookmarkEnd w:id="68"/>
      <w:bookmarkEnd w:id="69"/>
      <w:bookmarkEnd w:id="70"/>
    </w:p>
    <w:p w14:paraId="1ACAB2CF" w14:textId="77777777" w:rsidR="003124A9" w:rsidRDefault="003124A9" w:rsidP="003124A9">
      <w:pPr>
        <w:spacing w:after="240" w:line="300" w:lineRule="auto"/>
      </w:pPr>
      <w:r>
        <w:t xml:space="preserve">Welcome to the </w:t>
      </w:r>
      <w:r w:rsidRPr="00080EC0">
        <w:rPr>
          <w:i/>
        </w:rPr>
        <w:t>Telemetry</w:t>
      </w:r>
      <w:r>
        <w:t xml:space="preserve"> section of the CAISO </w:t>
      </w:r>
      <w:r w:rsidRPr="00FA595A">
        <w:rPr>
          <w:i/>
        </w:rPr>
        <w:t>BPM for the Energy Imbalance Market.</w:t>
      </w:r>
      <w:r>
        <w:t xml:space="preserve"> In this section you will find the following information:</w:t>
      </w:r>
    </w:p>
    <w:p w14:paraId="6D3A7D92" w14:textId="77777777" w:rsidR="003124A9" w:rsidRDefault="003124A9" w:rsidP="00877DDB">
      <w:pPr>
        <w:pStyle w:val="ListParagraph"/>
        <w:numPr>
          <w:ilvl w:val="0"/>
          <w:numId w:val="120"/>
        </w:numPr>
        <w:ind w:left="778"/>
      </w:pPr>
      <w:r>
        <w:t xml:space="preserve">Summary of telemetry requirements and the transfer of telemetry information for the CAISO markets as it relates to the EIM.  </w:t>
      </w:r>
    </w:p>
    <w:p w14:paraId="77F04A17" w14:textId="75BB562D" w:rsidR="003124A9" w:rsidRDefault="003124A9" w:rsidP="003124A9">
      <w:pPr>
        <w:spacing w:after="240" w:line="300" w:lineRule="auto"/>
      </w:pPr>
      <w:r>
        <w:t xml:space="preserve">CAISO has specific requirements regarding the transfer of telemetry information for the CAISO markets. EIM entity is required to send </w:t>
      </w:r>
      <w:r w:rsidR="00BE02D8">
        <w:t>CA</w:t>
      </w:r>
      <w:r>
        <w:t xml:space="preserve">ISO </w:t>
      </w:r>
      <w:r w:rsidR="004716B4">
        <w:rPr>
          <w:rFonts w:eastAsia="Calibri"/>
        </w:rPr>
        <w:t>Common Information Model (CIM)</w:t>
      </w:r>
      <w:r>
        <w:t xml:space="preserve"> 15 compliant full network model with associated SCADA measurements. EIM entity will send real time telemetry using </w:t>
      </w:r>
      <w:r>
        <w:lastRenderedPageBreak/>
        <w:t>ICCP (</w:t>
      </w:r>
      <w:r w:rsidRPr="00B06DE4">
        <w:t xml:space="preserve">Inter-Control Center Communications </w:t>
      </w:r>
      <w:r>
        <w:t xml:space="preserve">Protocol) to run power flow, state estimation and market applications. </w:t>
      </w:r>
      <w:r w:rsidR="00BE02D8">
        <w:t>CA</w:t>
      </w:r>
      <w:r>
        <w:t>ISO may require other SCADA measurements that are not related to network model using ICCP such as flow gate limits or aggregate generation.</w:t>
      </w:r>
    </w:p>
    <w:p w14:paraId="58573E87" w14:textId="77777777" w:rsidR="003124A9" w:rsidRDefault="003124A9" w:rsidP="003124A9">
      <w:pPr>
        <w:spacing w:after="240" w:line="300" w:lineRule="auto"/>
      </w:pPr>
      <w:r>
        <w:t xml:space="preserve">ICCP is </w:t>
      </w:r>
      <w:r w:rsidRPr="00B06DE4">
        <w:t>industry standardized communication protocol but does not eliminate the need for a direct Energy Communication Network</w:t>
      </w:r>
      <w:r w:rsidRPr="00D80D9E">
        <w:t xml:space="preserve"> (</w:t>
      </w:r>
      <w:r w:rsidRPr="00B06DE4">
        <w:t>ECN) connectivity</w:t>
      </w:r>
      <w:r>
        <w:t>.</w:t>
      </w:r>
    </w:p>
    <w:p w14:paraId="2606A9B8" w14:textId="77777777" w:rsidR="003124A9" w:rsidRDefault="003124A9" w:rsidP="003124A9">
      <w:pPr>
        <w:spacing w:after="240" w:line="300" w:lineRule="auto"/>
      </w:pPr>
      <w:r w:rsidRPr="00B06DE4">
        <w:t xml:space="preserve">All other information security requirements remain effective as set forth in </w:t>
      </w:r>
      <w:r w:rsidRPr="00A30810">
        <w:rPr>
          <w:i/>
        </w:rPr>
        <w:t>CAISO Information Security Requirements for the ECN</w:t>
      </w:r>
    </w:p>
    <w:p w14:paraId="68A9C82A" w14:textId="77777777" w:rsidR="003124A9" w:rsidRDefault="003124A9" w:rsidP="003124A9">
      <w:pPr>
        <w:spacing w:after="80" w:line="300" w:lineRule="auto"/>
      </w:pPr>
      <w:r>
        <w:t xml:space="preserve">If additional requirements are required and agreed to between CAISO and an EIM Entity, a schedule of implementation of the additional requirements will be agreed to as well.  </w:t>
      </w:r>
    </w:p>
    <w:p w14:paraId="5470E8AB" w14:textId="77777777" w:rsidR="00326CC6" w:rsidRPr="00D915AB" w:rsidRDefault="00326CC6" w:rsidP="00B46B90">
      <w:pPr>
        <w:spacing w:after="240" w:line="300" w:lineRule="auto"/>
        <w:rPr>
          <w:rFonts w:cs="Arial"/>
        </w:rPr>
      </w:pPr>
    </w:p>
    <w:p w14:paraId="0A9ADA2A" w14:textId="77777777" w:rsidR="002E46E9" w:rsidRDefault="002E46E9" w:rsidP="002E46E9">
      <w:pPr>
        <w:pStyle w:val="Heading1"/>
      </w:pPr>
      <w:bookmarkStart w:id="71" w:name="_Toc389662575"/>
      <w:bookmarkStart w:id="72" w:name="_Toc390946261"/>
      <w:bookmarkStart w:id="73" w:name="_Toc391969822"/>
      <w:bookmarkStart w:id="74" w:name="_Toc460320428"/>
      <w:r>
        <w:t>OUTAGE MANAGEMENT</w:t>
      </w:r>
      <w:bookmarkEnd w:id="71"/>
      <w:bookmarkEnd w:id="72"/>
      <w:bookmarkEnd w:id="73"/>
      <w:bookmarkEnd w:id="74"/>
    </w:p>
    <w:p w14:paraId="71B04244" w14:textId="77777777" w:rsidR="00A14EC4" w:rsidRDefault="00A14EC4" w:rsidP="009044EA">
      <w:pPr>
        <w:pStyle w:val="ParaText"/>
      </w:pPr>
      <w:r>
        <w:t xml:space="preserve">Welcome to </w:t>
      </w:r>
      <w:r w:rsidR="00904B33">
        <w:t>t</w:t>
      </w:r>
      <w:r w:rsidR="0034497A">
        <w:t xml:space="preserve">he </w:t>
      </w:r>
      <w:r w:rsidR="0034497A" w:rsidRPr="00644ACB">
        <w:rPr>
          <w:i/>
        </w:rPr>
        <w:t>Outage Management</w:t>
      </w:r>
      <w:r w:rsidR="0034497A">
        <w:t xml:space="preserve"> section</w:t>
      </w:r>
      <w:r w:rsidR="00904B33">
        <w:t xml:space="preserve"> of th</w:t>
      </w:r>
      <w:r>
        <w:t>e CAISO</w:t>
      </w:r>
      <w:r w:rsidR="00904B33">
        <w:t xml:space="preserve"> BPM</w:t>
      </w:r>
      <w:r>
        <w:t xml:space="preserve"> for the Energy Imbalance Market.</w:t>
      </w:r>
      <w:r w:rsidR="00904B33">
        <w:t xml:space="preserve"> </w:t>
      </w:r>
      <w:r>
        <w:t xml:space="preserve">In this section </w:t>
      </w:r>
      <w:r w:rsidR="00904B33">
        <w:t xml:space="preserve">you will find </w:t>
      </w:r>
      <w:r>
        <w:t xml:space="preserve">the following </w:t>
      </w:r>
      <w:r w:rsidR="00904B33">
        <w:t>information</w:t>
      </w:r>
      <w:r>
        <w:t>:</w:t>
      </w:r>
    </w:p>
    <w:p w14:paraId="11EB0FB6" w14:textId="77777777" w:rsidR="0034497A" w:rsidRDefault="00A14EC4" w:rsidP="00877DDB">
      <w:pPr>
        <w:pStyle w:val="ParaText"/>
        <w:numPr>
          <w:ilvl w:val="0"/>
          <w:numId w:val="120"/>
        </w:numPr>
        <w:spacing w:after="160" w:line="259" w:lineRule="auto"/>
        <w:ind w:left="778"/>
      </w:pPr>
      <w:r>
        <w:t>Summary</w:t>
      </w:r>
      <w:r w:rsidR="009A0DB0">
        <w:t xml:space="preserve"> of </w:t>
      </w:r>
      <w:r w:rsidR="00904B33">
        <w:t>the</w:t>
      </w:r>
      <w:r w:rsidR="00644ACB">
        <w:t xml:space="preserve"> Outage Management</w:t>
      </w:r>
      <w:r w:rsidR="00904B33">
        <w:t xml:space="preserve"> process</w:t>
      </w:r>
      <w:r w:rsidR="00172436">
        <w:t xml:space="preserve"> within the framework of the Energy Imbalance Market</w:t>
      </w:r>
      <w:r w:rsidR="00644ACB">
        <w:t xml:space="preserve">.  </w:t>
      </w:r>
    </w:p>
    <w:p w14:paraId="01C666E7" w14:textId="23D6B78A" w:rsidR="009044EA" w:rsidRDefault="00705653" w:rsidP="00FA595A">
      <w:pPr>
        <w:pStyle w:val="ParaText"/>
        <w:spacing w:after="80"/>
      </w:pPr>
      <w:r>
        <w:t xml:space="preserve"> </w:t>
      </w:r>
      <w:r w:rsidR="0034497A">
        <w:t>CAISO will implement transmission and Generation Outages approved by the EIM Entity through the Day-Ahead Market process</w:t>
      </w:r>
      <w:r w:rsidR="009A0DB0">
        <w:t xml:space="preserve">. </w:t>
      </w:r>
      <w:r w:rsidR="0034497A">
        <w:t xml:space="preserve"> </w:t>
      </w:r>
      <w:r w:rsidR="009A0DB0">
        <w:t>CAISO</w:t>
      </w:r>
      <w:r w:rsidR="0034497A">
        <w:t xml:space="preserve"> will </w:t>
      </w:r>
      <w:r w:rsidR="009A0DB0">
        <w:t xml:space="preserve">also </w:t>
      </w:r>
      <w:r w:rsidR="0034497A">
        <w:t xml:space="preserve">inform the EIM Entity Scheduling Coordinator of any anticipated overloads.  The EIM Entity shall be responsible for performing engineering studies, modeling, and approving Outages on transmission and generation facilities within the EIM Entity Balancing Authority Area.  The EIM Entity will then submit the approved outages into the CAISO </w:t>
      </w:r>
      <w:r w:rsidR="00B722C6">
        <w:t>o</w:t>
      </w:r>
      <w:r w:rsidR="0034497A">
        <w:t xml:space="preserve">utage </w:t>
      </w:r>
      <w:r w:rsidR="00B722C6">
        <w:t>m</w:t>
      </w:r>
      <w:r w:rsidR="0034497A">
        <w:t xml:space="preserve">anagement </w:t>
      </w:r>
      <w:r w:rsidR="00B722C6">
        <w:t>s</w:t>
      </w:r>
      <w:r w:rsidR="0034497A">
        <w:t xml:space="preserve">ystem. </w:t>
      </w:r>
      <w:r w:rsidR="00FB45EB">
        <w:t xml:space="preserve"> </w:t>
      </w:r>
      <w:r w:rsidR="007A5EFD">
        <w:t>CAISO will not evaluate or approve any outages submitted by the EIM Entity.</w:t>
      </w:r>
      <w:r w:rsidR="0034497A">
        <w:t xml:space="preserve"> </w:t>
      </w:r>
    </w:p>
    <w:p w14:paraId="33665EB8" w14:textId="77777777" w:rsidR="005869D0" w:rsidRPr="009044EA" w:rsidRDefault="005869D0" w:rsidP="00FA595A">
      <w:pPr>
        <w:pStyle w:val="ParaText"/>
        <w:spacing w:after="80"/>
      </w:pPr>
    </w:p>
    <w:p w14:paraId="794C9887" w14:textId="77777777" w:rsidR="0090317F" w:rsidRPr="0090317F" w:rsidRDefault="0090317F" w:rsidP="00FA595A">
      <w:pPr>
        <w:pStyle w:val="Heading2"/>
        <w:spacing w:after="80" w:line="300" w:lineRule="auto"/>
      </w:pPr>
      <w:bookmarkStart w:id="75" w:name="_Toc389662576"/>
      <w:bookmarkStart w:id="76" w:name="_Toc390946262"/>
      <w:bookmarkStart w:id="77" w:name="_Toc391969823"/>
      <w:bookmarkStart w:id="78" w:name="_Toc460320429"/>
      <w:r>
        <w:lastRenderedPageBreak/>
        <w:t>Objectives, Roles, Scope, and Participants</w:t>
      </w:r>
      <w:bookmarkEnd w:id="75"/>
      <w:bookmarkEnd w:id="76"/>
      <w:bookmarkEnd w:id="77"/>
      <w:bookmarkEnd w:id="78"/>
    </w:p>
    <w:p w14:paraId="0A84622A" w14:textId="77777777" w:rsidR="006C077D" w:rsidRPr="006C077D" w:rsidRDefault="006C077D" w:rsidP="00FA595A">
      <w:pPr>
        <w:pStyle w:val="Heading3"/>
        <w:spacing w:after="80" w:line="300" w:lineRule="auto"/>
      </w:pPr>
      <w:bookmarkStart w:id="79" w:name="_Toc389662577"/>
      <w:bookmarkStart w:id="80" w:name="_Toc390946263"/>
      <w:bookmarkStart w:id="81" w:name="_Toc391969824"/>
      <w:bookmarkStart w:id="82" w:name="_Toc460320430"/>
      <w:r>
        <w:t>Outage Management Objective</w:t>
      </w:r>
      <w:bookmarkEnd w:id="79"/>
      <w:bookmarkEnd w:id="80"/>
      <w:bookmarkEnd w:id="81"/>
      <w:bookmarkEnd w:id="82"/>
    </w:p>
    <w:p w14:paraId="13B6A71F" w14:textId="77777777" w:rsidR="006C077D" w:rsidRDefault="006C077D" w:rsidP="00FA595A">
      <w:pPr>
        <w:spacing w:after="80" w:line="300" w:lineRule="auto"/>
      </w:pPr>
      <w:r>
        <w:t xml:space="preserve">The objective of the CAISO business processes related to Outage Management for EIM </w:t>
      </w:r>
      <w:r w:rsidR="00450F1E">
        <w:t>E</w:t>
      </w:r>
      <w:r>
        <w:t xml:space="preserve">ntities is to reflect outage information in the CAISO </w:t>
      </w:r>
      <w:r w:rsidR="00881292">
        <w:t>m</w:t>
      </w:r>
      <w:r>
        <w:t>arkets as soon as possible</w:t>
      </w:r>
      <w:r w:rsidR="00D5695C">
        <w:t xml:space="preserve"> in order</w:t>
      </w:r>
      <w:r>
        <w:t xml:space="preserve"> to allow </w:t>
      </w:r>
      <w:r w:rsidR="00D5695C">
        <w:t xml:space="preserve">the </w:t>
      </w:r>
      <w:r>
        <w:t xml:space="preserve">EIM to </w:t>
      </w:r>
      <w:r w:rsidR="00450F1E">
        <w:t>accurately reflect their operations in</w:t>
      </w:r>
      <w:r>
        <w:t xml:space="preserve"> the market results. </w:t>
      </w:r>
      <w:r w:rsidR="000127CC">
        <w:t xml:space="preserve"> EIM E</w:t>
      </w:r>
      <w:r w:rsidR="002D59D5">
        <w:t>ntity approved O</w:t>
      </w:r>
      <w:r w:rsidR="00D50B78">
        <w:t xml:space="preserve">utages must be consistent with the Full Network Model. </w:t>
      </w:r>
    </w:p>
    <w:p w14:paraId="61361D23" w14:textId="77777777" w:rsidR="005869D0" w:rsidRDefault="005869D0" w:rsidP="00FA595A">
      <w:pPr>
        <w:spacing w:after="80" w:line="300" w:lineRule="auto"/>
      </w:pPr>
    </w:p>
    <w:p w14:paraId="7408AF7D" w14:textId="77777777" w:rsidR="00793BA2" w:rsidRDefault="006C077D" w:rsidP="00FA595A">
      <w:pPr>
        <w:pStyle w:val="Heading3"/>
        <w:spacing w:after="80" w:line="300" w:lineRule="auto"/>
      </w:pPr>
      <w:bookmarkStart w:id="83" w:name="_Toc389662578"/>
      <w:bookmarkStart w:id="84" w:name="_Toc390946264"/>
      <w:bookmarkStart w:id="85" w:name="_Toc391969825"/>
      <w:bookmarkStart w:id="86" w:name="_Toc460320431"/>
      <w:r>
        <w:t>CAISO Role</w:t>
      </w:r>
      <w:bookmarkEnd w:id="83"/>
      <w:bookmarkEnd w:id="84"/>
      <w:bookmarkEnd w:id="85"/>
      <w:bookmarkEnd w:id="86"/>
      <w:r>
        <w:t xml:space="preserve">  </w:t>
      </w:r>
    </w:p>
    <w:p w14:paraId="0C413E35" w14:textId="32ECB517" w:rsidR="006566B0" w:rsidRDefault="006C077D" w:rsidP="00FA595A">
      <w:pPr>
        <w:spacing w:after="80" w:line="300" w:lineRule="auto"/>
      </w:pPr>
      <w:r>
        <w:t>CAISO’s role in the Outage Management business pr</w:t>
      </w:r>
      <w:r w:rsidR="008B53E8">
        <w:t xml:space="preserve">ocess for EIM is to provide an </w:t>
      </w:r>
      <w:r w:rsidR="00B722C6">
        <w:t>o</w:t>
      </w:r>
      <w:r w:rsidR="008B53E8">
        <w:t xml:space="preserve">utage </w:t>
      </w:r>
      <w:r w:rsidR="00B722C6">
        <w:t>m</w:t>
      </w:r>
      <w:r w:rsidR="008B53E8">
        <w:t xml:space="preserve">anagement </w:t>
      </w:r>
      <w:r w:rsidR="00B722C6">
        <w:t>s</w:t>
      </w:r>
      <w:r>
        <w:t xml:space="preserve">ystem to allow </w:t>
      </w:r>
      <w:r w:rsidR="00A2065D">
        <w:t>t</w:t>
      </w:r>
      <w:r w:rsidR="00A2065D" w:rsidRPr="00DD49CC">
        <w:t xml:space="preserve">he EIM Entity Scheduling Coordinator </w:t>
      </w:r>
      <w:r w:rsidR="00A2065D">
        <w:t>to</w:t>
      </w:r>
      <w:r w:rsidR="00A2065D" w:rsidRPr="00DD49CC">
        <w:t xml:space="preserve"> submit notice of</w:t>
      </w:r>
      <w:r w:rsidR="007A5EFD">
        <w:t xml:space="preserve"> EIM Entity</w:t>
      </w:r>
      <w:r w:rsidR="00A2065D">
        <w:t xml:space="preserve"> approved</w:t>
      </w:r>
      <w:r w:rsidR="00A2065D" w:rsidRPr="00DD49CC">
        <w:t xml:space="preserve"> transmission</w:t>
      </w:r>
      <w:r w:rsidR="00A2065D">
        <w:t xml:space="preserve"> and generation</w:t>
      </w:r>
      <w:r w:rsidR="00A2065D" w:rsidRPr="00DD49CC">
        <w:t xml:space="preserve"> </w:t>
      </w:r>
      <w:r w:rsidR="008B53E8">
        <w:t>O</w:t>
      </w:r>
      <w:r w:rsidR="00A2065D" w:rsidRPr="00DD49CC">
        <w:t>utages</w:t>
      </w:r>
      <w:r w:rsidR="00A2065D">
        <w:t xml:space="preserve"> for </w:t>
      </w:r>
      <w:r w:rsidR="00450F1E">
        <w:t>the</w:t>
      </w:r>
      <w:r w:rsidR="00563036">
        <w:t xml:space="preserve"> EIM E</w:t>
      </w:r>
      <w:r>
        <w:t xml:space="preserve">ntity </w:t>
      </w:r>
      <w:r w:rsidR="00450F1E">
        <w:t>BAA</w:t>
      </w:r>
      <w:r>
        <w:t>.  This section describes the processes CAISO uses to perform this role.</w:t>
      </w:r>
    </w:p>
    <w:p w14:paraId="3DFC2B08" w14:textId="77777777" w:rsidR="005869D0" w:rsidRDefault="005869D0" w:rsidP="00FA595A">
      <w:pPr>
        <w:spacing w:after="80" w:line="300" w:lineRule="auto"/>
      </w:pPr>
    </w:p>
    <w:p w14:paraId="0E0B9917" w14:textId="77777777" w:rsidR="006C077D" w:rsidRDefault="006C077D" w:rsidP="00FA595A">
      <w:pPr>
        <w:pStyle w:val="Heading3"/>
        <w:spacing w:after="80" w:line="300" w:lineRule="auto"/>
      </w:pPr>
      <w:bookmarkStart w:id="87" w:name="_Toc389662579"/>
      <w:bookmarkStart w:id="88" w:name="_Toc390946265"/>
      <w:bookmarkStart w:id="89" w:name="_Toc391969826"/>
      <w:bookmarkStart w:id="90" w:name="_Toc460320432"/>
      <w:r>
        <w:t>Facility Owner Role</w:t>
      </w:r>
      <w:bookmarkEnd w:id="87"/>
      <w:bookmarkEnd w:id="88"/>
      <w:bookmarkEnd w:id="89"/>
      <w:bookmarkEnd w:id="90"/>
    </w:p>
    <w:p w14:paraId="6DFCD042" w14:textId="77777777" w:rsidR="00D008FF" w:rsidRPr="00480065" w:rsidRDefault="006B1168" w:rsidP="00FA595A">
      <w:pPr>
        <w:pStyle w:val="ParaText"/>
        <w:spacing w:after="80"/>
      </w:pPr>
      <w:r>
        <w:t xml:space="preserve">The EIM Entity, </w:t>
      </w:r>
      <w:r w:rsidR="006C077D" w:rsidRPr="00480065">
        <w:t xml:space="preserve">EIM </w:t>
      </w:r>
      <w:r w:rsidR="00450F1E">
        <w:t>P</w:t>
      </w:r>
      <w:r w:rsidR="006C077D" w:rsidRPr="00480065">
        <w:t xml:space="preserve">articipating </w:t>
      </w:r>
      <w:r w:rsidR="00450F1E">
        <w:t>Resources</w:t>
      </w:r>
      <w:r>
        <w:t>,</w:t>
      </w:r>
      <w:r w:rsidR="00450F1E">
        <w:t xml:space="preserve"> and</w:t>
      </w:r>
      <w:r>
        <w:t xml:space="preserve"> EIM Transmission Service Providers </w:t>
      </w:r>
      <w:r w:rsidR="006C077D" w:rsidRPr="00480065">
        <w:t xml:space="preserve">remain </w:t>
      </w:r>
      <w:r w:rsidR="00C33986" w:rsidRPr="00480065">
        <w:t>solely</w:t>
      </w:r>
      <w:r w:rsidR="006C077D" w:rsidRPr="00480065">
        <w:t xml:space="preserve"> and directly responsible for the performance of all maintenance work, whether on energized or de-energized facilities, including all activities related to providing a safe working environment</w:t>
      </w:r>
      <w:r>
        <w:t xml:space="preserve"> in coordination with the EIM Entity</w:t>
      </w:r>
      <w:r w:rsidR="006C077D" w:rsidRPr="00480065">
        <w:t xml:space="preserve">.  The EIM Entity </w:t>
      </w:r>
      <w:r w:rsidR="001D642A" w:rsidRPr="00480065">
        <w:t xml:space="preserve">is responsible for ensuring </w:t>
      </w:r>
      <w:r>
        <w:t>O</w:t>
      </w:r>
      <w:r w:rsidR="001D642A" w:rsidRPr="00480065">
        <w:t>utages have been studied</w:t>
      </w:r>
      <w:r w:rsidR="00A2065D" w:rsidRPr="00480065">
        <w:t>, modeled</w:t>
      </w:r>
      <w:r w:rsidR="00A30810">
        <w:t>,</w:t>
      </w:r>
      <w:r w:rsidR="001D642A" w:rsidRPr="00480065">
        <w:t xml:space="preserve"> and approved </w:t>
      </w:r>
      <w:r w:rsidR="00450F1E">
        <w:t xml:space="preserve">prior to submission </w:t>
      </w:r>
      <w:r w:rsidR="001D642A" w:rsidRPr="00480065">
        <w:t>to</w:t>
      </w:r>
      <w:r w:rsidR="00FB45EB">
        <w:t xml:space="preserve"> </w:t>
      </w:r>
      <w:r w:rsidR="001D642A" w:rsidRPr="00480065">
        <w:t xml:space="preserve">CAISO.  </w:t>
      </w:r>
    </w:p>
    <w:p w14:paraId="16CE6A11" w14:textId="77777777" w:rsidR="00977CC3" w:rsidRPr="009C0623" w:rsidRDefault="006B1168" w:rsidP="00FA595A">
      <w:pPr>
        <w:pStyle w:val="ParaText"/>
        <w:spacing w:after="80"/>
      </w:pPr>
      <w:r>
        <w:t xml:space="preserve">The EIM Entity, </w:t>
      </w:r>
      <w:r w:rsidRPr="00480065">
        <w:t xml:space="preserve">EIM </w:t>
      </w:r>
      <w:r>
        <w:t>P</w:t>
      </w:r>
      <w:r w:rsidRPr="00480065">
        <w:t xml:space="preserve">articipating </w:t>
      </w:r>
      <w:r>
        <w:t>Resources, and EIM Transmission Service Providers</w:t>
      </w:r>
      <w:r w:rsidR="00977CC3">
        <w:t xml:space="preserve"> may elect to have an agent perform some or all of the activities required to meet their responsibilities related to Outage Management; however, the </w:t>
      </w:r>
      <w:r>
        <w:t xml:space="preserve">EIM Entity </w:t>
      </w:r>
      <w:r w:rsidR="00977CC3">
        <w:t>remains responsible for the successful completion of these activities.  See Section 6</w:t>
      </w:r>
      <w:r w:rsidR="00046CCB">
        <w:t>,</w:t>
      </w:r>
      <w:r w:rsidR="00977CC3">
        <w:rPr>
          <w:color w:val="FF0000"/>
        </w:rPr>
        <w:t xml:space="preserve"> </w:t>
      </w:r>
      <w:r w:rsidR="00977CC3" w:rsidRPr="009C0623">
        <w:rPr>
          <w:i/>
        </w:rPr>
        <w:t xml:space="preserve">Communication of Outage Maintenance Information, </w:t>
      </w:r>
      <w:r w:rsidR="00977CC3" w:rsidRPr="009C0623">
        <w:t xml:space="preserve">of </w:t>
      </w:r>
      <w:r w:rsidR="00E96A39" w:rsidRPr="009C0623">
        <w:t xml:space="preserve">the </w:t>
      </w:r>
      <w:hyperlink r:id="rId160" w:history="1">
        <w:r w:rsidR="00046CCB" w:rsidRPr="00D67EB8">
          <w:rPr>
            <w:rStyle w:val="Hyperlink"/>
            <w:b/>
          </w:rPr>
          <w:t>BPM for Outage Management</w:t>
        </w:r>
      </w:hyperlink>
      <w:r w:rsidR="00046CCB" w:rsidRPr="009C0623">
        <w:t xml:space="preserve"> </w:t>
      </w:r>
      <w:r w:rsidR="00977CC3" w:rsidRPr="009C0623">
        <w:t>for a discussion of the requirement for</w:t>
      </w:r>
      <w:r>
        <w:t xml:space="preserve"> an EIM Entity </w:t>
      </w:r>
      <w:r w:rsidR="00977CC3" w:rsidRPr="009C0623">
        <w:t>to establish a single point of contact</w:t>
      </w:r>
      <w:r w:rsidR="003E35A5">
        <w:t xml:space="preserve">, </w:t>
      </w:r>
      <w:r w:rsidR="003E35A5" w:rsidRPr="00B06DE4">
        <w:t>such as</w:t>
      </w:r>
      <w:r w:rsidR="00757A4E" w:rsidRPr="00B46B90">
        <w:t xml:space="preserve"> an</w:t>
      </w:r>
      <w:r w:rsidR="003E35A5" w:rsidRPr="00B06DE4">
        <w:t xml:space="preserve"> EIM Entity SC</w:t>
      </w:r>
      <w:r w:rsidR="00977CC3" w:rsidRPr="00BB070F">
        <w:t>.</w:t>
      </w:r>
      <w:r w:rsidR="00977CC3" w:rsidRPr="009C0623">
        <w:t xml:space="preserve">  </w:t>
      </w:r>
    </w:p>
    <w:p w14:paraId="07C7CBD8" w14:textId="77777777" w:rsidR="00D96C46" w:rsidRPr="005D4C62" w:rsidRDefault="00D96C46" w:rsidP="00E62C48">
      <w:pPr>
        <w:pStyle w:val="Heading3"/>
      </w:pPr>
      <w:bookmarkStart w:id="91" w:name="_Toc389662581"/>
      <w:bookmarkStart w:id="92" w:name="_Toc390946266"/>
      <w:bookmarkStart w:id="93" w:name="_Toc391969827"/>
      <w:bookmarkStart w:id="94" w:name="_Toc460320433"/>
      <w:r w:rsidRPr="005D4C62">
        <w:t>Application to Parties</w:t>
      </w:r>
      <w:bookmarkEnd w:id="91"/>
      <w:bookmarkEnd w:id="92"/>
      <w:bookmarkEnd w:id="93"/>
      <w:bookmarkEnd w:id="94"/>
    </w:p>
    <w:p w14:paraId="16E3E3C1" w14:textId="77777777" w:rsidR="00D96C46" w:rsidRDefault="00D96C46" w:rsidP="003673A0">
      <w:pPr>
        <w:spacing w:line="300" w:lineRule="auto"/>
      </w:pPr>
      <w:r>
        <w:t xml:space="preserve">The </w:t>
      </w:r>
      <w:r w:rsidRPr="00D96C46">
        <w:rPr>
          <w:i/>
        </w:rPr>
        <w:t>BPM for Outage Management</w:t>
      </w:r>
      <w:r>
        <w:rPr>
          <w:i/>
        </w:rPr>
        <w:t xml:space="preserve"> </w:t>
      </w:r>
      <w:r>
        <w:t>applies to CAISO and the following EIM parties:</w:t>
      </w:r>
    </w:p>
    <w:p w14:paraId="3FA52520" w14:textId="77777777" w:rsidR="00D96C46" w:rsidRDefault="00D96C46" w:rsidP="00877DDB">
      <w:pPr>
        <w:numPr>
          <w:ilvl w:val="0"/>
          <w:numId w:val="38"/>
        </w:numPr>
      </w:pPr>
      <w:r>
        <w:lastRenderedPageBreak/>
        <w:t>All  associated with the EIM Entity</w:t>
      </w:r>
    </w:p>
    <w:p w14:paraId="3D8E1770" w14:textId="77777777" w:rsidR="00D96C46" w:rsidRDefault="00D96C46" w:rsidP="00877DDB">
      <w:pPr>
        <w:numPr>
          <w:ilvl w:val="0"/>
          <w:numId w:val="38"/>
        </w:numPr>
      </w:pPr>
      <w:r>
        <w:t>Connected Entities, to the extent</w:t>
      </w:r>
      <w:r w:rsidR="00E720E1">
        <w:t xml:space="preserve"> that</w:t>
      </w:r>
      <w:r>
        <w:t xml:space="preserve"> the agreement between the Connected Entity and</w:t>
      </w:r>
      <w:r w:rsidR="000B5108">
        <w:t xml:space="preserve"> </w:t>
      </w:r>
      <w:r>
        <w:t>CAISO so provides</w:t>
      </w:r>
    </w:p>
    <w:p w14:paraId="40566BE3" w14:textId="3DEC119E" w:rsidR="005869D0" w:rsidRPr="00B468C1" w:rsidRDefault="00D96C46" w:rsidP="00877DDB">
      <w:pPr>
        <w:numPr>
          <w:ilvl w:val="0"/>
          <w:numId w:val="38"/>
        </w:numPr>
      </w:pPr>
      <w:r>
        <w:t xml:space="preserve">EIM </w:t>
      </w:r>
      <w:r w:rsidR="002556CA">
        <w:t xml:space="preserve">Entity </w:t>
      </w:r>
      <w:r>
        <w:t xml:space="preserve">Scheduling </w:t>
      </w:r>
      <w:r w:rsidRPr="00B468C1">
        <w:t xml:space="preserve">Coordinators for </w:t>
      </w:r>
      <w:r w:rsidR="00DE0D6C">
        <w:t xml:space="preserve">EIM </w:t>
      </w:r>
      <w:r w:rsidRPr="00B468C1">
        <w:t xml:space="preserve">Participating </w:t>
      </w:r>
      <w:r w:rsidR="00DE0D6C">
        <w:t>Resources</w:t>
      </w:r>
    </w:p>
    <w:p w14:paraId="4E75B68F" w14:textId="01A48502" w:rsidR="00D96C46" w:rsidRPr="00B468C1" w:rsidRDefault="009B5EA4" w:rsidP="00877DDB">
      <w:pPr>
        <w:numPr>
          <w:ilvl w:val="1"/>
          <w:numId w:val="38"/>
        </w:numPr>
      </w:pPr>
      <w:r>
        <w:t>Notification of approved EIM</w:t>
      </w:r>
      <w:r w:rsidRPr="00B468C1">
        <w:t xml:space="preserve"> </w:t>
      </w:r>
      <w:r w:rsidR="00D96C46" w:rsidRPr="00B468C1">
        <w:t xml:space="preserve">Outages via the CAISO </w:t>
      </w:r>
      <w:r w:rsidR="00B722C6">
        <w:t>o</w:t>
      </w:r>
      <w:r w:rsidR="00D96C46" w:rsidRPr="00B468C1">
        <w:t xml:space="preserve">utage </w:t>
      </w:r>
      <w:r w:rsidR="00B722C6">
        <w:t>m</w:t>
      </w:r>
      <w:r w:rsidR="00D96C46" w:rsidRPr="00B468C1">
        <w:t xml:space="preserve">anagement </w:t>
      </w:r>
      <w:r w:rsidR="00B722C6">
        <w:t>s</w:t>
      </w:r>
      <w:r w:rsidR="00D96C46" w:rsidRPr="00B468C1">
        <w:t xml:space="preserve">ystem UI/API if the CAISO </w:t>
      </w:r>
      <w:r w:rsidR="00B722C6">
        <w:t>o</w:t>
      </w:r>
      <w:r w:rsidR="00D96C46" w:rsidRPr="00B468C1">
        <w:t xml:space="preserve">utage </w:t>
      </w:r>
      <w:r w:rsidR="00B722C6">
        <w:t>m</w:t>
      </w:r>
      <w:r w:rsidR="00D96C46" w:rsidRPr="00B468C1">
        <w:t xml:space="preserve">anagement </w:t>
      </w:r>
      <w:r w:rsidR="00B722C6">
        <w:t>s</w:t>
      </w:r>
      <w:r w:rsidR="00D96C46" w:rsidRPr="00B468C1">
        <w:t xml:space="preserve">ystem is unavailable </w:t>
      </w:r>
    </w:p>
    <w:p w14:paraId="14E976A6" w14:textId="77777777" w:rsidR="00D96C46" w:rsidRPr="00B468C1" w:rsidRDefault="00D96C46" w:rsidP="00877DDB">
      <w:pPr>
        <w:numPr>
          <w:ilvl w:val="0"/>
          <w:numId w:val="40"/>
        </w:numPr>
      </w:pPr>
      <w:r w:rsidRPr="00B468C1">
        <w:t xml:space="preserve">EIM Entity for Transmission and </w:t>
      </w:r>
      <w:r w:rsidR="00DE0D6C">
        <w:t xml:space="preserve">EIM </w:t>
      </w:r>
      <w:r w:rsidRPr="00B468C1">
        <w:t xml:space="preserve">Non-Participating </w:t>
      </w:r>
      <w:r w:rsidR="00DE0D6C">
        <w:t>Resources</w:t>
      </w:r>
    </w:p>
    <w:p w14:paraId="5B798AF4" w14:textId="5AB3475F" w:rsidR="003673A0" w:rsidRDefault="009B5EA4" w:rsidP="00877DDB">
      <w:pPr>
        <w:numPr>
          <w:ilvl w:val="1"/>
          <w:numId w:val="40"/>
        </w:numPr>
      </w:pPr>
      <w:r>
        <w:t>Notification of approved EIM</w:t>
      </w:r>
      <w:r w:rsidR="00D96C46" w:rsidRPr="00B468C1">
        <w:t xml:space="preserve"> Outages via the CAISO</w:t>
      </w:r>
      <w:r w:rsidR="00D96C46">
        <w:t xml:space="preserve"> </w:t>
      </w:r>
      <w:r w:rsidR="00B722C6">
        <w:t>o</w:t>
      </w:r>
      <w:r w:rsidR="00D96C46">
        <w:t xml:space="preserve">utage </w:t>
      </w:r>
      <w:r w:rsidR="00B722C6">
        <w:t>m</w:t>
      </w:r>
      <w:r w:rsidR="00D96C46">
        <w:t xml:space="preserve">anagement </w:t>
      </w:r>
      <w:r w:rsidR="00B722C6">
        <w:t>s</w:t>
      </w:r>
      <w:r w:rsidR="00D96C46">
        <w:t xml:space="preserve">ystem UI/API if the CAISO </w:t>
      </w:r>
      <w:r w:rsidR="00B722C6">
        <w:t>o</w:t>
      </w:r>
      <w:r w:rsidR="00D96C46">
        <w:t xml:space="preserve">utage </w:t>
      </w:r>
      <w:r w:rsidR="00B722C6">
        <w:t>m</w:t>
      </w:r>
      <w:r w:rsidR="00D96C46">
        <w:t xml:space="preserve">anagement </w:t>
      </w:r>
      <w:r w:rsidR="00B722C6">
        <w:t>s</w:t>
      </w:r>
      <w:r w:rsidR="00D96C46">
        <w:t>ystem is unavailable</w:t>
      </w:r>
    </w:p>
    <w:p w14:paraId="60D4ABDF" w14:textId="77777777" w:rsidR="00D96C46" w:rsidRDefault="00D96C46" w:rsidP="003673A0">
      <w:pPr>
        <w:spacing w:line="300" w:lineRule="auto"/>
        <w:ind w:left="1440"/>
      </w:pPr>
      <w:r>
        <w:t xml:space="preserve">  </w:t>
      </w:r>
    </w:p>
    <w:p w14:paraId="59D2862B" w14:textId="77777777" w:rsidR="005E1887" w:rsidRDefault="005E1887" w:rsidP="006F6DD6">
      <w:pPr>
        <w:pStyle w:val="Heading3"/>
        <w:spacing w:line="300" w:lineRule="auto"/>
      </w:pPr>
      <w:bookmarkStart w:id="95" w:name="_Toc389662582"/>
      <w:bookmarkStart w:id="96" w:name="_Toc390946267"/>
      <w:bookmarkStart w:id="97" w:name="_Toc391969828"/>
      <w:bookmarkStart w:id="98" w:name="_Toc460320434"/>
      <w:r>
        <w:t>CAISO Outage Coordination Office</w:t>
      </w:r>
      <w:bookmarkEnd w:id="95"/>
      <w:bookmarkEnd w:id="96"/>
      <w:bookmarkEnd w:id="97"/>
      <w:bookmarkEnd w:id="98"/>
    </w:p>
    <w:p w14:paraId="7C71F8A2" w14:textId="77777777" w:rsidR="005E1887" w:rsidRDefault="005E1887" w:rsidP="003673A0">
      <w:pPr>
        <w:pStyle w:val="ParaText"/>
      </w:pPr>
      <w:r>
        <w:t xml:space="preserve">The CAISO </w:t>
      </w:r>
      <w:r w:rsidR="00D008FF">
        <w:t>Outage Coordination Office (</w:t>
      </w:r>
      <w:r>
        <w:t>OCO</w:t>
      </w:r>
      <w:r w:rsidR="00D008FF">
        <w:t>)</w:t>
      </w:r>
      <w:r>
        <w:t xml:space="preserve"> operates Monday through Friday, except holidays.  OCO personnel are located in Folsom, California. The location, contact information, and areas of responsibility for this office are detailed in the most recent version of the applicable </w:t>
      </w:r>
      <w:r w:rsidRPr="000B5108">
        <w:t xml:space="preserve">CAISO </w:t>
      </w:r>
      <w:r w:rsidRPr="000B5108">
        <w:rPr>
          <w:i/>
        </w:rPr>
        <w:t>Operating Procedures</w:t>
      </w:r>
      <w:r w:rsidR="003B2A26">
        <w:t xml:space="preserve"> </w:t>
      </w:r>
      <w:r w:rsidRPr="00B46B90">
        <w:t>(Section 1.5, References</w:t>
      </w:r>
      <w:r w:rsidR="00465302" w:rsidRPr="00B46B90">
        <w:t>-3210F</w:t>
      </w:r>
      <w:r w:rsidRPr="00B46B90">
        <w:t>)</w:t>
      </w:r>
      <w:r w:rsidRPr="00B06DE4">
        <w:t>,</w:t>
      </w:r>
      <w:r w:rsidR="00F82281">
        <w:t xml:space="preserve"> </w:t>
      </w:r>
      <w:r>
        <w:t xml:space="preserve">available through the CAISO </w:t>
      </w:r>
      <w:r w:rsidR="00F73DA7">
        <w:t>website</w:t>
      </w:r>
      <w:r>
        <w:t>.</w:t>
      </w:r>
    </w:p>
    <w:p w14:paraId="3B5C56F6" w14:textId="77777777" w:rsidR="005E1887" w:rsidRDefault="005E1887" w:rsidP="006F6DD6">
      <w:pPr>
        <w:pStyle w:val="ParaText"/>
      </w:pPr>
      <w:r>
        <w:t>The OCO uses an electronic</w:t>
      </w:r>
      <w:r w:rsidR="001E6C27">
        <w:t xml:space="preserve"> </w:t>
      </w:r>
      <w:r w:rsidR="00B53E8D">
        <w:t xml:space="preserve">CAISO </w:t>
      </w:r>
      <w:r w:rsidR="00B53E8D" w:rsidRPr="00F51FA9">
        <w:t>outage management system</w:t>
      </w:r>
      <w:r w:rsidR="00B53E8D">
        <w:t xml:space="preserve"> </w:t>
      </w:r>
      <w:r>
        <w:t>app</w:t>
      </w:r>
      <w:r w:rsidR="000B5108">
        <w:t>lication to support the receipt and</w:t>
      </w:r>
      <w:r>
        <w:t xml:space="preserve"> processing</w:t>
      </w:r>
      <w:r w:rsidR="00E720E1">
        <w:t xml:space="preserve"> </w:t>
      </w:r>
      <w:r>
        <w:t>for new</w:t>
      </w:r>
      <w:r w:rsidR="009B5EA4" w:rsidRPr="00B46B90">
        <w:t xml:space="preserve"> </w:t>
      </w:r>
      <w:r w:rsidR="009B5EA4">
        <w:t>EIM approved</w:t>
      </w:r>
      <w:r>
        <w:t xml:space="preserve"> Outages</w:t>
      </w:r>
      <w:r w:rsidR="000B5108">
        <w:t>,</w:t>
      </w:r>
      <w:r>
        <w:t xml:space="preserve"> </w:t>
      </w:r>
      <w:r w:rsidR="008B53E8">
        <w:t>as well as updates to existing O</w:t>
      </w:r>
      <w:r>
        <w:t>utages. The ele</w:t>
      </w:r>
      <w:r w:rsidR="005A7A13">
        <w:t xml:space="preserve">ctronic application used by </w:t>
      </w:r>
      <w:r>
        <w:t>CAISO for Outage Management is referenced throughout this section of the BPM.</w:t>
      </w:r>
      <w:r w:rsidR="00AC21ED">
        <w:t xml:space="preserve"> CAISO does not approve outages in the EIM Entity areas as they retain the BAA functions for reliability.</w:t>
      </w:r>
    </w:p>
    <w:p w14:paraId="6080FBCC" w14:textId="75E505D2" w:rsidR="00F82281" w:rsidRDefault="005E1887" w:rsidP="00B46B90">
      <w:pPr>
        <w:pStyle w:val="ParaText"/>
      </w:pPr>
      <w:r>
        <w:t>The type</w:t>
      </w:r>
      <w:r w:rsidR="00725D1A">
        <w:t>s</w:t>
      </w:r>
      <w:r>
        <w:t xml:space="preserve"> of scheduled </w:t>
      </w:r>
      <w:r w:rsidR="00C80B72">
        <w:t xml:space="preserve">EIM </w:t>
      </w:r>
      <w:r w:rsidR="002D59D5">
        <w:t>E</w:t>
      </w:r>
      <w:r w:rsidR="00F73DA7">
        <w:t>ntity</w:t>
      </w:r>
      <w:r w:rsidR="00C80B72">
        <w:t xml:space="preserve"> approved</w:t>
      </w:r>
      <w:r w:rsidR="00E720E1">
        <w:t xml:space="preserve"> </w:t>
      </w:r>
      <w:r w:rsidR="00B722C6">
        <w:t>o</w:t>
      </w:r>
      <w:r>
        <w:t>utages</w:t>
      </w:r>
      <w:r w:rsidR="00E720E1">
        <w:t xml:space="preserve"> that</w:t>
      </w:r>
      <w:r w:rsidR="00C80B72" w:rsidRPr="00B46B90">
        <w:t xml:space="preserve"> </w:t>
      </w:r>
      <w:r w:rsidR="00C80B72">
        <w:t>are</w:t>
      </w:r>
      <w:r w:rsidR="00725D1A">
        <w:t xml:space="preserve"> accepted and </w:t>
      </w:r>
      <w:r w:rsidR="00C80B72">
        <w:t>processed</w:t>
      </w:r>
      <w:r w:rsidR="00725D1A">
        <w:t xml:space="preserve"> by</w:t>
      </w:r>
      <w:r w:rsidR="002D59D5">
        <w:t xml:space="preserve"> the OCO </w:t>
      </w:r>
      <w:r w:rsidR="00B722C6">
        <w:t>o</w:t>
      </w:r>
      <w:r w:rsidR="002D59D5">
        <w:t xml:space="preserve">utage </w:t>
      </w:r>
      <w:r w:rsidR="00B722C6">
        <w:t>m</w:t>
      </w:r>
      <w:r w:rsidR="002D59D5">
        <w:t xml:space="preserve">anagement </w:t>
      </w:r>
      <w:r w:rsidR="00B722C6">
        <w:t>s</w:t>
      </w:r>
      <w:r>
        <w:t>ystem</w:t>
      </w:r>
      <w:r w:rsidR="00725D1A">
        <w:t xml:space="preserve"> are as follows</w:t>
      </w:r>
      <w:r w:rsidR="00E720E1">
        <w:t xml:space="preserve"> (not an exhaustive list):</w:t>
      </w:r>
      <w:r w:rsidR="00121D83">
        <w:t xml:space="preserve">  </w:t>
      </w:r>
    </w:p>
    <w:p w14:paraId="4F48B88B" w14:textId="77777777" w:rsidR="005E1887" w:rsidRPr="005E1887" w:rsidRDefault="005E1887" w:rsidP="00877DDB">
      <w:pPr>
        <w:pStyle w:val="ParaText"/>
        <w:numPr>
          <w:ilvl w:val="0"/>
          <w:numId w:val="40"/>
        </w:numPr>
        <w:spacing w:after="160" w:line="259" w:lineRule="auto"/>
      </w:pPr>
      <w:r w:rsidRPr="005E1887">
        <w:t>Balancing A</w:t>
      </w:r>
      <w:r>
        <w:t>uthority Area Interconnections w</w:t>
      </w:r>
      <w:r w:rsidRPr="005E1887">
        <w:t>ork</w:t>
      </w:r>
      <w:r>
        <w:t>:</w:t>
      </w:r>
    </w:p>
    <w:p w14:paraId="33DC9ADE" w14:textId="77777777" w:rsidR="005E1887" w:rsidRPr="005E1887" w:rsidRDefault="002D59D5" w:rsidP="00877DDB">
      <w:pPr>
        <w:pStyle w:val="ParaText"/>
        <w:numPr>
          <w:ilvl w:val="1"/>
          <w:numId w:val="40"/>
        </w:numPr>
        <w:spacing w:after="160" w:line="259" w:lineRule="auto"/>
        <w:rPr>
          <w:b/>
        </w:rPr>
      </w:pPr>
      <w:r>
        <w:t>All O</w:t>
      </w:r>
      <w:r w:rsidR="005E1887">
        <w:t>utages that affect interconnected systems will be coordinated between Interconnected Transmission Operators</w:t>
      </w:r>
      <w:r w:rsidR="00E720E1">
        <w:t>.</w:t>
      </w:r>
      <w:r w:rsidR="005E1887">
        <w:t xml:space="preserve">  </w:t>
      </w:r>
    </w:p>
    <w:p w14:paraId="312DFF7B" w14:textId="77777777" w:rsidR="005E1887" w:rsidRPr="005E1887" w:rsidRDefault="005E1887" w:rsidP="00877DDB">
      <w:pPr>
        <w:pStyle w:val="ParaText"/>
        <w:numPr>
          <w:ilvl w:val="0"/>
          <w:numId w:val="40"/>
        </w:numPr>
        <w:spacing w:after="160" w:line="259" w:lineRule="auto"/>
        <w:rPr>
          <w:b/>
        </w:rPr>
      </w:pPr>
      <w:r>
        <w:lastRenderedPageBreak/>
        <w:t xml:space="preserve">All work on facilities forming the EIM Entity Controlled Grid, including associated </w:t>
      </w:r>
      <w:r w:rsidR="000D2E43">
        <w:t>control or protective equipment:</w:t>
      </w:r>
    </w:p>
    <w:p w14:paraId="4CAEDA70" w14:textId="77777777" w:rsidR="005E1887" w:rsidRPr="000D2E43" w:rsidRDefault="002D59D5" w:rsidP="00877DDB">
      <w:pPr>
        <w:pStyle w:val="ParaText"/>
        <w:numPr>
          <w:ilvl w:val="1"/>
          <w:numId w:val="40"/>
        </w:numPr>
        <w:spacing w:after="160" w:line="259" w:lineRule="auto"/>
        <w:rPr>
          <w:b/>
        </w:rPr>
      </w:pPr>
      <w:r>
        <w:t>This refers to all O</w:t>
      </w:r>
      <w:r w:rsidR="005E1887">
        <w:t xml:space="preserve">utages affecting EIM Entity equipment and Generators with an EIM </w:t>
      </w:r>
      <w:r w:rsidR="00220498">
        <w:t>P</w:t>
      </w:r>
      <w:r w:rsidR="005E1887">
        <w:t xml:space="preserve">articipating </w:t>
      </w:r>
      <w:r w:rsidR="00220498">
        <w:t>R</w:t>
      </w:r>
      <w:r w:rsidR="00DE0D6C">
        <w:t>esource</w:t>
      </w:r>
      <w:r w:rsidR="005E1887">
        <w:t xml:space="preserve"> agreement.  </w:t>
      </w:r>
    </w:p>
    <w:p w14:paraId="6AFEE2D6" w14:textId="77777777" w:rsidR="000D2E43" w:rsidRPr="000D2E43" w:rsidRDefault="000D2E43" w:rsidP="00877DDB">
      <w:pPr>
        <w:pStyle w:val="ParaText"/>
        <w:numPr>
          <w:ilvl w:val="0"/>
          <w:numId w:val="40"/>
        </w:numPr>
        <w:spacing w:after="160" w:line="259" w:lineRule="auto"/>
        <w:rPr>
          <w:b/>
        </w:rPr>
      </w:pPr>
      <w:r>
        <w:t xml:space="preserve">All reportable Outages or partial curtailments of EIM </w:t>
      </w:r>
      <w:r w:rsidR="00220498">
        <w:t>P</w:t>
      </w:r>
      <w:r>
        <w:t xml:space="preserve">articipating </w:t>
      </w:r>
      <w:r w:rsidR="00755251">
        <w:t>Resources and</w:t>
      </w:r>
      <w:r w:rsidR="00312035">
        <w:t xml:space="preserve"> non-participating resources approved by and </w:t>
      </w:r>
      <w:r w:rsidR="006A101C">
        <w:t>consistent with the outage management procedures of the EIM Entity.</w:t>
      </w:r>
    </w:p>
    <w:p w14:paraId="4F511803" w14:textId="77777777" w:rsidR="000D2E43" w:rsidRPr="000D2E43" w:rsidRDefault="000D2E43" w:rsidP="00877DDB">
      <w:pPr>
        <w:pStyle w:val="ParaText"/>
        <w:numPr>
          <w:ilvl w:val="0"/>
          <w:numId w:val="40"/>
        </w:numPr>
        <w:spacing w:after="160" w:line="259" w:lineRule="auto"/>
        <w:rPr>
          <w:b/>
        </w:rPr>
      </w:pPr>
      <w:r>
        <w:t>EMS work that disables any portion of the EIM Entity Grid monitoring, control, or protective equipment, including EMS equipment and communication circuits</w:t>
      </w:r>
    </w:p>
    <w:p w14:paraId="7513170F" w14:textId="77777777" w:rsidR="000D2E43" w:rsidRPr="000D2E43" w:rsidRDefault="000D2E43" w:rsidP="00877DDB">
      <w:pPr>
        <w:pStyle w:val="ParaText"/>
        <w:numPr>
          <w:ilvl w:val="0"/>
          <w:numId w:val="40"/>
        </w:numPr>
        <w:spacing w:after="160" w:line="259" w:lineRule="auto"/>
        <w:rPr>
          <w:b/>
        </w:rPr>
      </w:pPr>
      <w:r>
        <w:t>EMS work that affects Generator AGC or RIG equipment or communication circuits</w:t>
      </w:r>
    </w:p>
    <w:p w14:paraId="786890D5" w14:textId="77777777" w:rsidR="000D2E43" w:rsidRPr="00B46B90" w:rsidRDefault="000D2E43" w:rsidP="00877DDB">
      <w:pPr>
        <w:pStyle w:val="ParaText"/>
        <w:numPr>
          <w:ilvl w:val="0"/>
          <w:numId w:val="40"/>
        </w:numPr>
        <w:spacing w:after="160" w:line="259" w:lineRule="auto"/>
        <w:rPr>
          <w:b/>
        </w:rPr>
      </w:pPr>
      <w:r>
        <w:t>Interconnections with responsible entities outside the EIM Entity Balancing Authority Area</w:t>
      </w:r>
    </w:p>
    <w:p w14:paraId="5E893B48" w14:textId="77777777" w:rsidR="005E1887" w:rsidRPr="002C27BC" w:rsidRDefault="003A573C" w:rsidP="00B46B90">
      <w:pPr>
        <w:pStyle w:val="Heading2"/>
      </w:pPr>
      <w:bookmarkStart w:id="99" w:name="_Toc390946268"/>
      <w:bookmarkStart w:id="100" w:name="_Toc391969829"/>
      <w:bookmarkStart w:id="101" w:name="_Toc460320435"/>
      <w:r>
        <w:t>Requesting Maintenance Outages</w:t>
      </w:r>
      <w:bookmarkStart w:id="102" w:name="_Toc390267983"/>
      <w:bookmarkStart w:id="103" w:name="_Toc390268114"/>
      <w:bookmarkStart w:id="104" w:name="_Toc390352472"/>
      <w:bookmarkStart w:id="105" w:name="_Toc390353449"/>
      <w:bookmarkEnd w:id="99"/>
      <w:bookmarkEnd w:id="100"/>
      <w:bookmarkEnd w:id="101"/>
      <w:bookmarkEnd w:id="102"/>
      <w:bookmarkEnd w:id="103"/>
      <w:bookmarkEnd w:id="104"/>
      <w:bookmarkEnd w:id="105"/>
    </w:p>
    <w:p w14:paraId="51B41564" w14:textId="77777777" w:rsidR="00246BB9" w:rsidRPr="00F1046E" w:rsidRDefault="002C27BC" w:rsidP="00E84217">
      <w:pPr>
        <w:pStyle w:val="ParaText"/>
      </w:pPr>
      <w:r>
        <w:t xml:space="preserve">For additional information, see </w:t>
      </w:r>
      <w:hyperlink r:id="rId161" w:history="1">
        <w:r w:rsidRPr="00F1046E">
          <w:rPr>
            <w:rStyle w:val="Hyperlink"/>
          </w:rPr>
          <w:t xml:space="preserve">Tariff Section </w:t>
        </w:r>
        <w:r w:rsidR="00C16580" w:rsidRPr="00F1046E">
          <w:rPr>
            <w:rStyle w:val="Hyperlink"/>
          </w:rPr>
          <w:t>29.9</w:t>
        </w:r>
        <w:r w:rsidRPr="00F1046E">
          <w:rPr>
            <w:rStyle w:val="Hyperlink"/>
          </w:rPr>
          <w:t xml:space="preserve"> </w:t>
        </w:r>
        <w:r w:rsidR="00246BB9" w:rsidRPr="00F1046E">
          <w:rPr>
            <w:rStyle w:val="Hyperlink"/>
            <w:i/>
          </w:rPr>
          <w:t>Coordination of Outages and Maintenance</w:t>
        </w:r>
      </w:hyperlink>
      <w:r w:rsidRPr="00F1046E">
        <w:rPr>
          <w:i/>
        </w:rPr>
        <w:t>.</w:t>
      </w:r>
      <w:r w:rsidR="00246BB9" w:rsidRPr="00F1046E">
        <w:t xml:space="preserve"> </w:t>
      </w:r>
    </w:p>
    <w:p w14:paraId="04A58E2D" w14:textId="77777777" w:rsidR="00F21F40" w:rsidRDefault="00F21F40" w:rsidP="00F21F40">
      <w:pPr>
        <w:pStyle w:val="Heading3"/>
        <w:spacing w:line="300" w:lineRule="auto"/>
      </w:pPr>
      <w:bookmarkStart w:id="106" w:name="_Toc390267988"/>
      <w:bookmarkStart w:id="107" w:name="_Toc390268119"/>
      <w:bookmarkStart w:id="108" w:name="_Toc390352477"/>
      <w:bookmarkStart w:id="109" w:name="_Toc390353454"/>
      <w:bookmarkStart w:id="110" w:name="_Toc390355404"/>
      <w:bookmarkStart w:id="111" w:name="_Toc390436068"/>
      <w:bookmarkStart w:id="112" w:name="_Toc390673359"/>
      <w:bookmarkStart w:id="113" w:name="_Toc390689635"/>
      <w:bookmarkStart w:id="114" w:name="_Toc390696639"/>
      <w:bookmarkStart w:id="115" w:name="_Toc390759653"/>
      <w:bookmarkStart w:id="116" w:name="_Toc390764409"/>
      <w:bookmarkStart w:id="117" w:name="_Toc390765934"/>
      <w:bookmarkStart w:id="118" w:name="_Toc390778403"/>
      <w:bookmarkStart w:id="119" w:name="_Toc390779381"/>
      <w:bookmarkStart w:id="120" w:name="_Toc390782194"/>
      <w:bookmarkStart w:id="121" w:name="_Toc390871666"/>
      <w:bookmarkStart w:id="122" w:name="_Toc390871723"/>
      <w:bookmarkStart w:id="123" w:name="_Toc390871780"/>
      <w:bookmarkStart w:id="124" w:name="_Toc390946269"/>
      <w:bookmarkStart w:id="125" w:name="_Toc391969830"/>
      <w:bookmarkStart w:id="126" w:name="_Toc46032043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EIM Entity </w:t>
      </w:r>
      <w:r w:rsidRPr="00F21F40">
        <w:t>and</w:t>
      </w:r>
      <w:r>
        <w:t xml:space="preserve"> EIM </w:t>
      </w:r>
      <w:r w:rsidR="00304DFF">
        <w:t xml:space="preserve">Entity </w:t>
      </w:r>
      <w:r>
        <w:t>Scheduling Coordinator</w:t>
      </w:r>
      <w:r w:rsidRPr="00F21F40">
        <w:t xml:space="preserve"> Outage Request Process</w:t>
      </w:r>
      <w:bookmarkEnd w:id="124"/>
      <w:bookmarkEnd w:id="125"/>
      <w:bookmarkEnd w:id="126"/>
    </w:p>
    <w:p w14:paraId="5E4BF697" w14:textId="77777777" w:rsidR="00246BB9" w:rsidRDefault="00246BB9" w:rsidP="00877DDB">
      <w:pPr>
        <w:spacing w:after="240" w:line="300" w:lineRule="auto"/>
      </w:pPr>
      <w:r w:rsidRPr="00807FB3">
        <w:t>T</w:t>
      </w:r>
      <w:r w:rsidR="00C16580" w:rsidRPr="00807FB3">
        <w:t>he EIM Entity Scheduling Coordinator shall submit notice of</w:t>
      </w:r>
      <w:r w:rsidR="0032275C" w:rsidRPr="00807FB3">
        <w:t xml:space="preserve"> approved</w:t>
      </w:r>
      <w:r w:rsidR="00C16580" w:rsidRPr="00807FB3">
        <w:t xml:space="preserve"> transmission and generation </w:t>
      </w:r>
      <w:r w:rsidR="002D59D5">
        <w:t>O</w:t>
      </w:r>
      <w:r w:rsidR="00C16580" w:rsidRPr="00807FB3">
        <w:t>utages</w:t>
      </w:r>
      <w:r w:rsidR="0032275C" w:rsidRPr="00807FB3">
        <w:t xml:space="preserve"> or rev</w:t>
      </w:r>
      <w:r w:rsidR="002D59D5">
        <w:t>isions to approved maintenance O</w:t>
      </w:r>
      <w:r w:rsidR="0032275C" w:rsidRPr="00807FB3">
        <w:t>utages</w:t>
      </w:r>
      <w:r w:rsidR="00AB3A96">
        <w:t xml:space="preserve"> to </w:t>
      </w:r>
      <w:r w:rsidR="00C16580" w:rsidRPr="00021E09">
        <w:t>CAISO</w:t>
      </w:r>
      <w:r w:rsidR="00C16580">
        <w:t>.</w:t>
      </w:r>
    </w:p>
    <w:p w14:paraId="233FD912" w14:textId="77777777" w:rsidR="00376ED9" w:rsidRDefault="00376ED9" w:rsidP="00A51421"/>
    <w:p w14:paraId="637755B0" w14:textId="77777777" w:rsidR="00246BB9" w:rsidRDefault="00F73DA7" w:rsidP="006F6DD6">
      <w:pPr>
        <w:pStyle w:val="Heading4"/>
        <w:spacing w:line="300" w:lineRule="auto"/>
      </w:pPr>
      <w:bookmarkStart w:id="127" w:name="_Toc386182103"/>
      <w:r>
        <w:t>Outage Scheduling</w:t>
      </w:r>
      <w:r w:rsidR="00246BB9">
        <w:t xml:space="preserve"> Requirements</w:t>
      </w:r>
      <w:bookmarkEnd w:id="127"/>
    </w:p>
    <w:p w14:paraId="741F2C15" w14:textId="77777777" w:rsidR="00246BB9" w:rsidRPr="00727CB3" w:rsidRDefault="00246BB9" w:rsidP="008C1485">
      <w:pPr>
        <w:rPr>
          <w:b/>
        </w:rPr>
      </w:pPr>
      <w:r w:rsidRPr="00727CB3">
        <w:rPr>
          <w:b/>
        </w:rPr>
        <w:t>Transmission Outage Scheduling</w:t>
      </w:r>
    </w:p>
    <w:p w14:paraId="6AEB1817" w14:textId="77777777" w:rsidR="001D0D39" w:rsidRDefault="00246BB9" w:rsidP="006F6DD6">
      <w:pPr>
        <w:pStyle w:val="ParaText"/>
      </w:pPr>
      <w:r>
        <w:t>The EIM Entity must submit a new</w:t>
      </w:r>
      <w:r w:rsidR="004B4ED2">
        <w:t xml:space="preserve"> a</w:t>
      </w:r>
      <w:r w:rsidR="00C16580">
        <w:t>pproved</w:t>
      </w:r>
      <w:r>
        <w:t xml:space="preserve"> Maintena</w:t>
      </w:r>
      <w:r w:rsidR="004B4ED2">
        <w:t>nce Outage or a revision to an a</w:t>
      </w:r>
      <w:r>
        <w:t>pproved Maintenance Outage to CA</w:t>
      </w:r>
      <w:r w:rsidR="002D59D5">
        <w:t xml:space="preserve">ISO via the </w:t>
      </w:r>
      <w:r w:rsidR="00B53E8D">
        <w:t xml:space="preserve">CAISO </w:t>
      </w:r>
      <w:r w:rsidR="00B53E8D" w:rsidRPr="00F51FA9">
        <w:t>outage management system</w:t>
      </w:r>
      <w:r>
        <w:t xml:space="preserve"> no later </w:t>
      </w:r>
      <w:r w:rsidR="006930FE">
        <w:t>than seven d</w:t>
      </w:r>
      <w:r>
        <w:t xml:space="preserve">ays prior to the start date of the proposed Outage for Transmission facilities, as specified in </w:t>
      </w:r>
      <w:r w:rsidR="00FB45EB">
        <w:t xml:space="preserve">the </w:t>
      </w:r>
      <w:r>
        <w:t>CAISO Tariff Section 9.3.6.3.1</w:t>
      </w:r>
      <w:r w:rsidR="00807FB3">
        <w:t>,</w:t>
      </w:r>
      <w:r w:rsidR="002D59D5">
        <w:t xml:space="preserve"> for the O</w:t>
      </w:r>
      <w:r>
        <w:t>uta</w:t>
      </w:r>
      <w:r w:rsidR="002D59D5">
        <w:t>ge to be a planned maintenance O</w:t>
      </w:r>
      <w:r>
        <w:t xml:space="preserve">utage. </w:t>
      </w:r>
    </w:p>
    <w:p w14:paraId="58080AF0" w14:textId="77777777" w:rsidR="00246BB9" w:rsidRDefault="00246BB9" w:rsidP="006F6DD6">
      <w:pPr>
        <w:pStyle w:val="ParaText"/>
      </w:pPr>
      <w:r w:rsidRPr="001D0D39">
        <w:rPr>
          <w:rFonts w:cs="Arial"/>
          <w:b/>
        </w:rPr>
        <w:lastRenderedPageBreak/>
        <w:t>Note:</w:t>
      </w:r>
      <w:r>
        <w:rPr>
          <w:rFonts w:cs="Arial"/>
        </w:rPr>
        <w:t xml:space="preserve"> The </w:t>
      </w:r>
      <w:r w:rsidR="006930FE">
        <w:rPr>
          <w:rFonts w:cs="Arial"/>
        </w:rPr>
        <w:t xml:space="preserve">determination of </w:t>
      </w:r>
      <w:r w:rsidR="00FB45EB">
        <w:rPr>
          <w:rFonts w:cs="Arial"/>
        </w:rPr>
        <w:t xml:space="preserve">a </w:t>
      </w:r>
      <w:r w:rsidR="006930FE">
        <w:rPr>
          <w:rFonts w:cs="Arial"/>
        </w:rPr>
        <w:t>seven</w:t>
      </w:r>
      <w:r w:rsidR="00807FB3">
        <w:rPr>
          <w:rFonts w:cs="Arial"/>
        </w:rPr>
        <w:t>-</w:t>
      </w:r>
      <w:r>
        <w:rPr>
          <w:rFonts w:cs="Arial"/>
        </w:rPr>
        <w:t xml:space="preserve">day prior notice excludes the date of submission and the date of the </w:t>
      </w:r>
      <w:r w:rsidR="00807FB3">
        <w:rPr>
          <w:rFonts w:cs="Arial"/>
        </w:rPr>
        <w:t>O</w:t>
      </w:r>
      <w:r w:rsidR="009C0EE3">
        <w:rPr>
          <w:rFonts w:cs="Arial"/>
        </w:rPr>
        <w:t>u</w:t>
      </w:r>
      <w:r w:rsidR="005F0022">
        <w:rPr>
          <w:rFonts w:cs="Arial"/>
        </w:rPr>
        <w:t>t</w:t>
      </w:r>
      <w:r w:rsidR="009C0EE3">
        <w:rPr>
          <w:rFonts w:cs="Arial"/>
        </w:rPr>
        <w:t>age</w:t>
      </w:r>
      <w:r>
        <w:rPr>
          <w:rFonts w:cs="Arial"/>
        </w:rPr>
        <w:t xml:space="preserve">. </w:t>
      </w:r>
      <w:r>
        <w:t xml:space="preserve"> </w:t>
      </w:r>
    </w:p>
    <w:p w14:paraId="47987845" w14:textId="77777777" w:rsidR="00246BB9" w:rsidRDefault="00C26CE0" w:rsidP="006F6DD6">
      <w:pPr>
        <w:pStyle w:val="ParaText"/>
      </w:pPr>
      <w:r>
        <w:t xml:space="preserve">Notification by </w:t>
      </w:r>
      <w:r w:rsidR="00807FB3">
        <w:t xml:space="preserve">the </w:t>
      </w:r>
      <w:r>
        <w:t xml:space="preserve">EIM </w:t>
      </w:r>
      <w:r w:rsidR="00F73DA7">
        <w:t>Entity</w:t>
      </w:r>
      <w:r w:rsidR="004B4ED2">
        <w:t xml:space="preserve"> Scheduling Coordinator of a</w:t>
      </w:r>
      <w:r>
        <w:t>pproved Transmission Outage</w:t>
      </w:r>
      <w:r w:rsidR="00246BB9">
        <w:t xml:space="preserve"> must specify the following:</w:t>
      </w:r>
    </w:p>
    <w:p w14:paraId="3F4ADC2A" w14:textId="77777777" w:rsidR="00246BB9" w:rsidRDefault="00246BB9" w:rsidP="001D354A">
      <w:pPr>
        <w:pStyle w:val="ParaText"/>
        <w:numPr>
          <w:ilvl w:val="0"/>
          <w:numId w:val="42"/>
        </w:numPr>
        <w:spacing w:after="160" w:line="259" w:lineRule="auto"/>
      </w:pPr>
      <w:r>
        <w:t>Identification and location of the transmission system element(s) to be maintained</w:t>
      </w:r>
    </w:p>
    <w:p w14:paraId="35ECFCB8" w14:textId="77777777" w:rsidR="00246BB9" w:rsidRDefault="00246BB9" w:rsidP="001D354A">
      <w:pPr>
        <w:pStyle w:val="ParaText"/>
        <w:numPr>
          <w:ilvl w:val="0"/>
          <w:numId w:val="42"/>
        </w:numPr>
        <w:spacing w:after="160" w:line="259" w:lineRule="auto"/>
      </w:pPr>
      <w:r>
        <w:t>Nature of the maintenance to be performed</w:t>
      </w:r>
    </w:p>
    <w:p w14:paraId="5FA7E0EE" w14:textId="77777777" w:rsidR="00246BB9" w:rsidRPr="006930FE" w:rsidRDefault="0008639E" w:rsidP="001D354A">
      <w:pPr>
        <w:pStyle w:val="ParaText"/>
        <w:numPr>
          <w:ilvl w:val="0"/>
          <w:numId w:val="42"/>
        </w:numPr>
        <w:spacing w:after="160" w:line="259" w:lineRule="auto"/>
      </w:pPr>
      <w:r>
        <w:rPr>
          <w:rFonts w:cs="Arial"/>
        </w:rPr>
        <w:t>Modeled</w:t>
      </w:r>
      <w:r w:rsidR="008B53E8">
        <w:rPr>
          <w:rFonts w:cs="Arial"/>
        </w:rPr>
        <w:t xml:space="preserve"> system O</w:t>
      </w:r>
      <w:r w:rsidR="00246BB9">
        <w:rPr>
          <w:rFonts w:cs="Arial"/>
        </w:rPr>
        <w:t xml:space="preserve">utage boundaries to </w:t>
      </w:r>
      <w:r w:rsidR="008B53E8">
        <w:rPr>
          <w:rFonts w:cs="Arial"/>
        </w:rPr>
        <w:t>facilitate the equipment O</w:t>
      </w:r>
      <w:r w:rsidR="006930FE">
        <w:rPr>
          <w:rFonts w:cs="Arial"/>
        </w:rPr>
        <w:t>utage</w:t>
      </w:r>
    </w:p>
    <w:p w14:paraId="466CEC3E" w14:textId="77777777" w:rsidR="00246BB9" w:rsidRDefault="00246BB9" w:rsidP="001D354A">
      <w:pPr>
        <w:pStyle w:val="ParaText"/>
        <w:numPr>
          <w:ilvl w:val="0"/>
          <w:numId w:val="42"/>
        </w:numPr>
        <w:spacing w:after="160" w:line="259" w:lineRule="auto"/>
      </w:pPr>
      <w:r>
        <w:t>Date and time the Maintenance Outage is to begin</w:t>
      </w:r>
    </w:p>
    <w:p w14:paraId="5BAFE1EF" w14:textId="77777777" w:rsidR="00246BB9" w:rsidRDefault="00246BB9" w:rsidP="001D354A">
      <w:pPr>
        <w:pStyle w:val="ParaText"/>
        <w:numPr>
          <w:ilvl w:val="0"/>
          <w:numId w:val="42"/>
        </w:numPr>
        <w:spacing w:after="160" w:line="259" w:lineRule="auto"/>
      </w:pPr>
      <w:r>
        <w:t>Date and time the Maintenance Outage is to be completed</w:t>
      </w:r>
    </w:p>
    <w:p w14:paraId="057B7EBF" w14:textId="77777777" w:rsidR="00246BB9" w:rsidRPr="00BA2E6E" w:rsidRDefault="00D06F42" w:rsidP="001D354A">
      <w:pPr>
        <w:pStyle w:val="ParaText"/>
        <w:numPr>
          <w:ilvl w:val="0"/>
          <w:numId w:val="42"/>
        </w:numPr>
        <w:spacing w:after="160" w:line="259" w:lineRule="auto"/>
      </w:pPr>
      <w:r>
        <w:t xml:space="preserve">Emergency Return Time – </w:t>
      </w:r>
      <w:r w:rsidR="00807FB3">
        <w:t>T</w:t>
      </w:r>
      <w:r>
        <w:t xml:space="preserve">he </w:t>
      </w:r>
      <w:r w:rsidR="009C0EE3">
        <w:t>time</w:t>
      </w:r>
      <w:r w:rsidR="00246BB9">
        <w:t xml:space="preserve"> required to terminate the maintenance and restore the transmission system to normal operation</w:t>
      </w:r>
      <w:r w:rsidR="00725D1A">
        <w:t>, if necessary</w:t>
      </w:r>
    </w:p>
    <w:p w14:paraId="6DBA0E98" w14:textId="77777777" w:rsidR="00246BB9" w:rsidRPr="005F0022" w:rsidRDefault="00246BB9" w:rsidP="005F0022">
      <w:pPr>
        <w:rPr>
          <w:b/>
        </w:rPr>
      </w:pPr>
      <w:r w:rsidRPr="005F0022">
        <w:rPr>
          <w:b/>
        </w:rPr>
        <w:t>Generation Outage S</w:t>
      </w:r>
      <w:r w:rsidR="004E5E7A">
        <w:rPr>
          <w:b/>
        </w:rPr>
        <w:t>ubmission</w:t>
      </w:r>
    </w:p>
    <w:p w14:paraId="15CED9AD" w14:textId="77777777" w:rsidR="00376ED9" w:rsidRDefault="00246BB9" w:rsidP="00480065">
      <w:pPr>
        <w:pStyle w:val="ParaText"/>
      </w:pPr>
      <w:r>
        <w:t xml:space="preserve">The EIM Entity or EIM </w:t>
      </w:r>
      <w:r w:rsidR="002556CA">
        <w:t xml:space="preserve">Entity </w:t>
      </w:r>
      <w:r>
        <w:t>Scheduling Coordinator must submit a new</w:t>
      </w:r>
      <w:r w:rsidR="004B4ED2">
        <w:t xml:space="preserve"> a</w:t>
      </w:r>
      <w:r w:rsidR="0008639E">
        <w:t>pproved</w:t>
      </w:r>
      <w:r>
        <w:t xml:space="preserve"> Maintena</w:t>
      </w:r>
      <w:r w:rsidR="004B4ED2">
        <w:t>nce Outage or a revision to an a</w:t>
      </w:r>
      <w:r>
        <w:t>pproved Maint</w:t>
      </w:r>
      <w:r w:rsidR="008B53E8">
        <w:t xml:space="preserve">enance Outage to CAISO via the </w:t>
      </w:r>
      <w:r w:rsidR="00B53E8D">
        <w:t xml:space="preserve">CAISO </w:t>
      </w:r>
      <w:r w:rsidR="00B53E8D" w:rsidRPr="00F51FA9">
        <w:t>outage management system</w:t>
      </w:r>
      <w:r w:rsidR="006930FE">
        <w:t xml:space="preserve"> no later than seven d</w:t>
      </w:r>
      <w:r>
        <w:t>ays prior to the start date of the proposed Outage as sp</w:t>
      </w:r>
      <w:r w:rsidR="00AB3A96">
        <w:t xml:space="preserve">ecified in CAISO Tariff Section </w:t>
      </w:r>
      <w:r>
        <w:t>9.3.6.3.1</w:t>
      </w:r>
      <w:r w:rsidR="00807FB3">
        <w:t xml:space="preserve"> in order</w:t>
      </w:r>
      <w:r w:rsidR="008B53E8">
        <w:t xml:space="preserve"> for the O</w:t>
      </w:r>
      <w:r>
        <w:t>uta</w:t>
      </w:r>
      <w:r w:rsidR="000D1AA1">
        <w:t>ge to be a planned M</w:t>
      </w:r>
      <w:r w:rsidR="008B53E8">
        <w:t>aintenance O</w:t>
      </w:r>
      <w:r>
        <w:t xml:space="preserve">utage. </w:t>
      </w:r>
    </w:p>
    <w:p w14:paraId="3B819073" w14:textId="77777777" w:rsidR="00BA2E6E" w:rsidRPr="00BA2E6E" w:rsidRDefault="00246BB9" w:rsidP="00480065">
      <w:pPr>
        <w:pStyle w:val="ParaText"/>
      </w:pPr>
      <w:r w:rsidRPr="00376ED9">
        <w:rPr>
          <w:rFonts w:cs="Arial"/>
          <w:b/>
        </w:rPr>
        <w:t>Note:</w:t>
      </w:r>
      <w:r>
        <w:rPr>
          <w:rFonts w:cs="Arial"/>
        </w:rPr>
        <w:t xml:space="preserve"> The determination of seven</w:t>
      </w:r>
      <w:r w:rsidR="00807FB3">
        <w:rPr>
          <w:rFonts w:cs="Arial"/>
        </w:rPr>
        <w:t>-</w:t>
      </w:r>
      <w:r>
        <w:rPr>
          <w:rFonts w:cs="Arial"/>
        </w:rPr>
        <w:t xml:space="preserve">day prior notice excludes the date of </w:t>
      </w:r>
      <w:r w:rsidR="008B53E8">
        <w:rPr>
          <w:rFonts w:cs="Arial"/>
        </w:rPr>
        <w:t>submission and the date of the O</w:t>
      </w:r>
      <w:r>
        <w:rPr>
          <w:rFonts w:cs="Arial"/>
        </w:rPr>
        <w:t xml:space="preserve">utage. </w:t>
      </w:r>
      <w:r>
        <w:t xml:space="preserve"> </w:t>
      </w:r>
    </w:p>
    <w:p w14:paraId="748F5401" w14:textId="77777777" w:rsidR="00246BB9" w:rsidRDefault="00246BB9" w:rsidP="006F6DD6">
      <w:pPr>
        <w:pStyle w:val="ParaText"/>
      </w:pPr>
      <w:r>
        <w:t>For Generators</w:t>
      </w:r>
      <w:r w:rsidR="002C27BC">
        <w:t>,</w:t>
      </w:r>
      <w:r>
        <w:t xml:space="preserve"> </w:t>
      </w:r>
      <w:r w:rsidR="00BD4BC7">
        <w:t xml:space="preserve">a </w:t>
      </w:r>
      <w:r>
        <w:t xml:space="preserve">request for an Outage must specify the following: </w:t>
      </w:r>
    </w:p>
    <w:p w14:paraId="3996AE76" w14:textId="77777777" w:rsidR="00246BB9" w:rsidRDefault="00246BB9" w:rsidP="00877DDB">
      <w:pPr>
        <w:pStyle w:val="ParaText"/>
        <w:numPr>
          <w:ilvl w:val="0"/>
          <w:numId w:val="43"/>
        </w:numPr>
        <w:spacing w:after="160" w:line="259" w:lineRule="auto"/>
      </w:pPr>
      <w:r>
        <w:t>Generating Unit or System Unit name and Location Code</w:t>
      </w:r>
    </w:p>
    <w:p w14:paraId="64AFC7B2" w14:textId="77777777" w:rsidR="00246BB9" w:rsidRDefault="00246BB9" w:rsidP="00877DDB">
      <w:pPr>
        <w:pStyle w:val="ParaText"/>
        <w:numPr>
          <w:ilvl w:val="0"/>
          <w:numId w:val="43"/>
        </w:numPr>
        <w:spacing w:after="160" w:line="259" w:lineRule="auto"/>
      </w:pPr>
      <w:r>
        <w:t>Nature of the maintenance to be performed</w:t>
      </w:r>
    </w:p>
    <w:p w14:paraId="468CE7E8" w14:textId="77777777" w:rsidR="00246BB9" w:rsidRDefault="00246BB9" w:rsidP="00877DDB">
      <w:pPr>
        <w:pStyle w:val="ParaText"/>
        <w:numPr>
          <w:ilvl w:val="0"/>
          <w:numId w:val="43"/>
        </w:numPr>
        <w:spacing w:after="160" w:line="259" w:lineRule="auto"/>
      </w:pPr>
      <w:r>
        <w:t>Date and time the Outage is to begin</w:t>
      </w:r>
    </w:p>
    <w:p w14:paraId="26A98CDE" w14:textId="77777777" w:rsidR="00246BB9" w:rsidRDefault="00246BB9" w:rsidP="00877DDB">
      <w:pPr>
        <w:pStyle w:val="ParaText"/>
        <w:numPr>
          <w:ilvl w:val="0"/>
          <w:numId w:val="43"/>
        </w:numPr>
        <w:spacing w:after="160" w:line="259" w:lineRule="auto"/>
      </w:pPr>
      <w:r>
        <w:t>Date and time the Outage is to be completed</w:t>
      </w:r>
    </w:p>
    <w:p w14:paraId="518DF577" w14:textId="77777777" w:rsidR="00246BB9" w:rsidRDefault="00D06F42" w:rsidP="00877DDB">
      <w:pPr>
        <w:pStyle w:val="ParaText"/>
        <w:numPr>
          <w:ilvl w:val="0"/>
          <w:numId w:val="43"/>
        </w:numPr>
        <w:spacing w:after="160" w:line="259" w:lineRule="auto"/>
      </w:pPr>
      <w:r>
        <w:t xml:space="preserve">Emergency Return Time – </w:t>
      </w:r>
      <w:r w:rsidR="00807FB3">
        <w:t>T</w:t>
      </w:r>
      <w:r>
        <w:t>he t</w:t>
      </w:r>
      <w:r w:rsidR="00246BB9">
        <w:t xml:space="preserve">ime required to terminate the </w:t>
      </w:r>
      <w:r w:rsidR="00AB3A96">
        <w:t>O</w:t>
      </w:r>
      <w:r w:rsidR="00246BB9">
        <w:t>utage and restore the Generating Unit to normal capacity</w:t>
      </w:r>
      <w:r w:rsidR="00BD4BC7">
        <w:t>, if necessary</w:t>
      </w:r>
    </w:p>
    <w:p w14:paraId="4E0EC7BF" w14:textId="77777777" w:rsidR="00246BB9" w:rsidRDefault="00246BB9" w:rsidP="006F6DD6">
      <w:pPr>
        <w:pStyle w:val="Heading3"/>
        <w:spacing w:line="300" w:lineRule="auto"/>
      </w:pPr>
      <w:bookmarkStart w:id="128" w:name="_Toc386180504"/>
      <w:bookmarkStart w:id="129" w:name="_Toc386181197"/>
      <w:bookmarkStart w:id="130" w:name="_Toc386180505"/>
      <w:bookmarkStart w:id="131" w:name="_Toc386181198"/>
      <w:bookmarkStart w:id="132" w:name="_Toc386182105"/>
      <w:bookmarkStart w:id="133" w:name="_Toc389662586"/>
      <w:bookmarkStart w:id="134" w:name="_Toc390946270"/>
      <w:bookmarkStart w:id="135" w:name="_Toc391969831"/>
      <w:bookmarkStart w:id="136" w:name="_Toc460320437"/>
      <w:bookmarkEnd w:id="128"/>
      <w:bookmarkEnd w:id="129"/>
      <w:bookmarkEnd w:id="130"/>
      <w:bookmarkEnd w:id="131"/>
      <w:r>
        <w:lastRenderedPageBreak/>
        <w:t>Generation Resource Start</w:t>
      </w:r>
      <w:r w:rsidR="00807FB3">
        <w:t>-</w:t>
      </w:r>
      <w:r>
        <w:t>Up Time</w:t>
      </w:r>
      <w:bookmarkEnd w:id="132"/>
      <w:bookmarkEnd w:id="133"/>
      <w:bookmarkEnd w:id="134"/>
      <w:bookmarkEnd w:id="135"/>
      <w:bookmarkEnd w:id="136"/>
    </w:p>
    <w:p w14:paraId="2811CB59" w14:textId="77777777" w:rsidR="00246BB9" w:rsidRPr="002C27BC" w:rsidRDefault="00246BB9" w:rsidP="00B06DE4">
      <w:pPr>
        <w:pStyle w:val="ParaText"/>
      </w:pPr>
      <w:r>
        <w:t>Generation Maintenance Outages should not include start</w:t>
      </w:r>
      <w:r w:rsidR="00807FB3">
        <w:t>-</w:t>
      </w:r>
      <w:r>
        <w:t>up time. Each generator’s start</w:t>
      </w:r>
      <w:r w:rsidR="00807FB3">
        <w:t>-</w:t>
      </w:r>
      <w:r>
        <w:t xml:space="preserve">up time is documented in the Master File and is considered to begin once the generator has been called on by the </w:t>
      </w:r>
      <w:r w:rsidR="0008639E">
        <w:t xml:space="preserve">EIM </w:t>
      </w:r>
      <w:r w:rsidR="00F73DA7">
        <w:t>Entity</w:t>
      </w:r>
      <w:r>
        <w:t xml:space="preserve"> or for a scheduled start up. </w:t>
      </w:r>
    </w:p>
    <w:p w14:paraId="4DB2CA75" w14:textId="77777777" w:rsidR="00246BB9" w:rsidRDefault="00246BB9" w:rsidP="006F6DD6">
      <w:pPr>
        <w:pStyle w:val="Heading3"/>
        <w:spacing w:line="300" w:lineRule="auto"/>
      </w:pPr>
      <w:bookmarkStart w:id="137" w:name="_Toc386182106"/>
      <w:bookmarkStart w:id="138" w:name="_Toc389662587"/>
      <w:bookmarkStart w:id="139" w:name="_Toc390946271"/>
      <w:bookmarkStart w:id="140" w:name="_Toc391969832"/>
      <w:bookmarkStart w:id="141" w:name="_Toc460320438"/>
      <w:r>
        <w:t xml:space="preserve">Confirmation </w:t>
      </w:r>
      <w:r w:rsidR="003C4D17">
        <w:t xml:space="preserve">and Acknowledgement </w:t>
      </w:r>
      <w:r>
        <w:t>of Receipt of Outage Request</w:t>
      </w:r>
      <w:bookmarkEnd w:id="137"/>
      <w:bookmarkEnd w:id="138"/>
      <w:bookmarkEnd w:id="139"/>
      <w:bookmarkEnd w:id="140"/>
      <w:bookmarkEnd w:id="141"/>
      <w:r>
        <w:t xml:space="preserve"> </w:t>
      </w:r>
    </w:p>
    <w:p w14:paraId="5F0DBC06" w14:textId="77777777" w:rsidR="00246BB9" w:rsidRPr="002D59D5" w:rsidRDefault="00B53E8D" w:rsidP="002D59D5">
      <w:pPr>
        <w:spacing w:after="240" w:line="300" w:lineRule="auto"/>
      </w:pPr>
      <w:bookmarkStart w:id="142" w:name="_Toc386180508"/>
      <w:bookmarkStart w:id="143" w:name="_Toc386181201"/>
      <w:bookmarkStart w:id="144" w:name="_Toc386180509"/>
      <w:bookmarkStart w:id="145" w:name="_Toc386181202"/>
      <w:bookmarkStart w:id="146" w:name="_Toc386180510"/>
      <w:bookmarkStart w:id="147" w:name="_Toc386181203"/>
      <w:bookmarkStart w:id="148" w:name="_Toc386180511"/>
      <w:bookmarkStart w:id="149" w:name="_Toc386181204"/>
      <w:bookmarkStart w:id="150" w:name="_Toc386180512"/>
      <w:bookmarkStart w:id="151" w:name="_Toc386181205"/>
      <w:bookmarkStart w:id="152" w:name="_Toc386180513"/>
      <w:bookmarkStart w:id="153" w:name="_Toc386181206"/>
      <w:bookmarkStart w:id="154" w:name="_Toc386180514"/>
      <w:bookmarkStart w:id="155" w:name="_Toc386181207"/>
      <w:bookmarkStart w:id="156" w:name="_Toc386180515"/>
      <w:bookmarkStart w:id="157" w:name="_Toc386181208"/>
      <w:bookmarkStart w:id="158" w:name="_Toc386180516"/>
      <w:bookmarkStart w:id="159" w:name="_Toc386181209"/>
      <w:bookmarkStart w:id="160" w:name="_Toc386180517"/>
      <w:bookmarkStart w:id="161" w:name="_Toc386181210"/>
      <w:bookmarkStart w:id="162" w:name="_Toc386180518"/>
      <w:bookmarkStart w:id="163" w:name="_Toc386181211"/>
      <w:bookmarkStart w:id="164" w:name="_Toc386180519"/>
      <w:bookmarkStart w:id="165" w:name="_Toc386181212"/>
      <w:bookmarkStart w:id="166" w:name="_Toc386180520"/>
      <w:bookmarkStart w:id="167" w:name="_Toc386181213"/>
      <w:bookmarkStart w:id="168" w:name="_Toc386180521"/>
      <w:bookmarkStart w:id="169" w:name="_Toc386181214"/>
      <w:bookmarkStart w:id="170" w:name="_Toc386180522"/>
      <w:bookmarkStart w:id="171" w:name="_Toc386181215"/>
      <w:bookmarkStart w:id="172" w:name="_Toc386180523"/>
      <w:bookmarkStart w:id="173" w:name="_Toc386181216"/>
      <w:bookmarkStart w:id="174" w:name="_Toc386180524"/>
      <w:bookmarkStart w:id="175" w:name="_Toc38618121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CAISO </w:t>
      </w:r>
      <w:r w:rsidRPr="00F51FA9">
        <w:t>outage management system</w:t>
      </w:r>
      <w:r w:rsidR="002D59D5">
        <w:t xml:space="preserve"> acknowledges receipt of each new EIM Entity approved Outage request.  </w:t>
      </w:r>
      <w:r w:rsidR="00563036">
        <w:t>EIM E</w:t>
      </w:r>
      <w:r w:rsidR="00246BB9">
        <w:t xml:space="preserve">ntity and EIM </w:t>
      </w:r>
      <w:r w:rsidR="002556CA">
        <w:t xml:space="preserve">Entity </w:t>
      </w:r>
      <w:r w:rsidR="00246BB9">
        <w:t xml:space="preserve">Scheduling Coordinator </w:t>
      </w:r>
      <w:r w:rsidR="0008639E">
        <w:t>approved</w:t>
      </w:r>
      <w:r w:rsidR="0008639E" w:rsidRPr="005F0022">
        <w:t xml:space="preserve"> </w:t>
      </w:r>
      <w:r w:rsidR="008B53E8">
        <w:t>O</w:t>
      </w:r>
      <w:r w:rsidR="00246BB9">
        <w:t>utage requests and revisions must meet the minimum data requirements of th</w:t>
      </w:r>
      <w:r w:rsidR="00AB3A96">
        <w:t xml:space="preserve">e </w:t>
      </w:r>
      <w:r>
        <w:t xml:space="preserve">CAISO </w:t>
      </w:r>
      <w:r w:rsidRPr="00F51FA9">
        <w:t>outage management system</w:t>
      </w:r>
      <w:r w:rsidR="002D59D5">
        <w:t>.  If an O</w:t>
      </w:r>
      <w:r w:rsidR="00246BB9">
        <w:t>utage request or revisi</w:t>
      </w:r>
      <w:r w:rsidR="00AB3A96">
        <w:t>on passes that validation, the O</w:t>
      </w:r>
      <w:r w:rsidR="00246BB9">
        <w:t>utage will automatically</w:t>
      </w:r>
      <w:r w:rsidR="00C83D09">
        <w:t xml:space="preserve"> be</w:t>
      </w:r>
      <w:r w:rsidR="00246BB9">
        <w:t xml:space="preserve"> processed and passed to the market systems without </w:t>
      </w:r>
      <w:r w:rsidR="00807FB3">
        <w:t xml:space="preserve">the </w:t>
      </w:r>
      <w:r w:rsidR="00246BB9">
        <w:t xml:space="preserve">CAISO OCO review or revision.  </w:t>
      </w:r>
    </w:p>
    <w:p w14:paraId="2CF323FF" w14:textId="77777777" w:rsidR="00246BB9" w:rsidRDefault="00246BB9" w:rsidP="006F6DD6">
      <w:pPr>
        <w:pStyle w:val="Heading3"/>
        <w:spacing w:line="300" w:lineRule="auto"/>
      </w:pPr>
      <w:bookmarkStart w:id="176" w:name="_Toc386180526"/>
      <w:bookmarkStart w:id="177" w:name="_Toc386181219"/>
      <w:bookmarkStart w:id="178" w:name="_Toc386180527"/>
      <w:bookmarkStart w:id="179" w:name="_Toc386181220"/>
      <w:bookmarkStart w:id="180" w:name="_Toc386180528"/>
      <w:bookmarkStart w:id="181" w:name="_Toc386181221"/>
      <w:bookmarkStart w:id="182" w:name="_Toc386180529"/>
      <w:bookmarkStart w:id="183" w:name="_Toc386181222"/>
      <w:bookmarkStart w:id="184" w:name="_Toc386180530"/>
      <w:bookmarkStart w:id="185" w:name="_Toc386181223"/>
      <w:bookmarkStart w:id="186" w:name="_Toc386180531"/>
      <w:bookmarkStart w:id="187" w:name="_Toc386181224"/>
      <w:bookmarkStart w:id="188" w:name="_Toc386180532"/>
      <w:bookmarkStart w:id="189" w:name="_Toc386181225"/>
      <w:bookmarkStart w:id="190" w:name="_Toc386182113"/>
      <w:bookmarkStart w:id="191" w:name="_Toc389662589"/>
      <w:bookmarkStart w:id="192" w:name="_Toc390946272"/>
      <w:bookmarkStart w:id="193" w:name="_Toc391969833"/>
      <w:bookmarkStart w:id="194" w:name="_Toc46032043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Withdrawal or Modification of Request</w:t>
      </w:r>
      <w:bookmarkEnd w:id="190"/>
      <w:bookmarkEnd w:id="191"/>
      <w:bookmarkEnd w:id="192"/>
      <w:bookmarkEnd w:id="193"/>
      <w:bookmarkEnd w:id="194"/>
    </w:p>
    <w:p w14:paraId="06B8C41C" w14:textId="13CC18D0" w:rsidR="00246BB9" w:rsidRDefault="00246BB9" w:rsidP="006F6DD6">
      <w:pPr>
        <w:pStyle w:val="ParaText"/>
      </w:pPr>
      <w:r>
        <w:t>Th</w:t>
      </w:r>
      <w:r w:rsidR="00563036">
        <w:t>e EIM E</w:t>
      </w:r>
      <w:r>
        <w:t xml:space="preserve">ntity and EIM </w:t>
      </w:r>
      <w:r w:rsidR="002556CA">
        <w:t xml:space="preserve">Entity </w:t>
      </w:r>
      <w:r>
        <w:t>Scheduling Coordinator may withdraw an Outage at any time prior to actual commencement of the Outage.  Outage modifications can be made via th</w:t>
      </w:r>
      <w:r w:rsidR="00AB3A96">
        <w:t xml:space="preserve">e CAISO </w:t>
      </w:r>
      <w:r w:rsidR="00B722C6">
        <w:t>o</w:t>
      </w:r>
      <w:r w:rsidR="000D1AA1">
        <w:t xml:space="preserve">utage </w:t>
      </w:r>
      <w:r w:rsidR="00B722C6">
        <w:t>m</w:t>
      </w:r>
      <w:r w:rsidR="000D1AA1">
        <w:t xml:space="preserve">anagement </w:t>
      </w:r>
      <w:r w:rsidR="00B722C6">
        <w:t>s</w:t>
      </w:r>
      <w:r w:rsidR="000D1AA1">
        <w:t>ystem</w:t>
      </w:r>
      <w:r>
        <w:t xml:space="preserve"> and will automatically</w:t>
      </w:r>
      <w:r w:rsidR="00C83D09">
        <w:t xml:space="preserve"> be</w:t>
      </w:r>
      <w:r>
        <w:t xml:space="preserve"> processed if all data entries are valid.  </w:t>
      </w:r>
    </w:p>
    <w:p w14:paraId="79480ACF" w14:textId="77777777" w:rsidR="00246BB9" w:rsidRDefault="00246BB9" w:rsidP="006F6DD6">
      <w:pPr>
        <w:pStyle w:val="Heading3"/>
        <w:spacing w:line="300" w:lineRule="auto"/>
      </w:pPr>
      <w:bookmarkStart w:id="195" w:name="_Toc386180534"/>
      <w:bookmarkStart w:id="196" w:name="_Toc386181227"/>
      <w:bookmarkStart w:id="197" w:name="_Toc386180535"/>
      <w:bookmarkStart w:id="198" w:name="_Toc386181228"/>
      <w:bookmarkStart w:id="199" w:name="_Toc386180536"/>
      <w:bookmarkStart w:id="200" w:name="_Toc386181229"/>
      <w:bookmarkStart w:id="201" w:name="_Toc386180537"/>
      <w:bookmarkStart w:id="202" w:name="_Toc386181230"/>
      <w:bookmarkStart w:id="203" w:name="_Toc386180538"/>
      <w:bookmarkStart w:id="204" w:name="_Toc386181231"/>
      <w:bookmarkStart w:id="205" w:name="_Toc386180539"/>
      <w:bookmarkStart w:id="206" w:name="_Toc386181232"/>
      <w:bookmarkStart w:id="207" w:name="_Toc386182116"/>
      <w:bookmarkStart w:id="208" w:name="_Toc389662590"/>
      <w:bookmarkStart w:id="209" w:name="_Toc390946273"/>
      <w:bookmarkStart w:id="210" w:name="_Toc391969834"/>
      <w:bookmarkStart w:id="211" w:name="_Toc460320440"/>
      <w:bookmarkEnd w:id="195"/>
      <w:bookmarkEnd w:id="196"/>
      <w:bookmarkEnd w:id="197"/>
      <w:bookmarkEnd w:id="198"/>
      <w:bookmarkEnd w:id="199"/>
      <w:bookmarkEnd w:id="200"/>
      <w:bookmarkEnd w:id="201"/>
      <w:bookmarkEnd w:id="202"/>
      <w:bookmarkEnd w:id="203"/>
      <w:bookmarkEnd w:id="204"/>
      <w:bookmarkEnd w:id="205"/>
      <w:bookmarkEnd w:id="206"/>
      <w:r>
        <w:t>Changes to Planned Maintenance Outages</w:t>
      </w:r>
      <w:bookmarkEnd w:id="207"/>
      <w:bookmarkEnd w:id="208"/>
      <w:bookmarkEnd w:id="209"/>
      <w:bookmarkEnd w:id="210"/>
      <w:bookmarkEnd w:id="211"/>
    </w:p>
    <w:p w14:paraId="5BD3A095" w14:textId="77777777" w:rsidR="007C3DB7" w:rsidRPr="007C3DB7" w:rsidRDefault="00246BB9" w:rsidP="00121D83">
      <w:pPr>
        <w:pStyle w:val="ParaText"/>
      </w:pPr>
      <w:r w:rsidRPr="00CA517E">
        <w:t xml:space="preserve">The </w:t>
      </w:r>
      <w:r w:rsidR="00563036" w:rsidRPr="00CA517E">
        <w:t>EIM E</w:t>
      </w:r>
      <w:r w:rsidRPr="00CA517E">
        <w:t xml:space="preserve">ntity or EIM </w:t>
      </w:r>
      <w:r w:rsidR="00304DFF">
        <w:t xml:space="preserve">Entity </w:t>
      </w:r>
      <w:r w:rsidRPr="00CA517E">
        <w:t xml:space="preserve">Scheduling Coordinator may cancel a previously approved planned Maintenance Outage or submit a request to change a previously approved planned Maintenance Outage at any time prior to the </w:t>
      </w:r>
      <w:r w:rsidR="00807FB3" w:rsidRPr="00CA517E">
        <w:t>O</w:t>
      </w:r>
      <w:r w:rsidRPr="00CA517E">
        <w:t xml:space="preserve">utage start. Requests for such changes must include the information required and be in accordance with </w:t>
      </w:r>
      <w:r w:rsidR="00807FB3" w:rsidRPr="00CA517E">
        <w:t xml:space="preserve">the </w:t>
      </w:r>
      <w:r w:rsidR="003470BD" w:rsidRPr="00CA517E">
        <w:t>E</w:t>
      </w:r>
      <w:r w:rsidR="008B53E8">
        <w:t>IM O</w:t>
      </w:r>
      <w:r w:rsidR="003470BD" w:rsidRPr="00CA517E">
        <w:t>utage request</w:t>
      </w:r>
      <w:r w:rsidR="00021E09" w:rsidRPr="00CA517E">
        <w:t xml:space="preserve"> </w:t>
      </w:r>
      <w:r w:rsidRPr="00CA517E">
        <w:t>timing requirements</w:t>
      </w:r>
      <w:r w:rsidR="002D2099">
        <w:t xml:space="preserve"> which are consistent with the CAISO </w:t>
      </w:r>
      <w:hyperlink r:id="rId162" w:history="1">
        <w:r w:rsidR="002D2099" w:rsidRPr="0028240E">
          <w:rPr>
            <w:rStyle w:val="Hyperlink"/>
            <w:b/>
          </w:rPr>
          <w:t>BPM for Outage Management</w:t>
        </w:r>
      </w:hyperlink>
      <w:r w:rsidR="003470BD" w:rsidRPr="00CA517E">
        <w:t>.</w:t>
      </w:r>
      <w:r w:rsidR="008B53E8">
        <w:t xml:space="preserve"> Requests to cancel an Outage after the O</w:t>
      </w:r>
      <w:r w:rsidRPr="00CA517E">
        <w:t>utage start date and time have passed are not al</w:t>
      </w:r>
      <w:r w:rsidR="008B53E8">
        <w:t>lowed.  In that situation, the O</w:t>
      </w:r>
      <w:r w:rsidRPr="00CA517E">
        <w:t>utage must be returned to</w:t>
      </w:r>
      <w:r w:rsidR="008B53E8">
        <w:t xml:space="preserve"> service even if no O</w:t>
      </w:r>
      <w:r w:rsidRPr="00CA517E">
        <w:t xml:space="preserve">utage activity actually occurred.  </w:t>
      </w:r>
    </w:p>
    <w:p w14:paraId="60C457DB" w14:textId="77777777" w:rsidR="00944D06" w:rsidRDefault="00944D06" w:rsidP="006F6DD6">
      <w:pPr>
        <w:pStyle w:val="Heading2"/>
        <w:spacing w:line="300" w:lineRule="auto"/>
      </w:pPr>
      <w:bookmarkStart w:id="212" w:name="_Toc389662591"/>
      <w:bookmarkStart w:id="213" w:name="_Toc390946274"/>
      <w:bookmarkStart w:id="214" w:name="_Toc391969835"/>
      <w:bookmarkStart w:id="215" w:name="_Toc460320441"/>
      <w:r>
        <w:t>Management of Forced Outages</w:t>
      </w:r>
      <w:bookmarkEnd w:id="212"/>
      <w:bookmarkEnd w:id="213"/>
      <w:bookmarkEnd w:id="214"/>
      <w:bookmarkEnd w:id="215"/>
    </w:p>
    <w:p w14:paraId="676B63B1" w14:textId="77777777" w:rsidR="00944D06" w:rsidRPr="00586DE0" w:rsidRDefault="00944D06" w:rsidP="006F6DD6">
      <w:pPr>
        <w:pStyle w:val="ParaText"/>
      </w:pPr>
      <w:r w:rsidRPr="00586DE0">
        <w:t xml:space="preserve">In the </w:t>
      </w:r>
      <w:r w:rsidRPr="00586DE0">
        <w:rPr>
          <w:i/>
        </w:rPr>
        <w:t xml:space="preserve">Management of Forced Outages </w:t>
      </w:r>
      <w:r w:rsidR="00021E09" w:rsidRPr="00586DE0">
        <w:t>S</w:t>
      </w:r>
      <w:r w:rsidRPr="00586DE0">
        <w:t>ection you will find the following information:</w:t>
      </w:r>
    </w:p>
    <w:p w14:paraId="1DDC762A" w14:textId="77777777" w:rsidR="000C542A" w:rsidRPr="00A222A7" w:rsidRDefault="00944D06" w:rsidP="00877DDB">
      <w:pPr>
        <w:pStyle w:val="Bullet1HRt"/>
        <w:numPr>
          <w:ilvl w:val="0"/>
          <w:numId w:val="44"/>
        </w:numPr>
        <w:spacing w:after="160" w:line="259" w:lineRule="auto"/>
      </w:pPr>
      <w:r w:rsidRPr="00586DE0">
        <w:lastRenderedPageBreak/>
        <w:t>A description of how</w:t>
      </w:r>
      <w:r w:rsidR="004B4ED2">
        <w:t xml:space="preserve"> EIM a</w:t>
      </w:r>
      <w:r w:rsidR="00FB30B2" w:rsidRPr="00586DE0">
        <w:t>pproved</w:t>
      </w:r>
      <w:r w:rsidRPr="00586DE0">
        <w:t xml:space="preserve"> Forced Outages</w:t>
      </w:r>
      <w:r w:rsidR="00FB30B2" w:rsidRPr="00586DE0">
        <w:t xml:space="preserve"> or an </w:t>
      </w:r>
      <w:r w:rsidR="00F73DA7" w:rsidRPr="00586DE0">
        <w:t>extension</w:t>
      </w:r>
      <w:r w:rsidR="004B4ED2">
        <w:t xml:space="preserve"> of an a</w:t>
      </w:r>
      <w:r w:rsidR="00FB30B2" w:rsidRPr="00586DE0">
        <w:t>pproved Maintenance Outage</w:t>
      </w:r>
      <w:r w:rsidRPr="00586DE0">
        <w:t xml:space="preserve"> </w:t>
      </w:r>
      <w:r w:rsidR="00FB30B2" w:rsidRPr="00586DE0">
        <w:t>is</w:t>
      </w:r>
      <w:r w:rsidR="00586DE0" w:rsidRPr="00586DE0">
        <w:t xml:space="preserve"> </w:t>
      </w:r>
      <w:r w:rsidRPr="00586DE0">
        <w:t xml:space="preserve">processed in the </w:t>
      </w:r>
      <w:r w:rsidR="00B53E8D">
        <w:t xml:space="preserve">CAISO </w:t>
      </w:r>
      <w:r w:rsidR="00B53E8D" w:rsidRPr="00F51FA9">
        <w:t>outage management system</w:t>
      </w:r>
      <w:r w:rsidRPr="00586DE0">
        <w:t>.</w:t>
      </w:r>
    </w:p>
    <w:p w14:paraId="2DADDC36" w14:textId="77777777" w:rsidR="00BF79A2" w:rsidRPr="00BF79A2" w:rsidRDefault="00BF79A2" w:rsidP="006F6DD6">
      <w:pPr>
        <w:pStyle w:val="Heading3"/>
        <w:spacing w:line="300" w:lineRule="auto"/>
      </w:pPr>
      <w:bookmarkStart w:id="216" w:name="_Toc390267999"/>
      <w:bookmarkStart w:id="217" w:name="_Toc390268130"/>
      <w:bookmarkStart w:id="218" w:name="_Toc390352488"/>
      <w:bookmarkStart w:id="219" w:name="_Toc390353465"/>
      <w:bookmarkStart w:id="220" w:name="_Toc390355415"/>
      <w:bookmarkStart w:id="221" w:name="_Toc390436079"/>
      <w:bookmarkStart w:id="222" w:name="_Toc390673370"/>
      <w:bookmarkStart w:id="223" w:name="_Toc390689644"/>
      <w:bookmarkStart w:id="224" w:name="_Toc390696648"/>
      <w:bookmarkStart w:id="225" w:name="_Toc390759662"/>
      <w:bookmarkStart w:id="226" w:name="_Toc390764418"/>
      <w:bookmarkStart w:id="227" w:name="_Toc390765943"/>
      <w:bookmarkStart w:id="228" w:name="_Toc390778412"/>
      <w:bookmarkStart w:id="229" w:name="_Toc390779390"/>
      <w:bookmarkStart w:id="230" w:name="_Toc390782203"/>
      <w:bookmarkStart w:id="231" w:name="_Toc390871675"/>
      <w:bookmarkStart w:id="232" w:name="_Toc390871732"/>
      <w:bookmarkStart w:id="233" w:name="_Toc390871789"/>
      <w:bookmarkStart w:id="234" w:name="_Toc389662592"/>
      <w:bookmarkStart w:id="235" w:name="_Toc390946275"/>
      <w:bookmarkStart w:id="236" w:name="_Toc391969836"/>
      <w:bookmarkStart w:id="237" w:name="_Toc46032044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Forced Outages</w:t>
      </w:r>
      <w:bookmarkEnd w:id="234"/>
      <w:bookmarkEnd w:id="235"/>
      <w:bookmarkEnd w:id="236"/>
      <w:bookmarkEnd w:id="237"/>
    </w:p>
    <w:p w14:paraId="01E5CAE1" w14:textId="77777777" w:rsidR="000C542A" w:rsidRDefault="00BF79A2" w:rsidP="00BA2E6E">
      <w:pPr>
        <w:rPr>
          <w:b/>
        </w:rPr>
      </w:pPr>
      <w:r w:rsidRPr="00BA2E6E">
        <w:rPr>
          <w:b/>
        </w:rPr>
        <w:t>Outage Scheduling</w:t>
      </w:r>
    </w:p>
    <w:p w14:paraId="67A4C33F" w14:textId="35890CB9" w:rsidR="00586DE0" w:rsidRDefault="00BF79A2" w:rsidP="003C15E3">
      <w:pPr>
        <w:pStyle w:val="ParaText"/>
      </w:pPr>
      <w:r>
        <w:t xml:space="preserve">If the EIM Entity or the EIM </w:t>
      </w:r>
      <w:r w:rsidR="002556CA">
        <w:t xml:space="preserve">Entity </w:t>
      </w:r>
      <w:r>
        <w:t xml:space="preserve">Scheduling Coordinator submits a new </w:t>
      </w:r>
      <w:r w:rsidR="004B4ED2">
        <w:t>a</w:t>
      </w:r>
      <w:r w:rsidR="00FB30B2">
        <w:t xml:space="preserve">pproved </w:t>
      </w:r>
      <w:r>
        <w:t>Maintena</w:t>
      </w:r>
      <w:r w:rsidR="004B4ED2">
        <w:t>nce Outage or a revision to an a</w:t>
      </w:r>
      <w:r>
        <w:t>pp</w:t>
      </w:r>
      <w:r w:rsidR="009D507A">
        <w:t xml:space="preserve">roved Maintenance Outage to </w:t>
      </w:r>
      <w:r w:rsidR="008B53E8">
        <w:t xml:space="preserve">CAISO via the </w:t>
      </w:r>
      <w:r w:rsidR="00B722C6">
        <w:t>o</w:t>
      </w:r>
      <w:r w:rsidR="006D77FD">
        <w:t xml:space="preserve">utage </w:t>
      </w:r>
      <w:r w:rsidR="00B722C6">
        <w:t>m</w:t>
      </w:r>
      <w:r w:rsidR="006D77FD">
        <w:t xml:space="preserve">anagement </w:t>
      </w:r>
      <w:r w:rsidR="00B722C6">
        <w:t>s</w:t>
      </w:r>
      <w:r w:rsidR="00A15299">
        <w:t>ystem less than</w:t>
      </w:r>
      <w:r w:rsidR="00FA72A3">
        <w:t xml:space="preserve"> seven d</w:t>
      </w:r>
      <w:r>
        <w:t>ays prior to the start date of the proposed Outage</w:t>
      </w:r>
      <w:r w:rsidR="00FA72A3">
        <w:t>,</w:t>
      </w:r>
      <w:r>
        <w:t xml:space="preserve"> the </w:t>
      </w:r>
      <w:r w:rsidR="00021E09">
        <w:t>O</w:t>
      </w:r>
      <w:r>
        <w:t xml:space="preserve">utage will be a Forced </w:t>
      </w:r>
      <w:r w:rsidR="00021E09">
        <w:t>O</w:t>
      </w:r>
      <w:r>
        <w:t xml:space="preserve">utage. </w:t>
      </w:r>
      <w:r w:rsidR="003648B6">
        <w:t xml:space="preserve">The timely submission of </w:t>
      </w:r>
      <w:r w:rsidR="007C4B4F">
        <w:t>outages directly</w:t>
      </w:r>
      <w:r w:rsidR="003648B6">
        <w:t xml:space="preserve"> impact</w:t>
      </w:r>
      <w:r w:rsidR="007C7018">
        <w:t>s</w:t>
      </w:r>
      <w:r w:rsidR="003648B6">
        <w:t xml:space="preserve"> the network topology configuration, availability of the electrically connected resources, and/or the MW dispatch range of the available resources. Delays in submission of the forced outage information may result inaccurate real-time imbalance calculation for the look–ahead market intervals, and as a result price signals that may not represent the actual system conditions. Therefore, the timing requirements for submission of forced outages in the EIM entity BAA is set </w:t>
      </w:r>
      <w:r w:rsidR="003648B6" w:rsidRPr="00CA517E">
        <w:t xml:space="preserve">in accordance with the </w:t>
      </w:r>
      <w:r w:rsidR="00345B05">
        <w:t xml:space="preserve">timing required for CAISO as described by the </w:t>
      </w:r>
      <w:hyperlink r:id="rId163" w:history="1">
        <w:r w:rsidR="00345B05" w:rsidRPr="00345B05">
          <w:rPr>
            <w:rStyle w:val="Hyperlink"/>
            <w:b/>
          </w:rPr>
          <w:t>BPM for Outage Management</w:t>
        </w:r>
      </w:hyperlink>
      <w:r w:rsidR="00345B05">
        <w:t xml:space="preserve">, which is currently set at 60 minutes after the </w:t>
      </w:r>
      <w:r w:rsidR="001A5070">
        <w:t>occurrence</w:t>
      </w:r>
      <w:r w:rsidR="00345B05">
        <w:t xml:space="preserve"> of the outage.</w:t>
      </w:r>
    </w:p>
    <w:p w14:paraId="36E339DB" w14:textId="77777777" w:rsidR="00BF79A2" w:rsidRDefault="00BF79A2" w:rsidP="003C15E3">
      <w:pPr>
        <w:pStyle w:val="ParaText"/>
      </w:pPr>
      <w:r w:rsidRPr="00304DFF">
        <w:rPr>
          <w:rFonts w:cs="Arial"/>
          <w:b/>
        </w:rPr>
        <w:t>Note:</w:t>
      </w:r>
      <w:r>
        <w:rPr>
          <w:rFonts w:cs="Arial"/>
        </w:rPr>
        <w:t xml:space="preserve"> The determination of seven</w:t>
      </w:r>
      <w:r w:rsidR="00021E09">
        <w:rPr>
          <w:rFonts w:cs="Arial"/>
        </w:rPr>
        <w:t>-</w:t>
      </w:r>
      <w:r>
        <w:rPr>
          <w:rFonts w:cs="Arial"/>
        </w:rPr>
        <w:t xml:space="preserve">day prior notice excludes the date of submission and the date of the </w:t>
      </w:r>
      <w:r w:rsidR="00021E09">
        <w:rPr>
          <w:rFonts w:cs="Arial"/>
        </w:rPr>
        <w:t>O</w:t>
      </w:r>
      <w:r>
        <w:rPr>
          <w:rFonts w:cs="Arial"/>
        </w:rPr>
        <w:t xml:space="preserve">utage. </w:t>
      </w:r>
      <w:r>
        <w:t xml:space="preserve"> </w:t>
      </w:r>
      <w:bookmarkStart w:id="238" w:name="_Toc386180544"/>
      <w:bookmarkStart w:id="239" w:name="_Toc386181237"/>
      <w:bookmarkStart w:id="240" w:name="_Toc386180545"/>
      <w:bookmarkStart w:id="241" w:name="_Toc386181238"/>
      <w:bookmarkStart w:id="242" w:name="_Toc138120529"/>
      <w:bookmarkStart w:id="243" w:name="_Toc138491748"/>
      <w:bookmarkStart w:id="244" w:name="_Toc386180546"/>
      <w:bookmarkStart w:id="245" w:name="_Toc386181239"/>
      <w:bookmarkStart w:id="246" w:name="_Toc386180547"/>
      <w:bookmarkStart w:id="247" w:name="_Toc386181240"/>
      <w:bookmarkEnd w:id="238"/>
      <w:bookmarkEnd w:id="239"/>
      <w:bookmarkEnd w:id="240"/>
      <w:bookmarkEnd w:id="241"/>
      <w:bookmarkEnd w:id="242"/>
      <w:bookmarkEnd w:id="243"/>
      <w:bookmarkEnd w:id="244"/>
      <w:bookmarkEnd w:id="245"/>
      <w:bookmarkEnd w:id="246"/>
      <w:bookmarkEnd w:id="247"/>
    </w:p>
    <w:p w14:paraId="462F5B9A" w14:textId="77777777" w:rsidR="00BF79A2" w:rsidRDefault="00BF79A2" w:rsidP="006F6DD6">
      <w:pPr>
        <w:pStyle w:val="Heading3"/>
        <w:spacing w:line="300" w:lineRule="auto"/>
      </w:pPr>
      <w:bookmarkStart w:id="248" w:name="_Toc386182123"/>
      <w:bookmarkStart w:id="249" w:name="_Toc389662594"/>
      <w:bookmarkStart w:id="250" w:name="_Toc390946276"/>
      <w:bookmarkStart w:id="251" w:name="_Toc391969837"/>
      <w:bookmarkStart w:id="252" w:name="_Toc460320443"/>
      <w:r>
        <w:t>Extended Scheduled Outage</w:t>
      </w:r>
      <w:bookmarkEnd w:id="248"/>
      <w:bookmarkEnd w:id="249"/>
      <w:bookmarkEnd w:id="250"/>
      <w:bookmarkEnd w:id="251"/>
      <w:bookmarkEnd w:id="252"/>
    </w:p>
    <w:p w14:paraId="21DA0301" w14:textId="77777777" w:rsidR="00BF79A2" w:rsidRDefault="00563036" w:rsidP="006F6DD6">
      <w:pPr>
        <w:pStyle w:val="ParaText"/>
      </w:pPr>
      <w:r>
        <w:t>If the EIM E</w:t>
      </w:r>
      <w:r w:rsidR="00BF79A2">
        <w:t xml:space="preserve">ntity or the EIM </w:t>
      </w:r>
      <w:r w:rsidR="002556CA">
        <w:t xml:space="preserve">Entity </w:t>
      </w:r>
      <w:r w:rsidR="00BF79A2">
        <w:t>Scheduling Coordinator wishes to continue to perform maintenance work beyond the date and time</w:t>
      </w:r>
      <w:r w:rsidR="004B4ED2">
        <w:t xml:space="preserve"> specified in an a</w:t>
      </w:r>
      <w:r w:rsidR="00BF79A2">
        <w:t>pproved Maintenance Outage, the Owner may submit a</w:t>
      </w:r>
      <w:r w:rsidR="00FB30B2">
        <w:t xml:space="preserve">n approved revision </w:t>
      </w:r>
      <w:r w:rsidR="004B4ED2">
        <w:t>to extend the a</w:t>
      </w:r>
      <w:r w:rsidR="00BF79A2">
        <w:t xml:space="preserve">pproved Maintenance Outage. </w:t>
      </w:r>
    </w:p>
    <w:p w14:paraId="43B211F5" w14:textId="77777777" w:rsidR="00BF79A2" w:rsidRDefault="00BF79A2" w:rsidP="006F6DD6">
      <w:pPr>
        <w:pStyle w:val="Heading2"/>
        <w:spacing w:line="300" w:lineRule="auto"/>
      </w:pPr>
      <w:bookmarkStart w:id="253" w:name="_Toc386182124"/>
      <w:bookmarkStart w:id="254" w:name="_Toc389662595"/>
      <w:bookmarkStart w:id="255" w:name="_Toc390946277"/>
      <w:bookmarkStart w:id="256" w:name="_Toc391969838"/>
      <w:bookmarkStart w:id="257" w:name="_Toc460320444"/>
      <w:r>
        <w:t>Communication of Maintenance Outage Information</w:t>
      </w:r>
      <w:bookmarkEnd w:id="253"/>
      <w:bookmarkEnd w:id="254"/>
      <w:bookmarkEnd w:id="255"/>
      <w:bookmarkEnd w:id="256"/>
      <w:bookmarkEnd w:id="257"/>
    </w:p>
    <w:p w14:paraId="2167C09E" w14:textId="77777777" w:rsidR="00BF79A2" w:rsidRDefault="00BF79A2" w:rsidP="006F6DD6">
      <w:pPr>
        <w:pStyle w:val="ParaText"/>
      </w:pPr>
      <w:r>
        <w:t xml:space="preserve">In the </w:t>
      </w:r>
      <w:r>
        <w:rPr>
          <w:i/>
        </w:rPr>
        <w:t>Communication of Maintenance Outage Information</w:t>
      </w:r>
      <w:r>
        <w:t xml:space="preserve"> </w:t>
      </w:r>
      <w:r w:rsidR="00021E09">
        <w:t>S</w:t>
      </w:r>
      <w:r>
        <w:t>ection you will find the following information:</w:t>
      </w:r>
    </w:p>
    <w:p w14:paraId="2455345C" w14:textId="77777777" w:rsidR="00BF79A2" w:rsidRDefault="00BF79A2" w:rsidP="00877DDB">
      <w:pPr>
        <w:pStyle w:val="Bullet1HRt"/>
        <w:numPr>
          <w:ilvl w:val="0"/>
          <w:numId w:val="47"/>
        </w:numPr>
        <w:spacing w:after="160" w:line="259" w:lineRule="auto"/>
      </w:pPr>
      <w:r>
        <w:t>A description of the need for a single point of contact for communication purposes</w:t>
      </w:r>
      <w:r w:rsidR="00AA3392">
        <w:t>.</w:t>
      </w:r>
    </w:p>
    <w:p w14:paraId="73C6616B" w14:textId="77777777" w:rsidR="00BF79A2" w:rsidRDefault="00BF79A2" w:rsidP="00877DDB">
      <w:pPr>
        <w:pStyle w:val="Bullet1HRt"/>
        <w:numPr>
          <w:ilvl w:val="0"/>
          <w:numId w:val="47"/>
        </w:numPr>
        <w:spacing w:after="160" w:line="259" w:lineRule="auto"/>
      </w:pPr>
      <w:r>
        <w:lastRenderedPageBreak/>
        <w:t>A description of methods of communication to be used as a part of the Outage Management business processes</w:t>
      </w:r>
      <w:r w:rsidR="00AA3392">
        <w:t>.</w:t>
      </w:r>
    </w:p>
    <w:p w14:paraId="1C944853" w14:textId="006E6741" w:rsidR="00BF79A2" w:rsidRDefault="00BF79A2" w:rsidP="00877DDB">
      <w:pPr>
        <w:pStyle w:val="Bullet1HRt"/>
        <w:numPr>
          <w:ilvl w:val="0"/>
          <w:numId w:val="47"/>
        </w:numPr>
        <w:spacing w:after="160" w:line="259" w:lineRule="auto"/>
      </w:pPr>
      <w:r>
        <w:t xml:space="preserve">A brief description of the </w:t>
      </w:r>
      <w:r w:rsidR="00C70DF4">
        <w:t>o</w:t>
      </w:r>
      <w:r w:rsidR="008B53E8">
        <w:t xml:space="preserve">utage </w:t>
      </w:r>
      <w:r w:rsidR="00C70DF4">
        <w:t>m</w:t>
      </w:r>
      <w:r w:rsidR="008B53E8">
        <w:t xml:space="preserve">anagement </w:t>
      </w:r>
      <w:r w:rsidR="00C70DF4">
        <w:t>s</w:t>
      </w:r>
      <w:r>
        <w:t>ystem</w:t>
      </w:r>
      <w:r w:rsidR="00AA3392">
        <w:t>.</w:t>
      </w:r>
    </w:p>
    <w:p w14:paraId="7FA754C4" w14:textId="77777777" w:rsidR="005D71B5" w:rsidRDefault="00FA72A3" w:rsidP="006F6DD6">
      <w:pPr>
        <w:pStyle w:val="ParaText"/>
      </w:pPr>
      <w:r>
        <w:t xml:space="preserve">Refer </w:t>
      </w:r>
      <w:r w:rsidR="00C33986">
        <w:t>to Tariff</w:t>
      </w:r>
      <w:r w:rsidR="00BF79A2">
        <w:t xml:space="preserve"> Sections 9.3.4</w:t>
      </w:r>
      <w:r w:rsidR="00C83D09">
        <w:t>:</w:t>
      </w:r>
      <w:r w:rsidR="00BF79A2">
        <w:t xml:space="preserve"> </w:t>
      </w:r>
      <w:r w:rsidR="00BF79A2" w:rsidRPr="00304DFF">
        <w:rPr>
          <w:i/>
        </w:rPr>
        <w:t>Single Point of Contact</w:t>
      </w:r>
      <w:r w:rsidR="00BF79A2">
        <w:t xml:space="preserve"> and 9.3.5</w:t>
      </w:r>
      <w:r w:rsidR="00C83D09">
        <w:t>:</w:t>
      </w:r>
      <w:r w:rsidR="00BF79A2">
        <w:t xml:space="preserve"> </w:t>
      </w:r>
      <w:r w:rsidR="00BF79A2" w:rsidRPr="00D468F4">
        <w:rPr>
          <w:i/>
        </w:rPr>
        <w:t>Method of Communication</w:t>
      </w:r>
      <w:r>
        <w:t>.</w:t>
      </w:r>
    </w:p>
    <w:p w14:paraId="516BE162" w14:textId="77777777" w:rsidR="00BF79A2" w:rsidRDefault="00BF79A2" w:rsidP="006F6DD6">
      <w:pPr>
        <w:pStyle w:val="Heading3"/>
        <w:spacing w:line="300" w:lineRule="auto"/>
      </w:pPr>
      <w:bookmarkStart w:id="258" w:name="_Toc386182125"/>
      <w:bookmarkStart w:id="259" w:name="_Toc389662596"/>
      <w:bookmarkStart w:id="260" w:name="_Toc390946278"/>
      <w:bookmarkStart w:id="261" w:name="_Toc391969839"/>
      <w:bookmarkStart w:id="262" w:name="_Toc460320445"/>
      <w:r>
        <w:t>Single Point of Contact</w:t>
      </w:r>
      <w:bookmarkEnd w:id="258"/>
      <w:bookmarkEnd w:id="259"/>
      <w:bookmarkEnd w:id="260"/>
      <w:bookmarkEnd w:id="261"/>
      <w:bookmarkEnd w:id="262"/>
    </w:p>
    <w:p w14:paraId="32B241F2" w14:textId="77777777" w:rsidR="00BF79A2" w:rsidRDefault="00BF79A2" w:rsidP="008C1485">
      <w:pPr>
        <w:pStyle w:val="ParaText"/>
      </w:pPr>
      <w:r>
        <w:t xml:space="preserve">All </w:t>
      </w:r>
      <w:r w:rsidR="00D103BB" w:rsidRPr="00DD49CC">
        <w:t>EIM Entity Scheduling Coordinator</w:t>
      </w:r>
      <w:r w:rsidR="00D103BB">
        <w:t xml:space="preserve"> </w:t>
      </w:r>
      <w:r>
        <w:t xml:space="preserve">communications concerning </w:t>
      </w:r>
      <w:r w:rsidR="00D103BB">
        <w:t>the</w:t>
      </w:r>
      <w:r w:rsidR="00D103BB" w:rsidRPr="00DD49CC">
        <w:t xml:space="preserve"> notice of</w:t>
      </w:r>
      <w:r w:rsidR="00D103BB">
        <w:t xml:space="preserve"> an approved</w:t>
      </w:r>
      <w:r w:rsidR="00D103BB" w:rsidRPr="00DD49CC">
        <w:t xml:space="preserve"> transmission</w:t>
      </w:r>
      <w:r w:rsidR="00D103BB">
        <w:t xml:space="preserve"> and generation </w:t>
      </w:r>
      <w:r w:rsidR="008B53E8">
        <w:t>O</w:t>
      </w:r>
      <w:r w:rsidR="00D103BB">
        <w:t xml:space="preserve">utage </w:t>
      </w:r>
      <w:r w:rsidR="004B4ED2">
        <w:t>or to confirm or change an a</w:t>
      </w:r>
      <w:r>
        <w:t xml:space="preserve">pproved Maintenance Outage must occur between CAISO and the designated single point of contact for each </w:t>
      </w:r>
      <w:r w:rsidR="00D103BB">
        <w:t xml:space="preserve">EIM </w:t>
      </w:r>
      <w:r w:rsidR="00F73DA7">
        <w:t>Entity</w:t>
      </w:r>
      <w:r>
        <w:t xml:space="preserve">. The </w:t>
      </w:r>
      <w:r w:rsidR="00D103BB">
        <w:t xml:space="preserve">EIM </w:t>
      </w:r>
      <w:r w:rsidR="00F73DA7">
        <w:t>Entity</w:t>
      </w:r>
      <w:r>
        <w:t xml:space="preserve"> must provide in its initial </w:t>
      </w:r>
      <w:r w:rsidR="008B53E8">
        <w:t>O</w:t>
      </w:r>
      <w:r w:rsidR="00D103BB">
        <w:t xml:space="preserve">utage notification </w:t>
      </w:r>
      <w:r>
        <w:t xml:space="preserve">and any subsequent changes to its Master File, the identification of the single point of contact who is responsible for all Outage Management related activities. This identification is confirmed in all communications with CAISO in relation to Outage </w:t>
      </w:r>
      <w:r w:rsidR="00D103BB">
        <w:t>notification</w:t>
      </w:r>
      <w:r>
        <w:t xml:space="preserve">, including any request to CAISO for confirmation, </w:t>
      </w:r>
      <w:r w:rsidR="00D103BB">
        <w:t>notific</w:t>
      </w:r>
      <w:r w:rsidR="008B53E8">
        <w:t>ation</w:t>
      </w:r>
      <w:r w:rsidR="00A15299">
        <w:t>,</w:t>
      </w:r>
      <w:r w:rsidR="008B53E8">
        <w:t xml:space="preserve"> and revision of approved O</w:t>
      </w:r>
      <w:r w:rsidR="00D103BB">
        <w:t>utages.</w:t>
      </w:r>
      <w:r w:rsidR="00D103BB" w:rsidDel="00D103BB">
        <w:t xml:space="preserve"> </w:t>
      </w:r>
    </w:p>
    <w:p w14:paraId="7B98B67B" w14:textId="77777777" w:rsidR="00BF79A2" w:rsidRDefault="00BF79A2" w:rsidP="006F6DD6">
      <w:pPr>
        <w:pStyle w:val="ParaText"/>
      </w:pPr>
      <w:r>
        <w:t>This section includes a discussion of the primary and backup mechanisms to communicate Outage Management information, a discussion of the need for some communications to be conducted with Control Center personnel</w:t>
      </w:r>
      <w:r w:rsidR="00A15299">
        <w:t>,</w:t>
      </w:r>
      <w:r>
        <w:t xml:space="preserve"> and a brief description of th</w:t>
      </w:r>
      <w:r w:rsidR="008B53E8">
        <w:t xml:space="preserve">e </w:t>
      </w:r>
      <w:r w:rsidR="00B53E8D">
        <w:t xml:space="preserve">CAISO </w:t>
      </w:r>
      <w:r w:rsidR="00B53E8D" w:rsidRPr="00F51FA9">
        <w:t>outage management system</w:t>
      </w:r>
      <w:r>
        <w:t xml:space="preserve">. </w:t>
      </w:r>
    </w:p>
    <w:p w14:paraId="2C9D7729" w14:textId="77777777" w:rsidR="00BF79A2" w:rsidRDefault="00BF79A2" w:rsidP="006F6DD6">
      <w:pPr>
        <w:pStyle w:val="Heading4"/>
        <w:spacing w:line="300" w:lineRule="auto"/>
      </w:pPr>
      <w:bookmarkStart w:id="263" w:name="_Toc386182127"/>
      <w:r>
        <w:t>Primary Mechanism</w:t>
      </w:r>
      <w:bookmarkEnd w:id="263"/>
      <w:r>
        <w:t xml:space="preserve"> </w:t>
      </w:r>
    </w:p>
    <w:p w14:paraId="2FF117B8" w14:textId="3DF12774" w:rsidR="00BF79A2" w:rsidRDefault="008B53E8" w:rsidP="006F6DD6">
      <w:pPr>
        <w:pStyle w:val="ParaText"/>
      </w:pPr>
      <w:r>
        <w:t xml:space="preserve">The CAISO </w:t>
      </w:r>
      <w:r w:rsidR="00B722C6">
        <w:t>o</w:t>
      </w:r>
      <w:r w:rsidR="00A15299">
        <w:t xml:space="preserve">utage </w:t>
      </w:r>
      <w:r w:rsidR="00B722C6">
        <w:t>m</w:t>
      </w:r>
      <w:r w:rsidR="00A15299">
        <w:t xml:space="preserve">anagement </w:t>
      </w:r>
      <w:r w:rsidR="00B722C6">
        <w:t>s</w:t>
      </w:r>
      <w:r w:rsidR="00BF79A2">
        <w:t>ystem is the primary method of communicating Outage Manag</w:t>
      </w:r>
      <w:r>
        <w:t xml:space="preserve">ement related information. The </w:t>
      </w:r>
      <w:r w:rsidR="00B722C6">
        <w:t>o</w:t>
      </w:r>
      <w:r>
        <w:t xml:space="preserve">utage </w:t>
      </w:r>
      <w:r w:rsidR="00B722C6">
        <w:t>m</w:t>
      </w:r>
      <w:r>
        <w:t xml:space="preserve">anagement </w:t>
      </w:r>
      <w:r w:rsidR="00B722C6">
        <w:t>s</w:t>
      </w:r>
      <w:r w:rsidR="00BF79A2">
        <w:t xml:space="preserve">ystem, which is described in more detail in Section </w:t>
      </w:r>
      <w:r w:rsidR="00196895">
        <w:t>6</w:t>
      </w:r>
      <w:r w:rsidR="001E6C27">
        <w:t>.2.1</w:t>
      </w:r>
      <w:r w:rsidR="00BF79A2">
        <w:t xml:space="preserve"> of th</w:t>
      </w:r>
      <w:r w:rsidR="00DF2C32">
        <w:t>e</w:t>
      </w:r>
      <w:r w:rsidR="00BF79A2">
        <w:t xml:space="preserve"> </w:t>
      </w:r>
      <w:hyperlink r:id="rId164" w:history="1">
        <w:r w:rsidR="00BF79A2" w:rsidRPr="00A21E2E">
          <w:rPr>
            <w:rStyle w:val="Hyperlink"/>
            <w:b/>
          </w:rPr>
          <w:t>BPM</w:t>
        </w:r>
        <w:r w:rsidR="00DF2C32" w:rsidRPr="00A21E2E">
          <w:rPr>
            <w:rStyle w:val="Hyperlink"/>
            <w:b/>
          </w:rPr>
          <w:t xml:space="preserve"> for Outage Management</w:t>
        </w:r>
      </w:hyperlink>
      <w:r w:rsidR="00BF79A2">
        <w:t>, provides an automated mechanism for parties and CAISO to communicate the information required for all aspects of Outage Manageme</w:t>
      </w:r>
      <w:r>
        <w:t xml:space="preserve">nt. The </w:t>
      </w:r>
      <w:r w:rsidR="00B53E8D">
        <w:t xml:space="preserve">CAISO </w:t>
      </w:r>
      <w:r w:rsidR="00B53E8D" w:rsidRPr="00F51FA9">
        <w:t>outage management system</w:t>
      </w:r>
      <w:r w:rsidR="00BF79A2">
        <w:t xml:space="preserve"> provides both a mechanism to communicate as well as a mechanism to confirm the receipt of information from users and from CAISO either by using the system user interface or by using an</w:t>
      </w:r>
      <w:r w:rsidR="00C83D09">
        <w:t xml:space="preserve"> Application Program Interface</w:t>
      </w:r>
      <w:r w:rsidR="00BF79A2">
        <w:t xml:space="preserve"> </w:t>
      </w:r>
      <w:r w:rsidR="00C83D09">
        <w:t>(</w:t>
      </w:r>
      <w:r w:rsidR="00BF79A2">
        <w:t>API</w:t>
      </w:r>
      <w:r w:rsidR="00C83D09">
        <w:t>)</w:t>
      </w:r>
      <w:r w:rsidR="00BF79A2">
        <w:t>.</w:t>
      </w:r>
    </w:p>
    <w:p w14:paraId="4F27ADAF" w14:textId="77777777" w:rsidR="00BF79A2" w:rsidRDefault="00FA72A3" w:rsidP="006F6DD6">
      <w:pPr>
        <w:pStyle w:val="Heading4"/>
        <w:spacing w:line="300" w:lineRule="auto"/>
      </w:pPr>
      <w:bookmarkStart w:id="264" w:name="_Toc386182128"/>
      <w:r>
        <w:lastRenderedPageBreak/>
        <w:t xml:space="preserve"> </w:t>
      </w:r>
      <w:r w:rsidR="00BF79A2">
        <w:t>Backup Mechanism</w:t>
      </w:r>
      <w:bookmarkEnd w:id="264"/>
    </w:p>
    <w:p w14:paraId="403EE31F" w14:textId="77777777" w:rsidR="00BF79A2" w:rsidRPr="00B468C1" w:rsidRDefault="00BF79A2" w:rsidP="006F6DD6">
      <w:pPr>
        <w:pStyle w:val="ParaText"/>
      </w:pPr>
      <w:r w:rsidRPr="00B468C1">
        <w:t>In the event that th</w:t>
      </w:r>
      <w:r w:rsidR="008B53E8">
        <w:t xml:space="preserve">e </w:t>
      </w:r>
      <w:r w:rsidR="00B53E8D">
        <w:t xml:space="preserve">CAISO </w:t>
      </w:r>
      <w:r w:rsidR="00B53E8D" w:rsidRPr="00F51FA9">
        <w:t>outage management system</w:t>
      </w:r>
      <w:r w:rsidRPr="00B468C1">
        <w:t xml:space="preserve"> is not operational, emergency capabilities are used to communicate with CAISO. The emergency capabilities that can be used as a back-up if the </w:t>
      </w:r>
      <w:r w:rsidR="00B53E8D">
        <w:t xml:space="preserve">CAISO </w:t>
      </w:r>
      <w:r w:rsidR="00B53E8D" w:rsidRPr="00F51FA9">
        <w:t>outage management system</w:t>
      </w:r>
      <w:r w:rsidR="00196895" w:rsidRPr="00B468C1">
        <w:t xml:space="preserve"> </w:t>
      </w:r>
      <w:r w:rsidRPr="00B468C1">
        <w:t>application is unavailable include:</w:t>
      </w:r>
    </w:p>
    <w:p w14:paraId="479C0037" w14:textId="77777777" w:rsidR="00BF79A2" w:rsidRPr="00B468C1" w:rsidRDefault="00706D03" w:rsidP="001D354A">
      <w:pPr>
        <w:pStyle w:val="ParaText"/>
        <w:numPr>
          <w:ilvl w:val="0"/>
          <w:numId w:val="109"/>
        </w:numPr>
        <w:spacing w:after="160" w:line="259" w:lineRule="auto"/>
      </w:pPr>
      <w:r>
        <w:t>Electronic format (such as e</w:t>
      </w:r>
      <w:r w:rsidR="00BF79A2" w:rsidRPr="00B468C1">
        <w:t>-mail)</w:t>
      </w:r>
    </w:p>
    <w:p w14:paraId="46C123A8" w14:textId="77777777" w:rsidR="00BF79A2" w:rsidRPr="00B468C1" w:rsidRDefault="00BF79A2" w:rsidP="001D354A">
      <w:pPr>
        <w:pStyle w:val="ParaText"/>
        <w:numPr>
          <w:ilvl w:val="0"/>
          <w:numId w:val="109"/>
        </w:numPr>
        <w:spacing w:after="160" w:line="259" w:lineRule="auto"/>
      </w:pPr>
      <w:r w:rsidRPr="00B468C1">
        <w:t>Voice communication</w:t>
      </w:r>
      <w:r w:rsidR="000358D8">
        <w:t xml:space="preserve"> with Control Center Personnel</w:t>
      </w:r>
    </w:p>
    <w:p w14:paraId="7A81D086" w14:textId="349FD90D" w:rsidR="00BF79A2" w:rsidRDefault="00BF79A2" w:rsidP="006F6DD6">
      <w:pPr>
        <w:pStyle w:val="ParaText"/>
      </w:pPr>
      <w:r>
        <w:t xml:space="preserve">As discussed in this BPM, some </w:t>
      </w:r>
      <w:r w:rsidR="00C70DF4">
        <w:t>o</w:t>
      </w:r>
      <w:r>
        <w:t xml:space="preserve">utage </w:t>
      </w:r>
      <w:r w:rsidR="00C70DF4">
        <w:t>m</w:t>
      </w:r>
      <w:r>
        <w:t>anagement re</w:t>
      </w:r>
      <w:r w:rsidR="00AA3392">
        <w:t xml:space="preserve">lated communications by or with </w:t>
      </w:r>
      <w:r>
        <w:t>CAISO Control Center personnel are conducted on the telephone. These communications are described in detail in CAISO Operating Procedures (</w:t>
      </w:r>
      <w:r w:rsidR="00C83D09">
        <w:t xml:space="preserve">see </w:t>
      </w:r>
      <w:r>
        <w:t>Section 1.</w:t>
      </w:r>
      <w:r w:rsidR="00196895">
        <w:t>3</w:t>
      </w:r>
      <w:r>
        <w:t xml:space="preserve">, </w:t>
      </w:r>
      <w:r w:rsidRPr="00FA595A">
        <w:rPr>
          <w:i/>
        </w:rPr>
        <w:t>References</w:t>
      </w:r>
      <w:r>
        <w:t xml:space="preserve">). </w:t>
      </w:r>
    </w:p>
    <w:p w14:paraId="6129A57B" w14:textId="40F2F853" w:rsidR="00BF79A2" w:rsidRDefault="00BF79A2" w:rsidP="006F6DD6">
      <w:pPr>
        <w:pStyle w:val="Heading4"/>
        <w:spacing w:line="300" w:lineRule="auto"/>
      </w:pPr>
      <w:bookmarkStart w:id="265" w:name="_Toc386182130"/>
      <w:r>
        <w:t xml:space="preserve">Use of the CAISO </w:t>
      </w:r>
      <w:r w:rsidR="00C70DF4">
        <w:t>o</w:t>
      </w:r>
      <w:r>
        <w:t xml:space="preserve">utage </w:t>
      </w:r>
      <w:r w:rsidR="00C70DF4">
        <w:t>m</w:t>
      </w:r>
      <w:r>
        <w:t xml:space="preserve">anagement </w:t>
      </w:r>
      <w:r w:rsidR="00C70DF4">
        <w:t>s</w:t>
      </w:r>
      <w:r>
        <w:t>ystem</w:t>
      </w:r>
      <w:bookmarkEnd w:id="265"/>
      <w:r>
        <w:t xml:space="preserve"> </w:t>
      </w:r>
    </w:p>
    <w:p w14:paraId="15BE42D1" w14:textId="66BAC3EA" w:rsidR="00BF79A2" w:rsidRDefault="008B53E8" w:rsidP="006F6DD6">
      <w:pPr>
        <w:pStyle w:val="ParaText"/>
      </w:pPr>
      <w:r>
        <w:t xml:space="preserve">The CAISO </w:t>
      </w:r>
      <w:r w:rsidR="00C70DF4">
        <w:t>o</w:t>
      </w:r>
      <w:r>
        <w:t xml:space="preserve">utage </w:t>
      </w:r>
      <w:r w:rsidR="00C70DF4">
        <w:t>m</w:t>
      </w:r>
      <w:r>
        <w:t xml:space="preserve">anagement </w:t>
      </w:r>
      <w:r w:rsidR="00C70DF4">
        <w:t>s</w:t>
      </w:r>
      <w:r w:rsidR="00BF79A2">
        <w:t xml:space="preserve">ystem is a secure software system that enables parties to interact with CAISO to complete the various transactions included in the </w:t>
      </w:r>
      <w:r w:rsidR="00C70DF4">
        <w:t>o</w:t>
      </w:r>
      <w:r w:rsidR="00BF79A2">
        <w:t xml:space="preserve">utage </w:t>
      </w:r>
      <w:r w:rsidR="00C70DF4">
        <w:t>m</w:t>
      </w:r>
      <w:r w:rsidR="00BF79A2">
        <w:t>anagement business process</w:t>
      </w:r>
      <w:r>
        <w:t xml:space="preserve">es. The </w:t>
      </w:r>
      <w:r w:rsidR="00B53E8D">
        <w:t xml:space="preserve">CAISO </w:t>
      </w:r>
      <w:r w:rsidR="00B53E8D" w:rsidRPr="00F51FA9">
        <w:t>outage management system</w:t>
      </w:r>
      <w:r w:rsidR="00BF79A2">
        <w:t xml:space="preserve"> includes a web client version for use by an individual and an Application Program Interface (API) version for use in computer-to-computer data transfers. Us</w:t>
      </w:r>
      <w:r>
        <w:t xml:space="preserve">ing the </w:t>
      </w:r>
      <w:r w:rsidR="00C70DF4">
        <w:t>o</w:t>
      </w:r>
      <w:r w:rsidR="006D77FD">
        <w:t xml:space="preserve">utage </w:t>
      </w:r>
      <w:r w:rsidR="00C70DF4">
        <w:t>m</w:t>
      </w:r>
      <w:r w:rsidR="006D77FD">
        <w:t xml:space="preserve">anagement </w:t>
      </w:r>
      <w:r w:rsidR="00C70DF4">
        <w:t>s</w:t>
      </w:r>
      <w:r w:rsidR="00BF79A2">
        <w:t>ystem, an EI</w:t>
      </w:r>
      <w:r w:rsidR="00563036">
        <w:t>M E</w:t>
      </w:r>
      <w:r w:rsidR="00BF79A2">
        <w:t xml:space="preserve">ntity or EIM </w:t>
      </w:r>
      <w:r w:rsidR="002556CA">
        <w:t xml:space="preserve">Entity </w:t>
      </w:r>
      <w:r w:rsidR="00BF79A2">
        <w:t>Scheduling Coordinator can perform the following functions:</w:t>
      </w:r>
    </w:p>
    <w:p w14:paraId="3F160B51" w14:textId="77777777" w:rsidR="00BF79A2" w:rsidRDefault="00AA3392" w:rsidP="001D354A">
      <w:pPr>
        <w:pStyle w:val="ParaText"/>
        <w:numPr>
          <w:ilvl w:val="0"/>
          <w:numId w:val="48"/>
        </w:numPr>
        <w:spacing w:after="160" w:line="259" w:lineRule="auto"/>
      </w:pPr>
      <w:r>
        <w:t xml:space="preserve">Submit </w:t>
      </w:r>
      <w:r w:rsidR="00FD7318">
        <w:t xml:space="preserve">notification </w:t>
      </w:r>
      <w:r w:rsidR="00E96A39">
        <w:t>of new</w:t>
      </w:r>
      <w:r w:rsidR="00FD7318">
        <w:t xml:space="preserve"> approved EIM</w:t>
      </w:r>
      <w:r w:rsidR="00BF79A2">
        <w:t xml:space="preserve"> Outage</w:t>
      </w:r>
      <w:r w:rsidR="00A64E95">
        <w:t>.</w:t>
      </w:r>
    </w:p>
    <w:p w14:paraId="4BBCEF87" w14:textId="77777777" w:rsidR="00BF79A2" w:rsidRDefault="00BF79A2" w:rsidP="001D354A">
      <w:pPr>
        <w:pStyle w:val="ParaText"/>
        <w:numPr>
          <w:ilvl w:val="0"/>
          <w:numId w:val="48"/>
        </w:numPr>
        <w:spacing w:after="160" w:line="259" w:lineRule="auto"/>
      </w:pPr>
      <w:r>
        <w:t xml:space="preserve">Receive confirmation of </w:t>
      </w:r>
      <w:r w:rsidR="00FD7318">
        <w:t>notification</w:t>
      </w:r>
      <w:r>
        <w:t xml:space="preserve"> from CAISO</w:t>
      </w:r>
      <w:r w:rsidR="00A64E95">
        <w:t>.</w:t>
      </w:r>
      <w:r>
        <w:t xml:space="preserve"> </w:t>
      </w:r>
    </w:p>
    <w:p w14:paraId="2A3DE45D" w14:textId="77777777" w:rsidR="00BF79A2" w:rsidRDefault="00BF79A2" w:rsidP="001D354A">
      <w:pPr>
        <w:pStyle w:val="ParaText"/>
        <w:numPr>
          <w:ilvl w:val="0"/>
          <w:numId w:val="48"/>
        </w:numPr>
        <w:spacing w:after="160" w:line="259" w:lineRule="auto"/>
      </w:pPr>
      <w:r>
        <w:t>Obtain status of an Outage</w:t>
      </w:r>
      <w:r w:rsidR="00A64E95">
        <w:t>.</w:t>
      </w:r>
    </w:p>
    <w:p w14:paraId="236E80DB" w14:textId="77777777" w:rsidR="00BF79A2" w:rsidRDefault="00BF79A2" w:rsidP="001D354A">
      <w:pPr>
        <w:pStyle w:val="ParaText"/>
        <w:numPr>
          <w:ilvl w:val="0"/>
          <w:numId w:val="48"/>
        </w:numPr>
        <w:spacing w:after="160" w:line="259" w:lineRule="auto"/>
      </w:pPr>
      <w:r>
        <w:t>Enter Outage Cause Codes (NERC GADS, reason for Outage)</w:t>
      </w:r>
      <w:r w:rsidR="00A64E95">
        <w:t>.</w:t>
      </w:r>
    </w:p>
    <w:p w14:paraId="61520675" w14:textId="77777777" w:rsidR="00BF79A2" w:rsidRDefault="00BF79A2" w:rsidP="001D354A">
      <w:pPr>
        <w:pStyle w:val="ParaText"/>
        <w:numPr>
          <w:ilvl w:val="0"/>
          <w:numId w:val="48"/>
        </w:numPr>
        <w:spacing w:after="160" w:line="259" w:lineRule="auto"/>
      </w:pPr>
      <w:r>
        <w:t>Update an Outage</w:t>
      </w:r>
      <w:r w:rsidR="00A64E95">
        <w:t>.</w:t>
      </w:r>
    </w:p>
    <w:p w14:paraId="22CE997C" w14:textId="77777777" w:rsidR="00BF79A2" w:rsidRDefault="00BF79A2" w:rsidP="001D354A">
      <w:pPr>
        <w:pStyle w:val="ParaText"/>
        <w:numPr>
          <w:ilvl w:val="0"/>
          <w:numId w:val="48"/>
        </w:numPr>
        <w:spacing w:after="160" w:line="259" w:lineRule="auto"/>
      </w:pPr>
      <w:r>
        <w:t>Search the database of completed, scheduled</w:t>
      </w:r>
      <w:r w:rsidR="00C26D8B">
        <w:t>,</w:t>
      </w:r>
      <w:r>
        <w:t xml:space="preserve"> or active Outages. This function allows a</w:t>
      </w:r>
      <w:r w:rsidR="00C26D8B">
        <w:t>n</w:t>
      </w:r>
      <w:r>
        <w:t xml:space="preserve"> </w:t>
      </w:r>
      <w:r w:rsidR="00FD7318">
        <w:t xml:space="preserve">EIM </w:t>
      </w:r>
      <w:r w:rsidR="00F73DA7">
        <w:t>Entity</w:t>
      </w:r>
      <w:r w:rsidR="00FD7318">
        <w:t xml:space="preserve"> Scheduling Coordinator</w:t>
      </w:r>
      <w:r>
        <w:t xml:space="preserve"> to review only their data and not the data of other owners.  </w:t>
      </w:r>
    </w:p>
    <w:p w14:paraId="6AE301DC" w14:textId="77777777" w:rsidR="00BF79A2" w:rsidRDefault="00BF79A2" w:rsidP="001D354A">
      <w:pPr>
        <w:pStyle w:val="ParaText"/>
        <w:numPr>
          <w:ilvl w:val="0"/>
          <w:numId w:val="48"/>
        </w:numPr>
        <w:spacing w:after="160" w:line="259" w:lineRule="auto"/>
      </w:pPr>
      <w:r>
        <w:t xml:space="preserve">User instructions are available on the CAISO </w:t>
      </w:r>
      <w:r w:rsidR="00C26D8B">
        <w:t>w</w:t>
      </w:r>
      <w:r>
        <w:t>ebsite.</w:t>
      </w:r>
    </w:p>
    <w:p w14:paraId="21CB50A1" w14:textId="77777777" w:rsidR="00FC7FCD" w:rsidRPr="00D64F8E" w:rsidRDefault="00BF79A2" w:rsidP="006F6DD6">
      <w:pPr>
        <w:pStyle w:val="ParaText"/>
      </w:pPr>
      <w:r>
        <w:lastRenderedPageBreak/>
        <w:t xml:space="preserve">Other functions provided for in </w:t>
      </w:r>
      <w:r w:rsidR="00C26D8B">
        <w:t xml:space="preserve">the </w:t>
      </w:r>
      <w:r w:rsidR="00B53E8D">
        <w:t xml:space="preserve">CAISO </w:t>
      </w:r>
      <w:r w:rsidR="00B53E8D" w:rsidRPr="00F51FA9">
        <w:t>outage management system</w:t>
      </w:r>
      <w:r w:rsidR="00B53E8D">
        <w:t xml:space="preserve">  </w:t>
      </w:r>
      <w:r>
        <w:t xml:space="preserve">are listed in the </w:t>
      </w:r>
      <w:r w:rsidR="00B53E8D">
        <w:t xml:space="preserve">CAISO </w:t>
      </w:r>
      <w:r w:rsidR="00B53E8D" w:rsidRPr="00F51FA9">
        <w:t>outage management system</w:t>
      </w:r>
      <w:r w:rsidR="00196895">
        <w:t xml:space="preserve"> </w:t>
      </w:r>
      <w:r>
        <w:t xml:space="preserve">materials shown in </w:t>
      </w:r>
      <w:r w:rsidRPr="00BB16D7">
        <w:t>Section 1.</w:t>
      </w:r>
      <w:r w:rsidR="00196895">
        <w:t>3</w:t>
      </w:r>
      <w:r w:rsidRPr="00BB16D7">
        <w:t xml:space="preserve">, </w:t>
      </w:r>
      <w:r w:rsidRPr="00304DFF">
        <w:rPr>
          <w:i/>
        </w:rPr>
        <w:t>References</w:t>
      </w:r>
      <w:r w:rsidRPr="00BB16D7">
        <w:t>, of th</w:t>
      </w:r>
      <w:r w:rsidR="00DF2C32" w:rsidRPr="00834183">
        <w:t xml:space="preserve">e </w:t>
      </w:r>
      <w:hyperlink r:id="rId165" w:history="1">
        <w:r w:rsidR="00BB16D7" w:rsidRPr="00FC7FCD">
          <w:rPr>
            <w:rStyle w:val="Hyperlink"/>
            <w:b/>
          </w:rPr>
          <w:t>BPM for Outage Management</w:t>
        </w:r>
      </w:hyperlink>
      <w:r w:rsidR="00D64F8E">
        <w:t>.</w:t>
      </w:r>
    </w:p>
    <w:p w14:paraId="0FE10622" w14:textId="77777777" w:rsidR="006F1342" w:rsidRDefault="006F1342" w:rsidP="006F6DD6">
      <w:pPr>
        <w:pStyle w:val="Heading2"/>
        <w:spacing w:line="300" w:lineRule="auto"/>
      </w:pPr>
      <w:bookmarkStart w:id="266" w:name="_Toc386182131"/>
      <w:bookmarkStart w:id="267" w:name="_Toc389662598"/>
      <w:bookmarkStart w:id="268" w:name="_Toc390946279"/>
      <w:bookmarkStart w:id="269" w:name="_Toc391969840"/>
      <w:bookmarkStart w:id="270" w:name="_Toc460320446"/>
      <w:r>
        <w:t xml:space="preserve">Records </w:t>
      </w:r>
      <w:r w:rsidR="00C26D8B">
        <w:t>and</w:t>
      </w:r>
      <w:r>
        <w:t xml:space="preserve"> Reports</w:t>
      </w:r>
      <w:bookmarkEnd w:id="266"/>
      <w:bookmarkEnd w:id="267"/>
      <w:bookmarkEnd w:id="268"/>
      <w:bookmarkEnd w:id="269"/>
      <w:bookmarkEnd w:id="270"/>
    </w:p>
    <w:p w14:paraId="46B5116E" w14:textId="77777777" w:rsidR="006F1342" w:rsidRDefault="006F1342" w:rsidP="006F6DD6">
      <w:pPr>
        <w:pStyle w:val="ParaText"/>
      </w:pPr>
      <w:bookmarkStart w:id="271" w:name="_Toc386180557"/>
      <w:bookmarkStart w:id="272" w:name="_Toc386180558"/>
      <w:bookmarkStart w:id="273" w:name="_Toc386180559"/>
      <w:bookmarkStart w:id="274" w:name="_Toc386180560"/>
      <w:bookmarkStart w:id="275" w:name="_Toc386180561"/>
      <w:bookmarkStart w:id="276" w:name="_Toc386180562"/>
      <w:bookmarkStart w:id="277" w:name="_Toc386180563"/>
      <w:bookmarkStart w:id="278" w:name="_Toc386180564"/>
      <w:bookmarkEnd w:id="271"/>
      <w:bookmarkEnd w:id="272"/>
      <w:bookmarkEnd w:id="273"/>
      <w:bookmarkEnd w:id="274"/>
      <w:bookmarkEnd w:id="275"/>
      <w:bookmarkEnd w:id="276"/>
      <w:bookmarkEnd w:id="277"/>
      <w:bookmarkEnd w:id="278"/>
      <w:r>
        <w:t>In this section you will find the following information:</w:t>
      </w:r>
    </w:p>
    <w:p w14:paraId="2B6A82F4" w14:textId="77777777" w:rsidR="006F1342" w:rsidRDefault="00F73DA7" w:rsidP="00877DDB">
      <w:pPr>
        <w:pStyle w:val="Bullet1HRt"/>
        <w:numPr>
          <w:ilvl w:val="0"/>
          <w:numId w:val="52"/>
        </w:numPr>
        <w:spacing w:after="160" w:line="259" w:lineRule="auto"/>
      </w:pPr>
      <w:r>
        <w:t>Availability</w:t>
      </w:r>
      <w:r w:rsidR="00C83D09">
        <w:t xml:space="preserve"> of and access to</w:t>
      </w:r>
      <w:r w:rsidR="006F1342">
        <w:t xml:space="preserve"> Outage records retention provided for by CAISO and the access provided to those records.</w:t>
      </w:r>
    </w:p>
    <w:p w14:paraId="302E83E3" w14:textId="77777777" w:rsidR="006F1342" w:rsidRDefault="006F1342" w:rsidP="00877DDB">
      <w:pPr>
        <w:pStyle w:val="Bullet1HRt"/>
        <w:numPr>
          <w:ilvl w:val="0"/>
          <w:numId w:val="52"/>
        </w:numPr>
        <w:spacing w:after="160" w:line="259" w:lineRule="auto"/>
      </w:pPr>
      <w:r>
        <w:t>A description of the various reports re</w:t>
      </w:r>
      <w:r w:rsidR="009D507A">
        <w:t xml:space="preserve">lated to Outage Management that </w:t>
      </w:r>
      <w:r>
        <w:t>CAISO produces.</w:t>
      </w:r>
    </w:p>
    <w:p w14:paraId="03866C9E" w14:textId="77777777" w:rsidR="006F1342" w:rsidRDefault="00C83D09" w:rsidP="00877DDB">
      <w:pPr>
        <w:pStyle w:val="Bullet1HRt"/>
        <w:numPr>
          <w:ilvl w:val="0"/>
          <w:numId w:val="52"/>
        </w:numPr>
        <w:spacing w:after="160" w:line="259" w:lineRule="auto"/>
      </w:pPr>
      <w:r>
        <w:t>Also r</w:t>
      </w:r>
      <w:r w:rsidR="006F1342">
        <w:t xml:space="preserve">efer to Tariff Sections 9.3, </w:t>
      </w:r>
      <w:r w:rsidR="006F1342" w:rsidRPr="00304DFF">
        <w:rPr>
          <w:i/>
        </w:rPr>
        <w:t>Coordination of Outages and Maintenance</w:t>
      </w:r>
      <w:r w:rsidR="00C26D8B">
        <w:t>;</w:t>
      </w:r>
      <w:r w:rsidR="006F1342">
        <w:t xml:space="preserve"> and 9.5, </w:t>
      </w:r>
      <w:r w:rsidR="006F1342" w:rsidRPr="00304DFF">
        <w:rPr>
          <w:i/>
        </w:rPr>
        <w:t>Records</w:t>
      </w:r>
      <w:r w:rsidR="006F1342">
        <w:t>.</w:t>
      </w:r>
    </w:p>
    <w:p w14:paraId="57019202" w14:textId="77777777" w:rsidR="006F1342" w:rsidRPr="006F1342" w:rsidRDefault="004B4ED2" w:rsidP="006F6DD6">
      <w:pPr>
        <w:pStyle w:val="Heading3"/>
        <w:spacing w:line="300" w:lineRule="auto"/>
      </w:pPr>
      <w:bookmarkStart w:id="279" w:name="_Toc386182133"/>
      <w:bookmarkStart w:id="280" w:name="_Toc389662599"/>
      <w:bookmarkStart w:id="281" w:name="_Toc390946280"/>
      <w:bookmarkStart w:id="282" w:name="_Toc391969841"/>
      <w:bookmarkStart w:id="283" w:name="_Toc460320447"/>
      <w:r>
        <w:t>Records of A</w:t>
      </w:r>
      <w:r w:rsidR="006F1342" w:rsidRPr="006F1342">
        <w:t>pproved Maintenance Outages</w:t>
      </w:r>
      <w:bookmarkEnd w:id="279"/>
      <w:bookmarkEnd w:id="280"/>
      <w:bookmarkEnd w:id="281"/>
      <w:bookmarkEnd w:id="282"/>
      <w:bookmarkEnd w:id="283"/>
      <w:r w:rsidR="006F1342" w:rsidRPr="006F1342">
        <w:t xml:space="preserve"> </w:t>
      </w:r>
    </w:p>
    <w:p w14:paraId="724B41CC" w14:textId="77777777" w:rsidR="00BA2E6E" w:rsidRDefault="00C26D8B" w:rsidP="006774F5">
      <w:pPr>
        <w:pStyle w:val="ParaText"/>
      </w:pPr>
      <w:r>
        <w:t xml:space="preserve">The </w:t>
      </w:r>
      <w:r w:rsidR="006F1342">
        <w:t xml:space="preserve">CAISO </w:t>
      </w:r>
      <w:r w:rsidR="004B4ED2">
        <w:t>OCO maintains a record of each a</w:t>
      </w:r>
      <w:r w:rsidR="006F1342">
        <w:t xml:space="preserve">pproved Maintenance Outage as it is implemented. Such records are available for inspection at </w:t>
      </w:r>
      <w:r>
        <w:t xml:space="preserve">the </w:t>
      </w:r>
      <w:r w:rsidR="006F1342">
        <w:t xml:space="preserve">CAISO OCO by </w:t>
      </w:r>
      <w:r w:rsidR="00FD7318">
        <w:t>EIM En</w:t>
      </w:r>
      <w:r w:rsidR="00F73DA7">
        <w:t>t</w:t>
      </w:r>
      <w:r w:rsidR="00FD7318">
        <w:t>it</w:t>
      </w:r>
      <w:r w:rsidR="00F73DA7">
        <w:t>i</w:t>
      </w:r>
      <w:r w:rsidR="00FD7318">
        <w:t xml:space="preserve">es </w:t>
      </w:r>
      <w:r w:rsidR="006F1342">
        <w:t xml:space="preserve">or their designated representatives. Only those records pertaining to the equipment or facilities owned by the </w:t>
      </w:r>
      <w:r w:rsidR="00A423DD">
        <w:t>f</w:t>
      </w:r>
      <w:r w:rsidR="006F1342">
        <w:t xml:space="preserve">acility </w:t>
      </w:r>
      <w:r w:rsidR="00A423DD">
        <w:t>o</w:t>
      </w:r>
      <w:r w:rsidR="006F1342">
        <w:t xml:space="preserve">wner are made available for inspection at </w:t>
      </w:r>
      <w:r>
        <w:t xml:space="preserve">the </w:t>
      </w:r>
      <w:r w:rsidR="006F1342">
        <w:t>CAISO OCO</w:t>
      </w:r>
      <w:r w:rsidR="0017604F">
        <w:t xml:space="preserve"> </w:t>
      </w:r>
      <w:r w:rsidR="00C83D09">
        <w:t xml:space="preserve">with </w:t>
      </w:r>
      <w:r w:rsidR="006F1342">
        <w:t>notice at least 15 days in advance of the requested inspection date.</w:t>
      </w:r>
    </w:p>
    <w:p w14:paraId="4C281E9A" w14:textId="77777777" w:rsidR="00427F97" w:rsidRPr="00427F97" w:rsidRDefault="00427F97" w:rsidP="006774F5">
      <w:pPr>
        <w:pStyle w:val="ParaText"/>
      </w:pPr>
    </w:p>
    <w:p w14:paraId="3A2ADE93" w14:textId="77777777" w:rsidR="007A0CF0" w:rsidRPr="007A0CF0" w:rsidRDefault="002E46E9" w:rsidP="002748DA">
      <w:pPr>
        <w:pStyle w:val="Heading1"/>
      </w:pPr>
      <w:bookmarkStart w:id="284" w:name="_Toc390765950"/>
      <w:bookmarkStart w:id="285" w:name="_Toc390778419"/>
      <w:bookmarkStart w:id="286" w:name="_Toc390779397"/>
      <w:bookmarkStart w:id="287" w:name="_Toc390782210"/>
      <w:bookmarkStart w:id="288" w:name="_Toc390871682"/>
      <w:bookmarkStart w:id="289" w:name="_Toc390871739"/>
      <w:bookmarkStart w:id="290" w:name="_Toc390871796"/>
      <w:bookmarkStart w:id="291" w:name="_Toc390765953"/>
      <w:bookmarkStart w:id="292" w:name="_Toc390778422"/>
      <w:bookmarkStart w:id="293" w:name="_Toc390779400"/>
      <w:bookmarkStart w:id="294" w:name="_Toc390782213"/>
      <w:bookmarkStart w:id="295" w:name="_Toc390871685"/>
      <w:bookmarkStart w:id="296" w:name="_Toc390871742"/>
      <w:bookmarkStart w:id="297" w:name="_Toc390871799"/>
      <w:bookmarkStart w:id="298" w:name="_Toc389662601"/>
      <w:bookmarkStart w:id="299" w:name="_Toc391969842"/>
      <w:bookmarkStart w:id="300" w:name="_Toc460320448"/>
      <w:bookmarkStart w:id="301" w:name="_Toc39094628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CC3ADB">
        <w:t>MARKET OPERATIONS</w:t>
      </w:r>
      <w:bookmarkEnd w:id="298"/>
      <w:bookmarkEnd w:id="299"/>
      <w:bookmarkEnd w:id="300"/>
    </w:p>
    <w:p w14:paraId="19A98512" w14:textId="77777777" w:rsidR="00304DFF" w:rsidRDefault="00503DF8" w:rsidP="00A14044">
      <w:pPr>
        <w:pStyle w:val="ParaText"/>
      </w:pPr>
      <w:r w:rsidRPr="007A0CF0">
        <w:t xml:space="preserve"> </w:t>
      </w:r>
      <w:bookmarkEnd w:id="301"/>
      <w:r w:rsidR="00A14044">
        <w:t xml:space="preserve">Welcome to the </w:t>
      </w:r>
      <w:r w:rsidR="00A14044" w:rsidRPr="00172436">
        <w:rPr>
          <w:i/>
        </w:rPr>
        <w:t>Market Operations</w:t>
      </w:r>
      <w:r w:rsidR="00A14044">
        <w:t xml:space="preserve"> section of the BPM </w:t>
      </w:r>
      <w:r w:rsidR="004813C9" w:rsidRPr="00A14044">
        <w:t>for the</w:t>
      </w:r>
      <w:r w:rsidR="00A14044">
        <w:t xml:space="preserve"> </w:t>
      </w:r>
      <w:r w:rsidR="00A14044" w:rsidRPr="00A14044">
        <w:t>Energy Imbalance Market</w:t>
      </w:r>
      <w:r w:rsidR="00A14044">
        <w:t xml:space="preserve">.  </w:t>
      </w:r>
      <w:r w:rsidR="00304DFF">
        <w:t>In t</w:t>
      </w:r>
      <w:r w:rsidR="00A14044">
        <w:t>his section</w:t>
      </w:r>
      <w:r w:rsidR="00A14044" w:rsidRPr="00A14044">
        <w:t xml:space="preserve"> </w:t>
      </w:r>
      <w:r w:rsidR="00304DFF">
        <w:t>you will find the following information:</w:t>
      </w:r>
    </w:p>
    <w:p w14:paraId="1762CAF3" w14:textId="77777777" w:rsidR="00C0019A" w:rsidRDefault="00C0019A" w:rsidP="00877DDB">
      <w:pPr>
        <w:pStyle w:val="ParaText"/>
        <w:numPr>
          <w:ilvl w:val="0"/>
          <w:numId w:val="120"/>
        </w:numPr>
        <w:spacing w:after="160" w:line="259" w:lineRule="auto"/>
        <w:ind w:left="778"/>
      </w:pPr>
      <w:r>
        <w:t xml:space="preserve">Summary of </w:t>
      </w:r>
      <w:r w:rsidR="00A14044" w:rsidRPr="00A14044">
        <w:t xml:space="preserve">the </w:t>
      </w:r>
      <w:r w:rsidR="00A14044">
        <w:t>EIM-</w:t>
      </w:r>
      <w:r w:rsidR="004813C9">
        <w:t>specific</w:t>
      </w:r>
      <w:r w:rsidR="00A14044">
        <w:t xml:space="preserve"> </w:t>
      </w:r>
      <w:r w:rsidR="00A14044" w:rsidRPr="00A14044">
        <w:t>rules, design, operational el</w:t>
      </w:r>
      <w:r w:rsidR="00A14044">
        <w:t>ements</w:t>
      </w:r>
      <w:r w:rsidR="00F31E60">
        <w:t>, and separation procedures</w:t>
      </w:r>
      <w:r w:rsidR="004538FE">
        <w:t xml:space="preserve"> of the CAISO m</w:t>
      </w:r>
      <w:r w:rsidR="00A14044">
        <w:t xml:space="preserve">arkets. </w:t>
      </w:r>
    </w:p>
    <w:p w14:paraId="441083B9" w14:textId="77777777" w:rsidR="00A14044" w:rsidRPr="00A14044" w:rsidRDefault="00C0019A" w:rsidP="00877DDB">
      <w:pPr>
        <w:pStyle w:val="ParaText"/>
        <w:numPr>
          <w:ilvl w:val="0"/>
          <w:numId w:val="120"/>
        </w:numPr>
        <w:spacing w:after="160" w:line="259" w:lineRule="auto"/>
        <w:ind w:left="778"/>
      </w:pPr>
      <w:r>
        <w:t xml:space="preserve">Operations information </w:t>
      </w:r>
      <w:r w:rsidR="00A14044" w:rsidRPr="00A14044">
        <w:t xml:space="preserve">for those entities that expect to participate in the </w:t>
      </w:r>
      <w:r w:rsidR="00A14044">
        <w:t>EIM</w:t>
      </w:r>
      <w:r w:rsidR="00A14044" w:rsidRPr="00A14044">
        <w:t xml:space="preserve">, as well as those entities that </w:t>
      </w:r>
      <w:r w:rsidR="005E21D3">
        <w:t>interface with the EIM</w:t>
      </w:r>
      <w:r w:rsidR="00A14044" w:rsidRPr="00A14044">
        <w:t xml:space="preserve">. </w:t>
      </w:r>
    </w:p>
    <w:p w14:paraId="489A39EE" w14:textId="77777777" w:rsidR="007B4B61" w:rsidRPr="007A0CF0" w:rsidRDefault="005E21D3" w:rsidP="00A14044">
      <w:pPr>
        <w:pStyle w:val="ParaText"/>
      </w:pPr>
      <w:r>
        <w:lastRenderedPageBreak/>
        <w:t>The operation of the EIM and the regular CAISO market are similar in many ways.  Rather than repeat the description of those portions which are the same between markets, this section describes only the EIM-</w:t>
      </w:r>
      <w:r w:rsidR="00386114">
        <w:t>s</w:t>
      </w:r>
      <w:r>
        <w:t>pecific implementation details and the differences from the regular CAISO market.  Therefore, it is recommended that the reader review the</w:t>
      </w:r>
      <w:r w:rsidR="00AC2E40">
        <w:t xml:space="preserve"> </w:t>
      </w:r>
      <w:hyperlink r:id="rId166" w:history="1">
        <w:r w:rsidRPr="00E41853">
          <w:rPr>
            <w:rStyle w:val="Hyperlink"/>
            <w:b/>
          </w:rPr>
          <w:t>BPM for Market Instruments</w:t>
        </w:r>
      </w:hyperlink>
      <w:r>
        <w:t xml:space="preserve"> and the </w:t>
      </w:r>
      <w:hyperlink r:id="rId167" w:history="1">
        <w:r w:rsidRPr="00E41853">
          <w:rPr>
            <w:rStyle w:val="Hyperlink"/>
            <w:b/>
          </w:rPr>
          <w:t>BPM for Market Operations</w:t>
        </w:r>
      </w:hyperlink>
      <w:r>
        <w:t xml:space="preserve"> prior to reading this section.</w:t>
      </w:r>
    </w:p>
    <w:p w14:paraId="5FAD449D" w14:textId="77777777" w:rsidR="007A0CF0" w:rsidRPr="007A0CF0" w:rsidRDefault="008817D0" w:rsidP="001A6FA0">
      <w:pPr>
        <w:pStyle w:val="Heading2"/>
      </w:pPr>
      <w:bookmarkStart w:id="302" w:name="_Toc388005977"/>
      <w:bookmarkStart w:id="303" w:name="_Toc388006324"/>
      <w:bookmarkStart w:id="304" w:name="_Toc388019376"/>
      <w:bookmarkStart w:id="305" w:name="_Toc388019867"/>
      <w:bookmarkStart w:id="306" w:name="_Toc389662602"/>
      <w:bookmarkStart w:id="307" w:name="_Toc391969843"/>
      <w:bookmarkStart w:id="308" w:name="_Toc460320449"/>
      <w:bookmarkStart w:id="309" w:name="_Toc390946282"/>
      <w:bookmarkEnd w:id="302"/>
      <w:bookmarkEnd w:id="303"/>
      <w:bookmarkEnd w:id="304"/>
      <w:bookmarkEnd w:id="305"/>
      <w:r w:rsidRPr="002748DA">
        <w:t>About the Market</w:t>
      </w:r>
      <w:bookmarkEnd w:id="306"/>
      <w:bookmarkEnd w:id="307"/>
      <w:bookmarkEnd w:id="308"/>
    </w:p>
    <w:p w14:paraId="40B2229B" w14:textId="195E909A" w:rsidR="00312277" w:rsidRDefault="007A0CF0" w:rsidP="007A0CF0">
      <w:pPr>
        <w:pStyle w:val="ParaText"/>
      </w:pPr>
      <w:bookmarkStart w:id="310" w:name="_Toc389662603"/>
      <w:bookmarkEnd w:id="309"/>
      <w:r w:rsidRPr="007A0CF0">
        <w:t xml:space="preserve">This </w:t>
      </w:r>
      <w:r>
        <w:t xml:space="preserve">section is intended to describe </w:t>
      </w:r>
      <w:r w:rsidR="00A14044">
        <w:t>the</w:t>
      </w:r>
      <w:r>
        <w:t xml:space="preserve"> features of the EIM</w:t>
      </w:r>
      <w:r w:rsidR="00312277">
        <w:t>.</w:t>
      </w:r>
    </w:p>
    <w:p w14:paraId="152E1D1F" w14:textId="5BDE3611" w:rsidR="007A0CF0" w:rsidRPr="007A0CF0" w:rsidRDefault="00312277" w:rsidP="00877DDB">
      <w:pPr>
        <w:pStyle w:val="ParaText"/>
        <w:tabs>
          <w:tab w:val="right" w:pos="9360"/>
        </w:tabs>
      </w:pPr>
      <w:r>
        <w:tab/>
      </w:r>
    </w:p>
    <w:p w14:paraId="251FD8D3" w14:textId="77777777" w:rsidR="007445EB" w:rsidRPr="008817D0" w:rsidRDefault="007445EB" w:rsidP="007445EB">
      <w:pPr>
        <w:pStyle w:val="Heading3"/>
        <w:rPr>
          <w:rFonts w:eastAsia="Calibri"/>
        </w:rPr>
      </w:pPr>
      <w:bookmarkStart w:id="311" w:name="_Toc391969844"/>
      <w:bookmarkStart w:id="312" w:name="_Toc460320450"/>
      <w:r w:rsidRPr="008817D0">
        <w:rPr>
          <w:rFonts w:eastAsia="Calibri"/>
        </w:rPr>
        <w:t>Ancillary Services</w:t>
      </w:r>
      <w:bookmarkEnd w:id="311"/>
      <w:bookmarkEnd w:id="312"/>
      <w:r w:rsidRPr="008817D0">
        <w:rPr>
          <w:rFonts w:eastAsia="Calibri"/>
        </w:rPr>
        <w:tab/>
      </w:r>
      <w:r w:rsidRPr="008817D0">
        <w:rPr>
          <w:rFonts w:eastAsia="Calibri"/>
        </w:rPr>
        <w:tab/>
      </w:r>
    </w:p>
    <w:p w14:paraId="51CDD0B9" w14:textId="295CED15" w:rsidR="003F65BA" w:rsidRDefault="00CF1AB9" w:rsidP="003F65BA">
      <w:pPr>
        <w:pStyle w:val="ParaText"/>
      </w:pPr>
      <w:bookmarkStart w:id="313" w:name="_Toc390352501"/>
      <w:bookmarkStart w:id="314" w:name="_Toc390353478"/>
      <w:bookmarkStart w:id="315" w:name="_Toc390355428"/>
      <w:bookmarkStart w:id="316" w:name="_Toc390436092"/>
      <w:bookmarkStart w:id="317" w:name="_Toc390673383"/>
      <w:bookmarkStart w:id="318" w:name="_Toc390689657"/>
      <w:bookmarkStart w:id="319" w:name="_Toc390696662"/>
      <w:bookmarkStart w:id="320" w:name="_Toc390759676"/>
      <w:bookmarkStart w:id="321" w:name="_Toc390764432"/>
      <w:bookmarkStart w:id="322" w:name="_Toc390765961"/>
      <w:bookmarkStart w:id="323" w:name="_Toc390778430"/>
      <w:bookmarkStart w:id="324" w:name="_Toc390779408"/>
      <w:bookmarkStart w:id="325" w:name="_Toc390782221"/>
      <w:bookmarkStart w:id="326" w:name="_Toc390352502"/>
      <w:bookmarkStart w:id="327" w:name="_Toc390353479"/>
      <w:bookmarkStart w:id="328" w:name="_Toc390355429"/>
      <w:bookmarkStart w:id="329" w:name="_Toc390436093"/>
      <w:bookmarkStart w:id="330" w:name="_Toc390673384"/>
      <w:bookmarkStart w:id="331" w:name="_Toc390689658"/>
      <w:bookmarkStart w:id="332" w:name="_Toc390696663"/>
      <w:bookmarkStart w:id="333" w:name="_Toc390759677"/>
      <w:bookmarkStart w:id="334" w:name="_Toc390764433"/>
      <w:bookmarkStart w:id="335" w:name="_Toc390765962"/>
      <w:bookmarkStart w:id="336" w:name="_Toc390778431"/>
      <w:bookmarkStart w:id="337" w:name="_Toc390779409"/>
      <w:bookmarkStart w:id="338" w:name="_Toc390782222"/>
      <w:bookmarkStart w:id="339" w:name="_Toc390352503"/>
      <w:bookmarkStart w:id="340" w:name="_Toc390353480"/>
      <w:bookmarkStart w:id="341" w:name="_Toc390355430"/>
      <w:bookmarkStart w:id="342" w:name="_Toc390436094"/>
      <w:bookmarkStart w:id="343" w:name="_Toc390673385"/>
      <w:bookmarkStart w:id="344" w:name="_Toc390689659"/>
      <w:bookmarkStart w:id="345" w:name="_Toc390696664"/>
      <w:bookmarkStart w:id="346" w:name="_Toc390759678"/>
      <w:bookmarkStart w:id="347" w:name="_Toc390764434"/>
      <w:bookmarkStart w:id="348" w:name="_Toc390765963"/>
      <w:bookmarkStart w:id="349" w:name="_Toc390778432"/>
      <w:bookmarkStart w:id="350" w:name="_Toc390779410"/>
      <w:bookmarkStart w:id="351" w:name="_Toc390782223"/>
      <w:bookmarkStart w:id="352" w:name="_Toc390352505"/>
      <w:bookmarkStart w:id="353" w:name="_Toc390353482"/>
      <w:bookmarkStart w:id="354" w:name="_Toc390355432"/>
      <w:bookmarkStart w:id="355" w:name="_Toc390436096"/>
      <w:bookmarkStart w:id="356" w:name="_Toc390673387"/>
      <w:bookmarkStart w:id="357" w:name="_Toc390689661"/>
      <w:bookmarkStart w:id="358" w:name="_Toc390696666"/>
      <w:bookmarkStart w:id="359" w:name="_Toc390759680"/>
      <w:bookmarkStart w:id="360" w:name="_Toc390764436"/>
      <w:bookmarkStart w:id="361" w:name="_Toc390765965"/>
      <w:bookmarkStart w:id="362" w:name="_Toc390778434"/>
      <w:bookmarkStart w:id="363" w:name="_Toc390779412"/>
      <w:bookmarkStart w:id="364" w:name="_Toc390782225"/>
      <w:bookmarkStart w:id="365" w:name="_Toc390352533"/>
      <w:bookmarkStart w:id="366" w:name="_Toc390353510"/>
      <w:bookmarkStart w:id="367" w:name="_Toc390355460"/>
      <w:bookmarkStart w:id="368" w:name="_Toc390436124"/>
      <w:bookmarkStart w:id="369" w:name="_Toc390673415"/>
      <w:bookmarkStart w:id="370" w:name="_Toc390689689"/>
      <w:bookmarkStart w:id="371" w:name="_Toc390696694"/>
      <w:bookmarkStart w:id="372" w:name="_Toc390759708"/>
      <w:bookmarkStart w:id="373" w:name="_Toc390764464"/>
      <w:bookmarkStart w:id="374" w:name="_Toc390765993"/>
      <w:bookmarkStart w:id="375" w:name="_Toc390778462"/>
      <w:bookmarkStart w:id="376" w:name="_Toc390779440"/>
      <w:bookmarkStart w:id="377" w:name="_Toc390782253"/>
      <w:bookmarkStart w:id="378" w:name="_Toc390352554"/>
      <w:bookmarkStart w:id="379" w:name="_Toc390353531"/>
      <w:bookmarkStart w:id="380" w:name="_Toc390355481"/>
      <w:bookmarkStart w:id="381" w:name="_Toc390436145"/>
      <w:bookmarkStart w:id="382" w:name="_Toc390673436"/>
      <w:bookmarkStart w:id="383" w:name="_Toc390689710"/>
      <w:bookmarkStart w:id="384" w:name="_Toc390696715"/>
      <w:bookmarkStart w:id="385" w:name="_Toc390759729"/>
      <w:bookmarkStart w:id="386" w:name="_Toc390764485"/>
      <w:bookmarkStart w:id="387" w:name="_Toc390766014"/>
      <w:bookmarkStart w:id="388" w:name="_Toc390778483"/>
      <w:bookmarkStart w:id="389" w:name="_Toc390779461"/>
      <w:bookmarkStart w:id="390" w:name="_Toc390782274"/>
      <w:bookmarkStart w:id="391" w:name="_Toc390352572"/>
      <w:bookmarkStart w:id="392" w:name="_Toc390353549"/>
      <w:bookmarkStart w:id="393" w:name="_Toc390355499"/>
      <w:bookmarkStart w:id="394" w:name="_Toc390436163"/>
      <w:bookmarkStart w:id="395" w:name="_Toc390673454"/>
      <w:bookmarkStart w:id="396" w:name="_Toc390689728"/>
      <w:bookmarkStart w:id="397" w:name="_Toc390696733"/>
      <w:bookmarkStart w:id="398" w:name="_Toc390759747"/>
      <w:bookmarkStart w:id="399" w:name="_Toc390764503"/>
      <w:bookmarkStart w:id="400" w:name="_Toc390766032"/>
      <w:bookmarkStart w:id="401" w:name="_Toc390778501"/>
      <w:bookmarkStart w:id="402" w:name="_Toc390779479"/>
      <w:bookmarkStart w:id="403" w:name="_Toc390782292"/>
      <w:bookmarkStart w:id="404" w:name="_Toc390352600"/>
      <w:bookmarkStart w:id="405" w:name="_Toc390353577"/>
      <w:bookmarkStart w:id="406" w:name="_Toc390355527"/>
      <w:bookmarkStart w:id="407" w:name="_Toc390436191"/>
      <w:bookmarkStart w:id="408" w:name="_Toc390673482"/>
      <w:bookmarkStart w:id="409" w:name="_Toc390689756"/>
      <w:bookmarkStart w:id="410" w:name="_Toc390696761"/>
      <w:bookmarkStart w:id="411" w:name="_Toc390759775"/>
      <w:bookmarkStart w:id="412" w:name="_Toc390764531"/>
      <w:bookmarkStart w:id="413" w:name="_Toc390766060"/>
      <w:bookmarkStart w:id="414" w:name="_Toc390778529"/>
      <w:bookmarkStart w:id="415" w:name="_Toc390779507"/>
      <w:bookmarkStart w:id="416" w:name="_Toc390782320"/>
      <w:bookmarkStart w:id="417" w:name="_Toc390352602"/>
      <w:bookmarkStart w:id="418" w:name="_Toc390353579"/>
      <w:bookmarkStart w:id="419" w:name="_Toc390355529"/>
      <w:bookmarkStart w:id="420" w:name="_Toc390436193"/>
      <w:bookmarkStart w:id="421" w:name="_Toc390673484"/>
      <w:bookmarkStart w:id="422" w:name="_Toc390689758"/>
      <w:bookmarkStart w:id="423" w:name="_Toc390696763"/>
      <w:bookmarkStart w:id="424" w:name="_Toc390759777"/>
      <w:bookmarkStart w:id="425" w:name="_Toc390764533"/>
      <w:bookmarkStart w:id="426" w:name="_Toc390766062"/>
      <w:bookmarkStart w:id="427" w:name="_Toc390778531"/>
      <w:bookmarkStart w:id="428" w:name="_Toc390779509"/>
      <w:bookmarkStart w:id="429" w:name="_Toc390782322"/>
      <w:bookmarkStart w:id="430" w:name="_Toc390352603"/>
      <w:bookmarkStart w:id="431" w:name="_Toc390353580"/>
      <w:bookmarkStart w:id="432" w:name="_Toc390355530"/>
      <w:bookmarkStart w:id="433" w:name="_Toc390436194"/>
      <w:bookmarkStart w:id="434" w:name="_Toc390673485"/>
      <w:bookmarkStart w:id="435" w:name="_Toc390689759"/>
      <w:bookmarkStart w:id="436" w:name="_Toc390696764"/>
      <w:bookmarkStart w:id="437" w:name="_Toc390759778"/>
      <w:bookmarkStart w:id="438" w:name="_Toc390764534"/>
      <w:bookmarkStart w:id="439" w:name="_Toc390766063"/>
      <w:bookmarkStart w:id="440" w:name="_Toc390778532"/>
      <w:bookmarkStart w:id="441" w:name="_Toc390779510"/>
      <w:bookmarkStart w:id="442" w:name="_Toc390782323"/>
      <w:bookmarkStart w:id="443" w:name="_Toc390352604"/>
      <w:bookmarkStart w:id="444" w:name="_Toc390353581"/>
      <w:bookmarkStart w:id="445" w:name="_Toc390355531"/>
      <w:bookmarkStart w:id="446" w:name="_Toc390436195"/>
      <w:bookmarkStart w:id="447" w:name="_Toc390673486"/>
      <w:bookmarkStart w:id="448" w:name="_Toc390689760"/>
      <w:bookmarkStart w:id="449" w:name="_Toc390696765"/>
      <w:bookmarkStart w:id="450" w:name="_Toc390759779"/>
      <w:bookmarkStart w:id="451" w:name="_Toc390764535"/>
      <w:bookmarkStart w:id="452" w:name="_Toc390766064"/>
      <w:bookmarkStart w:id="453" w:name="_Toc390778533"/>
      <w:bookmarkStart w:id="454" w:name="_Toc390779511"/>
      <w:bookmarkStart w:id="455" w:name="_Toc390782324"/>
      <w:bookmarkStart w:id="456" w:name="_Toc390352617"/>
      <w:bookmarkStart w:id="457" w:name="_Toc390353594"/>
      <w:bookmarkStart w:id="458" w:name="_Toc390355544"/>
      <w:bookmarkStart w:id="459" w:name="_Toc390436208"/>
      <w:bookmarkStart w:id="460" w:name="_Toc390673499"/>
      <w:bookmarkStart w:id="461" w:name="_Toc390689773"/>
      <w:bookmarkStart w:id="462" w:name="_Toc390696778"/>
      <w:bookmarkStart w:id="463" w:name="_Toc390759792"/>
      <w:bookmarkStart w:id="464" w:name="_Toc390764548"/>
      <w:bookmarkStart w:id="465" w:name="_Toc390766077"/>
      <w:bookmarkStart w:id="466" w:name="_Toc390778546"/>
      <w:bookmarkStart w:id="467" w:name="_Toc390779524"/>
      <w:bookmarkStart w:id="468" w:name="_Toc390782337"/>
      <w:bookmarkStart w:id="469" w:name="_Toc390352660"/>
      <w:bookmarkStart w:id="470" w:name="_Toc390353637"/>
      <w:bookmarkStart w:id="471" w:name="_Toc390355587"/>
      <w:bookmarkStart w:id="472" w:name="_Toc390436251"/>
      <w:bookmarkStart w:id="473" w:name="_Toc390673542"/>
      <w:bookmarkStart w:id="474" w:name="_Toc390689816"/>
      <w:bookmarkStart w:id="475" w:name="_Toc390696821"/>
      <w:bookmarkStart w:id="476" w:name="_Toc390759835"/>
      <w:bookmarkStart w:id="477" w:name="_Toc390764591"/>
      <w:bookmarkStart w:id="478" w:name="_Toc390766120"/>
      <w:bookmarkStart w:id="479" w:name="_Toc390778589"/>
      <w:bookmarkStart w:id="480" w:name="_Toc390779567"/>
      <w:bookmarkStart w:id="481" w:name="_Toc390782380"/>
      <w:bookmarkStart w:id="482" w:name="_Toc390352679"/>
      <w:bookmarkStart w:id="483" w:name="_Toc390353656"/>
      <w:bookmarkStart w:id="484" w:name="_Toc390355606"/>
      <w:bookmarkStart w:id="485" w:name="_Toc390436270"/>
      <w:bookmarkStart w:id="486" w:name="_Toc390673561"/>
      <w:bookmarkStart w:id="487" w:name="_Toc390689835"/>
      <w:bookmarkStart w:id="488" w:name="_Toc390696840"/>
      <w:bookmarkStart w:id="489" w:name="_Toc390759854"/>
      <w:bookmarkStart w:id="490" w:name="_Toc390764610"/>
      <w:bookmarkStart w:id="491" w:name="_Toc390766139"/>
      <w:bookmarkStart w:id="492" w:name="_Toc390778608"/>
      <w:bookmarkStart w:id="493" w:name="_Toc390779586"/>
      <w:bookmarkStart w:id="494" w:name="_Toc390782399"/>
      <w:bookmarkStart w:id="495" w:name="_Toc390352688"/>
      <w:bookmarkStart w:id="496" w:name="_Toc390353665"/>
      <w:bookmarkStart w:id="497" w:name="_Toc390355615"/>
      <w:bookmarkStart w:id="498" w:name="_Toc390436279"/>
      <w:bookmarkStart w:id="499" w:name="_Toc390673570"/>
      <w:bookmarkStart w:id="500" w:name="_Toc390689844"/>
      <w:bookmarkStart w:id="501" w:name="_Toc390696849"/>
      <w:bookmarkStart w:id="502" w:name="_Toc390759863"/>
      <w:bookmarkStart w:id="503" w:name="_Toc390764619"/>
      <w:bookmarkStart w:id="504" w:name="_Toc390766148"/>
      <w:bookmarkStart w:id="505" w:name="_Toc390778617"/>
      <w:bookmarkStart w:id="506" w:name="_Toc390779595"/>
      <w:bookmarkStart w:id="507" w:name="_Toc390782408"/>
      <w:bookmarkStart w:id="508" w:name="_Toc390352697"/>
      <w:bookmarkStart w:id="509" w:name="_Toc390353674"/>
      <w:bookmarkStart w:id="510" w:name="_Toc390355624"/>
      <w:bookmarkStart w:id="511" w:name="_Toc390436288"/>
      <w:bookmarkStart w:id="512" w:name="_Toc390673579"/>
      <w:bookmarkStart w:id="513" w:name="_Toc390689853"/>
      <w:bookmarkStart w:id="514" w:name="_Toc390696858"/>
      <w:bookmarkStart w:id="515" w:name="_Toc390759872"/>
      <w:bookmarkStart w:id="516" w:name="_Toc390764628"/>
      <w:bookmarkStart w:id="517" w:name="_Toc390766157"/>
      <w:bookmarkStart w:id="518" w:name="_Toc390778626"/>
      <w:bookmarkStart w:id="519" w:name="_Toc390779604"/>
      <w:bookmarkStart w:id="520" w:name="_Toc390782417"/>
      <w:bookmarkStart w:id="521" w:name="_Toc390352706"/>
      <w:bookmarkStart w:id="522" w:name="_Toc390353683"/>
      <w:bookmarkStart w:id="523" w:name="_Toc390355633"/>
      <w:bookmarkStart w:id="524" w:name="_Toc390436297"/>
      <w:bookmarkStart w:id="525" w:name="_Toc390673588"/>
      <w:bookmarkStart w:id="526" w:name="_Toc390689862"/>
      <w:bookmarkStart w:id="527" w:name="_Toc390696867"/>
      <w:bookmarkStart w:id="528" w:name="_Toc390759881"/>
      <w:bookmarkStart w:id="529" w:name="_Toc390764637"/>
      <w:bookmarkStart w:id="530" w:name="_Toc390766166"/>
      <w:bookmarkStart w:id="531" w:name="_Toc390778635"/>
      <w:bookmarkStart w:id="532" w:name="_Toc390779613"/>
      <w:bookmarkStart w:id="533" w:name="_Toc390782426"/>
      <w:bookmarkStart w:id="534" w:name="_Toc390352724"/>
      <w:bookmarkStart w:id="535" w:name="_Toc390353701"/>
      <w:bookmarkStart w:id="536" w:name="_Toc390355651"/>
      <w:bookmarkStart w:id="537" w:name="_Toc390436315"/>
      <w:bookmarkStart w:id="538" w:name="_Toc390673606"/>
      <w:bookmarkStart w:id="539" w:name="_Toc390689880"/>
      <w:bookmarkStart w:id="540" w:name="_Toc390696885"/>
      <w:bookmarkStart w:id="541" w:name="_Toc390759899"/>
      <w:bookmarkStart w:id="542" w:name="_Toc390764655"/>
      <w:bookmarkStart w:id="543" w:name="_Toc390766184"/>
      <w:bookmarkStart w:id="544" w:name="_Toc390778653"/>
      <w:bookmarkStart w:id="545" w:name="_Toc390779631"/>
      <w:bookmarkStart w:id="546" w:name="_Toc390782444"/>
      <w:bookmarkStart w:id="547" w:name="_Toc390352733"/>
      <w:bookmarkStart w:id="548" w:name="_Toc390353710"/>
      <w:bookmarkStart w:id="549" w:name="_Toc390355660"/>
      <w:bookmarkStart w:id="550" w:name="_Toc390436324"/>
      <w:bookmarkStart w:id="551" w:name="_Toc390673615"/>
      <w:bookmarkStart w:id="552" w:name="_Toc390689889"/>
      <w:bookmarkStart w:id="553" w:name="_Toc390696894"/>
      <w:bookmarkStart w:id="554" w:name="_Toc390759908"/>
      <w:bookmarkStart w:id="555" w:name="_Toc390764664"/>
      <w:bookmarkStart w:id="556" w:name="_Toc390766193"/>
      <w:bookmarkStart w:id="557" w:name="_Toc390778662"/>
      <w:bookmarkStart w:id="558" w:name="_Toc390779640"/>
      <w:bookmarkStart w:id="559" w:name="_Toc390782453"/>
      <w:bookmarkStart w:id="560" w:name="_Toc390352742"/>
      <w:bookmarkStart w:id="561" w:name="_Toc390353719"/>
      <w:bookmarkStart w:id="562" w:name="_Toc390355669"/>
      <w:bookmarkStart w:id="563" w:name="_Toc390436333"/>
      <w:bookmarkStart w:id="564" w:name="_Toc390673624"/>
      <w:bookmarkStart w:id="565" w:name="_Toc390689898"/>
      <w:bookmarkStart w:id="566" w:name="_Toc390696903"/>
      <w:bookmarkStart w:id="567" w:name="_Toc390759917"/>
      <w:bookmarkStart w:id="568" w:name="_Toc390764673"/>
      <w:bookmarkStart w:id="569" w:name="_Toc390766202"/>
      <w:bookmarkStart w:id="570" w:name="_Toc390778671"/>
      <w:bookmarkStart w:id="571" w:name="_Toc390779649"/>
      <w:bookmarkStart w:id="572" w:name="_Toc390782462"/>
      <w:bookmarkStart w:id="573" w:name="_Toc390330919"/>
      <w:bookmarkStart w:id="574" w:name="_Toc390352757"/>
      <w:bookmarkStart w:id="575" w:name="_Toc390353734"/>
      <w:bookmarkStart w:id="576" w:name="_Toc390355684"/>
      <w:bookmarkStart w:id="577" w:name="_Toc390436348"/>
      <w:bookmarkStart w:id="578" w:name="_Toc390673639"/>
      <w:bookmarkStart w:id="579" w:name="_Toc390689913"/>
      <w:bookmarkStart w:id="580" w:name="_Toc390696918"/>
      <w:bookmarkStart w:id="581" w:name="_Toc390759932"/>
      <w:bookmarkStart w:id="582" w:name="_Toc390764688"/>
      <w:bookmarkStart w:id="583" w:name="_Toc390766217"/>
      <w:bookmarkStart w:id="584" w:name="_Toc390778686"/>
      <w:bookmarkStart w:id="585" w:name="_Toc390779664"/>
      <w:bookmarkStart w:id="586" w:name="_Toc390782477"/>
      <w:bookmarkStart w:id="587" w:name="_Toc390330923"/>
      <w:bookmarkStart w:id="588" w:name="_Toc390352761"/>
      <w:bookmarkStart w:id="589" w:name="_Toc390353738"/>
      <w:bookmarkStart w:id="590" w:name="_Toc390355688"/>
      <w:bookmarkStart w:id="591" w:name="_Toc390436352"/>
      <w:bookmarkStart w:id="592" w:name="_Toc390673643"/>
      <w:bookmarkStart w:id="593" w:name="_Toc390689917"/>
      <w:bookmarkStart w:id="594" w:name="_Toc390696922"/>
      <w:bookmarkStart w:id="595" w:name="_Toc390759936"/>
      <w:bookmarkStart w:id="596" w:name="_Toc390764692"/>
      <w:bookmarkStart w:id="597" w:name="_Toc390766221"/>
      <w:bookmarkStart w:id="598" w:name="_Toc390778690"/>
      <w:bookmarkStart w:id="599" w:name="_Toc390779668"/>
      <w:bookmarkStart w:id="600" w:name="_Toc390782481"/>
      <w:bookmarkStart w:id="601" w:name="_Toc390330932"/>
      <w:bookmarkStart w:id="602" w:name="_Toc390352770"/>
      <w:bookmarkStart w:id="603" w:name="_Toc390353747"/>
      <w:bookmarkStart w:id="604" w:name="_Toc390355697"/>
      <w:bookmarkStart w:id="605" w:name="_Toc390436361"/>
      <w:bookmarkStart w:id="606" w:name="_Toc390673652"/>
      <w:bookmarkStart w:id="607" w:name="_Toc390689926"/>
      <w:bookmarkStart w:id="608" w:name="_Toc390696931"/>
      <w:bookmarkStart w:id="609" w:name="_Toc390759945"/>
      <w:bookmarkStart w:id="610" w:name="_Toc390764701"/>
      <w:bookmarkStart w:id="611" w:name="_Toc390766230"/>
      <w:bookmarkStart w:id="612" w:name="_Toc390778699"/>
      <w:bookmarkStart w:id="613" w:name="_Toc390779677"/>
      <w:bookmarkStart w:id="614" w:name="_Toc390782490"/>
      <w:bookmarkStart w:id="615" w:name="_Toc390352781"/>
      <w:bookmarkStart w:id="616" w:name="_Toc390353758"/>
      <w:bookmarkStart w:id="617" w:name="_Toc390355708"/>
      <w:bookmarkStart w:id="618" w:name="_Toc390436372"/>
      <w:bookmarkStart w:id="619" w:name="_Toc390673663"/>
      <w:bookmarkStart w:id="620" w:name="_Toc390689937"/>
      <w:bookmarkStart w:id="621" w:name="_Toc390696942"/>
      <w:bookmarkStart w:id="622" w:name="_Toc390759955"/>
      <w:bookmarkStart w:id="623" w:name="_Toc390764711"/>
      <w:bookmarkStart w:id="624" w:name="_Toc390766240"/>
      <w:bookmarkStart w:id="625" w:name="_Toc390778709"/>
      <w:bookmarkStart w:id="626" w:name="_Toc390779687"/>
      <w:bookmarkStart w:id="627" w:name="_Toc390782500"/>
      <w:bookmarkStart w:id="628" w:name="_Toc390352782"/>
      <w:bookmarkStart w:id="629" w:name="_Toc390353759"/>
      <w:bookmarkStart w:id="630" w:name="_Toc390355709"/>
      <w:bookmarkStart w:id="631" w:name="_Toc390436373"/>
      <w:bookmarkStart w:id="632" w:name="_Toc390673664"/>
      <w:bookmarkStart w:id="633" w:name="_Toc390689938"/>
      <w:bookmarkStart w:id="634" w:name="_Toc390696943"/>
      <w:bookmarkStart w:id="635" w:name="_Toc390759956"/>
      <w:bookmarkStart w:id="636" w:name="_Toc390764712"/>
      <w:bookmarkStart w:id="637" w:name="_Toc390766241"/>
      <w:bookmarkStart w:id="638" w:name="_Toc390778710"/>
      <w:bookmarkStart w:id="639" w:name="_Toc390779688"/>
      <w:bookmarkStart w:id="640" w:name="_Toc390782501"/>
      <w:bookmarkStart w:id="641" w:name="_Toc390352788"/>
      <w:bookmarkStart w:id="642" w:name="_Toc390353765"/>
      <w:bookmarkStart w:id="643" w:name="_Toc390355715"/>
      <w:bookmarkStart w:id="644" w:name="_Toc390436379"/>
      <w:bookmarkStart w:id="645" w:name="_Toc390673670"/>
      <w:bookmarkStart w:id="646" w:name="_Toc390689944"/>
      <w:bookmarkStart w:id="647" w:name="_Toc390696949"/>
      <w:bookmarkStart w:id="648" w:name="_Toc390759962"/>
      <w:bookmarkStart w:id="649" w:name="_Toc390764718"/>
      <w:bookmarkStart w:id="650" w:name="_Toc390766247"/>
      <w:bookmarkStart w:id="651" w:name="_Toc390778716"/>
      <w:bookmarkStart w:id="652" w:name="_Toc390779694"/>
      <w:bookmarkStart w:id="653" w:name="_Toc390782507"/>
      <w:bookmarkStart w:id="654" w:name="_Toc390352793"/>
      <w:bookmarkStart w:id="655" w:name="_Toc390353770"/>
      <w:bookmarkStart w:id="656" w:name="_Toc390355720"/>
      <w:bookmarkStart w:id="657" w:name="_Toc390436384"/>
      <w:bookmarkStart w:id="658" w:name="_Toc390673675"/>
      <w:bookmarkStart w:id="659" w:name="_Toc390689949"/>
      <w:bookmarkStart w:id="660" w:name="_Toc390696954"/>
      <w:bookmarkStart w:id="661" w:name="_Toc390759967"/>
      <w:bookmarkStart w:id="662" w:name="_Toc390764723"/>
      <w:bookmarkStart w:id="663" w:name="_Toc390766252"/>
      <w:bookmarkStart w:id="664" w:name="_Toc390778721"/>
      <w:bookmarkStart w:id="665" w:name="_Toc390779699"/>
      <w:bookmarkStart w:id="666" w:name="_Toc390782512"/>
      <w:bookmarkStart w:id="667" w:name="_Toc388343191"/>
      <w:bookmarkStart w:id="668" w:name="_Toc390268016"/>
      <w:bookmarkStart w:id="669" w:name="_Toc390268147"/>
      <w:bookmarkStart w:id="670" w:name="_Toc390352798"/>
      <w:bookmarkStart w:id="671" w:name="_Toc390353775"/>
      <w:bookmarkStart w:id="672" w:name="_Toc390355725"/>
      <w:bookmarkStart w:id="673" w:name="_Toc390436389"/>
      <w:bookmarkStart w:id="674" w:name="_Toc390673680"/>
      <w:bookmarkStart w:id="675" w:name="_Toc390689954"/>
      <w:bookmarkStart w:id="676" w:name="_Toc390696959"/>
      <w:bookmarkStart w:id="677" w:name="_Toc390759972"/>
      <w:bookmarkStart w:id="678" w:name="_Toc390764728"/>
      <w:bookmarkStart w:id="679" w:name="_Toc390766257"/>
      <w:bookmarkStart w:id="680" w:name="_Toc390778726"/>
      <w:bookmarkStart w:id="681" w:name="_Toc390779704"/>
      <w:bookmarkStart w:id="682" w:name="_Toc390782517"/>
      <w:bookmarkStart w:id="683" w:name="_Toc390268017"/>
      <w:bookmarkStart w:id="684" w:name="_Toc390268148"/>
      <w:bookmarkStart w:id="685" w:name="_Toc390352799"/>
      <w:bookmarkStart w:id="686" w:name="_Toc390353776"/>
      <w:bookmarkStart w:id="687" w:name="_Toc390355726"/>
      <w:bookmarkStart w:id="688" w:name="_Toc390436390"/>
      <w:bookmarkStart w:id="689" w:name="_Toc390673681"/>
      <w:bookmarkStart w:id="690" w:name="_Toc390689955"/>
      <w:bookmarkStart w:id="691" w:name="_Toc390696960"/>
      <w:bookmarkStart w:id="692" w:name="_Toc390759973"/>
      <w:bookmarkStart w:id="693" w:name="_Toc390764729"/>
      <w:bookmarkStart w:id="694" w:name="_Toc390766258"/>
      <w:bookmarkStart w:id="695" w:name="_Toc390778727"/>
      <w:bookmarkStart w:id="696" w:name="_Toc390779705"/>
      <w:bookmarkStart w:id="697" w:name="_Toc390782518"/>
      <w:bookmarkStart w:id="698" w:name="_Toc390268018"/>
      <w:bookmarkStart w:id="699" w:name="_Toc390268149"/>
      <w:bookmarkStart w:id="700" w:name="_Toc390352800"/>
      <w:bookmarkStart w:id="701" w:name="_Toc390353777"/>
      <w:bookmarkStart w:id="702" w:name="_Toc390355727"/>
      <w:bookmarkStart w:id="703" w:name="_Toc390436391"/>
      <w:bookmarkStart w:id="704" w:name="_Toc390673682"/>
      <w:bookmarkStart w:id="705" w:name="_Toc390689956"/>
      <w:bookmarkStart w:id="706" w:name="_Toc390696961"/>
      <w:bookmarkStart w:id="707" w:name="_Toc390759974"/>
      <w:bookmarkStart w:id="708" w:name="_Toc390764730"/>
      <w:bookmarkStart w:id="709" w:name="_Toc390766259"/>
      <w:bookmarkStart w:id="710" w:name="_Toc390778728"/>
      <w:bookmarkStart w:id="711" w:name="_Toc390779706"/>
      <w:bookmarkStart w:id="712" w:name="_Toc390782519"/>
      <w:bookmarkStart w:id="713" w:name="_Toc390268021"/>
      <w:bookmarkStart w:id="714" w:name="_Toc390268152"/>
      <w:bookmarkStart w:id="715" w:name="_Toc390352803"/>
      <w:bookmarkStart w:id="716" w:name="_Toc390353780"/>
      <w:bookmarkStart w:id="717" w:name="_Toc390355730"/>
      <w:bookmarkStart w:id="718" w:name="_Toc390436394"/>
      <w:bookmarkStart w:id="719" w:name="_Toc390673685"/>
      <w:bookmarkStart w:id="720" w:name="_Toc390689959"/>
      <w:bookmarkStart w:id="721" w:name="_Toc390696964"/>
      <w:bookmarkStart w:id="722" w:name="_Toc390759977"/>
      <w:bookmarkStart w:id="723" w:name="_Toc390764733"/>
      <w:bookmarkStart w:id="724" w:name="_Toc390766262"/>
      <w:bookmarkStart w:id="725" w:name="_Toc390778731"/>
      <w:bookmarkStart w:id="726" w:name="_Toc390779709"/>
      <w:bookmarkStart w:id="727" w:name="_Toc390782522"/>
      <w:bookmarkStart w:id="728" w:name="_Toc390268023"/>
      <w:bookmarkStart w:id="729" w:name="_Toc390268154"/>
      <w:bookmarkStart w:id="730" w:name="_Toc390352805"/>
      <w:bookmarkStart w:id="731" w:name="_Toc390353782"/>
      <w:bookmarkStart w:id="732" w:name="_Toc390355732"/>
      <w:bookmarkStart w:id="733" w:name="_Toc390436396"/>
      <w:bookmarkStart w:id="734" w:name="_Toc390673687"/>
      <w:bookmarkStart w:id="735" w:name="_Toc390689961"/>
      <w:bookmarkStart w:id="736" w:name="_Toc390696966"/>
      <w:bookmarkStart w:id="737" w:name="_Toc390759979"/>
      <w:bookmarkStart w:id="738" w:name="_Toc390764735"/>
      <w:bookmarkStart w:id="739" w:name="_Toc390766264"/>
      <w:bookmarkStart w:id="740" w:name="_Toc390778733"/>
      <w:bookmarkStart w:id="741" w:name="_Toc390779711"/>
      <w:bookmarkStart w:id="742" w:name="_Toc390782524"/>
      <w:bookmarkStart w:id="743" w:name="_Toc390268024"/>
      <w:bookmarkStart w:id="744" w:name="_Toc390268155"/>
      <w:bookmarkStart w:id="745" w:name="_Toc390352806"/>
      <w:bookmarkStart w:id="746" w:name="_Toc390353783"/>
      <w:bookmarkStart w:id="747" w:name="_Toc390355733"/>
      <w:bookmarkStart w:id="748" w:name="_Toc390436397"/>
      <w:bookmarkStart w:id="749" w:name="_Toc390673688"/>
      <w:bookmarkStart w:id="750" w:name="_Toc390689962"/>
      <w:bookmarkStart w:id="751" w:name="_Toc390696967"/>
      <w:bookmarkStart w:id="752" w:name="_Toc390759980"/>
      <w:bookmarkStart w:id="753" w:name="_Toc390764736"/>
      <w:bookmarkStart w:id="754" w:name="_Toc390766265"/>
      <w:bookmarkStart w:id="755" w:name="_Toc390778734"/>
      <w:bookmarkStart w:id="756" w:name="_Toc390779712"/>
      <w:bookmarkStart w:id="757" w:name="_Toc390782525"/>
      <w:bookmarkStart w:id="758" w:name="_Toc390268025"/>
      <w:bookmarkStart w:id="759" w:name="_Toc390268156"/>
      <w:bookmarkStart w:id="760" w:name="_Toc390352807"/>
      <w:bookmarkStart w:id="761" w:name="_Toc390353784"/>
      <w:bookmarkStart w:id="762" w:name="_Toc390355734"/>
      <w:bookmarkStart w:id="763" w:name="_Toc390436398"/>
      <w:bookmarkStart w:id="764" w:name="_Toc390673689"/>
      <w:bookmarkStart w:id="765" w:name="_Toc390689963"/>
      <w:bookmarkStart w:id="766" w:name="_Toc390696968"/>
      <w:bookmarkStart w:id="767" w:name="_Toc390759981"/>
      <w:bookmarkStart w:id="768" w:name="_Toc390764737"/>
      <w:bookmarkStart w:id="769" w:name="_Toc390766266"/>
      <w:bookmarkStart w:id="770" w:name="_Toc390778735"/>
      <w:bookmarkStart w:id="771" w:name="_Toc390779713"/>
      <w:bookmarkStart w:id="772" w:name="_Toc390782526"/>
      <w:bookmarkStart w:id="773" w:name="_Toc390268027"/>
      <w:bookmarkStart w:id="774" w:name="_Toc390268158"/>
      <w:bookmarkStart w:id="775" w:name="_Toc390352809"/>
      <w:bookmarkStart w:id="776" w:name="_Toc390353786"/>
      <w:bookmarkStart w:id="777" w:name="_Toc390355736"/>
      <w:bookmarkStart w:id="778" w:name="_Toc390436400"/>
      <w:bookmarkStart w:id="779" w:name="_Toc390673691"/>
      <w:bookmarkStart w:id="780" w:name="_Toc390689965"/>
      <w:bookmarkStart w:id="781" w:name="_Toc390696970"/>
      <w:bookmarkStart w:id="782" w:name="_Toc390759983"/>
      <w:bookmarkStart w:id="783" w:name="_Toc390764739"/>
      <w:bookmarkStart w:id="784" w:name="_Toc390766268"/>
      <w:bookmarkStart w:id="785" w:name="_Toc390778737"/>
      <w:bookmarkStart w:id="786" w:name="_Toc390779715"/>
      <w:bookmarkStart w:id="787" w:name="_Toc390782528"/>
      <w:bookmarkStart w:id="788" w:name="_Toc390268028"/>
      <w:bookmarkStart w:id="789" w:name="_Toc390268159"/>
      <w:bookmarkStart w:id="790" w:name="_Toc390352810"/>
      <w:bookmarkStart w:id="791" w:name="_Toc390353787"/>
      <w:bookmarkStart w:id="792" w:name="_Toc390355737"/>
      <w:bookmarkStart w:id="793" w:name="_Toc390436401"/>
      <w:bookmarkStart w:id="794" w:name="_Toc390673692"/>
      <w:bookmarkStart w:id="795" w:name="_Toc390689966"/>
      <w:bookmarkStart w:id="796" w:name="_Toc390696971"/>
      <w:bookmarkStart w:id="797" w:name="_Toc390759984"/>
      <w:bookmarkStart w:id="798" w:name="_Toc390764740"/>
      <w:bookmarkStart w:id="799" w:name="_Toc390766269"/>
      <w:bookmarkStart w:id="800" w:name="_Toc390778738"/>
      <w:bookmarkStart w:id="801" w:name="_Toc390779716"/>
      <w:bookmarkStart w:id="802" w:name="_Toc390782529"/>
      <w:bookmarkStart w:id="803" w:name="_Toc390268029"/>
      <w:bookmarkStart w:id="804" w:name="_Toc390268160"/>
      <w:bookmarkStart w:id="805" w:name="_Toc390352811"/>
      <w:bookmarkStart w:id="806" w:name="_Toc390353788"/>
      <w:bookmarkStart w:id="807" w:name="_Toc390355738"/>
      <w:bookmarkStart w:id="808" w:name="_Toc390436402"/>
      <w:bookmarkStart w:id="809" w:name="_Toc390673693"/>
      <w:bookmarkStart w:id="810" w:name="_Toc390689967"/>
      <w:bookmarkStart w:id="811" w:name="_Toc390696972"/>
      <w:bookmarkStart w:id="812" w:name="_Toc390759985"/>
      <w:bookmarkStart w:id="813" w:name="_Toc390764741"/>
      <w:bookmarkStart w:id="814" w:name="_Toc390766270"/>
      <w:bookmarkStart w:id="815" w:name="_Toc390778739"/>
      <w:bookmarkStart w:id="816" w:name="_Toc390779717"/>
      <w:bookmarkStart w:id="817" w:name="_Toc390782530"/>
      <w:bookmarkStart w:id="818" w:name="_Toc390268030"/>
      <w:bookmarkStart w:id="819" w:name="_Toc390268161"/>
      <w:bookmarkStart w:id="820" w:name="_Toc390352812"/>
      <w:bookmarkStart w:id="821" w:name="_Toc390353789"/>
      <w:bookmarkStart w:id="822" w:name="_Toc390355739"/>
      <w:bookmarkStart w:id="823" w:name="_Toc390436403"/>
      <w:bookmarkStart w:id="824" w:name="_Toc390673694"/>
      <w:bookmarkStart w:id="825" w:name="_Toc390689968"/>
      <w:bookmarkStart w:id="826" w:name="_Toc390696973"/>
      <w:bookmarkStart w:id="827" w:name="_Toc390759986"/>
      <w:bookmarkStart w:id="828" w:name="_Toc390764742"/>
      <w:bookmarkStart w:id="829" w:name="_Toc390766271"/>
      <w:bookmarkStart w:id="830" w:name="_Toc390778740"/>
      <w:bookmarkStart w:id="831" w:name="_Toc390779718"/>
      <w:bookmarkStart w:id="832" w:name="_Toc390782531"/>
      <w:bookmarkStart w:id="833" w:name="_Toc390268031"/>
      <w:bookmarkStart w:id="834" w:name="_Toc390268162"/>
      <w:bookmarkStart w:id="835" w:name="_Toc390352813"/>
      <w:bookmarkStart w:id="836" w:name="_Toc390353790"/>
      <w:bookmarkStart w:id="837" w:name="_Toc390355740"/>
      <w:bookmarkStart w:id="838" w:name="_Toc390436404"/>
      <w:bookmarkStart w:id="839" w:name="_Toc390673695"/>
      <w:bookmarkStart w:id="840" w:name="_Toc390689969"/>
      <w:bookmarkStart w:id="841" w:name="_Toc390696974"/>
      <w:bookmarkStart w:id="842" w:name="_Toc390759987"/>
      <w:bookmarkStart w:id="843" w:name="_Toc390764743"/>
      <w:bookmarkStart w:id="844" w:name="_Toc390766272"/>
      <w:bookmarkStart w:id="845" w:name="_Toc390778741"/>
      <w:bookmarkStart w:id="846" w:name="_Toc390779719"/>
      <w:bookmarkStart w:id="847" w:name="_Toc390782532"/>
      <w:bookmarkStart w:id="848" w:name="_Toc390268032"/>
      <w:bookmarkStart w:id="849" w:name="_Toc390268163"/>
      <w:bookmarkStart w:id="850" w:name="_Toc390352814"/>
      <w:bookmarkStart w:id="851" w:name="_Toc390353791"/>
      <w:bookmarkStart w:id="852" w:name="_Toc390355741"/>
      <w:bookmarkStart w:id="853" w:name="_Toc390436405"/>
      <w:bookmarkStart w:id="854" w:name="_Toc390673696"/>
      <w:bookmarkStart w:id="855" w:name="_Toc390689970"/>
      <w:bookmarkStart w:id="856" w:name="_Toc390696975"/>
      <w:bookmarkStart w:id="857" w:name="_Toc390759988"/>
      <w:bookmarkStart w:id="858" w:name="_Toc390764744"/>
      <w:bookmarkStart w:id="859" w:name="_Toc390766273"/>
      <w:bookmarkStart w:id="860" w:name="_Toc390778742"/>
      <w:bookmarkStart w:id="861" w:name="_Toc390779720"/>
      <w:bookmarkStart w:id="862" w:name="_Toc390782533"/>
      <w:bookmarkStart w:id="863" w:name="_Toc390268034"/>
      <w:bookmarkStart w:id="864" w:name="_Toc390268165"/>
      <w:bookmarkStart w:id="865" w:name="_Toc390352816"/>
      <w:bookmarkStart w:id="866" w:name="_Toc390353793"/>
      <w:bookmarkStart w:id="867" w:name="_Toc390355743"/>
      <w:bookmarkStart w:id="868" w:name="_Toc390436407"/>
      <w:bookmarkStart w:id="869" w:name="_Toc390673698"/>
      <w:bookmarkStart w:id="870" w:name="_Toc390689972"/>
      <w:bookmarkStart w:id="871" w:name="_Toc390696977"/>
      <w:bookmarkStart w:id="872" w:name="_Toc390759990"/>
      <w:bookmarkStart w:id="873" w:name="_Toc390764746"/>
      <w:bookmarkStart w:id="874" w:name="_Toc390766275"/>
      <w:bookmarkStart w:id="875" w:name="_Toc390778744"/>
      <w:bookmarkStart w:id="876" w:name="_Toc390779722"/>
      <w:bookmarkStart w:id="877" w:name="_Toc390782535"/>
      <w:bookmarkStart w:id="878" w:name="_Toc390268035"/>
      <w:bookmarkStart w:id="879" w:name="_Toc390268166"/>
      <w:bookmarkStart w:id="880" w:name="_Toc390352817"/>
      <w:bookmarkStart w:id="881" w:name="_Toc390353794"/>
      <w:bookmarkStart w:id="882" w:name="_Toc390355744"/>
      <w:bookmarkStart w:id="883" w:name="_Toc390436408"/>
      <w:bookmarkStart w:id="884" w:name="_Toc390673699"/>
      <w:bookmarkStart w:id="885" w:name="_Toc390689973"/>
      <w:bookmarkStart w:id="886" w:name="_Toc390696978"/>
      <w:bookmarkStart w:id="887" w:name="_Toc390759991"/>
      <w:bookmarkStart w:id="888" w:name="_Toc390764747"/>
      <w:bookmarkStart w:id="889" w:name="_Toc390766276"/>
      <w:bookmarkStart w:id="890" w:name="_Toc390778745"/>
      <w:bookmarkStart w:id="891" w:name="_Toc390779723"/>
      <w:bookmarkStart w:id="892" w:name="_Toc390782536"/>
      <w:bookmarkStart w:id="893" w:name="_Toc390268036"/>
      <w:bookmarkStart w:id="894" w:name="_Toc390268167"/>
      <w:bookmarkStart w:id="895" w:name="_Toc390352818"/>
      <w:bookmarkStart w:id="896" w:name="_Toc390353795"/>
      <w:bookmarkStart w:id="897" w:name="_Toc390355745"/>
      <w:bookmarkStart w:id="898" w:name="_Toc390436409"/>
      <w:bookmarkStart w:id="899" w:name="_Toc390673700"/>
      <w:bookmarkStart w:id="900" w:name="_Toc390689974"/>
      <w:bookmarkStart w:id="901" w:name="_Toc390696979"/>
      <w:bookmarkStart w:id="902" w:name="_Toc390759992"/>
      <w:bookmarkStart w:id="903" w:name="_Toc390764748"/>
      <w:bookmarkStart w:id="904" w:name="_Toc390766277"/>
      <w:bookmarkStart w:id="905" w:name="_Toc390778746"/>
      <w:bookmarkStart w:id="906" w:name="_Toc390779724"/>
      <w:bookmarkStart w:id="907" w:name="_Toc390782537"/>
      <w:bookmarkStart w:id="908" w:name="_Toc390268039"/>
      <w:bookmarkStart w:id="909" w:name="_Toc390268170"/>
      <w:bookmarkStart w:id="910" w:name="_Toc390352821"/>
      <w:bookmarkStart w:id="911" w:name="_Toc390353798"/>
      <w:bookmarkStart w:id="912" w:name="_Toc390355748"/>
      <w:bookmarkStart w:id="913" w:name="_Toc390436412"/>
      <w:bookmarkStart w:id="914" w:name="_Toc390673703"/>
      <w:bookmarkStart w:id="915" w:name="_Toc390689977"/>
      <w:bookmarkStart w:id="916" w:name="_Toc390696982"/>
      <w:bookmarkStart w:id="917" w:name="_Toc390759995"/>
      <w:bookmarkStart w:id="918" w:name="_Toc390764751"/>
      <w:bookmarkStart w:id="919" w:name="_Toc390766280"/>
      <w:bookmarkStart w:id="920" w:name="_Toc390778749"/>
      <w:bookmarkStart w:id="921" w:name="_Toc390779727"/>
      <w:bookmarkStart w:id="922" w:name="_Toc390782540"/>
      <w:bookmarkStart w:id="923" w:name="_Toc390268040"/>
      <w:bookmarkStart w:id="924" w:name="_Toc390268171"/>
      <w:bookmarkStart w:id="925" w:name="_Toc390352822"/>
      <w:bookmarkStart w:id="926" w:name="_Toc390353799"/>
      <w:bookmarkStart w:id="927" w:name="_Toc390355749"/>
      <w:bookmarkStart w:id="928" w:name="_Toc390436413"/>
      <w:bookmarkStart w:id="929" w:name="_Toc390673704"/>
      <w:bookmarkStart w:id="930" w:name="_Toc390689978"/>
      <w:bookmarkStart w:id="931" w:name="_Toc390696983"/>
      <w:bookmarkStart w:id="932" w:name="_Toc390759996"/>
      <w:bookmarkStart w:id="933" w:name="_Toc390764752"/>
      <w:bookmarkStart w:id="934" w:name="_Toc390766281"/>
      <w:bookmarkStart w:id="935" w:name="_Toc390778750"/>
      <w:bookmarkStart w:id="936" w:name="_Toc390779728"/>
      <w:bookmarkStart w:id="937" w:name="_Toc390782541"/>
      <w:bookmarkStart w:id="938" w:name="_Toc390268041"/>
      <w:bookmarkStart w:id="939" w:name="_Toc390268172"/>
      <w:bookmarkStart w:id="940" w:name="_Toc390352823"/>
      <w:bookmarkStart w:id="941" w:name="_Toc390353800"/>
      <w:bookmarkStart w:id="942" w:name="_Toc390355750"/>
      <w:bookmarkStart w:id="943" w:name="_Toc390436414"/>
      <w:bookmarkStart w:id="944" w:name="_Toc390673705"/>
      <w:bookmarkStart w:id="945" w:name="_Toc390689979"/>
      <w:bookmarkStart w:id="946" w:name="_Toc390696984"/>
      <w:bookmarkStart w:id="947" w:name="_Toc390759997"/>
      <w:bookmarkStart w:id="948" w:name="_Toc390764753"/>
      <w:bookmarkStart w:id="949" w:name="_Toc390766282"/>
      <w:bookmarkStart w:id="950" w:name="_Toc390778751"/>
      <w:bookmarkStart w:id="951" w:name="_Toc390779729"/>
      <w:bookmarkStart w:id="952" w:name="_Toc390782542"/>
      <w:bookmarkStart w:id="953" w:name="_Toc390268042"/>
      <w:bookmarkStart w:id="954" w:name="_Toc390268173"/>
      <w:bookmarkStart w:id="955" w:name="_Toc390352824"/>
      <w:bookmarkStart w:id="956" w:name="_Toc390353801"/>
      <w:bookmarkStart w:id="957" w:name="_Toc390355751"/>
      <w:bookmarkStart w:id="958" w:name="_Toc390436415"/>
      <w:bookmarkStart w:id="959" w:name="_Toc390673706"/>
      <w:bookmarkStart w:id="960" w:name="_Toc390689980"/>
      <w:bookmarkStart w:id="961" w:name="_Toc390696985"/>
      <w:bookmarkStart w:id="962" w:name="_Toc390759998"/>
      <w:bookmarkStart w:id="963" w:name="_Toc390764754"/>
      <w:bookmarkStart w:id="964" w:name="_Toc390766283"/>
      <w:bookmarkStart w:id="965" w:name="_Toc390778752"/>
      <w:bookmarkStart w:id="966" w:name="_Toc390779730"/>
      <w:bookmarkStart w:id="967" w:name="_Toc390782543"/>
      <w:bookmarkStart w:id="968" w:name="_Toc390268043"/>
      <w:bookmarkStart w:id="969" w:name="_Toc390268174"/>
      <w:bookmarkStart w:id="970" w:name="_Toc390352825"/>
      <w:bookmarkStart w:id="971" w:name="_Toc390353802"/>
      <w:bookmarkStart w:id="972" w:name="_Toc390355752"/>
      <w:bookmarkStart w:id="973" w:name="_Toc390436416"/>
      <w:bookmarkStart w:id="974" w:name="_Toc390673707"/>
      <w:bookmarkStart w:id="975" w:name="_Toc390689981"/>
      <w:bookmarkStart w:id="976" w:name="_Toc390696986"/>
      <w:bookmarkStart w:id="977" w:name="_Toc390759999"/>
      <w:bookmarkStart w:id="978" w:name="_Toc390764755"/>
      <w:bookmarkStart w:id="979" w:name="_Toc390766284"/>
      <w:bookmarkStart w:id="980" w:name="_Toc390778753"/>
      <w:bookmarkStart w:id="981" w:name="_Toc390779731"/>
      <w:bookmarkStart w:id="982" w:name="_Toc390782544"/>
      <w:bookmarkStart w:id="983" w:name="_Toc390268044"/>
      <w:bookmarkStart w:id="984" w:name="_Toc390268175"/>
      <w:bookmarkStart w:id="985" w:name="_Toc390352826"/>
      <w:bookmarkStart w:id="986" w:name="_Toc390353803"/>
      <w:bookmarkStart w:id="987" w:name="_Toc390355753"/>
      <w:bookmarkStart w:id="988" w:name="_Toc390436417"/>
      <w:bookmarkStart w:id="989" w:name="_Toc390673708"/>
      <w:bookmarkStart w:id="990" w:name="_Toc390689982"/>
      <w:bookmarkStart w:id="991" w:name="_Toc390696987"/>
      <w:bookmarkStart w:id="992" w:name="_Toc390760000"/>
      <w:bookmarkStart w:id="993" w:name="_Toc390764756"/>
      <w:bookmarkStart w:id="994" w:name="_Toc390766285"/>
      <w:bookmarkStart w:id="995" w:name="_Toc390778754"/>
      <w:bookmarkStart w:id="996" w:name="_Toc390779732"/>
      <w:bookmarkStart w:id="997" w:name="_Toc390782545"/>
      <w:bookmarkStart w:id="998" w:name="_Toc390268045"/>
      <w:bookmarkStart w:id="999" w:name="_Toc390268176"/>
      <w:bookmarkStart w:id="1000" w:name="_Toc390352827"/>
      <w:bookmarkStart w:id="1001" w:name="_Toc390353804"/>
      <w:bookmarkStart w:id="1002" w:name="_Toc390355754"/>
      <w:bookmarkStart w:id="1003" w:name="_Toc390436418"/>
      <w:bookmarkStart w:id="1004" w:name="_Toc390673709"/>
      <w:bookmarkStart w:id="1005" w:name="_Toc390689983"/>
      <w:bookmarkStart w:id="1006" w:name="_Toc390696988"/>
      <w:bookmarkStart w:id="1007" w:name="_Toc390760001"/>
      <w:bookmarkStart w:id="1008" w:name="_Toc390764757"/>
      <w:bookmarkStart w:id="1009" w:name="_Toc390766286"/>
      <w:bookmarkStart w:id="1010" w:name="_Toc390778755"/>
      <w:bookmarkStart w:id="1011" w:name="_Toc390779733"/>
      <w:bookmarkStart w:id="1012" w:name="_Toc390782546"/>
      <w:bookmarkStart w:id="1013" w:name="_Toc390268046"/>
      <w:bookmarkStart w:id="1014" w:name="_Toc390268177"/>
      <w:bookmarkStart w:id="1015" w:name="_Toc390352828"/>
      <w:bookmarkStart w:id="1016" w:name="_Toc390353805"/>
      <w:bookmarkStart w:id="1017" w:name="_Toc390355755"/>
      <w:bookmarkStart w:id="1018" w:name="_Toc390436419"/>
      <w:bookmarkStart w:id="1019" w:name="_Toc390673710"/>
      <w:bookmarkStart w:id="1020" w:name="_Toc390689984"/>
      <w:bookmarkStart w:id="1021" w:name="_Toc390696989"/>
      <w:bookmarkStart w:id="1022" w:name="_Toc390760002"/>
      <w:bookmarkStart w:id="1023" w:name="_Toc390764758"/>
      <w:bookmarkStart w:id="1024" w:name="_Toc390766287"/>
      <w:bookmarkStart w:id="1025" w:name="_Toc390778756"/>
      <w:bookmarkStart w:id="1026" w:name="_Toc390779734"/>
      <w:bookmarkStart w:id="1027" w:name="_Toc390782547"/>
      <w:bookmarkStart w:id="1028" w:name="_Toc390268050"/>
      <w:bookmarkStart w:id="1029" w:name="_Toc390268181"/>
      <w:bookmarkStart w:id="1030" w:name="_Toc390352832"/>
      <w:bookmarkStart w:id="1031" w:name="_Toc390353809"/>
      <w:bookmarkStart w:id="1032" w:name="_Toc390355759"/>
      <w:bookmarkStart w:id="1033" w:name="_Toc390436423"/>
      <w:bookmarkStart w:id="1034" w:name="_Toc390673714"/>
      <w:bookmarkStart w:id="1035" w:name="_Toc390689988"/>
      <w:bookmarkStart w:id="1036" w:name="_Toc390696993"/>
      <w:bookmarkStart w:id="1037" w:name="_Toc390760006"/>
      <w:bookmarkStart w:id="1038" w:name="_Toc390764762"/>
      <w:bookmarkStart w:id="1039" w:name="_Toc390766291"/>
      <w:bookmarkStart w:id="1040" w:name="_Toc390778760"/>
      <w:bookmarkStart w:id="1041" w:name="_Toc390779738"/>
      <w:bookmarkStart w:id="1042" w:name="_Toc390782551"/>
      <w:bookmarkStart w:id="1043" w:name="_Toc390268054"/>
      <w:bookmarkStart w:id="1044" w:name="_Toc390268185"/>
      <w:bookmarkStart w:id="1045" w:name="_Toc390352836"/>
      <w:bookmarkStart w:id="1046" w:name="_Toc390353813"/>
      <w:bookmarkStart w:id="1047" w:name="_Toc390355763"/>
      <w:bookmarkStart w:id="1048" w:name="_Toc390436427"/>
      <w:bookmarkStart w:id="1049" w:name="_Toc390673718"/>
      <w:bookmarkStart w:id="1050" w:name="_Toc390689992"/>
      <w:bookmarkStart w:id="1051" w:name="_Toc390696997"/>
      <w:bookmarkStart w:id="1052" w:name="_Toc390760010"/>
      <w:bookmarkStart w:id="1053" w:name="_Toc390764766"/>
      <w:bookmarkStart w:id="1054" w:name="_Toc390766295"/>
      <w:bookmarkStart w:id="1055" w:name="_Toc390778764"/>
      <w:bookmarkStart w:id="1056" w:name="_Toc390779742"/>
      <w:bookmarkStart w:id="1057" w:name="_Toc390782555"/>
      <w:bookmarkStart w:id="1058" w:name="_Toc390268055"/>
      <w:bookmarkStart w:id="1059" w:name="_Toc390268186"/>
      <w:bookmarkStart w:id="1060" w:name="_Toc390352837"/>
      <w:bookmarkStart w:id="1061" w:name="_Toc390353814"/>
      <w:bookmarkStart w:id="1062" w:name="_Toc390355764"/>
      <w:bookmarkStart w:id="1063" w:name="_Toc390436428"/>
      <w:bookmarkStart w:id="1064" w:name="_Toc390673719"/>
      <w:bookmarkStart w:id="1065" w:name="_Toc390689993"/>
      <w:bookmarkStart w:id="1066" w:name="_Toc390696998"/>
      <w:bookmarkStart w:id="1067" w:name="_Toc390760011"/>
      <w:bookmarkStart w:id="1068" w:name="_Toc390764767"/>
      <w:bookmarkStart w:id="1069" w:name="_Toc390766296"/>
      <w:bookmarkStart w:id="1070" w:name="_Toc390778765"/>
      <w:bookmarkStart w:id="1071" w:name="_Toc390779743"/>
      <w:bookmarkStart w:id="1072" w:name="_Toc390782556"/>
      <w:bookmarkStart w:id="1073" w:name="_Toc390268056"/>
      <w:bookmarkStart w:id="1074" w:name="_Toc390268187"/>
      <w:bookmarkStart w:id="1075" w:name="_Toc390352838"/>
      <w:bookmarkStart w:id="1076" w:name="_Toc390353815"/>
      <w:bookmarkStart w:id="1077" w:name="_Toc390355765"/>
      <w:bookmarkStart w:id="1078" w:name="_Toc390436429"/>
      <w:bookmarkStart w:id="1079" w:name="_Toc390673720"/>
      <w:bookmarkStart w:id="1080" w:name="_Toc390689994"/>
      <w:bookmarkStart w:id="1081" w:name="_Toc390696999"/>
      <w:bookmarkStart w:id="1082" w:name="_Toc390760012"/>
      <w:bookmarkStart w:id="1083" w:name="_Toc390764768"/>
      <w:bookmarkStart w:id="1084" w:name="_Toc390766297"/>
      <w:bookmarkStart w:id="1085" w:name="_Toc390778766"/>
      <w:bookmarkStart w:id="1086" w:name="_Toc390779744"/>
      <w:bookmarkStart w:id="1087" w:name="_Toc390782557"/>
      <w:bookmarkStart w:id="1088" w:name="_Toc390268057"/>
      <w:bookmarkStart w:id="1089" w:name="_Toc390268188"/>
      <w:bookmarkStart w:id="1090" w:name="_Toc390352839"/>
      <w:bookmarkStart w:id="1091" w:name="_Toc390353816"/>
      <w:bookmarkStart w:id="1092" w:name="_Toc390355766"/>
      <w:bookmarkStart w:id="1093" w:name="_Toc390436430"/>
      <w:bookmarkStart w:id="1094" w:name="_Toc390673721"/>
      <w:bookmarkStart w:id="1095" w:name="_Toc390689995"/>
      <w:bookmarkStart w:id="1096" w:name="_Toc390697000"/>
      <w:bookmarkStart w:id="1097" w:name="_Toc390760013"/>
      <w:bookmarkStart w:id="1098" w:name="_Toc390764769"/>
      <w:bookmarkStart w:id="1099" w:name="_Toc390766298"/>
      <w:bookmarkStart w:id="1100" w:name="_Toc390778767"/>
      <w:bookmarkStart w:id="1101" w:name="_Toc390779745"/>
      <w:bookmarkStart w:id="1102" w:name="_Toc390782558"/>
      <w:bookmarkStart w:id="1103" w:name="_Toc390268061"/>
      <w:bookmarkStart w:id="1104" w:name="_Toc390268192"/>
      <w:bookmarkStart w:id="1105" w:name="_Toc390352843"/>
      <w:bookmarkStart w:id="1106" w:name="_Toc390353820"/>
      <w:bookmarkStart w:id="1107" w:name="_Toc390355770"/>
      <w:bookmarkStart w:id="1108" w:name="_Toc390436434"/>
      <w:bookmarkStart w:id="1109" w:name="_Toc390673725"/>
      <w:bookmarkStart w:id="1110" w:name="_Toc390689999"/>
      <w:bookmarkStart w:id="1111" w:name="_Toc390697004"/>
      <w:bookmarkStart w:id="1112" w:name="_Toc390760017"/>
      <w:bookmarkStart w:id="1113" w:name="_Toc390764773"/>
      <w:bookmarkStart w:id="1114" w:name="_Toc390766302"/>
      <w:bookmarkStart w:id="1115" w:name="_Toc390778771"/>
      <w:bookmarkStart w:id="1116" w:name="_Toc390779749"/>
      <w:bookmarkStart w:id="1117" w:name="_Toc390782562"/>
      <w:bookmarkStart w:id="1118" w:name="_Toc390268064"/>
      <w:bookmarkStart w:id="1119" w:name="_Toc390268195"/>
      <w:bookmarkStart w:id="1120" w:name="_Toc390352846"/>
      <w:bookmarkStart w:id="1121" w:name="_Toc390353823"/>
      <w:bookmarkStart w:id="1122" w:name="_Toc390355773"/>
      <w:bookmarkStart w:id="1123" w:name="_Toc390436437"/>
      <w:bookmarkStart w:id="1124" w:name="_Toc390673728"/>
      <w:bookmarkStart w:id="1125" w:name="_Toc390690002"/>
      <w:bookmarkStart w:id="1126" w:name="_Toc390697007"/>
      <w:bookmarkStart w:id="1127" w:name="_Toc390760020"/>
      <w:bookmarkStart w:id="1128" w:name="_Toc390764776"/>
      <w:bookmarkStart w:id="1129" w:name="_Toc390766305"/>
      <w:bookmarkStart w:id="1130" w:name="_Toc390778774"/>
      <w:bookmarkStart w:id="1131" w:name="_Toc390779752"/>
      <w:bookmarkStart w:id="1132" w:name="_Toc390782565"/>
      <w:bookmarkStart w:id="1133" w:name="_Toc390268065"/>
      <w:bookmarkStart w:id="1134" w:name="_Toc390268196"/>
      <w:bookmarkStart w:id="1135" w:name="_Toc390352847"/>
      <w:bookmarkStart w:id="1136" w:name="_Toc390353824"/>
      <w:bookmarkStart w:id="1137" w:name="_Toc390355774"/>
      <w:bookmarkStart w:id="1138" w:name="_Toc390436438"/>
      <w:bookmarkStart w:id="1139" w:name="_Toc390673729"/>
      <w:bookmarkStart w:id="1140" w:name="_Toc390690003"/>
      <w:bookmarkStart w:id="1141" w:name="_Toc390697008"/>
      <w:bookmarkStart w:id="1142" w:name="_Toc390760021"/>
      <w:bookmarkStart w:id="1143" w:name="_Toc390764777"/>
      <w:bookmarkStart w:id="1144" w:name="_Toc390766306"/>
      <w:bookmarkStart w:id="1145" w:name="_Toc390778775"/>
      <w:bookmarkStart w:id="1146" w:name="_Toc390779753"/>
      <w:bookmarkStart w:id="1147" w:name="_Toc390782566"/>
      <w:bookmarkStart w:id="1148" w:name="_Toc390268067"/>
      <w:bookmarkStart w:id="1149" w:name="_Toc390268198"/>
      <w:bookmarkStart w:id="1150" w:name="_Toc390352849"/>
      <w:bookmarkStart w:id="1151" w:name="_Toc390353826"/>
      <w:bookmarkStart w:id="1152" w:name="_Toc390355776"/>
      <w:bookmarkStart w:id="1153" w:name="_Toc390436440"/>
      <w:bookmarkStart w:id="1154" w:name="_Toc390673731"/>
      <w:bookmarkStart w:id="1155" w:name="_Toc390690005"/>
      <w:bookmarkStart w:id="1156" w:name="_Toc390697010"/>
      <w:bookmarkStart w:id="1157" w:name="_Toc390760023"/>
      <w:bookmarkStart w:id="1158" w:name="_Toc390764779"/>
      <w:bookmarkStart w:id="1159" w:name="_Toc390766308"/>
      <w:bookmarkStart w:id="1160" w:name="_Toc390778777"/>
      <w:bookmarkStart w:id="1161" w:name="_Toc390779755"/>
      <w:bookmarkStart w:id="1162" w:name="_Toc390782568"/>
      <w:bookmarkStart w:id="1163" w:name="_Toc388019385"/>
      <w:bookmarkStart w:id="1164" w:name="_Toc388019876"/>
      <w:bookmarkStart w:id="1165" w:name="_Toc388019386"/>
      <w:bookmarkStart w:id="1166" w:name="_Toc388019877"/>
      <w:bookmarkStart w:id="1167" w:name="_Toc388019387"/>
      <w:bookmarkStart w:id="1168" w:name="_Toc388019878"/>
      <w:bookmarkStart w:id="1169" w:name="_Toc388019388"/>
      <w:bookmarkStart w:id="1170" w:name="_Toc388019879"/>
      <w:bookmarkStart w:id="1171" w:name="_Toc388019389"/>
      <w:bookmarkStart w:id="1172" w:name="_Toc388019880"/>
      <w:bookmarkStart w:id="1173" w:name="_Toc388019392"/>
      <w:bookmarkStart w:id="1174" w:name="_Toc388019883"/>
      <w:bookmarkStart w:id="1175" w:name="_Toc388019393"/>
      <w:bookmarkStart w:id="1176" w:name="_Toc388019884"/>
      <w:bookmarkStart w:id="1177" w:name="_Toc388019397"/>
      <w:bookmarkStart w:id="1178" w:name="_Toc388019888"/>
      <w:bookmarkStart w:id="1179" w:name="_Toc388019399"/>
      <w:bookmarkStart w:id="1180" w:name="_Toc388019890"/>
      <w:bookmarkStart w:id="1181" w:name="_Toc388019400"/>
      <w:bookmarkStart w:id="1182" w:name="_Toc388019891"/>
      <w:bookmarkStart w:id="1183" w:name="_Toc388019401"/>
      <w:bookmarkStart w:id="1184" w:name="_Toc388019892"/>
      <w:bookmarkStart w:id="1185" w:name="_Toc388019402"/>
      <w:bookmarkStart w:id="1186" w:name="_Toc388019893"/>
      <w:bookmarkStart w:id="1187" w:name="_Toc388019406"/>
      <w:bookmarkStart w:id="1188" w:name="_Toc388019897"/>
      <w:bookmarkStart w:id="1189" w:name="_Toc388019407"/>
      <w:bookmarkStart w:id="1190" w:name="_Toc388019898"/>
      <w:bookmarkStart w:id="1191" w:name="_Toc388019409"/>
      <w:bookmarkStart w:id="1192" w:name="_Toc388019900"/>
      <w:bookmarkStart w:id="1193" w:name="_Toc388019411"/>
      <w:bookmarkStart w:id="1194" w:name="_Toc388019902"/>
      <w:bookmarkStart w:id="1195" w:name="_Toc388019412"/>
      <w:bookmarkStart w:id="1196" w:name="_Toc388019903"/>
      <w:bookmarkStart w:id="1197" w:name="_Toc388019413"/>
      <w:bookmarkStart w:id="1198" w:name="_Toc388019904"/>
      <w:bookmarkStart w:id="1199" w:name="_Toc388019416"/>
      <w:bookmarkStart w:id="1200" w:name="_Toc388019907"/>
      <w:bookmarkStart w:id="1201" w:name="_Toc388019417"/>
      <w:bookmarkStart w:id="1202" w:name="_Toc388019908"/>
      <w:bookmarkStart w:id="1203" w:name="_Toc388019419"/>
      <w:bookmarkStart w:id="1204" w:name="_Toc388019910"/>
      <w:bookmarkStart w:id="1205" w:name="_Toc388019423"/>
      <w:bookmarkStart w:id="1206" w:name="_Toc388019914"/>
      <w:bookmarkStart w:id="1207" w:name="_Toc388019427"/>
      <w:bookmarkStart w:id="1208" w:name="_Toc388019918"/>
      <w:bookmarkStart w:id="1209" w:name="_Toc388019429"/>
      <w:bookmarkStart w:id="1210" w:name="_Toc388019920"/>
      <w:bookmarkStart w:id="1211" w:name="_Toc388019434"/>
      <w:bookmarkStart w:id="1212" w:name="_Toc388019925"/>
      <w:bookmarkStart w:id="1213" w:name="_Toc388019435"/>
      <w:bookmarkStart w:id="1214" w:name="_Toc388019926"/>
      <w:bookmarkStart w:id="1215" w:name="_Toc388019439"/>
      <w:bookmarkStart w:id="1216" w:name="_Toc388019930"/>
      <w:bookmarkStart w:id="1217" w:name="_Toc388019440"/>
      <w:bookmarkStart w:id="1218" w:name="_Toc388019931"/>
      <w:bookmarkStart w:id="1219" w:name="_Toc388019444"/>
      <w:bookmarkStart w:id="1220" w:name="_Toc388019935"/>
      <w:bookmarkStart w:id="1221" w:name="_Toc388019446"/>
      <w:bookmarkStart w:id="1222" w:name="_Toc388019937"/>
      <w:bookmarkStart w:id="1223" w:name="_Toc388019447"/>
      <w:bookmarkStart w:id="1224" w:name="_Toc388019938"/>
      <w:bookmarkStart w:id="1225" w:name="_Toc388019448"/>
      <w:bookmarkStart w:id="1226" w:name="_Toc388019939"/>
      <w:bookmarkStart w:id="1227" w:name="_Toc388019451"/>
      <w:bookmarkStart w:id="1228" w:name="_Toc388019942"/>
      <w:bookmarkStart w:id="1229" w:name="_Toc388019475"/>
      <w:bookmarkStart w:id="1230" w:name="_Toc388019966"/>
      <w:bookmarkStart w:id="1231" w:name="_Toc388019479"/>
      <w:bookmarkStart w:id="1232" w:name="_Toc388019970"/>
      <w:bookmarkStart w:id="1233" w:name="_Toc388019487"/>
      <w:bookmarkStart w:id="1234" w:name="_Toc388019978"/>
      <w:bookmarkStart w:id="1235" w:name="_Toc388019488"/>
      <w:bookmarkStart w:id="1236" w:name="_Toc388019979"/>
      <w:bookmarkStart w:id="1237" w:name="_Toc388019490"/>
      <w:bookmarkStart w:id="1238" w:name="_Toc388019981"/>
      <w:bookmarkStart w:id="1239" w:name="_Toc388019518"/>
      <w:bookmarkStart w:id="1240" w:name="_Toc388020009"/>
      <w:bookmarkStart w:id="1241" w:name="_Toc388019539"/>
      <w:bookmarkStart w:id="1242" w:name="_Toc388020030"/>
      <w:bookmarkStart w:id="1243" w:name="_Toc388019557"/>
      <w:bookmarkStart w:id="1244" w:name="_Toc388020048"/>
      <w:bookmarkStart w:id="1245" w:name="_Toc388019585"/>
      <w:bookmarkStart w:id="1246" w:name="_Toc388020076"/>
      <w:bookmarkStart w:id="1247" w:name="_Toc388019587"/>
      <w:bookmarkStart w:id="1248" w:name="_Toc388020078"/>
      <w:bookmarkStart w:id="1249" w:name="_Toc388019601"/>
      <w:bookmarkStart w:id="1250" w:name="_Toc388020092"/>
      <w:bookmarkStart w:id="1251" w:name="_Toc388019644"/>
      <w:bookmarkStart w:id="1252" w:name="_Toc388020135"/>
      <w:bookmarkStart w:id="1253" w:name="_Toc388019663"/>
      <w:bookmarkStart w:id="1254" w:name="_Toc388020154"/>
      <w:bookmarkStart w:id="1255" w:name="_Toc388019672"/>
      <w:bookmarkStart w:id="1256" w:name="_Toc388020163"/>
      <w:bookmarkStart w:id="1257" w:name="_Toc388019681"/>
      <w:bookmarkStart w:id="1258" w:name="_Toc388020172"/>
      <w:bookmarkStart w:id="1259" w:name="_Toc388019690"/>
      <w:bookmarkStart w:id="1260" w:name="_Toc388020181"/>
      <w:bookmarkStart w:id="1261" w:name="_Toc388019708"/>
      <w:bookmarkStart w:id="1262" w:name="_Toc388020199"/>
      <w:bookmarkStart w:id="1263" w:name="_Toc388019717"/>
      <w:bookmarkStart w:id="1264" w:name="_Toc388020208"/>
      <w:bookmarkStart w:id="1265" w:name="_Toc388019726"/>
      <w:bookmarkStart w:id="1266" w:name="_Toc388020217"/>
      <w:bookmarkStart w:id="1267" w:name="_Toc388019741"/>
      <w:bookmarkStart w:id="1268" w:name="_Toc388020232"/>
      <w:bookmarkStart w:id="1269" w:name="_Toc388019745"/>
      <w:bookmarkStart w:id="1270" w:name="_Toc388020236"/>
      <w:bookmarkStart w:id="1271" w:name="_Toc388019753"/>
      <w:bookmarkStart w:id="1272" w:name="_Toc388020244"/>
      <w:bookmarkStart w:id="1273" w:name="_Toc388019754"/>
      <w:bookmarkStart w:id="1274" w:name="_Toc388020245"/>
      <w:bookmarkStart w:id="1275" w:name="_Toc388019757"/>
      <w:bookmarkStart w:id="1276" w:name="_Toc388020248"/>
      <w:bookmarkStart w:id="1277" w:name="_Toc388019759"/>
      <w:bookmarkStart w:id="1278" w:name="_Toc388020250"/>
      <w:bookmarkStart w:id="1279" w:name="_Toc388019761"/>
      <w:bookmarkStart w:id="1280" w:name="_Toc388020252"/>
      <w:bookmarkStart w:id="1281" w:name="_Toc388019762"/>
      <w:bookmarkStart w:id="1282" w:name="_Toc388020253"/>
      <w:bookmarkStart w:id="1283" w:name="_Toc388019765"/>
      <w:bookmarkStart w:id="1284" w:name="_Toc388020256"/>
      <w:bookmarkStart w:id="1285" w:name="_Toc388019767"/>
      <w:bookmarkStart w:id="1286" w:name="_Toc388020258"/>
      <w:bookmarkStart w:id="1287" w:name="_Toc388019770"/>
      <w:bookmarkStart w:id="1288" w:name="_Toc388020261"/>
      <w:bookmarkStart w:id="1289" w:name="_Toc388019776"/>
      <w:bookmarkStart w:id="1290" w:name="_Toc388020267"/>
      <w:bookmarkStart w:id="1291" w:name="_Toc388019781"/>
      <w:bookmarkStart w:id="1292" w:name="_Toc388020272"/>
      <w:bookmarkStart w:id="1293" w:name="_Toc388019785"/>
      <w:bookmarkStart w:id="1294" w:name="_Toc388020276"/>
      <w:bookmarkStart w:id="1295" w:name="_Toc388019792"/>
      <w:bookmarkStart w:id="1296" w:name="_Toc388020283"/>
      <w:bookmarkStart w:id="1297" w:name="_Toc388019794"/>
      <w:bookmarkStart w:id="1298" w:name="_Toc388020285"/>
      <w:bookmarkStart w:id="1299" w:name="_Toc388019796"/>
      <w:bookmarkStart w:id="1300" w:name="_Toc388020287"/>
      <w:bookmarkStart w:id="1301" w:name="_Toc388019797"/>
      <w:bookmarkStart w:id="1302" w:name="_Toc388020288"/>
      <w:bookmarkStart w:id="1303" w:name="_Toc388019798"/>
      <w:bookmarkStart w:id="1304" w:name="_Toc388020289"/>
      <w:bookmarkStart w:id="1305" w:name="_Toc388019800"/>
      <w:bookmarkStart w:id="1306" w:name="_Toc388020291"/>
      <w:bookmarkStart w:id="1307" w:name="_Toc388019801"/>
      <w:bookmarkStart w:id="1308" w:name="_Toc388020292"/>
      <w:bookmarkStart w:id="1309" w:name="_Toc388019802"/>
      <w:bookmarkStart w:id="1310" w:name="_Toc388020293"/>
      <w:bookmarkStart w:id="1311" w:name="_Toc388019804"/>
      <w:bookmarkStart w:id="1312" w:name="_Toc388020295"/>
      <w:bookmarkStart w:id="1313" w:name="_Toc390352862"/>
      <w:bookmarkStart w:id="1314" w:name="_Toc390353839"/>
      <w:bookmarkStart w:id="1315" w:name="_Toc390355789"/>
      <w:bookmarkStart w:id="1316" w:name="_Toc390436453"/>
      <w:bookmarkStart w:id="1317" w:name="_Toc390673744"/>
      <w:bookmarkStart w:id="1318" w:name="_Toc390690018"/>
      <w:bookmarkStart w:id="1319" w:name="_Toc390697023"/>
      <w:bookmarkStart w:id="1320" w:name="_Toc390760036"/>
      <w:bookmarkStart w:id="1321" w:name="_Toc390764792"/>
      <w:bookmarkStart w:id="1322" w:name="_Toc390766321"/>
      <w:bookmarkStart w:id="1323" w:name="_Toc390778790"/>
      <w:bookmarkStart w:id="1324" w:name="_Toc390779768"/>
      <w:bookmarkStart w:id="1325" w:name="_Toc390782581"/>
      <w:bookmarkStart w:id="1326" w:name="_Toc390352865"/>
      <w:bookmarkStart w:id="1327" w:name="_Toc390353842"/>
      <w:bookmarkStart w:id="1328" w:name="_Toc390355792"/>
      <w:bookmarkStart w:id="1329" w:name="_Toc390436456"/>
      <w:bookmarkStart w:id="1330" w:name="_Toc390673747"/>
      <w:bookmarkStart w:id="1331" w:name="_Toc390690021"/>
      <w:bookmarkStart w:id="1332" w:name="_Toc390697026"/>
      <w:bookmarkStart w:id="1333" w:name="_Toc390760039"/>
      <w:bookmarkStart w:id="1334" w:name="_Toc390764795"/>
      <w:bookmarkStart w:id="1335" w:name="_Toc390766324"/>
      <w:bookmarkStart w:id="1336" w:name="_Toc390778793"/>
      <w:bookmarkStart w:id="1337" w:name="_Toc390779771"/>
      <w:bookmarkStart w:id="1338" w:name="_Toc390782584"/>
      <w:bookmarkStart w:id="1339" w:name="_Toc390352868"/>
      <w:bookmarkStart w:id="1340" w:name="_Toc390353845"/>
      <w:bookmarkStart w:id="1341" w:name="_Toc390355795"/>
      <w:bookmarkStart w:id="1342" w:name="_Toc390436459"/>
      <w:bookmarkStart w:id="1343" w:name="_Toc390673750"/>
      <w:bookmarkStart w:id="1344" w:name="_Toc390690024"/>
      <w:bookmarkStart w:id="1345" w:name="_Toc390697029"/>
      <w:bookmarkStart w:id="1346" w:name="_Toc390760042"/>
      <w:bookmarkStart w:id="1347" w:name="_Toc390764798"/>
      <w:bookmarkStart w:id="1348" w:name="_Toc390766327"/>
      <w:bookmarkStart w:id="1349" w:name="_Toc390778796"/>
      <w:bookmarkStart w:id="1350" w:name="_Toc390779774"/>
      <w:bookmarkStart w:id="1351" w:name="_Toc390782587"/>
      <w:bookmarkStart w:id="1352" w:name="_Toc390352873"/>
      <w:bookmarkStart w:id="1353" w:name="_Toc390353850"/>
      <w:bookmarkStart w:id="1354" w:name="_Toc390355800"/>
      <w:bookmarkStart w:id="1355" w:name="_Toc390436464"/>
      <w:bookmarkStart w:id="1356" w:name="_Toc390673755"/>
      <w:bookmarkStart w:id="1357" w:name="_Toc390690029"/>
      <w:bookmarkStart w:id="1358" w:name="_Toc390697034"/>
      <w:bookmarkStart w:id="1359" w:name="_Toc390760047"/>
      <w:bookmarkStart w:id="1360" w:name="_Toc390764803"/>
      <w:bookmarkStart w:id="1361" w:name="_Toc390766332"/>
      <w:bookmarkStart w:id="1362" w:name="_Toc390778801"/>
      <w:bookmarkStart w:id="1363" w:name="_Toc390779779"/>
      <w:bookmarkStart w:id="1364" w:name="_Toc390782592"/>
      <w:bookmarkStart w:id="1365" w:name="_Toc390352875"/>
      <w:bookmarkStart w:id="1366" w:name="_Toc390353852"/>
      <w:bookmarkStart w:id="1367" w:name="_Toc390355802"/>
      <w:bookmarkStart w:id="1368" w:name="_Toc390436466"/>
      <w:bookmarkStart w:id="1369" w:name="_Toc390673757"/>
      <w:bookmarkStart w:id="1370" w:name="_Toc390690031"/>
      <w:bookmarkStart w:id="1371" w:name="_Toc390697036"/>
      <w:bookmarkStart w:id="1372" w:name="_Toc390760049"/>
      <w:bookmarkStart w:id="1373" w:name="_Toc390764805"/>
      <w:bookmarkStart w:id="1374" w:name="_Toc390766334"/>
      <w:bookmarkStart w:id="1375" w:name="_Toc390778803"/>
      <w:bookmarkStart w:id="1376" w:name="_Toc390779781"/>
      <w:bookmarkStart w:id="1377" w:name="_Toc390782594"/>
      <w:bookmarkStart w:id="1378" w:name="_Toc390352877"/>
      <w:bookmarkStart w:id="1379" w:name="_Toc390353854"/>
      <w:bookmarkStart w:id="1380" w:name="_Toc390355804"/>
      <w:bookmarkStart w:id="1381" w:name="_Toc390436468"/>
      <w:bookmarkStart w:id="1382" w:name="_Toc390673759"/>
      <w:bookmarkStart w:id="1383" w:name="_Toc390690033"/>
      <w:bookmarkStart w:id="1384" w:name="_Toc390697038"/>
      <w:bookmarkStart w:id="1385" w:name="_Toc390760051"/>
      <w:bookmarkStart w:id="1386" w:name="_Toc390764807"/>
      <w:bookmarkStart w:id="1387" w:name="_Toc390766336"/>
      <w:bookmarkStart w:id="1388" w:name="_Toc390778805"/>
      <w:bookmarkStart w:id="1389" w:name="_Toc390779783"/>
      <w:bookmarkStart w:id="1390" w:name="_Toc390782596"/>
      <w:bookmarkStart w:id="1391" w:name="_Toc390352879"/>
      <w:bookmarkStart w:id="1392" w:name="_Toc390353856"/>
      <w:bookmarkStart w:id="1393" w:name="_Toc390355806"/>
      <w:bookmarkStart w:id="1394" w:name="_Toc390436470"/>
      <w:bookmarkStart w:id="1395" w:name="_Toc390673761"/>
      <w:bookmarkStart w:id="1396" w:name="_Toc390690035"/>
      <w:bookmarkStart w:id="1397" w:name="_Toc390697040"/>
      <w:bookmarkStart w:id="1398" w:name="_Toc390760053"/>
      <w:bookmarkStart w:id="1399" w:name="_Toc390764809"/>
      <w:bookmarkStart w:id="1400" w:name="_Toc390766338"/>
      <w:bookmarkStart w:id="1401" w:name="_Toc390778807"/>
      <w:bookmarkStart w:id="1402" w:name="_Toc390779785"/>
      <w:bookmarkStart w:id="1403" w:name="_Toc390782598"/>
      <w:bookmarkStart w:id="1404" w:name="_Toc390352880"/>
      <w:bookmarkStart w:id="1405" w:name="_Toc390353857"/>
      <w:bookmarkStart w:id="1406" w:name="_Toc390355807"/>
      <w:bookmarkStart w:id="1407" w:name="_Toc390436471"/>
      <w:bookmarkStart w:id="1408" w:name="_Toc390673762"/>
      <w:bookmarkStart w:id="1409" w:name="_Toc390690036"/>
      <w:bookmarkStart w:id="1410" w:name="_Toc390697041"/>
      <w:bookmarkStart w:id="1411" w:name="_Toc390760054"/>
      <w:bookmarkStart w:id="1412" w:name="_Toc390764810"/>
      <w:bookmarkStart w:id="1413" w:name="_Toc390766339"/>
      <w:bookmarkStart w:id="1414" w:name="_Toc390778808"/>
      <w:bookmarkStart w:id="1415" w:name="_Toc390779786"/>
      <w:bookmarkStart w:id="1416" w:name="_Toc390782599"/>
      <w:bookmarkStart w:id="1417" w:name="_Toc390352883"/>
      <w:bookmarkStart w:id="1418" w:name="_Toc390353860"/>
      <w:bookmarkStart w:id="1419" w:name="_Toc390355810"/>
      <w:bookmarkStart w:id="1420" w:name="_Toc390436474"/>
      <w:bookmarkStart w:id="1421" w:name="_Toc390673765"/>
      <w:bookmarkStart w:id="1422" w:name="_Toc390690039"/>
      <w:bookmarkStart w:id="1423" w:name="_Toc390697044"/>
      <w:bookmarkStart w:id="1424" w:name="_Toc390760057"/>
      <w:bookmarkStart w:id="1425" w:name="_Toc390764813"/>
      <w:bookmarkStart w:id="1426" w:name="_Toc390766342"/>
      <w:bookmarkStart w:id="1427" w:name="_Toc390778811"/>
      <w:bookmarkStart w:id="1428" w:name="_Toc390779789"/>
      <w:bookmarkStart w:id="1429" w:name="_Toc390782602"/>
      <w:bookmarkStart w:id="1430" w:name="_Toc390352885"/>
      <w:bookmarkStart w:id="1431" w:name="_Toc390353862"/>
      <w:bookmarkStart w:id="1432" w:name="_Toc390355812"/>
      <w:bookmarkStart w:id="1433" w:name="_Toc390436476"/>
      <w:bookmarkStart w:id="1434" w:name="_Toc390673767"/>
      <w:bookmarkStart w:id="1435" w:name="_Toc390690041"/>
      <w:bookmarkStart w:id="1436" w:name="_Toc390697046"/>
      <w:bookmarkStart w:id="1437" w:name="_Toc390760059"/>
      <w:bookmarkStart w:id="1438" w:name="_Toc390764815"/>
      <w:bookmarkStart w:id="1439" w:name="_Toc390766344"/>
      <w:bookmarkStart w:id="1440" w:name="_Toc390778813"/>
      <w:bookmarkStart w:id="1441" w:name="_Toc390779791"/>
      <w:bookmarkStart w:id="1442" w:name="_Toc390782604"/>
      <w:bookmarkStart w:id="1443" w:name="_Toc390352889"/>
      <w:bookmarkStart w:id="1444" w:name="_Toc390353866"/>
      <w:bookmarkStart w:id="1445" w:name="_Toc390355816"/>
      <w:bookmarkStart w:id="1446" w:name="_Toc390436480"/>
      <w:bookmarkStart w:id="1447" w:name="_Toc390673771"/>
      <w:bookmarkStart w:id="1448" w:name="_Toc390690045"/>
      <w:bookmarkStart w:id="1449" w:name="_Toc390697050"/>
      <w:bookmarkStart w:id="1450" w:name="_Toc390760063"/>
      <w:bookmarkStart w:id="1451" w:name="_Toc390764819"/>
      <w:bookmarkStart w:id="1452" w:name="_Toc390766348"/>
      <w:bookmarkStart w:id="1453" w:name="_Toc390778817"/>
      <w:bookmarkStart w:id="1454" w:name="_Toc390779795"/>
      <w:bookmarkStart w:id="1455" w:name="_Toc390782608"/>
      <w:bookmarkStart w:id="1456" w:name="_Toc390352890"/>
      <w:bookmarkStart w:id="1457" w:name="_Toc390353867"/>
      <w:bookmarkStart w:id="1458" w:name="_Toc390355817"/>
      <w:bookmarkStart w:id="1459" w:name="_Toc390436481"/>
      <w:bookmarkStart w:id="1460" w:name="_Toc390673772"/>
      <w:bookmarkStart w:id="1461" w:name="_Toc390690046"/>
      <w:bookmarkStart w:id="1462" w:name="_Toc390697051"/>
      <w:bookmarkStart w:id="1463" w:name="_Toc390760064"/>
      <w:bookmarkStart w:id="1464" w:name="_Toc390764820"/>
      <w:bookmarkStart w:id="1465" w:name="_Toc390766349"/>
      <w:bookmarkStart w:id="1466" w:name="_Toc390778818"/>
      <w:bookmarkStart w:id="1467" w:name="_Toc390779796"/>
      <w:bookmarkStart w:id="1468" w:name="_Toc390782609"/>
      <w:bookmarkStart w:id="1469" w:name="_Toc390352895"/>
      <w:bookmarkStart w:id="1470" w:name="_Toc390353872"/>
      <w:bookmarkStart w:id="1471" w:name="_Toc390355822"/>
      <w:bookmarkStart w:id="1472" w:name="_Toc390436486"/>
      <w:bookmarkStart w:id="1473" w:name="_Toc390673777"/>
      <w:bookmarkStart w:id="1474" w:name="_Toc390690051"/>
      <w:bookmarkStart w:id="1475" w:name="_Toc390697056"/>
      <w:bookmarkStart w:id="1476" w:name="_Toc390760069"/>
      <w:bookmarkStart w:id="1477" w:name="_Toc390764825"/>
      <w:bookmarkStart w:id="1478" w:name="_Toc390766354"/>
      <w:bookmarkStart w:id="1479" w:name="_Toc390778823"/>
      <w:bookmarkStart w:id="1480" w:name="_Toc390779801"/>
      <w:bookmarkStart w:id="1481" w:name="_Toc390782614"/>
      <w:bookmarkStart w:id="1482" w:name="_Toc390352898"/>
      <w:bookmarkStart w:id="1483" w:name="_Toc390353875"/>
      <w:bookmarkStart w:id="1484" w:name="_Toc390355825"/>
      <w:bookmarkStart w:id="1485" w:name="_Toc390436489"/>
      <w:bookmarkStart w:id="1486" w:name="_Toc390673780"/>
      <w:bookmarkStart w:id="1487" w:name="_Toc390690054"/>
      <w:bookmarkStart w:id="1488" w:name="_Toc390697059"/>
      <w:bookmarkStart w:id="1489" w:name="_Toc390760072"/>
      <w:bookmarkStart w:id="1490" w:name="_Toc390764828"/>
      <w:bookmarkStart w:id="1491" w:name="_Toc390766357"/>
      <w:bookmarkStart w:id="1492" w:name="_Toc390778826"/>
      <w:bookmarkStart w:id="1493" w:name="_Toc390779804"/>
      <w:bookmarkStart w:id="1494" w:name="_Toc390782617"/>
      <w:bookmarkStart w:id="1495" w:name="_Toc390352900"/>
      <w:bookmarkStart w:id="1496" w:name="_Toc390353877"/>
      <w:bookmarkStart w:id="1497" w:name="_Toc390355827"/>
      <w:bookmarkStart w:id="1498" w:name="_Toc390436491"/>
      <w:bookmarkStart w:id="1499" w:name="_Toc390673782"/>
      <w:bookmarkStart w:id="1500" w:name="_Toc390690056"/>
      <w:bookmarkStart w:id="1501" w:name="_Toc390697061"/>
      <w:bookmarkStart w:id="1502" w:name="_Toc390760074"/>
      <w:bookmarkStart w:id="1503" w:name="_Toc390764830"/>
      <w:bookmarkStart w:id="1504" w:name="_Toc390766359"/>
      <w:bookmarkStart w:id="1505" w:name="_Toc390778828"/>
      <w:bookmarkStart w:id="1506" w:name="_Toc390779806"/>
      <w:bookmarkStart w:id="1507" w:name="_Toc390782619"/>
      <w:bookmarkStart w:id="1508" w:name="_Toc390352927"/>
      <w:bookmarkStart w:id="1509" w:name="_Toc390353904"/>
      <w:bookmarkStart w:id="1510" w:name="_Toc390355854"/>
      <w:bookmarkStart w:id="1511" w:name="_Toc390436518"/>
      <w:bookmarkStart w:id="1512" w:name="_Toc390673809"/>
      <w:bookmarkStart w:id="1513" w:name="_Toc390690083"/>
      <w:bookmarkStart w:id="1514" w:name="_Toc390697088"/>
      <w:bookmarkStart w:id="1515" w:name="_Toc390760101"/>
      <w:bookmarkStart w:id="1516" w:name="_Toc390764857"/>
      <w:bookmarkStart w:id="1517" w:name="_Toc390766386"/>
      <w:bookmarkStart w:id="1518" w:name="_Toc390778855"/>
      <w:bookmarkStart w:id="1519" w:name="_Toc390779833"/>
      <w:bookmarkStart w:id="1520" w:name="_Toc390782646"/>
      <w:bookmarkStart w:id="1521" w:name="_Toc390352930"/>
      <w:bookmarkStart w:id="1522" w:name="_Toc390353907"/>
      <w:bookmarkStart w:id="1523" w:name="_Toc390355857"/>
      <w:bookmarkStart w:id="1524" w:name="_Toc390436521"/>
      <w:bookmarkStart w:id="1525" w:name="_Toc390673812"/>
      <w:bookmarkStart w:id="1526" w:name="_Toc390690086"/>
      <w:bookmarkStart w:id="1527" w:name="_Toc390697091"/>
      <w:bookmarkStart w:id="1528" w:name="_Toc390760104"/>
      <w:bookmarkStart w:id="1529" w:name="_Toc390764860"/>
      <w:bookmarkStart w:id="1530" w:name="_Toc390766389"/>
      <w:bookmarkStart w:id="1531" w:name="_Toc390778858"/>
      <w:bookmarkStart w:id="1532" w:name="_Toc390779836"/>
      <w:bookmarkStart w:id="1533" w:name="_Toc390782649"/>
      <w:bookmarkStart w:id="1534" w:name="_Toc390352936"/>
      <w:bookmarkStart w:id="1535" w:name="_Toc390353913"/>
      <w:bookmarkStart w:id="1536" w:name="_Toc390355863"/>
      <w:bookmarkStart w:id="1537" w:name="_Toc390436527"/>
      <w:bookmarkStart w:id="1538" w:name="_Toc390673818"/>
      <w:bookmarkStart w:id="1539" w:name="_Toc390690092"/>
      <w:bookmarkStart w:id="1540" w:name="_Toc390697097"/>
      <w:bookmarkStart w:id="1541" w:name="_Toc390760110"/>
      <w:bookmarkStart w:id="1542" w:name="_Toc390764866"/>
      <w:bookmarkStart w:id="1543" w:name="_Toc390766395"/>
      <w:bookmarkStart w:id="1544" w:name="_Toc390778864"/>
      <w:bookmarkStart w:id="1545" w:name="_Toc390779842"/>
      <w:bookmarkStart w:id="1546" w:name="_Toc390782655"/>
      <w:bookmarkStart w:id="1547" w:name="_Toc390352937"/>
      <w:bookmarkStart w:id="1548" w:name="_Toc390353914"/>
      <w:bookmarkStart w:id="1549" w:name="_Toc390355864"/>
      <w:bookmarkStart w:id="1550" w:name="_Toc390690093"/>
      <w:bookmarkStart w:id="1551" w:name="_Toc390760111"/>
      <w:bookmarkStart w:id="1552" w:name="_Toc390764867"/>
      <w:bookmarkStart w:id="1553" w:name="_Toc390766396"/>
      <w:bookmarkStart w:id="1554" w:name="_Toc390778865"/>
      <w:bookmarkStart w:id="1555" w:name="_Toc390779843"/>
      <w:bookmarkStart w:id="1556" w:name="_Toc390782656"/>
      <w:bookmarkStart w:id="1557" w:name="_Toc390352963"/>
      <w:bookmarkStart w:id="1558" w:name="_Toc390353940"/>
      <w:bookmarkStart w:id="1559" w:name="_Toc390355890"/>
      <w:bookmarkStart w:id="1560" w:name="_Toc390436554"/>
      <w:bookmarkStart w:id="1561" w:name="_Toc390673845"/>
      <w:bookmarkStart w:id="1562" w:name="_Toc390690119"/>
      <w:bookmarkStart w:id="1563" w:name="_Toc390697124"/>
      <w:bookmarkStart w:id="1564" w:name="_Toc390760137"/>
      <w:bookmarkStart w:id="1565" w:name="_Toc390764893"/>
      <w:bookmarkStart w:id="1566" w:name="_Toc390766422"/>
      <w:bookmarkStart w:id="1567" w:name="_Toc390778891"/>
      <w:bookmarkStart w:id="1568" w:name="_Toc390779869"/>
      <w:bookmarkStart w:id="1569" w:name="_Toc390782682"/>
      <w:bookmarkStart w:id="1570" w:name="_Toc390352993"/>
      <w:bookmarkStart w:id="1571" w:name="_Toc390353970"/>
      <w:bookmarkStart w:id="1572" w:name="_Toc390355920"/>
      <w:bookmarkStart w:id="1573" w:name="_Toc390436584"/>
      <w:bookmarkStart w:id="1574" w:name="_Toc390673875"/>
      <w:bookmarkStart w:id="1575" w:name="_Toc390690149"/>
      <w:bookmarkStart w:id="1576" w:name="_Toc390697154"/>
      <w:bookmarkStart w:id="1577" w:name="_Toc390760167"/>
      <w:bookmarkStart w:id="1578" w:name="_Toc390764923"/>
      <w:bookmarkStart w:id="1579" w:name="_Toc390766452"/>
      <w:bookmarkStart w:id="1580" w:name="_Toc390778921"/>
      <w:bookmarkStart w:id="1581" w:name="_Toc390779899"/>
      <w:bookmarkStart w:id="1582" w:name="_Toc390782712"/>
      <w:bookmarkStart w:id="1583" w:name="_Toc390353084"/>
      <w:bookmarkStart w:id="1584" w:name="_Toc390354061"/>
      <w:bookmarkStart w:id="1585" w:name="_Toc390356011"/>
      <w:bookmarkStart w:id="1586" w:name="_Toc390436675"/>
      <w:bookmarkStart w:id="1587" w:name="_Toc390673966"/>
      <w:bookmarkStart w:id="1588" w:name="_Toc390690240"/>
      <w:bookmarkStart w:id="1589" w:name="_Toc390697245"/>
      <w:bookmarkStart w:id="1590" w:name="_Toc390760258"/>
      <w:bookmarkStart w:id="1591" w:name="_Toc390765014"/>
      <w:bookmarkStart w:id="1592" w:name="_Toc390766543"/>
      <w:bookmarkStart w:id="1593" w:name="_Toc390779012"/>
      <w:bookmarkStart w:id="1594" w:name="_Toc390779990"/>
      <w:bookmarkStart w:id="1595" w:name="_Toc390782803"/>
      <w:bookmarkStart w:id="1596" w:name="_Toc390353085"/>
      <w:bookmarkStart w:id="1597" w:name="_Toc390354062"/>
      <w:bookmarkStart w:id="1598" w:name="_Toc390356012"/>
      <w:bookmarkStart w:id="1599" w:name="_Toc390436676"/>
      <w:bookmarkStart w:id="1600" w:name="_Toc390673967"/>
      <w:bookmarkStart w:id="1601" w:name="_Toc390690241"/>
      <w:bookmarkStart w:id="1602" w:name="_Toc390697246"/>
      <w:bookmarkStart w:id="1603" w:name="_Toc390760259"/>
      <w:bookmarkStart w:id="1604" w:name="_Toc390765015"/>
      <w:bookmarkStart w:id="1605" w:name="_Toc390766544"/>
      <w:bookmarkStart w:id="1606" w:name="_Toc390779013"/>
      <w:bookmarkStart w:id="1607" w:name="_Toc390779991"/>
      <w:bookmarkStart w:id="1608" w:name="_Toc390782804"/>
      <w:bookmarkStart w:id="1609" w:name="_Toc390353089"/>
      <w:bookmarkStart w:id="1610" w:name="_Toc390354066"/>
      <w:bookmarkStart w:id="1611" w:name="_Toc390356016"/>
      <w:bookmarkStart w:id="1612" w:name="_Toc390436680"/>
      <w:bookmarkStart w:id="1613" w:name="_Toc390673971"/>
      <w:bookmarkStart w:id="1614" w:name="_Toc390690245"/>
      <w:bookmarkStart w:id="1615" w:name="_Toc390697250"/>
      <w:bookmarkStart w:id="1616" w:name="_Toc390760263"/>
      <w:bookmarkStart w:id="1617" w:name="_Toc390765019"/>
      <w:bookmarkStart w:id="1618" w:name="_Toc390766548"/>
      <w:bookmarkStart w:id="1619" w:name="_Toc390779017"/>
      <w:bookmarkStart w:id="1620" w:name="_Toc390779995"/>
      <w:bookmarkStart w:id="1621" w:name="_Toc390782808"/>
      <w:bookmarkStart w:id="1622" w:name="_Toc390353091"/>
      <w:bookmarkStart w:id="1623" w:name="_Toc390354068"/>
      <w:bookmarkStart w:id="1624" w:name="_Toc390356018"/>
      <w:bookmarkStart w:id="1625" w:name="_Toc390436682"/>
      <w:bookmarkStart w:id="1626" w:name="_Toc390673973"/>
      <w:bookmarkStart w:id="1627" w:name="_Toc390690247"/>
      <w:bookmarkStart w:id="1628" w:name="_Toc390697252"/>
      <w:bookmarkStart w:id="1629" w:name="_Toc390760265"/>
      <w:bookmarkStart w:id="1630" w:name="_Toc390765021"/>
      <w:bookmarkStart w:id="1631" w:name="_Toc390766550"/>
      <w:bookmarkStart w:id="1632" w:name="_Toc390779019"/>
      <w:bookmarkStart w:id="1633" w:name="_Toc390779997"/>
      <w:bookmarkStart w:id="1634" w:name="_Toc390782810"/>
      <w:bookmarkStart w:id="1635" w:name="_Toc390353093"/>
      <w:bookmarkStart w:id="1636" w:name="_Toc390354070"/>
      <w:bookmarkStart w:id="1637" w:name="_Toc390356020"/>
      <w:bookmarkStart w:id="1638" w:name="_Toc390436684"/>
      <w:bookmarkStart w:id="1639" w:name="_Toc390673975"/>
      <w:bookmarkStart w:id="1640" w:name="_Toc390690249"/>
      <w:bookmarkStart w:id="1641" w:name="_Toc390697254"/>
      <w:bookmarkStart w:id="1642" w:name="_Toc390760267"/>
      <w:bookmarkStart w:id="1643" w:name="_Toc390765023"/>
      <w:bookmarkStart w:id="1644" w:name="_Toc390766552"/>
      <w:bookmarkStart w:id="1645" w:name="_Toc390779021"/>
      <w:bookmarkStart w:id="1646" w:name="_Toc390779999"/>
      <w:bookmarkStart w:id="1647" w:name="_Toc390782812"/>
      <w:bookmarkStart w:id="1648" w:name="_Toc390353095"/>
      <w:bookmarkStart w:id="1649" w:name="_Toc390354072"/>
      <w:bookmarkStart w:id="1650" w:name="_Toc390356022"/>
      <w:bookmarkStart w:id="1651" w:name="_Toc390436686"/>
      <w:bookmarkStart w:id="1652" w:name="_Toc390673977"/>
      <w:bookmarkStart w:id="1653" w:name="_Toc390690251"/>
      <w:bookmarkStart w:id="1654" w:name="_Toc390697256"/>
      <w:bookmarkStart w:id="1655" w:name="_Toc390760269"/>
      <w:bookmarkStart w:id="1656" w:name="_Toc390765025"/>
      <w:bookmarkStart w:id="1657" w:name="_Toc390766554"/>
      <w:bookmarkStart w:id="1658" w:name="_Toc390779023"/>
      <w:bookmarkStart w:id="1659" w:name="_Toc390780001"/>
      <w:bookmarkStart w:id="1660" w:name="_Toc390782814"/>
      <w:bookmarkStart w:id="1661" w:name="_Toc390353099"/>
      <w:bookmarkStart w:id="1662" w:name="_Toc390354076"/>
      <w:bookmarkStart w:id="1663" w:name="_Toc390356026"/>
      <w:bookmarkStart w:id="1664" w:name="_Toc390436690"/>
      <w:bookmarkStart w:id="1665" w:name="_Toc390673981"/>
      <w:bookmarkStart w:id="1666" w:name="_Toc390690255"/>
      <w:bookmarkStart w:id="1667" w:name="_Toc390697260"/>
      <w:bookmarkStart w:id="1668" w:name="_Toc390760273"/>
      <w:bookmarkStart w:id="1669" w:name="_Toc390765029"/>
      <w:bookmarkStart w:id="1670" w:name="_Toc390766558"/>
      <w:bookmarkStart w:id="1671" w:name="_Toc390779027"/>
      <w:bookmarkStart w:id="1672" w:name="_Toc390780005"/>
      <w:bookmarkStart w:id="1673" w:name="_Toc390782818"/>
      <w:bookmarkStart w:id="1674" w:name="_Toc390353100"/>
      <w:bookmarkStart w:id="1675" w:name="_Toc390354077"/>
      <w:bookmarkStart w:id="1676" w:name="_Toc390356027"/>
      <w:bookmarkStart w:id="1677" w:name="_Toc390436691"/>
      <w:bookmarkStart w:id="1678" w:name="_Toc390673982"/>
      <w:bookmarkStart w:id="1679" w:name="_Toc390690256"/>
      <w:bookmarkStart w:id="1680" w:name="_Toc390697261"/>
      <w:bookmarkStart w:id="1681" w:name="_Toc390760274"/>
      <w:bookmarkStart w:id="1682" w:name="_Toc390765030"/>
      <w:bookmarkStart w:id="1683" w:name="_Toc390766559"/>
      <w:bookmarkStart w:id="1684" w:name="_Toc390779028"/>
      <w:bookmarkStart w:id="1685" w:name="_Toc390780006"/>
      <w:bookmarkStart w:id="1686" w:name="_Toc390782819"/>
      <w:bookmarkStart w:id="1687" w:name="_Toc390353101"/>
      <w:bookmarkStart w:id="1688" w:name="_Toc390354078"/>
      <w:bookmarkStart w:id="1689" w:name="_Toc390356028"/>
      <w:bookmarkStart w:id="1690" w:name="_Toc390436692"/>
      <w:bookmarkStart w:id="1691" w:name="_Toc390673983"/>
      <w:bookmarkStart w:id="1692" w:name="_Toc390690257"/>
      <w:bookmarkStart w:id="1693" w:name="_Toc390697262"/>
      <w:bookmarkStart w:id="1694" w:name="_Toc390760275"/>
      <w:bookmarkStart w:id="1695" w:name="_Toc390765031"/>
      <w:bookmarkStart w:id="1696" w:name="_Toc390766560"/>
      <w:bookmarkStart w:id="1697" w:name="_Toc390779029"/>
      <w:bookmarkStart w:id="1698" w:name="_Toc390780007"/>
      <w:bookmarkStart w:id="1699" w:name="_Toc390782820"/>
      <w:bookmarkStart w:id="1700" w:name="_Toc390353102"/>
      <w:bookmarkStart w:id="1701" w:name="_Toc390354079"/>
      <w:bookmarkStart w:id="1702" w:name="_Toc390356029"/>
      <w:bookmarkStart w:id="1703" w:name="_Toc390436693"/>
      <w:bookmarkStart w:id="1704" w:name="_Toc390673984"/>
      <w:bookmarkStart w:id="1705" w:name="_Toc390690258"/>
      <w:bookmarkStart w:id="1706" w:name="_Toc390697263"/>
      <w:bookmarkStart w:id="1707" w:name="_Toc390760276"/>
      <w:bookmarkStart w:id="1708" w:name="_Toc390765032"/>
      <w:bookmarkStart w:id="1709" w:name="_Toc390766561"/>
      <w:bookmarkStart w:id="1710" w:name="_Toc390779030"/>
      <w:bookmarkStart w:id="1711" w:name="_Toc390780008"/>
      <w:bookmarkStart w:id="1712" w:name="_Toc390782821"/>
      <w:bookmarkStart w:id="1713" w:name="_Toc390353104"/>
      <w:bookmarkStart w:id="1714" w:name="_Toc390354081"/>
      <w:bookmarkStart w:id="1715" w:name="_Toc390356031"/>
      <w:bookmarkStart w:id="1716" w:name="_Toc390436695"/>
      <w:bookmarkStart w:id="1717" w:name="_Toc390673986"/>
      <w:bookmarkStart w:id="1718" w:name="_Toc390690260"/>
      <w:bookmarkStart w:id="1719" w:name="_Toc390697265"/>
      <w:bookmarkStart w:id="1720" w:name="_Toc390760278"/>
      <w:bookmarkStart w:id="1721" w:name="_Toc390765034"/>
      <w:bookmarkStart w:id="1722" w:name="_Toc390766563"/>
      <w:bookmarkStart w:id="1723" w:name="_Toc390779032"/>
      <w:bookmarkStart w:id="1724" w:name="_Toc390780010"/>
      <w:bookmarkStart w:id="1725" w:name="_Toc390782823"/>
      <w:bookmarkStart w:id="1726" w:name="_Toc390353106"/>
      <w:bookmarkStart w:id="1727" w:name="_Toc390354083"/>
      <w:bookmarkStart w:id="1728" w:name="_Toc390356033"/>
      <w:bookmarkStart w:id="1729" w:name="_Toc390436697"/>
      <w:bookmarkStart w:id="1730" w:name="_Toc390673988"/>
      <w:bookmarkStart w:id="1731" w:name="_Toc390690262"/>
      <w:bookmarkStart w:id="1732" w:name="_Toc390697267"/>
      <w:bookmarkStart w:id="1733" w:name="_Toc390760280"/>
      <w:bookmarkStart w:id="1734" w:name="_Toc390765036"/>
      <w:bookmarkStart w:id="1735" w:name="_Toc390766565"/>
      <w:bookmarkStart w:id="1736" w:name="_Toc390779034"/>
      <w:bookmarkStart w:id="1737" w:name="_Toc390780012"/>
      <w:bookmarkStart w:id="1738" w:name="_Toc390782825"/>
      <w:bookmarkStart w:id="1739" w:name="_Toc390353153"/>
      <w:bookmarkStart w:id="1740" w:name="_Toc390354130"/>
      <w:bookmarkStart w:id="1741" w:name="_Toc390356080"/>
      <w:bookmarkStart w:id="1742" w:name="_Toc390436744"/>
      <w:bookmarkStart w:id="1743" w:name="_Toc390674035"/>
      <w:bookmarkStart w:id="1744" w:name="_Toc390690309"/>
      <w:bookmarkStart w:id="1745" w:name="_Toc390697314"/>
      <w:bookmarkStart w:id="1746" w:name="_Toc390760327"/>
      <w:bookmarkStart w:id="1747" w:name="_Toc390765083"/>
      <w:bookmarkStart w:id="1748" w:name="_Toc390766612"/>
      <w:bookmarkStart w:id="1749" w:name="_Toc390779081"/>
      <w:bookmarkStart w:id="1750" w:name="_Toc390780059"/>
      <w:bookmarkStart w:id="1751" w:name="_Toc390782872"/>
      <w:bookmarkStart w:id="1752" w:name="_Toc390353154"/>
      <w:bookmarkStart w:id="1753" w:name="_Toc390354131"/>
      <w:bookmarkStart w:id="1754" w:name="_Toc390356081"/>
      <w:bookmarkStart w:id="1755" w:name="_Toc390436745"/>
      <w:bookmarkStart w:id="1756" w:name="_Toc390674036"/>
      <w:bookmarkStart w:id="1757" w:name="_Toc390690310"/>
      <w:bookmarkStart w:id="1758" w:name="_Toc390697315"/>
      <w:bookmarkStart w:id="1759" w:name="_Toc390760328"/>
      <w:bookmarkStart w:id="1760" w:name="_Toc390765084"/>
      <w:bookmarkStart w:id="1761" w:name="_Toc390766613"/>
      <w:bookmarkStart w:id="1762" w:name="_Toc390779082"/>
      <w:bookmarkStart w:id="1763" w:name="_Toc390780060"/>
      <w:bookmarkStart w:id="1764" w:name="_Toc390782873"/>
      <w:bookmarkStart w:id="1765" w:name="_Toc390353155"/>
      <w:bookmarkStart w:id="1766" w:name="_Toc390354132"/>
      <w:bookmarkStart w:id="1767" w:name="_Toc390356082"/>
      <w:bookmarkStart w:id="1768" w:name="_Toc390436746"/>
      <w:bookmarkStart w:id="1769" w:name="_Toc390674037"/>
      <w:bookmarkStart w:id="1770" w:name="_Toc390690311"/>
      <w:bookmarkStart w:id="1771" w:name="_Toc390697316"/>
      <w:bookmarkStart w:id="1772" w:name="_Toc390760329"/>
      <w:bookmarkStart w:id="1773" w:name="_Toc390765085"/>
      <w:bookmarkStart w:id="1774" w:name="_Toc390766614"/>
      <w:bookmarkStart w:id="1775" w:name="_Toc390779083"/>
      <w:bookmarkStart w:id="1776" w:name="_Toc390780061"/>
      <w:bookmarkStart w:id="1777" w:name="_Toc390782874"/>
      <w:bookmarkStart w:id="1778" w:name="_Toc390353156"/>
      <w:bookmarkStart w:id="1779" w:name="_Toc390354133"/>
      <w:bookmarkStart w:id="1780" w:name="_Toc390356083"/>
      <w:bookmarkStart w:id="1781" w:name="_Toc390436747"/>
      <w:bookmarkStart w:id="1782" w:name="_Toc390674038"/>
      <w:bookmarkStart w:id="1783" w:name="_Toc390690312"/>
      <w:bookmarkStart w:id="1784" w:name="_Toc390697317"/>
      <w:bookmarkStart w:id="1785" w:name="_Toc390760330"/>
      <w:bookmarkStart w:id="1786" w:name="_Toc390765086"/>
      <w:bookmarkStart w:id="1787" w:name="_Toc390766615"/>
      <w:bookmarkStart w:id="1788" w:name="_Toc390779084"/>
      <w:bookmarkStart w:id="1789" w:name="_Toc390780062"/>
      <w:bookmarkStart w:id="1790" w:name="_Toc390782875"/>
      <w:bookmarkStart w:id="1791" w:name="_Toc390353157"/>
      <w:bookmarkStart w:id="1792" w:name="_Toc390354134"/>
      <w:bookmarkStart w:id="1793" w:name="_Toc390356084"/>
      <w:bookmarkStart w:id="1794" w:name="_Toc390436748"/>
      <w:bookmarkStart w:id="1795" w:name="_Toc390674039"/>
      <w:bookmarkStart w:id="1796" w:name="_Toc390690313"/>
      <w:bookmarkStart w:id="1797" w:name="_Toc390697318"/>
      <w:bookmarkStart w:id="1798" w:name="_Toc390760331"/>
      <w:bookmarkStart w:id="1799" w:name="_Toc390765087"/>
      <w:bookmarkStart w:id="1800" w:name="_Toc390766616"/>
      <w:bookmarkStart w:id="1801" w:name="_Toc390779085"/>
      <w:bookmarkStart w:id="1802" w:name="_Toc390780063"/>
      <w:bookmarkStart w:id="1803" w:name="_Toc390782876"/>
      <w:bookmarkStart w:id="1804" w:name="_Toc390353159"/>
      <w:bookmarkStart w:id="1805" w:name="_Toc390354136"/>
      <w:bookmarkStart w:id="1806" w:name="_Toc390356086"/>
      <w:bookmarkStart w:id="1807" w:name="_Toc390436750"/>
      <w:bookmarkStart w:id="1808" w:name="_Toc390674041"/>
      <w:bookmarkStart w:id="1809" w:name="_Toc390690315"/>
      <w:bookmarkStart w:id="1810" w:name="_Toc390697320"/>
      <w:bookmarkStart w:id="1811" w:name="_Toc390760333"/>
      <w:bookmarkStart w:id="1812" w:name="_Toc390765089"/>
      <w:bookmarkStart w:id="1813" w:name="_Toc390766618"/>
      <w:bookmarkStart w:id="1814" w:name="_Toc390779087"/>
      <w:bookmarkStart w:id="1815" w:name="_Toc390780065"/>
      <w:bookmarkStart w:id="1816" w:name="_Toc390782878"/>
      <w:bookmarkStart w:id="1817" w:name="_Toc390353231"/>
      <w:bookmarkStart w:id="1818" w:name="_Toc390354208"/>
      <w:bookmarkStart w:id="1819" w:name="_Toc390356158"/>
      <w:bookmarkStart w:id="1820" w:name="_Toc390436822"/>
      <w:bookmarkStart w:id="1821" w:name="_Toc390674113"/>
      <w:bookmarkStart w:id="1822" w:name="_Toc390690387"/>
      <w:bookmarkStart w:id="1823" w:name="_Toc390697392"/>
      <w:bookmarkStart w:id="1824" w:name="_Toc390760405"/>
      <w:bookmarkStart w:id="1825" w:name="_Toc390765161"/>
      <w:bookmarkStart w:id="1826" w:name="_Toc390766690"/>
      <w:bookmarkStart w:id="1827" w:name="_Toc390779159"/>
      <w:bookmarkStart w:id="1828" w:name="_Toc390780137"/>
      <w:bookmarkStart w:id="1829" w:name="_Toc390782950"/>
      <w:bookmarkStart w:id="1830" w:name="_Toc390353232"/>
      <w:bookmarkStart w:id="1831" w:name="_Toc390354209"/>
      <w:bookmarkStart w:id="1832" w:name="_Toc390356159"/>
      <w:bookmarkStart w:id="1833" w:name="_Toc390436823"/>
      <w:bookmarkStart w:id="1834" w:name="_Toc390674114"/>
      <w:bookmarkStart w:id="1835" w:name="_Toc390690388"/>
      <w:bookmarkStart w:id="1836" w:name="_Toc390697393"/>
      <w:bookmarkStart w:id="1837" w:name="_Toc390760406"/>
      <w:bookmarkStart w:id="1838" w:name="_Toc390765162"/>
      <w:bookmarkStart w:id="1839" w:name="_Toc390766691"/>
      <w:bookmarkStart w:id="1840" w:name="_Toc390779160"/>
      <w:bookmarkStart w:id="1841" w:name="_Toc390780138"/>
      <w:bookmarkStart w:id="1842" w:name="_Toc390782951"/>
      <w:bookmarkStart w:id="1843" w:name="_Toc390353236"/>
      <w:bookmarkStart w:id="1844" w:name="_Toc390354213"/>
      <w:bookmarkStart w:id="1845" w:name="_Toc390356163"/>
      <w:bookmarkStart w:id="1846" w:name="_Toc390436827"/>
      <w:bookmarkStart w:id="1847" w:name="_Toc390674118"/>
      <w:bookmarkStart w:id="1848" w:name="_Toc390690392"/>
      <w:bookmarkStart w:id="1849" w:name="_Toc390697397"/>
      <w:bookmarkStart w:id="1850" w:name="_Toc390760410"/>
      <w:bookmarkStart w:id="1851" w:name="_Toc390765166"/>
      <w:bookmarkStart w:id="1852" w:name="_Toc390766695"/>
      <w:bookmarkStart w:id="1853" w:name="_Toc390779164"/>
      <w:bookmarkStart w:id="1854" w:name="_Toc390780142"/>
      <w:bookmarkStart w:id="1855" w:name="_Toc390782955"/>
      <w:bookmarkStart w:id="1856" w:name="_Toc390353255"/>
      <w:bookmarkStart w:id="1857" w:name="_Toc390354232"/>
      <w:bookmarkStart w:id="1858" w:name="_Toc390356182"/>
      <w:bookmarkStart w:id="1859" w:name="_Toc390436846"/>
      <w:bookmarkStart w:id="1860" w:name="_Toc390674137"/>
      <w:bookmarkStart w:id="1861" w:name="_Toc390690411"/>
      <w:bookmarkStart w:id="1862" w:name="_Toc390697416"/>
      <w:bookmarkStart w:id="1863" w:name="_Toc390760429"/>
      <w:bookmarkStart w:id="1864" w:name="_Toc390765185"/>
      <w:bookmarkStart w:id="1865" w:name="_Toc390766714"/>
      <w:bookmarkStart w:id="1866" w:name="_Toc390779183"/>
      <w:bookmarkStart w:id="1867" w:name="_Toc390780161"/>
      <w:bookmarkStart w:id="1868" w:name="_Toc390782974"/>
      <w:bookmarkStart w:id="1869" w:name="_Toc390353295"/>
      <w:bookmarkStart w:id="1870" w:name="_Toc390354272"/>
      <w:bookmarkStart w:id="1871" w:name="_Toc390356222"/>
      <w:bookmarkStart w:id="1872" w:name="_Toc390436886"/>
      <w:bookmarkStart w:id="1873" w:name="_Toc390674177"/>
      <w:bookmarkStart w:id="1874" w:name="_Toc390690451"/>
      <w:bookmarkStart w:id="1875" w:name="_Toc390697456"/>
      <w:bookmarkStart w:id="1876" w:name="_Toc390760469"/>
      <w:bookmarkStart w:id="1877" w:name="_Toc390765225"/>
      <w:bookmarkStart w:id="1878" w:name="_Toc390766754"/>
      <w:bookmarkStart w:id="1879" w:name="_Toc390779223"/>
      <w:bookmarkStart w:id="1880" w:name="_Toc390780201"/>
      <w:bookmarkStart w:id="1881" w:name="_Toc390783014"/>
      <w:bookmarkStart w:id="1882" w:name="_Toc390268072"/>
      <w:bookmarkStart w:id="1883" w:name="_Toc390268203"/>
      <w:bookmarkStart w:id="1884" w:name="_Toc390330951"/>
      <w:bookmarkStart w:id="1885" w:name="_Toc390353407"/>
      <w:bookmarkStart w:id="1886" w:name="_Toc390354384"/>
      <w:bookmarkStart w:id="1887" w:name="_Toc390356334"/>
      <w:bookmarkStart w:id="1888" w:name="_Toc390436998"/>
      <w:bookmarkStart w:id="1889" w:name="_Toc390674289"/>
      <w:bookmarkStart w:id="1890" w:name="_Toc390690563"/>
      <w:bookmarkStart w:id="1891" w:name="_Toc390697568"/>
      <w:bookmarkStart w:id="1892" w:name="_Toc390760581"/>
      <w:bookmarkStart w:id="1893" w:name="_Toc390765337"/>
      <w:bookmarkStart w:id="1894" w:name="_Toc390766866"/>
      <w:bookmarkStart w:id="1895" w:name="_Toc390779335"/>
      <w:bookmarkStart w:id="1896" w:name="_Toc390780313"/>
      <w:bookmarkStart w:id="1897" w:name="_Toc390783126"/>
      <w:bookmarkStart w:id="1898" w:name="_Toc390946284"/>
      <w:bookmarkStart w:id="1899" w:name="_Toc391969845"/>
      <w:bookmarkEnd w:id="31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sidRPr="00D46AE0">
        <w:t xml:space="preserve">EIM participants will be responsible for procuring </w:t>
      </w:r>
      <w:r w:rsidR="007D50AB">
        <w:t xml:space="preserve">and managing </w:t>
      </w:r>
      <w:r w:rsidRPr="00D46AE0">
        <w:t>their own ancillary services in conformance with NERC and WECC requirements</w:t>
      </w:r>
      <w:r w:rsidR="00312277">
        <w:t xml:space="preserve">. </w:t>
      </w:r>
      <w:r w:rsidRPr="00D46AE0">
        <w:t xml:space="preserve">RTM will protect the participating resource </w:t>
      </w:r>
      <w:r w:rsidR="003F65BA">
        <w:t>EIM Upward Available Balancing Capacity, EIM Downward Available Balancing Capacity, and EIM Reserves to Meet NERC/WECC Contingency Reserves Requirements</w:t>
      </w:r>
      <w:r w:rsidRPr="00D46AE0">
        <w:t>not to be dispatched to meet EIM footprint energy need</w:t>
      </w:r>
      <w:r w:rsidR="00A10DA5">
        <w:t>s</w:t>
      </w:r>
      <w:r w:rsidRPr="00D46AE0">
        <w:t>.</w:t>
      </w:r>
      <w:r w:rsidR="003F05BB">
        <w:t xml:space="preserve"> </w:t>
      </w:r>
      <w:r>
        <w:t xml:space="preserve">However when an infeasible power balance condition in an EIM BAA, other than CAISO, is detected by the CAISO’s market clearing software, </w:t>
      </w:r>
      <w:r w:rsidR="00A84CA6">
        <w:t xml:space="preserve">EIM </w:t>
      </w:r>
      <w:r w:rsidR="003F65BA">
        <w:t xml:space="preserve">Updward or Downward </w:t>
      </w:r>
      <w:r w:rsidR="00A84CA6">
        <w:t>Available Balancing Capacity</w:t>
      </w:r>
      <w:r w:rsidR="003F0008">
        <w:t xml:space="preserve"> will be released to the market clearing </w:t>
      </w:r>
      <w:r w:rsidR="00873907">
        <w:t>process</w:t>
      </w:r>
      <w:r>
        <w:t xml:space="preserve"> </w:t>
      </w:r>
      <w:r w:rsidR="00A10DA5">
        <w:t xml:space="preserve">to </w:t>
      </w:r>
      <w:r>
        <w:t>balance the respective EIM BAA as explained in section 11.3.4 of th</w:t>
      </w:r>
      <w:r w:rsidR="00A10DA5">
        <w:t>is</w:t>
      </w:r>
      <w:r w:rsidR="00C51D2D">
        <w:t xml:space="preserve"> document</w:t>
      </w:r>
      <w:r>
        <w:t>.</w:t>
      </w:r>
      <w:r w:rsidRPr="00484EF3">
        <w:t xml:space="preserve"> </w:t>
      </w:r>
      <w:r w:rsidR="003F65BA">
        <w:t>EIM Downward Available Balancing Capacity consists of any downward capacity from an EIM Participating Resources or a non-participating resource that an EIM Entity Scheduling Coordinator has identified in the EIM Resource Plan as available to address power balance and transmission constraint violations in the EIM Balancing Authority Area, which may include</w:t>
      </w:r>
      <w:r w:rsidR="00C51D2D">
        <w:t xml:space="preserve"> downward</w:t>
      </w:r>
      <w:r w:rsidR="003F65BA">
        <w:t xml:space="preserve"> regulation </w:t>
      </w:r>
      <w:r w:rsidR="00C51D2D">
        <w:t>capacity</w:t>
      </w:r>
      <w:r w:rsidR="003F65BA">
        <w:t xml:space="preserve">. EIM Upward Available Balancing Capacity consists of any upward capacity from an EIM Participating Resources or a non-participating resource that an EIM Entity Scheduling Coordinator has identified in the EIM Resource Plan as available to address power balance and transmission violations in the EIM Balancing Authority Area, which may include </w:t>
      </w:r>
      <w:r w:rsidR="00C51D2D">
        <w:t xml:space="preserve">upward </w:t>
      </w:r>
      <w:r w:rsidR="003F65BA">
        <w:t xml:space="preserve">regulation </w:t>
      </w:r>
      <w:r w:rsidR="00C51D2D">
        <w:t>capacity</w:t>
      </w:r>
      <w:r w:rsidR="003F65BA">
        <w:t xml:space="preserve">.  EIM Reserves to Meet NERC/WECC Contingency Reserves Requirements consists of any capacity that an EIM Entity Scheduling Coordinator has designated, in the EIM Resource Plan, as necessary to meet its NERC/WECC contingency reserves requirements in the applicable Trading </w:t>
      </w:r>
      <w:r w:rsidR="003F65BA">
        <w:lastRenderedPageBreak/>
        <w:t>Hour and which does not overlap with capacity designated in other parts of the EIM Resource Plan specified in Section 29.34(e)(3) of the CAISO Tariff, which may include operating reserves.</w:t>
      </w:r>
    </w:p>
    <w:p w14:paraId="5FCD1A47" w14:textId="77777777" w:rsidR="00CF1AB9" w:rsidRDefault="00CF1AB9" w:rsidP="00CF1AB9">
      <w:pPr>
        <w:pStyle w:val="ParaText"/>
      </w:pPr>
    </w:p>
    <w:p w14:paraId="7C8A8816" w14:textId="77777777" w:rsidR="008817D0" w:rsidRPr="007445EB" w:rsidRDefault="008817D0" w:rsidP="007445EB">
      <w:pPr>
        <w:pStyle w:val="Heading3"/>
        <w:rPr>
          <w:rFonts w:eastAsia="Calibri"/>
        </w:rPr>
      </w:pPr>
      <w:bookmarkStart w:id="1900" w:name="_Toc460320451"/>
      <w:r w:rsidRPr="007445EB">
        <w:rPr>
          <w:rFonts w:eastAsia="Calibri"/>
        </w:rPr>
        <w:t>Interties Between BAAs</w:t>
      </w:r>
      <w:bookmarkEnd w:id="1898"/>
      <w:bookmarkEnd w:id="1899"/>
      <w:bookmarkEnd w:id="1900"/>
      <w:r w:rsidRPr="007445EB">
        <w:rPr>
          <w:rFonts w:eastAsia="Calibri"/>
        </w:rPr>
        <w:t xml:space="preserve"> </w:t>
      </w:r>
    </w:p>
    <w:p w14:paraId="6993A31C" w14:textId="459E466B" w:rsidR="00BB3052" w:rsidRDefault="00047681" w:rsidP="00BB3052">
      <w:pPr>
        <w:spacing w:after="240" w:line="300" w:lineRule="auto"/>
        <w:rPr>
          <w:rFonts w:cs="Arial"/>
        </w:rPr>
      </w:pPr>
      <w:r w:rsidRPr="005525C4">
        <w:rPr>
          <w:rFonts w:eastAsia="Calibri"/>
        </w:rPr>
        <w:t>This section describes intertie modeling and the use of data related to interties.</w:t>
      </w:r>
      <w:r w:rsidR="00CA517E" w:rsidRPr="005525C4">
        <w:rPr>
          <w:rFonts w:eastAsia="Calibri"/>
        </w:rPr>
        <w:t xml:space="preserve">  </w:t>
      </w:r>
      <w:r w:rsidR="008E5685">
        <w:rPr>
          <w:rFonts w:eastAsia="Calibri"/>
        </w:rPr>
        <w:t xml:space="preserve">The intertie is </w:t>
      </w:r>
      <w:r w:rsidR="005525C4" w:rsidRPr="005525C4">
        <w:rPr>
          <w:rFonts w:cs="Arial"/>
        </w:rPr>
        <w:t>orient</w:t>
      </w:r>
      <w:r w:rsidR="008E5685">
        <w:rPr>
          <w:rFonts w:cs="Arial"/>
        </w:rPr>
        <w:t>ed</w:t>
      </w:r>
      <w:r w:rsidR="005525C4" w:rsidRPr="005525C4">
        <w:rPr>
          <w:rFonts w:cs="Arial"/>
        </w:rPr>
        <w:t xml:space="preserve"> in the export direction with the </w:t>
      </w:r>
      <w:r w:rsidR="00963003">
        <w:rPr>
          <w:rFonts w:cs="Arial"/>
        </w:rPr>
        <w:t>“</w:t>
      </w:r>
      <w:r w:rsidR="005525C4" w:rsidRPr="005525C4">
        <w:rPr>
          <w:rFonts w:cs="Arial"/>
        </w:rPr>
        <w:t>From</w:t>
      </w:r>
      <w:r w:rsidR="00963003">
        <w:rPr>
          <w:rFonts w:cs="Arial"/>
        </w:rPr>
        <w:t>”</w:t>
      </w:r>
      <w:r w:rsidR="005525C4" w:rsidRPr="005525C4">
        <w:rPr>
          <w:rFonts w:cs="Arial"/>
        </w:rPr>
        <w:t xml:space="preserve"> bus being the C</w:t>
      </w:r>
      <w:r w:rsidR="00837AE5">
        <w:rPr>
          <w:rFonts w:cs="Arial"/>
        </w:rPr>
        <w:t>A</w:t>
      </w:r>
      <w:r w:rsidR="005525C4" w:rsidRPr="005525C4">
        <w:rPr>
          <w:rFonts w:cs="Arial"/>
        </w:rPr>
        <w:t>ISO/EIM BAA bus.</w:t>
      </w:r>
    </w:p>
    <w:p w14:paraId="7B7082EE" w14:textId="77777777" w:rsidR="00963003" w:rsidRPr="005525C4" w:rsidRDefault="00963003" w:rsidP="00BB3052">
      <w:pPr>
        <w:spacing w:after="240" w:line="300" w:lineRule="auto"/>
        <w:rPr>
          <w:rFonts w:eastAsia="Calibri" w:cs="Arial"/>
        </w:rPr>
      </w:pPr>
    </w:p>
    <w:p w14:paraId="265BCC3D" w14:textId="77777777" w:rsidR="008817D0" w:rsidRPr="008817D0" w:rsidRDefault="008817D0" w:rsidP="00D568D8">
      <w:pPr>
        <w:pStyle w:val="Heading4"/>
        <w:rPr>
          <w:rFonts w:eastAsia="Calibri"/>
        </w:rPr>
      </w:pPr>
      <w:r w:rsidRPr="008817D0">
        <w:rPr>
          <w:rFonts w:eastAsia="Calibri"/>
        </w:rPr>
        <w:t>Interchange Transactions and E-Tagging</w:t>
      </w:r>
      <w:r w:rsidRPr="008817D0">
        <w:rPr>
          <w:rFonts w:eastAsia="Calibri"/>
        </w:rPr>
        <w:tab/>
      </w:r>
    </w:p>
    <w:p w14:paraId="2AB709AB" w14:textId="77777777" w:rsidR="008817D0" w:rsidRPr="008817D0" w:rsidRDefault="008817D0" w:rsidP="008817D0">
      <w:pPr>
        <w:spacing w:after="240" w:line="300" w:lineRule="auto"/>
        <w:rPr>
          <w:rFonts w:eastAsia="Calibri"/>
        </w:rPr>
      </w:pPr>
      <w:r w:rsidRPr="008817D0">
        <w:rPr>
          <w:rFonts w:eastAsia="Calibri"/>
        </w:rPr>
        <w:t>Since the non-EIM Entit</w:t>
      </w:r>
      <w:r w:rsidR="00FC37C2">
        <w:rPr>
          <w:rFonts w:eastAsia="Calibri"/>
        </w:rPr>
        <w:t>ies</w:t>
      </w:r>
      <w:r w:rsidRPr="008817D0">
        <w:rPr>
          <w:rFonts w:eastAsia="Calibri"/>
        </w:rPr>
        <w:t xml:space="preserve"> net schedule</w:t>
      </w:r>
      <w:r w:rsidR="00923BD5">
        <w:rPr>
          <w:rFonts w:eastAsia="Calibri"/>
        </w:rPr>
        <w:t xml:space="preserve"> </w:t>
      </w:r>
      <w:r w:rsidRPr="008817D0">
        <w:rPr>
          <w:rFonts w:eastAsia="Calibri"/>
        </w:rPr>
        <w:t>inter</w:t>
      </w:r>
      <w:r w:rsidR="00923BD5">
        <w:rPr>
          <w:rFonts w:eastAsia="Calibri"/>
        </w:rPr>
        <w:t>c</w:t>
      </w:r>
      <w:r w:rsidRPr="008817D0">
        <w:rPr>
          <w:rFonts w:eastAsia="Calibri"/>
        </w:rPr>
        <w:t>hange</w:t>
      </w:r>
      <w:r w:rsidR="009A4783">
        <w:rPr>
          <w:rFonts w:eastAsia="Calibri"/>
        </w:rPr>
        <w:t xml:space="preserve"> (NSI)</w:t>
      </w:r>
      <w:r w:rsidRPr="008817D0">
        <w:rPr>
          <w:rFonts w:eastAsia="Calibri"/>
        </w:rPr>
        <w:t xml:space="preserve"> </w:t>
      </w:r>
      <w:r w:rsidR="00121FE0">
        <w:rPr>
          <w:rFonts w:eastAsia="Calibri"/>
        </w:rPr>
        <w:t xml:space="preserve">values are not submitted to </w:t>
      </w:r>
      <w:r w:rsidRPr="008817D0">
        <w:rPr>
          <w:rFonts w:eastAsia="Calibri"/>
        </w:rPr>
        <w:t>CAISO but are</w:t>
      </w:r>
      <w:r w:rsidR="00923BD5">
        <w:rPr>
          <w:rFonts w:eastAsia="Calibri"/>
        </w:rPr>
        <w:t xml:space="preserve"> r</w:t>
      </w:r>
      <w:r w:rsidR="00121FE0">
        <w:rPr>
          <w:rFonts w:eastAsia="Calibri"/>
        </w:rPr>
        <w:t xml:space="preserve">equired for </w:t>
      </w:r>
      <w:r w:rsidR="00FC37C2">
        <w:rPr>
          <w:rFonts w:eastAsia="Calibri"/>
        </w:rPr>
        <w:t xml:space="preserve">the calculation of </w:t>
      </w:r>
      <w:r w:rsidR="00B9221F">
        <w:rPr>
          <w:rFonts w:eastAsia="Calibri"/>
        </w:rPr>
        <w:t xml:space="preserve">loop flow impact of </w:t>
      </w:r>
      <w:r w:rsidR="00FC37C2">
        <w:rPr>
          <w:rFonts w:eastAsia="Calibri"/>
        </w:rPr>
        <w:t xml:space="preserve">external </w:t>
      </w:r>
      <w:r w:rsidR="00B9221F">
        <w:rPr>
          <w:rFonts w:eastAsia="Calibri"/>
        </w:rPr>
        <w:t>schedules on the CAISO and the EIM entities network</w:t>
      </w:r>
      <w:r w:rsidR="00121FE0">
        <w:rPr>
          <w:rFonts w:eastAsia="Calibri"/>
        </w:rPr>
        <w:t xml:space="preserve">, </w:t>
      </w:r>
      <w:r w:rsidRPr="008817D0">
        <w:rPr>
          <w:rFonts w:eastAsia="Calibri"/>
        </w:rPr>
        <w:t>CAISO will receive/download</w:t>
      </w:r>
      <w:r w:rsidR="009877A6">
        <w:rPr>
          <w:rFonts w:eastAsia="Calibri"/>
        </w:rPr>
        <w:t xml:space="preserve"> automatically all</w:t>
      </w:r>
      <w:r w:rsidRPr="008817D0">
        <w:rPr>
          <w:rFonts w:eastAsia="Calibri"/>
        </w:rPr>
        <w:t xml:space="preserve"> raw tag data from Western Interchange Tool (WIT) for all external BAA</w:t>
      </w:r>
      <w:r w:rsidR="008410E3">
        <w:rPr>
          <w:rFonts w:eastAsia="Calibri"/>
        </w:rPr>
        <w:t>s</w:t>
      </w:r>
      <w:r w:rsidRPr="008817D0">
        <w:rPr>
          <w:rFonts w:eastAsia="Calibri"/>
        </w:rPr>
        <w:t xml:space="preserve"> at a pre-defined frequency and time of day. </w:t>
      </w:r>
    </w:p>
    <w:p w14:paraId="4AFA9FDD" w14:textId="77777777" w:rsidR="002B58FD" w:rsidRDefault="008817D0" w:rsidP="008817D0">
      <w:pPr>
        <w:spacing w:after="240" w:line="300" w:lineRule="auto"/>
        <w:rPr>
          <w:rFonts w:eastAsia="Calibri"/>
        </w:rPr>
      </w:pPr>
      <w:r w:rsidRPr="008817D0">
        <w:rPr>
          <w:rFonts w:eastAsia="Calibri"/>
        </w:rPr>
        <w:t>The data file will contain schedule and path information for every transaction schedule in WIT within the specified time period. Each transaction schedule will present the</w:t>
      </w:r>
      <w:r w:rsidR="00472AFA">
        <w:rPr>
          <w:rFonts w:eastAsia="Calibri"/>
        </w:rPr>
        <w:t xml:space="preserve"> North American </w:t>
      </w:r>
      <w:r w:rsidR="006A101C">
        <w:rPr>
          <w:rFonts w:eastAsia="Calibri"/>
        </w:rPr>
        <w:t xml:space="preserve">Energy </w:t>
      </w:r>
      <w:r w:rsidR="00472AFA">
        <w:rPr>
          <w:rFonts w:eastAsia="Calibri"/>
        </w:rPr>
        <w:t>Standards Board</w:t>
      </w:r>
      <w:r w:rsidRPr="008817D0">
        <w:rPr>
          <w:rFonts w:eastAsia="Calibri"/>
        </w:rPr>
        <w:t xml:space="preserve"> </w:t>
      </w:r>
      <w:r w:rsidR="00472AFA">
        <w:rPr>
          <w:rFonts w:eastAsia="Calibri"/>
        </w:rPr>
        <w:t>(</w:t>
      </w:r>
      <w:r w:rsidRPr="008817D0">
        <w:rPr>
          <w:rFonts w:eastAsia="Calibri"/>
        </w:rPr>
        <w:t>NAESB</w:t>
      </w:r>
      <w:r w:rsidR="00472AFA">
        <w:rPr>
          <w:rFonts w:eastAsia="Calibri"/>
        </w:rPr>
        <w:t>)</w:t>
      </w:r>
      <w:r w:rsidRPr="008817D0">
        <w:rPr>
          <w:rFonts w:eastAsia="Calibri"/>
        </w:rPr>
        <w:t xml:space="preserve"> defined tag transaction type and composite state. The data will include the source and sink BA</w:t>
      </w:r>
      <w:r w:rsidR="008410E3">
        <w:rPr>
          <w:rFonts w:eastAsia="Calibri"/>
        </w:rPr>
        <w:t>A</w:t>
      </w:r>
      <w:r w:rsidRPr="008817D0">
        <w:rPr>
          <w:rFonts w:eastAsia="Calibri"/>
        </w:rPr>
        <w:t xml:space="preserve"> information.</w:t>
      </w:r>
    </w:p>
    <w:p w14:paraId="0BD3CAB6" w14:textId="77777777" w:rsidR="004E096D" w:rsidRPr="008817D0" w:rsidRDefault="004E096D" w:rsidP="008817D0">
      <w:pPr>
        <w:spacing w:after="240" w:line="300" w:lineRule="auto"/>
        <w:rPr>
          <w:rFonts w:eastAsia="Calibri"/>
        </w:rPr>
      </w:pPr>
      <w:r>
        <w:rPr>
          <w:rFonts w:eastAsia="Calibri"/>
        </w:rPr>
        <w:t>For e-tagging timelines and rules, please refer to</w:t>
      </w:r>
      <w:r w:rsidR="00B04F4D">
        <w:rPr>
          <w:rFonts w:eastAsia="Calibri"/>
        </w:rPr>
        <w:t xml:space="preserve"> the</w:t>
      </w:r>
      <w:r>
        <w:rPr>
          <w:rFonts w:eastAsia="Calibri"/>
        </w:rPr>
        <w:t xml:space="preserve"> </w:t>
      </w:r>
      <w:hyperlink r:id="rId168" w:history="1">
        <w:r w:rsidRPr="00E41853">
          <w:rPr>
            <w:rStyle w:val="Hyperlink"/>
            <w:b/>
          </w:rPr>
          <w:t>BPM for Market Operations</w:t>
        </w:r>
      </w:hyperlink>
      <w:r>
        <w:rPr>
          <w:rStyle w:val="Hyperlink"/>
          <w:b/>
        </w:rPr>
        <w:t xml:space="preserve"> </w:t>
      </w:r>
      <w:r w:rsidR="00524213">
        <w:rPr>
          <w:rStyle w:val="Hyperlink"/>
        </w:rPr>
        <w:t>S</w:t>
      </w:r>
      <w:r w:rsidRPr="00B04F4D">
        <w:rPr>
          <w:rStyle w:val="Hyperlink"/>
        </w:rPr>
        <w:t>ection 7.2.2.1</w:t>
      </w:r>
      <w:r w:rsidR="00B04F4D">
        <w:rPr>
          <w:rStyle w:val="Hyperlink"/>
        </w:rPr>
        <w:t>.</w:t>
      </w:r>
    </w:p>
    <w:p w14:paraId="57147165" w14:textId="77777777" w:rsidR="008817D0" w:rsidRPr="007445EB" w:rsidRDefault="00150ACC" w:rsidP="00752727">
      <w:pPr>
        <w:pStyle w:val="Heading3"/>
        <w:rPr>
          <w:rFonts w:eastAsia="Calibri"/>
        </w:rPr>
      </w:pPr>
      <w:bookmarkStart w:id="1901" w:name="_Toc390946285"/>
      <w:bookmarkStart w:id="1902" w:name="_Toc391969846"/>
      <w:bookmarkStart w:id="1903" w:name="_Toc460320452"/>
      <w:r>
        <w:rPr>
          <w:rFonts w:eastAsia="Calibri"/>
        </w:rPr>
        <w:t xml:space="preserve">EIM </w:t>
      </w:r>
      <w:r w:rsidR="008817D0" w:rsidRPr="007445EB">
        <w:rPr>
          <w:rFonts w:eastAsia="Calibri"/>
        </w:rPr>
        <w:t xml:space="preserve">Transmission </w:t>
      </w:r>
      <w:r>
        <w:rPr>
          <w:rFonts w:eastAsia="Calibri"/>
        </w:rPr>
        <w:t xml:space="preserve">Services </w:t>
      </w:r>
      <w:bookmarkEnd w:id="1901"/>
      <w:r>
        <w:rPr>
          <w:rFonts w:eastAsia="Calibri"/>
        </w:rPr>
        <w:t>Information</w:t>
      </w:r>
      <w:bookmarkEnd w:id="1902"/>
      <w:bookmarkEnd w:id="1903"/>
    </w:p>
    <w:p w14:paraId="464F2242" w14:textId="77777777" w:rsidR="0032159C" w:rsidRDefault="00EB1CE2" w:rsidP="008817D0">
      <w:pPr>
        <w:spacing w:after="240" w:line="300" w:lineRule="auto"/>
        <w:rPr>
          <w:rFonts w:eastAsia="Calibri"/>
        </w:rPr>
      </w:pPr>
      <w:r>
        <w:rPr>
          <w:rFonts w:eastAsia="Calibri"/>
        </w:rPr>
        <w:t xml:space="preserve">The EIM Entity shall send to CAISO its EMS </w:t>
      </w:r>
      <w:r w:rsidR="00BB6670">
        <w:rPr>
          <w:rFonts w:eastAsia="Calibri"/>
        </w:rPr>
        <w:t>network m</w:t>
      </w:r>
      <w:r>
        <w:rPr>
          <w:rFonts w:eastAsia="Calibri"/>
        </w:rPr>
        <w:t xml:space="preserve">odel information including any flowgates, intertie definitions and physical limits on </w:t>
      </w:r>
      <w:r w:rsidR="00C16675">
        <w:rPr>
          <w:rFonts w:eastAsia="Calibri"/>
        </w:rPr>
        <w:t xml:space="preserve">its </w:t>
      </w:r>
      <w:r w:rsidR="00E96A39">
        <w:rPr>
          <w:rFonts w:eastAsia="Calibri"/>
        </w:rPr>
        <w:t>transmission equipment</w:t>
      </w:r>
      <w:r>
        <w:rPr>
          <w:rFonts w:eastAsia="Calibri"/>
        </w:rPr>
        <w:t xml:space="preserve"> and the available capacity limits for </w:t>
      </w:r>
      <w:r w:rsidR="00C16675">
        <w:rPr>
          <w:rFonts w:eastAsia="Calibri"/>
        </w:rPr>
        <w:t xml:space="preserve">the EIM Entity internally </w:t>
      </w:r>
      <w:r>
        <w:rPr>
          <w:rFonts w:eastAsia="Calibri"/>
        </w:rPr>
        <w:t xml:space="preserve">enforced </w:t>
      </w:r>
      <w:r w:rsidR="00C16675">
        <w:rPr>
          <w:rFonts w:eastAsia="Calibri"/>
        </w:rPr>
        <w:t>f</w:t>
      </w:r>
      <w:r>
        <w:rPr>
          <w:rFonts w:eastAsia="Calibri"/>
        </w:rPr>
        <w:t>lowgates.</w:t>
      </w:r>
      <w:r w:rsidR="00BB6670">
        <w:rPr>
          <w:rFonts w:eastAsia="Calibri"/>
        </w:rPr>
        <w:t xml:space="preserve"> The submission of the EIM </w:t>
      </w:r>
      <w:r w:rsidR="007C4B4F">
        <w:rPr>
          <w:rFonts w:eastAsia="Calibri"/>
        </w:rPr>
        <w:t>Entity</w:t>
      </w:r>
      <w:r w:rsidR="00BB6670">
        <w:rPr>
          <w:rFonts w:eastAsia="Calibri"/>
        </w:rPr>
        <w:t xml:space="preserve"> network m</w:t>
      </w:r>
      <w:r>
        <w:rPr>
          <w:rFonts w:eastAsia="Calibri"/>
        </w:rPr>
        <w:t xml:space="preserve">odel shall use the </w:t>
      </w:r>
      <w:r w:rsidR="00837AE5">
        <w:rPr>
          <w:rFonts w:eastAsia="Calibri"/>
        </w:rPr>
        <w:t>C</w:t>
      </w:r>
      <w:r>
        <w:rPr>
          <w:rFonts w:eastAsia="Calibri"/>
        </w:rPr>
        <w:t xml:space="preserve">ommon </w:t>
      </w:r>
      <w:r w:rsidR="00837AE5">
        <w:rPr>
          <w:rFonts w:eastAsia="Calibri"/>
        </w:rPr>
        <w:t>I</w:t>
      </w:r>
      <w:r>
        <w:rPr>
          <w:rFonts w:eastAsia="Calibri"/>
        </w:rPr>
        <w:t xml:space="preserve">nformation </w:t>
      </w:r>
      <w:r w:rsidR="00837AE5">
        <w:rPr>
          <w:rFonts w:eastAsia="Calibri"/>
        </w:rPr>
        <w:t>M</w:t>
      </w:r>
      <w:r>
        <w:rPr>
          <w:rFonts w:eastAsia="Calibri"/>
        </w:rPr>
        <w:t>odel (CIM) industry standard protocol for exchanging network model d</w:t>
      </w:r>
      <w:r w:rsidR="007210C6">
        <w:rPr>
          <w:rFonts w:eastAsia="Calibri"/>
        </w:rPr>
        <w:t xml:space="preserve">ata. The EIM Entity </w:t>
      </w:r>
      <w:r>
        <w:rPr>
          <w:rFonts w:eastAsia="Calibri"/>
        </w:rPr>
        <w:t xml:space="preserve">shall also </w:t>
      </w:r>
      <w:r w:rsidR="00BB6670">
        <w:rPr>
          <w:rFonts w:eastAsia="Calibri"/>
        </w:rPr>
        <w:t xml:space="preserve">send to CAISO SCADA and measurements mapped to the EIM Entity EMS network model. </w:t>
      </w:r>
      <w:r w:rsidR="007210C6">
        <w:rPr>
          <w:rFonts w:eastAsia="Calibri"/>
        </w:rPr>
        <w:t xml:space="preserve">The process of submission of the EIM network model shall be </w:t>
      </w:r>
      <w:r w:rsidR="007C4B4F">
        <w:rPr>
          <w:rFonts w:eastAsia="Calibri"/>
        </w:rPr>
        <w:t>consistent</w:t>
      </w:r>
      <w:r w:rsidR="007210C6">
        <w:rPr>
          <w:rFonts w:eastAsia="Calibri"/>
        </w:rPr>
        <w:t xml:space="preserve"> and </w:t>
      </w:r>
      <w:r w:rsidR="00837AE5">
        <w:rPr>
          <w:rFonts w:eastAsia="Calibri"/>
        </w:rPr>
        <w:t xml:space="preserve">in </w:t>
      </w:r>
      <w:r w:rsidR="007210C6">
        <w:rPr>
          <w:rFonts w:eastAsia="Calibri"/>
        </w:rPr>
        <w:t xml:space="preserve">accordance to the already established CAISO FNM update process and its publically published </w:t>
      </w:r>
      <w:r w:rsidR="007210C6">
        <w:rPr>
          <w:rFonts w:eastAsia="Calibri"/>
        </w:rPr>
        <w:lastRenderedPageBreak/>
        <w:t xml:space="preserve">deadlines for collecting network updates. Please refer to </w:t>
      </w:r>
      <w:r w:rsidR="00955025">
        <w:rPr>
          <w:rFonts w:eastAsia="Calibri"/>
        </w:rPr>
        <w:t>the</w:t>
      </w:r>
      <w:r w:rsidR="007210C6">
        <w:rPr>
          <w:rFonts w:eastAsia="Calibri"/>
        </w:rPr>
        <w:t xml:space="preserve"> </w:t>
      </w:r>
      <w:hyperlink r:id="rId169" w:history="1">
        <w:r w:rsidR="007210C6" w:rsidRPr="00955025">
          <w:rPr>
            <w:rStyle w:val="Hyperlink"/>
            <w:rFonts w:eastAsia="Calibri"/>
            <w:b/>
          </w:rPr>
          <w:t>BPM for Managing Full Network Model</w:t>
        </w:r>
      </w:hyperlink>
      <w:r w:rsidR="007210C6">
        <w:rPr>
          <w:rFonts w:eastAsia="Calibri"/>
        </w:rPr>
        <w:t xml:space="preserve"> for </w:t>
      </w:r>
      <w:r w:rsidR="00955025">
        <w:rPr>
          <w:rFonts w:eastAsia="Calibri"/>
        </w:rPr>
        <w:t xml:space="preserve">a </w:t>
      </w:r>
      <w:r w:rsidR="007210C6">
        <w:rPr>
          <w:rFonts w:eastAsia="Calibri"/>
        </w:rPr>
        <w:t xml:space="preserve">description of this process. </w:t>
      </w:r>
    </w:p>
    <w:p w14:paraId="64E20D66" w14:textId="77777777" w:rsidR="008817D0" w:rsidRDefault="0032159C" w:rsidP="008817D0">
      <w:pPr>
        <w:spacing w:after="240" w:line="300" w:lineRule="auto"/>
        <w:rPr>
          <w:rFonts w:eastAsia="Calibri"/>
        </w:rPr>
      </w:pPr>
      <w:r>
        <w:rPr>
          <w:rFonts w:eastAsia="Calibri"/>
        </w:rPr>
        <w:t xml:space="preserve">The EIM Entity shall send, via a direct </w:t>
      </w:r>
      <w:r w:rsidR="007C4B4F">
        <w:rPr>
          <w:rFonts w:eastAsia="Calibri"/>
        </w:rPr>
        <w:t>interface</w:t>
      </w:r>
      <w:r>
        <w:rPr>
          <w:rFonts w:eastAsia="Calibri"/>
        </w:rPr>
        <w:t xml:space="preserve"> t</w:t>
      </w:r>
      <w:r w:rsidR="005E2AFF">
        <w:rPr>
          <w:rFonts w:eastAsia="Calibri"/>
        </w:rPr>
        <w:t>o CAISO, the transmission limit</w:t>
      </w:r>
      <w:r>
        <w:rPr>
          <w:rFonts w:eastAsia="Calibri"/>
        </w:rPr>
        <w:t xml:space="preserve"> updates due to planned or forced outages or derates for its internal major paths or flowgates that are usually posted on its OASIS system.</w:t>
      </w:r>
    </w:p>
    <w:p w14:paraId="4F28F093" w14:textId="77777777" w:rsidR="00150ACC" w:rsidRDefault="00C16675" w:rsidP="00150ACC">
      <w:pPr>
        <w:pStyle w:val="Heading3"/>
        <w:rPr>
          <w:rFonts w:eastAsia="Calibri"/>
        </w:rPr>
      </w:pPr>
      <w:bookmarkStart w:id="1904" w:name="_Toc391969847"/>
      <w:bookmarkStart w:id="1905" w:name="_Toc460320453"/>
      <w:r>
        <w:rPr>
          <w:rFonts w:eastAsia="Calibri"/>
        </w:rPr>
        <w:t xml:space="preserve">Maximum </w:t>
      </w:r>
      <w:r w:rsidR="00150ACC">
        <w:rPr>
          <w:rFonts w:eastAsia="Calibri"/>
        </w:rPr>
        <w:t>EIM Trans</w:t>
      </w:r>
      <w:r>
        <w:rPr>
          <w:rFonts w:eastAsia="Calibri"/>
        </w:rPr>
        <w:t xml:space="preserve">fer </w:t>
      </w:r>
      <w:r w:rsidR="00150ACC">
        <w:rPr>
          <w:rFonts w:eastAsia="Calibri"/>
        </w:rPr>
        <w:t>Limits</w:t>
      </w:r>
      <w:bookmarkEnd w:id="1904"/>
      <w:bookmarkEnd w:id="1905"/>
    </w:p>
    <w:p w14:paraId="70A20E2B" w14:textId="7BDD1F82" w:rsidR="002C1E55" w:rsidRDefault="00C16675" w:rsidP="00150ACC">
      <w:pPr>
        <w:pStyle w:val="ParaText"/>
        <w:rPr>
          <w:rFonts w:eastAsia="Calibri"/>
        </w:rPr>
      </w:pPr>
      <w:r w:rsidRPr="008817D0">
        <w:rPr>
          <w:rFonts w:eastAsia="Calibri"/>
        </w:rPr>
        <w:t xml:space="preserve">EIM </w:t>
      </w:r>
      <w:r>
        <w:rPr>
          <w:rFonts w:eastAsia="Calibri"/>
        </w:rPr>
        <w:t>E</w:t>
      </w:r>
      <w:r w:rsidRPr="008817D0">
        <w:rPr>
          <w:rFonts w:eastAsia="Calibri"/>
        </w:rPr>
        <w:t xml:space="preserve">ntity Scheduling Coordinators shall send to </w:t>
      </w:r>
      <w:r>
        <w:rPr>
          <w:rFonts w:eastAsia="Calibri"/>
        </w:rPr>
        <w:t>the CA</w:t>
      </w:r>
      <w:r w:rsidRPr="008817D0">
        <w:rPr>
          <w:rFonts w:eastAsia="Calibri"/>
        </w:rPr>
        <w:t xml:space="preserve">ISO market system the EIM intertie </w:t>
      </w:r>
      <w:r w:rsidR="00837AE5">
        <w:rPr>
          <w:rFonts w:eastAsia="Calibri"/>
        </w:rPr>
        <w:t>A</w:t>
      </w:r>
      <w:r w:rsidRPr="008817D0">
        <w:rPr>
          <w:rFonts w:eastAsia="Calibri"/>
        </w:rPr>
        <w:t>vaila</w:t>
      </w:r>
      <w:r>
        <w:rPr>
          <w:rFonts w:eastAsia="Calibri"/>
        </w:rPr>
        <w:t xml:space="preserve">ble </w:t>
      </w:r>
      <w:r w:rsidR="00837AE5">
        <w:rPr>
          <w:rFonts w:eastAsia="Calibri"/>
        </w:rPr>
        <w:t>T</w:t>
      </w:r>
      <w:r>
        <w:rPr>
          <w:rFonts w:eastAsia="Calibri"/>
        </w:rPr>
        <w:t xml:space="preserve">ransfer </w:t>
      </w:r>
      <w:r w:rsidR="00837AE5">
        <w:rPr>
          <w:rFonts w:eastAsia="Calibri"/>
        </w:rPr>
        <w:t>C</w:t>
      </w:r>
      <w:r>
        <w:rPr>
          <w:rFonts w:eastAsia="Calibri"/>
        </w:rPr>
        <w:t>apacity</w:t>
      </w:r>
      <w:r w:rsidR="000E0EF1">
        <w:rPr>
          <w:rFonts w:eastAsia="Calibri"/>
        </w:rPr>
        <w:t xml:space="preserve"> </w:t>
      </w:r>
      <w:r w:rsidR="00837AE5">
        <w:rPr>
          <w:rFonts w:eastAsia="Calibri"/>
        </w:rPr>
        <w:t>(ATC)</w:t>
      </w:r>
      <w:r>
        <w:rPr>
          <w:rFonts w:eastAsia="Calibri"/>
        </w:rPr>
        <w:t xml:space="preserve"> and any updates due to planned or forced outages or derates based on </w:t>
      </w:r>
      <w:r w:rsidRPr="008817D0">
        <w:rPr>
          <w:rFonts w:eastAsia="Calibri"/>
        </w:rPr>
        <w:t>physical limits, schedule limits</w:t>
      </w:r>
      <w:r>
        <w:rPr>
          <w:rFonts w:eastAsia="Calibri"/>
        </w:rPr>
        <w:t>,</w:t>
      </w:r>
      <w:r w:rsidRPr="008817D0">
        <w:rPr>
          <w:rFonts w:eastAsia="Calibri"/>
        </w:rPr>
        <w:t xml:space="preserve"> and</w:t>
      </w:r>
      <w:r>
        <w:rPr>
          <w:rFonts w:eastAsia="Calibri"/>
        </w:rPr>
        <w:t>/or</w:t>
      </w:r>
      <w:r w:rsidRPr="008817D0">
        <w:rPr>
          <w:rFonts w:eastAsia="Calibri"/>
        </w:rPr>
        <w:t xml:space="preserve"> contract limits </w:t>
      </w:r>
      <w:r w:rsidR="0032159C">
        <w:rPr>
          <w:rFonts w:eastAsia="Calibri"/>
        </w:rPr>
        <w:t xml:space="preserve">or rights owned by the EIM Entity on </w:t>
      </w:r>
      <w:r w:rsidRPr="008817D0">
        <w:rPr>
          <w:rFonts w:eastAsia="Calibri"/>
        </w:rPr>
        <w:t>the EIM interties</w:t>
      </w:r>
      <w:r w:rsidR="002C1E55">
        <w:rPr>
          <w:rFonts w:eastAsia="Calibri"/>
        </w:rPr>
        <w:t xml:space="preserve"> with </w:t>
      </w:r>
      <w:r w:rsidR="007C4B4F">
        <w:rPr>
          <w:rFonts w:eastAsia="Calibri"/>
        </w:rPr>
        <w:t>neighboring</w:t>
      </w:r>
      <w:r w:rsidR="002C1E55">
        <w:rPr>
          <w:rFonts w:eastAsia="Calibri"/>
        </w:rPr>
        <w:t xml:space="preserve"> BAAs</w:t>
      </w:r>
      <w:r>
        <w:rPr>
          <w:rFonts w:eastAsia="Calibri"/>
        </w:rPr>
        <w:t>.</w:t>
      </w:r>
      <w:r w:rsidRPr="008817D0">
        <w:rPr>
          <w:rFonts w:eastAsia="Calibri"/>
        </w:rPr>
        <w:t xml:space="preserve"> The </w:t>
      </w:r>
      <w:r w:rsidR="00B722C6">
        <w:rPr>
          <w:rFonts w:eastAsia="Calibri"/>
        </w:rPr>
        <w:t>CAISO</w:t>
      </w:r>
      <w:r w:rsidRPr="008817D0">
        <w:rPr>
          <w:rFonts w:eastAsia="Calibri"/>
        </w:rPr>
        <w:t xml:space="preserve"> shall enforce the limits in corresponding market optimization</w:t>
      </w:r>
      <w:r>
        <w:rPr>
          <w:rFonts w:eastAsia="Calibri"/>
        </w:rPr>
        <w:t xml:space="preserve"> per applicable Operating Procedures. The EIM Entity shall communicate these limits via direct interface </w:t>
      </w:r>
      <w:r w:rsidR="002C1E55">
        <w:rPr>
          <w:rFonts w:eastAsia="Calibri"/>
        </w:rPr>
        <w:t>to</w:t>
      </w:r>
      <w:r>
        <w:rPr>
          <w:rFonts w:eastAsia="Calibri"/>
        </w:rPr>
        <w:t xml:space="preserve"> CAISO</w:t>
      </w:r>
      <w:r w:rsidR="0032159C">
        <w:rPr>
          <w:rFonts w:eastAsia="Calibri"/>
        </w:rPr>
        <w:t>.</w:t>
      </w:r>
    </w:p>
    <w:p w14:paraId="14066E80" w14:textId="77777777" w:rsidR="00286C8D" w:rsidRDefault="002C1E55" w:rsidP="00B1671A">
      <w:pPr>
        <w:pStyle w:val="ParaText"/>
        <w:rPr>
          <w:rFonts w:eastAsia="Calibri"/>
        </w:rPr>
      </w:pPr>
      <w:r>
        <w:rPr>
          <w:rFonts w:eastAsia="Calibri"/>
        </w:rPr>
        <w:t xml:space="preserve">The EIM Entity shall communicate to </w:t>
      </w:r>
      <w:r w:rsidR="005E2AFF">
        <w:rPr>
          <w:rFonts w:eastAsia="Calibri"/>
        </w:rPr>
        <w:t xml:space="preserve">the </w:t>
      </w:r>
      <w:r>
        <w:rPr>
          <w:rFonts w:eastAsia="Calibri"/>
        </w:rPr>
        <w:t xml:space="preserve">CAISO market system any real-time </w:t>
      </w:r>
      <w:r w:rsidR="00837AE5">
        <w:rPr>
          <w:rFonts w:eastAsia="Calibri"/>
        </w:rPr>
        <w:t>D</w:t>
      </w:r>
      <w:r>
        <w:rPr>
          <w:rFonts w:eastAsia="Calibri"/>
        </w:rPr>
        <w:t xml:space="preserve">ynamic </w:t>
      </w:r>
      <w:r w:rsidR="00837AE5">
        <w:rPr>
          <w:rFonts w:eastAsia="Calibri"/>
        </w:rPr>
        <w:t>T</w:t>
      </w:r>
      <w:r>
        <w:rPr>
          <w:rFonts w:eastAsia="Calibri"/>
        </w:rPr>
        <w:t xml:space="preserve">ransfer </w:t>
      </w:r>
      <w:r w:rsidR="00837AE5">
        <w:rPr>
          <w:rFonts w:eastAsia="Calibri"/>
        </w:rPr>
        <w:t>C</w:t>
      </w:r>
      <w:r>
        <w:rPr>
          <w:rFonts w:eastAsia="Calibri"/>
        </w:rPr>
        <w:t>apability (DTC) limits enforced by any third party transmission provider that the EIM Entity u</w:t>
      </w:r>
      <w:r w:rsidR="005E2AFF">
        <w:rPr>
          <w:rFonts w:eastAsia="Calibri"/>
        </w:rPr>
        <w:t>tilizes its transmission or has</w:t>
      </w:r>
      <w:r>
        <w:rPr>
          <w:rFonts w:eastAsia="Calibri"/>
        </w:rPr>
        <w:t xml:space="preserve"> transmission rights. The EIM Entity shall reflect the DTC limit in the transmission profile of the corresponding EIM transfer dynamic e-tag</w:t>
      </w:r>
      <w:r w:rsidR="00051A42">
        <w:rPr>
          <w:rFonts w:eastAsia="Calibri"/>
        </w:rPr>
        <w:t>.</w:t>
      </w:r>
      <w:r>
        <w:rPr>
          <w:rFonts w:eastAsia="Calibri"/>
        </w:rPr>
        <w:t xml:space="preserve">  </w:t>
      </w:r>
    </w:p>
    <w:p w14:paraId="55C9E71C" w14:textId="0F0824D9" w:rsidR="00284875" w:rsidRDefault="00FB76BA" w:rsidP="00B1671A">
      <w:pPr>
        <w:pStyle w:val="ParaText"/>
        <w:rPr>
          <w:rFonts w:eastAsia="Calibri"/>
        </w:rPr>
      </w:pPr>
      <w:r>
        <w:rPr>
          <w:rFonts w:eastAsia="Calibri"/>
        </w:rPr>
        <w:t xml:space="preserve">Each </w:t>
      </w:r>
      <w:r w:rsidR="00286C8D">
        <w:rPr>
          <w:rFonts w:eastAsia="Calibri"/>
        </w:rPr>
        <w:t xml:space="preserve">EIM Entity </w:t>
      </w:r>
      <w:r w:rsidR="00071D2B" w:rsidRPr="008817D0">
        <w:rPr>
          <w:rFonts w:eastAsia="Calibri"/>
        </w:rPr>
        <w:t xml:space="preserve">Scheduling Coordinator </w:t>
      </w:r>
      <w:r w:rsidR="00286C8D">
        <w:rPr>
          <w:rFonts w:eastAsia="Calibri"/>
        </w:rPr>
        <w:t xml:space="preserve">shall </w:t>
      </w:r>
      <w:r w:rsidR="00C16B99">
        <w:rPr>
          <w:rFonts w:eastAsia="Calibri"/>
        </w:rPr>
        <w:t xml:space="preserve">determine and </w:t>
      </w:r>
      <w:r w:rsidR="00286C8D">
        <w:rPr>
          <w:rFonts w:eastAsia="Calibri"/>
        </w:rPr>
        <w:t xml:space="preserve">send to the CAISO market system the </w:t>
      </w:r>
      <w:r w:rsidR="00071D2B">
        <w:rPr>
          <w:rFonts w:eastAsia="Calibri"/>
        </w:rPr>
        <w:t xml:space="preserve">EIM intertie </w:t>
      </w:r>
      <w:r w:rsidR="00286C8D">
        <w:rPr>
          <w:rFonts w:eastAsia="Calibri"/>
        </w:rPr>
        <w:t xml:space="preserve">transmission </w:t>
      </w:r>
      <w:r w:rsidR="000D441A">
        <w:rPr>
          <w:rFonts w:eastAsia="Calibri"/>
        </w:rPr>
        <w:t xml:space="preserve">right limits, static </w:t>
      </w:r>
      <w:r w:rsidR="0004541C">
        <w:rPr>
          <w:rFonts w:eastAsia="Calibri"/>
        </w:rPr>
        <w:t>limits,</w:t>
      </w:r>
      <w:r w:rsidR="001A1AD4">
        <w:rPr>
          <w:rFonts w:eastAsia="Calibri"/>
        </w:rPr>
        <w:t xml:space="preserve"> </w:t>
      </w:r>
      <w:r w:rsidR="000D441A">
        <w:rPr>
          <w:rFonts w:eastAsia="Calibri"/>
        </w:rPr>
        <w:t>dynamic incremental limits and any updates</w:t>
      </w:r>
      <w:r w:rsidR="001A1AD4">
        <w:rPr>
          <w:rFonts w:eastAsia="Calibri"/>
        </w:rPr>
        <w:t xml:space="preserve"> </w:t>
      </w:r>
      <w:r w:rsidR="000D441A">
        <w:rPr>
          <w:rFonts w:eastAsia="Calibri"/>
        </w:rPr>
        <w:t xml:space="preserve">through </w:t>
      </w:r>
      <w:r w:rsidR="00211DB5">
        <w:rPr>
          <w:rFonts w:eastAsia="Calibri"/>
        </w:rPr>
        <w:t xml:space="preserve">the </w:t>
      </w:r>
      <w:r w:rsidR="000D441A">
        <w:rPr>
          <w:rFonts w:eastAsia="Calibri"/>
        </w:rPr>
        <w:t>EIMDynamicLimitData</w:t>
      </w:r>
      <w:r w:rsidR="001A1AD4">
        <w:rPr>
          <w:rFonts w:eastAsia="Calibri"/>
        </w:rPr>
        <w:t xml:space="preserve"> file submitted to CAISO</w:t>
      </w:r>
      <w:r w:rsidR="00960131">
        <w:rPr>
          <w:rFonts w:eastAsia="Calibri"/>
        </w:rPr>
        <w:t xml:space="preserve"> </w:t>
      </w:r>
      <w:r w:rsidR="00211DB5">
        <w:rPr>
          <w:rFonts w:eastAsia="Calibri"/>
        </w:rPr>
        <w:t>as</w:t>
      </w:r>
      <w:r w:rsidR="00960131">
        <w:rPr>
          <w:rFonts w:eastAsia="Calibri"/>
        </w:rPr>
        <w:t xml:space="preserve"> changes</w:t>
      </w:r>
      <w:r w:rsidR="00ED7B08">
        <w:rPr>
          <w:rFonts w:eastAsia="Calibri"/>
        </w:rPr>
        <w:t xml:space="preserve"> </w:t>
      </w:r>
      <w:r w:rsidR="00211DB5">
        <w:rPr>
          <w:rFonts w:eastAsia="Calibri"/>
        </w:rPr>
        <w:t>to</w:t>
      </w:r>
      <w:r w:rsidR="00ED7B08">
        <w:rPr>
          <w:rFonts w:eastAsia="Calibri"/>
        </w:rPr>
        <w:t xml:space="preserve"> these limits</w:t>
      </w:r>
      <w:r w:rsidR="00960131">
        <w:rPr>
          <w:rFonts w:eastAsia="Calibri"/>
        </w:rPr>
        <w:t xml:space="preserve"> are required by the EIM Entity Scheduling Coordinators</w:t>
      </w:r>
      <w:r w:rsidR="002667BF">
        <w:rPr>
          <w:rFonts w:eastAsia="Calibri"/>
        </w:rPr>
        <w:t xml:space="preserve"> (</w:t>
      </w:r>
      <w:r w:rsidR="002667BF" w:rsidRPr="001D354A">
        <w:rPr>
          <w:rFonts w:eastAsia="Calibri"/>
          <w:i/>
        </w:rPr>
        <w:t>i.e.</w:t>
      </w:r>
      <w:r w:rsidR="002667BF">
        <w:rPr>
          <w:rFonts w:eastAsia="Calibri"/>
        </w:rPr>
        <w:t>,  the EIM Transfer limit)</w:t>
      </w:r>
      <w:r w:rsidR="00ED7B08">
        <w:rPr>
          <w:rFonts w:eastAsia="Calibri"/>
        </w:rPr>
        <w:t xml:space="preserve">. </w:t>
      </w:r>
      <w:r w:rsidR="00363CFA">
        <w:rPr>
          <w:rFonts w:eastAsia="Calibri"/>
        </w:rPr>
        <w:t xml:space="preserve">This should be finished prior to the start of the next Dispatch Interval </w:t>
      </w:r>
      <w:r>
        <w:rPr>
          <w:rFonts w:eastAsia="Calibri"/>
        </w:rPr>
        <w:t>b</w:t>
      </w:r>
      <w:r w:rsidR="002667BF">
        <w:rPr>
          <w:rFonts w:eastAsia="Calibri"/>
        </w:rPr>
        <w:t>y</w:t>
      </w:r>
      <w:r>
        <w:rPr>
          <w:rFonts w:eastAsia="Calibri"/>
        </w:rPr>
        <w:t xml:space="preserve"> </w:t>
      </w:r>
      <w:r w:rsidR="00CB141B">
        <w:rPr>
          <w:rFonts w:eastAsia="Calibri"/>
        </w:rPr>
        <w:t xml:space="preserve">the </w:t>
      </w:r>
      <w:r>
        <w:rPr>
          <w:rFonts w:eastAsia="Calibri"/>
        </w:rPr>
        <w:t xml:space="preserve">EIM Entity </w:t>
      </w:r>
      <w:r w:rsidR="00CB141B">
        <w:rPr>
          <w:rFonts w:eastAsia="Calibri"/>
        </w:rPr>
        <w:t>Scheduling Coordinator</w:t>
      </w:r>
      <w:r w:rsidR="00CF4FE6">
        <w:rPr>
          <w:rFonts w:eastAsia="Calibri"/>
        </w:rPr>
        <w:t xml:space="preserve">. </w:t>
      </w:r>
      <w:r w:rsidR="00C16B99">
        <w:rPr>
          <w:rFonts w:eastAsia="Calibri"/>
        </w:rPr>
        <w:t xml:space="preserve"> The </w:t>
      </w:r>
      <w:r w:rsidR="009B2375" w:rsidRPr="009B2375">
        <w:rPr>
          <w:rFonts w:eastAsia="Calibri"/>
        </w:rPr>
        <w:t xml:space="preserve">CAISO will </w:t>
      </w:r>
      <w:r w:rsidR="00C16B99">
        <w:rPr>
          <w:rFonts w:eastAsia="Calibri"/>
        </w:rPr>
        <w:t xml:space="preserve">use this information to </w:t>
      </w:r>
      <w:r w:rsidR="009B2375" w:rsidRPr="009B2375">
        <w:rPr>
          <w:rFonts w:eastAsia="Calibri"/>
        </w:rPr>
        <w:t xml:space="preserve">calculate the </w:t>
      </w:r>
      <w:r w:rsidR="00C16B99">
        <w:rPr>
          <w:rFonts w:eastAsia="Calibri"/>
        </w:rPr>
        <w:t xml:space="preserve">Energy </w:t>
      </w:r>
      <w:r w:rsidR="009B2375" w:rsidRPr="009B2375">
        <w:rPr>
          <w:rFonts w:eastAsia="Calibri"/>
        </w:rPr>
        <w:t>Transfer</w:t>
      </w:r>
      <w:r w:rsidR="009B2375">
        <w:rPr>
          <w:rFonts w:eastAsia="Calibri"/>
        </w:rPr>
        <w:t xml:space="preserve"> </w:t>
      </w:r>
      <w:r w:rsidR="00C16B99">
        <w:rPr>
          <w:rFonts w:eastAsia="Calibri"/>
        </w:rPr>
        <w:t>s</w:t>
      </w:r>
      <w:r w:rsidR="00211DB5">
        <w:rPr>
          <w:rFonts w:eastAsia="Calibri"/>
        </w:rPr>
        <w:t xml:space="preserve">chedule </w:t>
      </w:r>
      <w:r w:rsidR="009B2375">
        <w:rPr>
          <w:rFonts w:eastAsia="Calibri"/>
        </w:rPr>
        <w:t>limit according to Appendix A</w:t>
      </w:r>
      <w:r w:rsidR="00211DB5">
        <w:rPr>
          <w:rFonts w:eastAsia="Calibri"/>
        </w:rPr>
        <w:t>:</w:t>
      </w:r>
      <w:r w:rsidR="009B2375">
        <w:rPr>
          <w:rFonts w:eastAsia="Calibri"/>
        </w:rPr>
        <w:t xml:space="preserve"> </w:t>
      </w:r>
      <w:r w:rsidR="009B2375" w:rsidRPr="009B2375">
        <w:rPr>
          <w:rFonts w:eastAsia="Calibri"/>
        </w:rPr>
        <w:t>Energy Transfer Schedule Limits</w:t>
      </w:r>
      <w:r w:rsidR="00211DB5">
        <w:rPr>
          <w:rFonts w:eastAsia="Calibri"/>
        </w:rPr>
        <w:t xml:space="preserve">.  </w:t>
      </w:r>
      <w:r w:rsidR="00C16B99">
        <w:rPr>
          <w:rFonts w:eastAsia="Calibri"/>
        </w:rPr>
        <w:t>The CAISO will provide</w:t>
      </w:r>
      <w:r w:rsidR="00F02728">
        <w:rPr>
          <w:rFonts w:eastAsia="Calibri"/>
        </w:rPr>
        <w:t xml:space="preserve"> the</w:t>
      </w:r>
      <w:r w:rsidR="00C16B99">
        <w:rPr>
          <w:rFonts w:eastAsia="Calibri"/>
        </w:rPr>
        <w:t xml:space="preserve"> EIM Entity Scheduling Coordinator with the Energy Transfer schedule information</w:t>
      </w:r>
      <w:r w:rsidR="00F02728">
        <w:rPr>
          <w:rFonts w:eastAsia="Calibri"/>
        </w:rPr>
        <w:t xml:space="preserve"> according to Appendix A: </w:t>
      </w:r>
      <w:r w:rsidR="00F02728" w:rsidRPr="009B2375">
        <w:rPr>
          <w:rFonts w:eastAsia="Calibri"/>
        </w:rPr>
        <w:t xml:space="preserve">Energy Transfer </w:t>
      </w:r>
      <w:r w:rsidR="00F02728">
        <w:rPr>
          <w:rFonts w:eastAsia="Calibri"/>
        </w:rPr>
        <w:t>Schedule Tags.</w:t>
      </w:r>
      <w:r w:rsidR="00C16B99">
        <w:rPr>
          <w:rFonts w:eastAsia="Calibri"/>
        </w:rPr>
        <w:t xml:space="preserve">   </w:t>
      </w:r>
      <w:r w:rsidR="002667BF">
        <w:rPr>
          <w:rFonts w:eastAsia="Calibri"/>
        </w:rPr>
        <w:t xml:space="preserve">  </w:t>
      </w:r>
    </w:p>
    <w:p w14:paraId="3DB4095E" w14:textId="77777777" w:rsidR="00150ACC" w:rsidRDefault="00284875" w:rsidP="00150ACC">
      <w:pPr>
        <w:pStyle w:val="ParaText"/>
        <w:rPr>
          <w:rFonts w:eastAsia="Calibri"/>
        </w:rPr>
      </w:pPr>
      <w:r>
        <w:rPr>
          <w:rFonts w:eastAsia="Calibri"/>
        </w:rPr>
        <w:t xml:space="preserve">Specific procedures may be developed to document specific conditions, communication of EIM </w:t>
      </w:r>
      <w:r w:rsidR="007C4B4F">
        <w:rPr>
          <w:rFonts w:eastAsia="Calibri"/>
        </w:rPr>
        <w:t>Entity</w:t>
      </w:r>
      <w:r>
        <w:rPr>
          <w:rFonts w:eastAsia="Calibri"/>
        </w:rPr>
        <w:t>, External BAA</w:t>
      </w:r>
      <w:r w:rsidR="00ED7C07">
        <w:rPr>
          <w:rFonts w:eastAsia="Calibri"/>
        </w:rPr>
        <w:t>,</w:t>
      </w:r>
      <w:r>
        <w:rPr>
          <w:rFonts w:eastAsia="Calibri"/>
        </w:rPr>
        <w:t xml:space="preserve"> or third party transmission </w:t>
      </w:r>
      <w:r w:rsidR="007C4B4F">
        <w:rPr>
          <w:rFonts w:eastAsia="Calibri"/>
        </w:rPr>
        <w:t>provider</w:t>
      </w:r>
      <w:r>
        <w:rPr>
          <w:rFonts w:eastAsia="Calibri"/>
        </w:rPr>
        <w:t xml:space="preserve"> as designed by EIM Ent</w:t>
      </w:r>
      <w:r w:rsidR="00D86A6C">
        <w:rPr>
          <w:rFonts w:eastAsia="Calibri"/>
        </w:rPr>
        <w:t>i</w:t>
      </w:r>
      <w:r>
        <w:rPr>
          <w:rFonts w:eastAsia="Calibri"/>
        </w:rPr>
        <w:t xml:space="preserve">ty.  </w:t>
      </w:r>
      <w:r w:rsidR="002C1E55">
        <w:rPr>
          <w:rFonts w:eastAsia="Calibri"/>
        </w:rPr>
        <w:t xml:space="preserve"> </w:t>
      </w:r>
    </w:p>
    <w:p w14:paraId="3ED84014" w14:textId="77777777" w:rsidR="00B55A6C" w:rsidRDefault="00B55A6C" w:rsidP="00150ACC">
      <w:pPr>
        <w:pStyle w:val="ParaText"/>
        <w:rPr>
          <w:rFonts w:eastAsia="Calibri"/>
        </w:rPr>
      </w:pPr>
      <w:r w:rsidRPr="00B55A6C">
        <w:rPr>
          <w:rFonts w:eastAsia="Calibri"/>
        </w:rPr>
        <w:lastRenderedPageBreak/>
        <w:t>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091F0C72" w14:textId="77777777" w:rsidR="009D69EE" w:rsidRPr="008817D0" w:rsidRDefault="00957718" w:rsidP="002667BF">
      <w:pPr>
        <w:pStyle w:val="Heading3"/>
        <w:rPr>
          <w:rFonts w:eastAsia="Calibri"/>
        </w:rPr>
      </w:pPr>
      <w:bookmarkStart w:id="1906" w:name="_Toc460320454"/>
      <w:r>
        <w:rPr>
          <w:rFonts w:eastAsia="Calibri"/>
        </w:rPr>
        <w:t>Energy Transfer Scheduling in Energy I</w:t>
      </w:r>
      <w:r w:rsidR="005D12EB">
        <w:rPr>
          <w:rFonts w:eastAsia="Calibri"/>
        </w:rPr>
        <w:t>m</w:t>
      </w:r>
      <w:r>
        <w:rPr>
          <w:rFonts w:eastAsia="Calibri"/>
        </w:rPr>
        <w:t>balance Market</w:t>
      </w:r>
      <w:bookmarkEnd w:id="1906"/>
      <w:r w:rsidR="009D69EE" w:rsidRPr="008817D0">
        <w:rPr>
          <w:rFonts w:eastAsia="Calibri"/>
        </w:rPr>
        <w:tab/>
      </w:r>
    </w:p>
    <w:p w14:paraId="072D2857" w14:textId="5EBF8DFF" w:rsidR="002507FD" w:rsidRPr="00877DDB" w:rsidRDefault="002507FD" w:rsidP="00877DDB">
      <w:pPr>
        <w:spacing w:after="240" w:line="300" w:lineRule="auto"/>
        <w:rPr>
          <w:rFonts w:eastAsia="Calibri"/>
        </w:rPr>
      </w:pPr>
      <w:r w:rsidRPr="00877DDB">
        <w:rPr>
          <w:rFonts w:eastAsia="Calibri"/>
        </w:rPr>
        <w:t xml:space="preserve">Energy Transfer Scheduling </w:t>
      </w:r>
      <w:r w:rsidR="0093465C" w:rsidRPr="00877DDB">
        <w:rPr>
          <w:rFonts w:eastAsia="Calibri"/>
        </w:rPr>
        <w:t>aims</w:t>
      </w:r>
      <w:r w:rsidRPr="00877DDB">
        <w:rPr>
          <w:rFonts w:eastAsia="Calibri"/>
        </w:rPr>
        <w:t xml:space="preserve"> to determine the Energy Transfer schedules among the EIM BAAs and the C</w:t>
      </w:r>
      <w:r w:rsidR="008747A1" w:rsidRPr="00877DDB">
        <w:rPr>
          <w:rFonts w:eastAsia="Calibri"/>
        </w:rPr>
        <w:t>A</w:t>
      </w:r>
      <w:r w:rsidRPr="00877DDB">
        <w:rPr>
          <w:rFonts w:eastAsia="Calibri"/>
        </w:rPr>
        <w:t xml:space="preserve">ISO from the optimal EIM Transfers of the BAAs in the EIM Area using the transmission rights </w:t>
      </w:r>
      <w:r w:rsidR="00F02728" w:rsidRPr="00877DDB">
        <w:rPr>
          <w:rFonts w:eastAsia="Calibri"/>
        </w:rPr>
        <w:t xml:space="preserve">available to the EIM </w:t>
      </w:r>
      <w:r w:rsidRPr="00877DDB">
        <w:rPr>
          <w:rFonts w:eastAsia="Calibri"/>
        </w:rPr>
        <w:t xml:space="preserve">without violating them. This is a part of the market optimization problem in </w:t>
      </w:r>
      <w:r w:rsidR="00963003">
        <w:rPr>
          <w:rFonts w:eastAsia="Calibri"/>
        </w:rPr>
        <w:t>Fifteen Minute Market</w:t>
      </w:r>
      <w:r w:rsidR="00963003" w:rsidRPr="00877DDB">
        <w:rPr>
          <w:rFonts w:eastAsia="Calibri"/>
        </w:rPr>
        <w:t xml:space="preserve"> </w:t>
      </w:r>
      <w:r w:rsidRPr="00877DDB">
        <w:rPr>
          <w:rFonts w:eastAsia="Calibri"/>
        </w:rPr>
        <w:t xml:space="preserve">and RTD of EIM. </w:t>
      </w:r>
    </w:p>
    <w:p w14:paraId="6A714A8C" w14:textId="77777777" w:rsidR="00D925AA" w:rsidRPr="00877DDB" w:rsidRDefault="007A721E" w:rsidP="00877DDB">
      <w:pPr>
        <w:spacing w:after="240" w:line="300" w:lineRule="auto"/>
        <w:rPr>
          <w:rFonts w:eastAsia="Calibri"/>
        </w:rPr>
      </w:pPr>
      <w:r w:rsidRPr="00877DDB">
        <w:rPr>
          <w:rFonts w:eastAsia="Calibri"/>
        </w:rPr>
        <w:t xml:space="preserve">The Appendix A </w:t>
      </w:r>
      <w:r>
        <w:rPr>
          <w:rFonts w:eastAsia="Calibri"/>
        </w:rPr>
        <w:t>Mathematical Formulation for EIM Transfer</w:t>
      </w:r>
      <w:r w:rsidR="00F02728">
        <w:rPr>
          <w:rFonts w:eastAsia="Calibri"/>
        </w:rPr>
        <w:t>s</w:t>
      </w:r>
      <w:r w:rsidRPr="00877DDB">
        <w:rPr>
          <w:rFonts w:eastAsia="Calibri"/>
        </w:rPr>
        <w:t xml:space="preserve"> outlines how the CAISO enforces scheduling constraints in the market optimization to ensure the energy from base schedules and EIM </w:t>
      </w:r>
      <w:r w:rsidR="00F02728" w:rsidRPr="00877DDB">
        <w:rPr>
          <w:rFonts w:eastAsia="Calibri"/>
        </w:rPr>
        <w:t>T</w:t>
      </w:r>
      <w:r w:rsidRPr="00877DDB">
        <w:rPr>
          <w:rFonts w:eastAsia="Calibri"/>
        </w:rPr>
        <w:t>ransfers in the FMM and RTD are consistent with intertie scheduling limits.</w:t>
      </w:r>
      <w:r w:rsidR="00D925AA" w:rsidRPr="00877DDB">
        <w:rPr>
          <w:rFonts w:eastAsia="Calibri"/>
        </w:rPr>
        <w:t xml:space="preserve"> </w:t>
      </w:r>
    </w:p>
    <w:p w14:paraId="1745DEDD" w14:textId="77777777" w:rsidR="002507FD" w:rsidRPr="00877DDB" w:rsidRDefault="002507FD" w:rsidP="00877DDB">
      <w:pPr>
        <w:spacing w:after="240" w:line="300" w:lineRule="auto"/>
        <w:rPr>
          <w:rFonts w:eastAsia="Calibri"/>
        </w:rPr>
      </w:pPr>
      <w:r w:rsidRPr="00877DDB">
        <w:rPr>
          <w:rFonts w:eastAsia="Calibri"/>
        </w:rPr>
        <w:t>In calculating real-time neutrality by BAA, the System Marginal Energy Cost (SMEC) is used for the Energy Transfer</w:t>
      </w:r>
      <w:r w:rsidR="00F02728" w:rsidRPr="00877DDB">
        <w:rPr>
          <w:rFonts w:eastAsia="Calibri"/>
        </w:rPr>
        <w:t xml:space="preserve"> (see </w:t>
      </w:r>
      <w:r w:rsidR="00B264D2" w:rsidRPr="00877DDB">
        <w:rPr>
          <w:rFonts w:eastAsia="Calibri"/>
        </w:rPr>
        <w:t>Appendix A for an example</w:t>
      </w:r>
      <w:r w:rsidR="00F02728" w:rsidRPr="00877DDB">
        <w:rPr>
          <w:rFonts w:eastAsia="Calibri"/>
        </w:rPr>
        <w:t>)</w:t>
      </w:r>
      <w:r w:rsidRPr="00877DDB">
        <w:rPr>
          <w:rFonts w:eastAsia="Calibri"/>
        </w:rPr>
        <w:t>.</w:t>
      </w:r>
    </w:p>
    <w:p w14:paraId="6E837D61" w14:textId="77777777" w:rsidR="002507FD" w:rsidRPr="00E40C41" w:rsidRDefault="002507FD" w:rsidP="002667BF">
      <w:pPr>
        <w:pStyle w:val="Heading4"/>
      </w:pPr>
      <w:r>
        <w:t>Energy Transfer System Resources</w:t>
      </w:r>
    </w:p>
    <w:p w14:paraId="456DDBD0" w14:textId="77777777" w:rsidR="002507FD" w:rsidRDefault="002507FD" w:rsidP="00877DDB">
      <w:pPr>
        <w:spacing w:after="240" w:line="300" w:lineRule="auto"/>
      </w:pPr>
      <w:r>
        <w:t xml:space="preserve">For the convenience of modeling of the </w:t>
      </w:r>
      <w:r w:rsidRPr="00E40C41">
        <w:t>Energy Transfer Scheduling problem</w:t>
      </w:r>
      <w:r>
        <w:t xml:space="preserve">, </w:t>
      </w:r>
      <w:r w:rsidRPr="00E40C41">
        <w:t>Energy Transfer System Resources (ETSRs) are defined as aggregate resources at the EIM BAA Default Generation Aggregation Point (DGAP), which is an aggregation of all supply resources in the BAA. They are dedicated System Resources in each EIM BAA to anchor the Energy Transfer schedules from that BAA to other BAAs in the EIM Area for tracking, tagging, and settlement. Each ETSR is defined as either an import or an export resource, and it is associated with an EIM intertie with another EIM BAA, or a C</w:t>
      </w:r>
      <w:r w:rsidR="00ED022D">
        <w:t>A</w:t>
      </w:r>
      <w:r w:rsidRPr="00E40C41">
        <w:t>ISO intertie with the C</w:t>
      </w:r>
      <w:r w:rsidR="00ED022D">
        <w:t>A</w:t>
      </w:r>
      <w:r w:rsidRPr="00E40C41">
        <w:t>ISO. The associated intertie is one where the EIM Entity for the relevant EIM BAA has made transmission rights available for scheduling Energy Transfers from/to the other EIM BAA or the C</w:t>
      </w:r>
      <w:r w:rsidR="00ED022D">
        <w:t>A</w:t>
      </w:r>
      <w:r w:rsidRPr="00E40C41">
        <w:t>ISO.</w:t>
      </w:r>
      <w:r>
        <w:t xml:space="preserve"> </w:t>
      </w:r>
    </w:p>
    <w:p w14:paraId="229691DB" w14:textId="77777777" w:rsidR="002507FD" w:rsidRDefault="002507FD" w:rsidP="002667BF">
      <w:pPr>
        <w:pStyle w:val="Heading4"/>
      </w:pPr>
      <w:r>
        <w:lastRenderedPageBreak/>
        <w:t>Base Schedules</w:t>
      </w:r>
    </w:p>
    <w:p w14:paraId="0566497E" w14:textId="77777777" w:rsidR="002507FD" w:rsidRDefault="002507FD" w:rsidP="00877DDB">
      <w:pPr>
        <w:spacing w:after="240" w:line="300" w:lineRule="auto"/>
      </w:pPr>
      <w:r>
        <w:t xml:space="preserve">Before EIM market optimization, base </w:t>
      </w:r>
      <w:r w:rsidRPr="005C25BA">
        <w:t>Energy Transfer schedules between EIM BAAs</w:t>
      </w:r>
      <w:r>
        <w:t xml:space="preserve"> are submitted </w:t>
      </w:r>
      <w:r w:rsidRPr="004B4158">
        <w:t>along with the generation and intertie base schedules. The base Energy Transfer schedules are assumed to be feasible. For each EIM BAA and C</w:t>
      </w:r>
      <w:r w:rsidR="00ED022D">
        <w:t>A</w:t>
      </w:r>
      <w:r w:rsidRPr="004B4158">
        <w:t>ISO, the base EIM Transfer, the base NSI, the base demand, the base generation and the base load are obtained from the base Energy Transfer schedules and RUC schedules. The base load for EIM BAA is adjusted in the ACPF to absorb the loss error. The base load for EIM BAAs is significant because it is used as a reference for imbalance energy settlement. Base schedules are also calculated for non-EIM BAAs to model unscheduled loop flow through the EIM area.</w:t>
      </w:r>
    </w:p>
    <w:p w14:paraId="401E0C76" w14:textId="77777777" w:rsidR="002507FD" w:rsidRPr="004B4158" w:rsidRDefault="002507FD" w:rsidP="002667BF">
      <w:pPr>
        <w:pStyle w:val="Heading4"/>
      </w:pPr>
      <w:r w:rsidRPr="00E047E1">
        <w:t>Energy Transfer Schedule Calculation</w:t>
      </w:r>
      <w:r>
        <w:t xml:space="preserve"> </w:t>
      </w:r>
    </w:p>
    <w:p w14:paraId="5BD0F2B7" w14:textId="77777777" w:rsidR="002507FD" w:rsidRPr="00E047E1" w:rsidRDefault="002507FD" w:rsidP="00877DDB">
      <w:pPr>
        <w:spacing w:after="240" w:line="300" w:lineRule="auto"/>
      </w:pPr>
      <w:r>
        <w:t xml:space="preserve">Additional variables and constraints are added to the market optimization problem for the </w:t>
      </w:r>
      <w:r w:rsidRPr="00E40C41">
        <w:t>Energy Transfer Scheduling problem</w:t>
      </w:r>
      <w:r>
        <w:t xml:space="preserve">. </w:t>
      </w:r>
      <w:r w:rsidRPr="004B4158">
        <w:t>In the market optimization problem, the NSI variables for each BAA are used to derive the EIM Transfer for each EIM BAA and for the C</w:t>
      </w:r>
      <w:r w:rsidR="00ED022D">
        <w:t>A</w:t>
      </w:r>
      <w:r w:rsidRPr="004B4158">
        <w:t>ISO. The EIM Transfer variables are constrained by the EIM Transfer Schedules represented by the E</w:t>
      </w:r>
      <w:r>
        <w:t>TSR</w:t>
      </w:r>
      <w:r w:rsidRPr="004B4158">
        <w:t xml:space="preserve"> variables. </w:t>
      </w:r>
      <w:r w:rsidR="0065349D">
        <w:t>T</w:t>
      </w:r>
      <w:r w:rsidRPr="004B4158">
        <w:t>he E</w:t>
      </w:r>
      <w:r>
        <w:t>TSR</w:t>
      </w:r>
      <w:r w:rsidRPr="004B4158">
        <w:t xml:space="preserve"> variables are constrained by applicable </w:t>
      </w:r>
      <w:r w:rsidR="0018735C">
        <w:t>EIM T</w:t>
      </w:r>
      <w:r w:rsidR="00CC1B5C">
        <w:t>ransfer limits</w:t>
      </w:r>
      <w:r w:rsidRPr="004B4158">
        <w:t xml:space="preserve">. </w:t>
      </w:r>
    </w:p>
    <w:p w14:paraId="79FC4D3D" w14:textId="77777777" w:rsidR="002507FD" w:rsidRDefault="002507FD" w:rsidP="00877DDB">
      <w:pPr>
        <w:spacing w:after="240" w:line="300" w:lineRule="auto"/>
      </w:pPr>
      <w:r>
        <w:t xml:space="preserve">The base Energy Transfer schedules are included in the optimal Energy Transfer schedule. </w:t>
      </w:r>
      <w:r w:rsidRPr="004B4158">
        <w:t xml:space="preserve">After the market run, the base and optimal Energy Transfer schedules are assigned to the corresponding ETSRs and are tagged to the associated intertie using the corresponding ETSR identification. </w:t>
      </w:r>
    </w:p>
    <w:p w14:paraId="5F2C198A" w14:textId="77777777" w:rsidR="002C111D" w:rsidRDefault="0000106E" w:rsidP="00877DDB">
      <w:pPr>
        <w:spacing w:after="240" w:line="300" w:lineRule="auto"/>
      </w:pPr>
      <w:r>
        <w:t>I</w:t>
      </w:r>
      <w:r w:rsidR="002C111D">
        <w:t xml:space="preserve">n the mathematical formulation, the base Energy Transfer schedules are included in the optimal Energy Transfer schedules, and the optimal Energy Transfer schedules are constrained by the EIM Transfer limits determined by the transmission limits, static limits and incremental dynamic limit. </w:t>
      </w:r>
      <w:r w:rsidR="0043741A">
        <w:t xml:space="preserve">In other words, the amount of total intertie utilization is modeled to be constrained by the total transmission capacity, rather than the amount of incremental intertie utilization being constrained by the available transmission capacity. </w:t>
      </w:r>
    </w:p>
    <w:p w14:paraId="39DCB10E" w14:textId="77777777" w:rsidR="00D1773B" w:rsidRDefault="00D1773B"/>
    <w:p w14:paraId="62812B78" w14:textId="77777777" w:rsidR="002507FD" w:rsidRPr="004B4158" w:rsidRDefault="002507FD" w:rsidP="00B264D2">
      <w:pPr>
        <w:pStyle w:val="Heading4"/>
      </w:pPr>
      <w:r>
        <w:lastRenderedPageBreak/>
        <w:t xml:space="preserve">EIM Transfer </w:t>
      </w:r>
      <w:r w:rsidR="00AF13CE">
        <w:t xml:space="preserve">Schedule </w:t>
      </w:r>
      <w:r>
        <w:t>Cost</w:t>
      </w:r>
    </w:p>
    <w:p w14:paraId="106D7C14" w14:textId="77777777" w:rsidR="002507FD" w:rsidRPr="004B4158" w:rsidRDefault="002507FD" w:rsidP="00877DDB">
      <w:pPr>
        <w:spacing w:after="240" w:line="300" w:lineRule="auto"/>
      </w:pPr>
      <w:r w:rsidRPr="004B4158">
        <w:t xml:space="preserve">To maximize the efficiency and robustness of Energy Transfer schedules without circulating Energy Transfer schedules, a small nominal cost, </w:t>
      </w:r>
      <w:r w:rsidR="00F02728">
        <w:t xml:space="preserve">the </w:t>
      </w:r>
      <w:r w:rsidRPr="004B4158">
        <w:t xml:space="preserve">EIM </w:t>
      </w:r>
      <w:r w:rsidR="00F02728">
        <w:t>T</w:t>
      </w:r>
      <w:r w:rsidRPr="004B4158">
        <w:t xml:space="preserve">ransfer </w:t>
      </w:r>
      <w:r w:rsidR="00AF13CE">
        <w:t xml:space="preserve">schedule </w:t>
      </w:r>
      <w:r w:rsidRPr="004B4158">
        <w:t xml:space="preserve">cost, is included in the objective function of the market optimization problem for each ETSR. The EIM </w:t>
      </w:r>
      <w:r w:rsidR="00F02728">
        <w:t>T</w:t>
      </w:r>
      <w:r w:rsidRPr="004B4158">
        <w:t xml:space="preserve">ransfer </w:t>
      </w:r>
      <w:r w:rsidR="00AF13CE">
        <w:t xml:space="preserve">schedule </w:t>
      </w:r>
      <w:r w:rsidRPr="004B4158">
        <w:t xml:space="preserve">cost will </w:t>
      </w:r>
      <w:r>
        <w:t xml:space="preserve">ensure the most optimal path or paths for the EIM </w:t>
      </w:r>
      <w:r w:rsidR="00F02728">
        <w:t>T</w:t>
      </w:r>
      <w:r>
        <w:t xml:space="preserve">ransfer are used by placing a higher priority on the most optimal path over less optimal paths. </w:t>
      </w:r>
      <w:r w:rsidRPr="004B4158">
        <w:t xml:space="preserve">This approach </w:t>
      </w:r>
      <w:r>
        <w:t>will</w:t>
      </w:r>
      <w:r w:rsidRPr="004B4158">
        <w:t xml:space="preserve"> </w:t>
      </w:r>
      <w:r>
        <w:t xml:space="preserve">also </w:t>
      </w:r>
      <w:r w:rsidRPr="004B4158">
        <w:t xml:space="preserve">minimize the number of </w:t>
      </w:r>
      <w:r w:rsidR="00AF13CE">
        <w:t>e-</w:t>
      </w:r>
      <w:r w:rsidRPr="004B4158">
        <w:t>tags which must be updated and reduces the complexity of settling the financial value of the EIM transfer used for neutrality calculations.</w:t>
      </w:r>
    </w:p>
    <w:p w14:paraId="533DCACE" w14:textId="15DDA439" w:rsidR="00607541" w:rsidRPr="00725EAA" w:rsidRDefault="008649BC" w:rsidP="00877DDB">
      <w:pPr>
        <w:autoSpaceDE w:val="0"/>
        <w:autoSpaceDN w:val="0"/>
        <w:adjustRightInd w:val="0"/>
        <w:spacing w:after="240" w:line="300" w:lineRule="auto"/>
      </w:pPr>
      <w:r w:rsidRPr="00725EAA">
        <w:t>T</w:t>
      </w:r>
      <w:r w:rsidR="002507FD" w:rsidRPr="00725EAA">
        <w:t xml:space="preserve">he </w:t>
      </w:r>
      <w:r w:rsidR="000D72C0" w:rsidRPr="00725EAA">
        <w:t>CA</w:t>
      </w:r>
      <w:r w:rsidR="002507FD" w:rsidRPr="00725EAA">
        <w:t>ISO determine</w:t>
      </w:r>
      <w:r w:rsidRPr="00725EAA">
        <w:t>s</w:t>
      </w:r>
      <w:r w:rsidR="002507FD" w:rsidRPr="00725EAA">
        <w:t xml:space="preserve"> the appropriate level of the transfer cost balancing the benefits of the transfer costs with the impact to locational marginal costs</w:t>
      </w:r>
      <w:r w:rsidR="00AF13CE" w:rsidRPr="003178FD">
        <w:t xml:space="preserve"> pursuant to </w:t>
      </w:r>
      <w:r w:rsidR="00AF13CE" w:rsidRPr="00725EAA">
        <w:rPr>
          <w:rFonts w:cs="Arial"/>
        </w:rPr>
        <w:t>Section 29.17(g)(2)</w:t>
      </w:r>
      <w:r w:rsidR="002507FD" w:rsidRPr="00725EAA">
        <w:t>.</w:t>
      </w:r>
      <w:r w:rsidR="00363CFA" w:rsidRPr="00725EAA">
        <w:t xml:space="preserve"> </w:t>
      </w:r>
      <w:r w:rsidR="00AF13CE" w:rsidRPr="00725EAA">
        <w:t>T</w:t>
      </w:r>
      <w:r w:rsidR="00363CFA" w:rsidRPr="00725EAA">
        <w:t xml:space="preserve">he EIM Transfer Cost shall </w:t>
      </w:r>
      <w:r w:rsidR="00A43B57" w:rsidRPr="003178FD">
        <w:t>be less than</w:t>
      </w:r>
      <w:r w:rsidR="00BD0A9B" w:rsidRPr="003178FD">
        <w:t xml:space="preserve"> $0.</w:t>
      </w:r>
      <w:r w:rsidR="009A3834" w:rsidRPr="003178FD">
        <w:t>0</w:t>
      </w:r>
      <w:r w:rsidR="00BD0A9B" w:rsidRPr="003178FD">
        <w:t>1</w:t>
      </w:r>
      <w:r w:rsidR="00607541" w:rsidRPr="003178FD">
        <w:t xml:space="preserve">. </w:t>
      </w:r>
      <w:r w:rsidRPr="003178FD">
        <w:t xml:space="preserve">The EIM Transfer Cost can be different for each Intertie. In case absent any </w:t>
      </w:r>
      <w:r w:rsidR="00A46866">
        <w:t xml:space="preserve">priority defined by the entity and approved by the CAISO </w:t>
      </w:r>
      <w:r w:rsidRPr="003178FD">
        <w:t xml:space="preserve"> , </w:t>
      </w:r>
      <w:r w:rsidRPr="00725EAA">
        <w:rPr>
          <w:rFonts w:cs="Arial"/>
        </w:rPr>
        <w:t>t</w:t>
      </w:r>
      <w:r w:rsidR="00607541" w:rsidRPr="00725EAA">
        <w:rPr>
          <w:rFonts w:cs="Arial"/>
        </w:rPr>
        <w:t xml:space="preserve">he CAISO will </w:t>
      </w:r>
      <w:r w:rsidRPr="00725EAA">
        <w:rPr>
          <w:rFonts w:cs="Arial"/>
        </w:rPr>
        <w:t xml:space="preserve">set $0.0001 for </w:t>
      </w:r>
      <w:r w:rsidR="00607541" w:rsidRPr="00725EAA">
        <w:rPr>
          <w:rFonts w:cs="Arial"/>
        </w:rPr>
        <w:t>the EIM Transfer schedule cost associated with each EIM Internal Intertie</w:t>
      </w:r>
      <w:r w:rsidR="009A3834" w:rsidRPr="00725EAA">
        <w:t>.</w:t>
      </w:r>
      <w:r w:rsidR="00607541" w:rsidRPr="00725EAA">
        <w:t xml:space="preserve"> </w:t>
      </w:r>
    </w:p>
    <w:p w14:paraId="049A1BE1" w14:textId="77777777" w:rsidR="009551ED" w:rsidRPr="00725EAA" w:rsidRDefault="00607541" w:rsidP="00877DDB">
      <w:pPr>
        <w:spacing w:after="240" w:line="300" w:lineRule="auto"/>
        <w:rPr>
          <w:rFonts w:eastAsia="Calibri"/>
        </w:rPr>
      </w:pPr>
      <w:r w:rsidRPr="00725EAA">
        <w:rPr>
          <w:rFonts w:cs="Arial"/>
        </w:rPr>
        <w:t>The CAISO may adjust the EIM Transfer schedule costs to maintain the path priorities established by the criteria in Section 29.17(g)(2) when an EIM Entity Balancing Authority Area is added or subtracted from the EIM Area, as seasonal transmission system ratings change or the transmission system topology changes</w:t>
      </w:r>
      <w:r w:rsidRPr="00725EAA">
        <w:t>.</w:t>
      </w:r>
      <w:bookmarkStart w:id="1907" w:name="_Toc412103964"/>
      <w:bookmarkEnd w:id="1907"/>
    </w:p>
    <w:p w14:paraId="272C2E74" w14:textId="77777777" w:rsidR="008817D0" w:rsidRPr="008817D0" w:rsidRDefault="008817D0" w:rsidP="00C33762">
      <w:pPr>
        <w:pStyle w:val="Heading3"/>
        <w:rPr>
          <w:rFonts w:eastAsia="Calibri"/>
        </w:rPr>
      </w:pPr>
      <w:bookmarkStart w:id="1908" w:name="_Toc390946286"/>
      <w:bookmarkStart w:id="1909" w:name="_Toc391969848"/>
      <w:bookmarkStart w:id="1910" w:name="_Toc460320455"/>
      <w:bookmarkStart w:id="1911" w:name="_Toc390869239"/>
      <w:r w:rsidRPr="008817D0">
        <w:rPr>
          <w:rFonts w:eastAsia="Calibri"/>
        </w:rPr>
        <w:t>Entitlement Constraints for Rate of Changes</w:t>
      </w:r>
      <w:bookmarkEnd w:id="1908"/>
      <w:bookmarkEnd w:id="1909"/>
      <w:bookmarkEnd w:id="1910"/>
    </w:p>
    <w:p w14:paraId="64FED5F4" w14:textId="77777777" w:rsidR="008817D0" w:rsidRDefault="008817D0">
      <w:pPr>
        <w:spacing w:after="240" w:line="300" w:lineRule="auto"/>
        <w:rPr>
          <w:rFonts w:eastAsia="Calibri"/>
        </w:rPr>
      </w:pPr>
      <w:r w:rsidRPr="008817D0">
        <w:rPr>
          <w:rFonts w:eastAsia="Calibri"/>
        </w:rPr>
        <w:t xml:space="preserve">The entitlement constraints limit power flow contributions from </w:t>
      </w:r>
      <w:r w:rsidR="008410E3">
        <w:rPr>
          <w:rFonts w:eastAsia="Calibri"/>
        </w:rPr>
        <w:t xml:space="preserve">the dispatch of </w:t>
      </w:r>
      <w:r w:rsidRPr="008817D0">
        <w:rPr>
          <w:rFonts w:eastAsia="Calibri"/>
        </w:rPr>
        <w:t>resources in an EIM Entity Balancing Authority Area (BAA), or the CAISO BAA, on interties or transmission corridors in external BAAs. Power flow contributions from intertie transactions participating in the EIM or DAM can also be constrained by entitlement constraints. The limit in an entitlement constraint represents either contractual rights or scheduling rights that have been agreed upon between BAAs. The difference between entitlement constraints and regular transmission constraints is that the former constrain</w:t>
      </w:r>
      <w:r w:rsidR="00284875">
        <w:rPr>
          <w:rFonts w:eastAsia="Calibri"/>
        </w:rPr>
        <w:t>t</w:t>
      </w:r>
      <w:r w:rsidRPr="008817D0">
        <w:rPr>
          <w:rFonts w:eastAsia="Calibri"/>
        </w:rPr>
        <w:t xml:space="preserve"> only a subset of the resources that participate in a market, as opposed to the latter where all such resources are constrained. Furthermore, entitlement constraints in the EIM limit the rate of change</w:t>
      </w:r>
      <w:r w:rsidR="008410E3">
        <w:rPr>
          <w:rFonts w:eastAsia="Calibri"/>
        </w:rPr>
        <w:t xml:space="preserve"> only</w:t>
      </w:r>
      <w:r w:rsidRPr="008817D0">
        <w:rPr>
          <w:rFonts w:eastAsia="Calibri"/>
        </w:rPr>
        <w:t xml:space="preserve"> of the relevant power flow contributions across 5-minute dispatch intervals.</w:t>
      </w:r>
    </w:p>
    <w:p w14:paraId="1F62EC3A" w14:textId="77777777" w:rsidR="00284875" w:rsidRPr="008817D0" w:rsidRDefault="00284875">
      <w:pPr>
        <w:spacing w:after="240" w:line="300" w:lineRule="auto"/>
        <w:rPr>
          <w:rFonts w:eastAsia="Calibri"/>
        </w:rPr>
      </w:pPr>
      <w:r>
        <w:rPr>
          <w:rFonts w:eastAsia="Calibri"/>
        </w:rPr>
        <w:lastRenderedPageBreak/>
        <w:t xml:space="preserve">Specific procedures may be developed to document specific conditions, communication of EIM </w:t>
      </w:r>
      <w:r w:rsidR="007C4B4F">
        <w:rPr>
          <w:rFonts w:eastAsia="Calibri"/>
        </w:rPr>
        <w:t>Entity</w:t>
      </w:r>
      <w:r>
        <w:rPr>
          <w:rFonts w:eastAsia="Calibri"/>
        </w:rPr>
        <w:t>, External BAA</w:t>
      </w:r>
      <w:r w:rsidR="005E2AFF">
        <w:rPr>
          <w:rFonts w:eastAsia="Calibri"/>
        </w:rPr>
        <w:t>,</w:t>
      </w:r>
      <w:r>
        <w:rPr>
          <w:rFonts w:eastAsia="Calibri"/>
        </w:rPr>
        <w:t xml:space="preserve"> or third party transmission </w:t>
      </w:r>
      <w:r w:rsidR="007C4B4F">
        <w:rPr>
          <w:rFonts w:eastAsia="Calibri"/>
        </w:rPr>
        <w:t>provider</w:t>
      </w:r>
      <w:r>
        <w:rPr>
          <w:rFonts w:eastAsia="Calibri"/>
        </w:rPr>
        <w:t xml:space="preserve"> as designed by EIM </w:t>
      </w:r>
      <w:r w:rsidR="007C4B4F">
        <w:rPr>
          <w:rFonts w:eastAsia="Calibri"/>
        </w:rPr>
        <w:t>Entity</w:t>
      </w:r>
      <w:r>
        <w:rPr>
          <w:rFonts w:eastAsia="Calibri"/>
        </w:rPr>
        <w:t xml:space="preserve">.  </w:t>
      </w:r>
    </w:p>
    <w:p w14:paraId="310D26D7" w14:textId="72F1EF1A" w:rsidR="00550A3D" w:rsidRDefault="008817D0" w:rsidP="00C33762">
      <w:pPr>
        <w:pStyle w:val="Heading3"/>
      </w:pPr>
      <w:bookmarkStart w:id="1912" w:name="_Toc390946287"/>
      <w:bookmarkStart w:id="1913" w:name="_Toc391969849"/>
      <w:bookmarkStart w:id="1914" w:name="_Toc460320456"/>
      <w:r w:rsidRPr="00422213">
        <w:t>Constraint Relaxation</w:t>
      </w:r>
      <w:bookmarkEnd w:id="1912"/>
      <w:bookmarkEnd w:id="1913"/>
      <w:bookmarkEnd w:id="1914"/>
    </w:p>
    <w:p w14:paraId="6097E1AB" w14:textId="466EB4D4" w:rsidR="007445EB" w:rsidRDefault="00456AD6" w:rsidP="007445EB">
      <w:pPr>
        <w:spacing w:after="240" w:line="300" w:lineRule="auto"/>
      </w:pPr>
      <w:r>
        <w:t xml:space="preserve">Constraint Relaxation refers to the process of allowing the MW quantity to exceed the constraint limit using ‘penalty’ prices, as opposed to hard constraints, in order to improve the quality of the optimization solution.  Constraints will be relaxed if the shadow price of the constraint otherwise exceeds the penalty value. Based on CAISO Tariff Section 29.34 (o), please refer to Section 6.6.5 of the </w:t>
      </w:r>
      <w:hyperlink r:id="rId170" w:history="1">
        <w:r w:rsidRPr="003E5949">
          <w:rPr>
            <w:rStyle w:val="Hyperlink"/>
            <w:b/>
          </w:rPr>
          <w:t>BPM for Market Operations</w:t>
        </w:r>
      </w:hyperlink>
      <w:r>
        <w:t xml:space="preserve"> for details on the penalty prices and pricing parameters used in the markets.</w:t>
      </w:r>
      <w:r w:rsidR="000B5618">
        <w:t xml:space="preserve"> </w:t>
      </w:r>
    </w:p>
    <w:p w14:paraId="054A8F5F" w14:textId="77777777" w:rsidR="008463DA" w:rsidRDefault="008463DA" w:rsidP="007445EB">
      <w:pPr>
        <w:spacing w:after="240" w:line="300" w:lineRule="auto"/>
      </w:pPr>
    </w:p>
    <w:p w14:paraId="186ADFFE" w14:textId="1BEE5A54" w:rsidR="008463DA" w:rsidRDefault="00E11C55" w:rsidP="008463DA">
      <w:pPr>
        <w:pStyle w:val="Heading3"/>
      </w:pPr>
      <w:bookmarkStart w:id="1915" w:name="_Toc460320457"/>
      <w:r>
        <w:t>Transition Period Pricing</w:t>
      </w:r>
      <w:bookmarkEnd w:id="1915"/>
      <w:r>
        <w:t xml:space="preserve"> </w:t>
      </w:r>
    </w:p>
    <w:p w14:paraId="4033CA6E" w14:textId="77777777" w:rsidR="0098749D" w:rsidRDefault="0098749D" w:rsidP="0098749D">
      <w:pPr>
        <w:spacing w:after="240" w:line="300" w:lineRule="auto"/>
      </w:pPr>
      <w:r w:rsidRPr="000B5618">
        <w:t xml:space="preserve">For a period of six months following the Implementation Date of a new EIM Entity, the provisions of </w:t>
      </w:r>
      <w:r>
        <w:t xml:space="preserve">CAISO Tariff </w:t>
      </w:r>
      <w:r w:rsidRPr="000B5618">
        <w:t xml:space="preserve">Sections 27.4.3.2 and the second sentence of </w:t>
      </w:r>
      <w:r>
        <w:t xml:space="preserve">CAISO Tariff </w:t>
      </w:r>
      <w:r w:rsidRPr="000B5618">
        <w:t xml:space="preserve">Section 27.4.3.4 shall not apply to constraints that are within Balancing Authority Areas of the new EIM Entity or affect EIM Transfers between the Balancing Authority Areas of the new EIM Entity and any other EIM Entity that is subject to </w:t>
      </w:r>
      <w:r>
        <w:t>CAISO Tariff subsection</w:t>
      </w:r>
      <w:r w:rsidRPr="000B5618">
        <w:t xml:space="preserve"> </w:t>
      </w:r>
      <w:r>
        <w:t>29.27</w:t>
      </w:r>
      <w:r w:rsidRPr="000B5618">
        <w:t xml:space="preserve">(b).  For the those intervals that experience infeasibilities described in those provisions, the CAISO shall instead determine prices consistent with the provisions of </w:t>
      </w:r>
      <w:r>
        <w:t xml:space="preserve">CAISO Tariff </w:t>
      </w:r>
      <w:r w:rsidRPr="000B5618">
        <w:t xml:space="preserve">Sections 27, 34, and Appendix C, that would apply in the absence of </w:t>
      </w:r>
      <w:r>
        <w:t xml:space="preserve">CAISO Tariff </w:t>
      </w:r>
      <w:r w:rsidRPr="000B5618">
        <w:t xml:space="preserve">Section 27.4.3.2 and the second sentence of </w:t>
      </w:r>
      <w:r>
        <w:t xml:space="preserve">CAISO Tariff </w:t>
      </w:r>
      <w:r w:rsidRPr="000B5618">
        <w:t>Section 27.4.3.4.</w:t>
      </w:r>
      <w:r w:rsidR="00E11C55">
        <w:t xml:space="preserve">  In addition, when the power balance or transmission constraints are relaxed, the Flexible Ramping Constraint parameter in Section 27.10 of the CAISO tariff will be at an amount between and including $0 and $0.01.  </w:t>
      </w:r>
      <w:r w:rsidR="00A057D9">
        <w:t xml:space="preserve">This enables the price to be set to the last economic bid cleared in the market as described above instead of the pricing parameter for the flexible ramping constraint as specified in Section 6.6.5 of the </w:t>
      </w:r>
      <w:hyperlink r:id="rId171" w:history="1">
        <w:r w:rsidR="00A057D9" w:rsidRPr="003E5949">
          <w:rPr>
            <w:rStyle w:val="Hyperlink"/>
            <w:b/>
          </w:rPr>
          <w:t>BPM for Market Operations</w:t>
        </w:r>
      </w:hyperlink>
      <w:r w:rsidR="00A057D9">
        <w:rPr>
          <w:rStyle w:val="Hyperlink"/>
          <w:b/>
        </w:rPr>
        <w:t xml:space="preserve"> </w:t>
      </w:r>
      <w:r w:rsidR="00A057D9">
        <w:t>and section 27.10 of the CAISO tariff that would otherwise apply.</w:t>
      </w:r>
    </w:p>
    <w:p w14:paraId="2BFD70F9" w14:textId="6ECED1A7" w:rsidR="008463DA" w:rsidRPr="00BA557B" w:rsidRDefault="008463DA" w:rsidP="008463DA">
      <w:pPr>
        <w:spacing w:after="240" w:line="300" w:lineRule="auto"/>
      </w:pPr>
      <w:r>
        <w:t>The last economic signal is determined by the price discovery mechanism of the pricing run where the power balancing requirement is set to the relaxed scheduling level reduced by a small amount.</w:t>
      </w:r>
      <w:r w:rsidR="0098749D">
        <w:t xml:space="preserve"> </w:t>
      </w:r>
      <w:r>
        <w:t xml:space="preserve">  </w:t>
      </w:r>
    </w:p>
    <w:p w14:paraId="34E3BCC6" w14:textId="546EA142" w:rsidR="00E81586" w:rsidRDefault="00E81586" w:rsidP="00E81586">
      <w:pPr>
        <w:spacing w:after="240" w:line="300" w:lineRule="auto"/>
      </w:pPr>
      <w:r>
        <w:lastRenderedPageBreak/>
        <w:t>Since November 14, 2014, pursuant to FERC’s order granting the ISO waiver of section 27.4.3.2 and 27.4.3.4 for PacifiCorp East and PacifiCorp West balancing authority areas, instead of setting prices based on the pricing parameter specified in those sections, the ISO has calculated prices using the last economic signal prior to constraint relaxation. With the activation of the available balancing capacity functionality</w:t>
      </w:r>
      <w:r w:rsidRPr="00E14973">
        <w:t>,</w:t>
      </w:r>
      <w:r>
        <w:t xml:space="preserve"> the price discovery mechanism will no longer be used</w:t>
      </w:r>
      <w:r w:rsidR="00A46866">
        <w:t>, except for EIM entities that are in their  transition period</w:t>
      </w:r>
      <w:r>
        <w:t>.</w:t>
      </w:r>
      <w:r w:rsidR="0098749D">
        <w:t xml:space="preserve"> Consequently, when a constraint relaxation occurs, such as in the cases of power balance constraint infeasibility, the clearing prices will be based on the pricing parameters.</w:t>
      </w:r>
    </w:p>
    <w:p w14:paraId="1FCDDA3D" w14:textId="77777777" w:rsidR="008463DA" w:rsidRPr="008463DA" w:rsidRDefault="008463DA" w:rsidP="008463DA">
      <w:pPr>
        <w:pStyle w:val="ParaText"/>
      </w:pPr>
    </w:p>
    <w:p w14:paraId="373A15A0" w14:textId="77777777" w:rsidR="008463DA" w:rsidRPr="00BA557B" w:rsidRDefault="008463DA" w:rsidP="007445EB">
      <w:pPr>
        <w:spacing w:after="240" w:line="300" w:lineRule="auto"/>
      </w:pPr>
    </w:p>
    <w:p w14:paraId="4A5C6F32" w14:textId="77777777" w:rsidR="00B9221F" w:rsidRPr="00963B45" w:rsidRDefault="008E46A5" w:rsidP="00C33762">
      <w:pPr>
        <w:pStyle w:val="Heading3"/>
        <w:rPr>
          <w:rFonts w:eastAsia="Calibri"/>
        </w:rPr>
      </w:pPr>
      <w:bookmarkStart w:id="1916" w:name="_Toc391969850"/>
      <w:bookmarkStart w:id="1917" w:name="_Toc460320458"/>
      <w:r w:rsidRPr="00963B45">
        <w:rPr>
          <w:rFonts w:eastAsia="Calibri"/>
        </w:rPr>
        <w:t xml:space="preserve">Coordination with Reliability Coordinator and </w:t>
      </w:r>
      <w:r w:rsidR="00B9221F" w:rsidRPr="00963B45">
        <w:rPr>
          <w:rFonts w:eastAsia="Calibri"/>
        </w:rPr>
        <w:t>WECC Unscheduled Flow Mitigation</w:t>
      </w:r>
      <w:bookmarkEnd w:id="1916"/>
      <w:bookmarkEnd w:id="1917"/>
    </w:p>
    <w:p w14:paraId="5722A35C" w14:textId="332D4036" w:rsidR="008E46A5" w:rsidRPr="00963B45" w:rsidRDefault="008E46A5" w:rsidP="00F044BF">
      <w:pPr>
        <w:pStyle w:val="ParaText"/>
        <w:rPr>
          <w:rFonts w:eastAsia="Calibri"/>
        </w:rPr>
      </w:pPr>
      <w:r w:rsidRPr="00963B45">
        <w:rPr>
          <w:rFonts w:eastAsia="Calibri"/>
        </w:rPr>
        <w:t xml:space="preserve">EIM’s congestion management process will use its effective resources to remove congestion before curtailing any existing schedules, by being responsive to price differences resulting from congestion, rather than only to reliability-based curtailments.  Flows resulting from the EIM dispatch will provide counter-flows for congestion, and thereby support scheduled flows that may otherwise need to be curtailed through WECC’s Unscheduled Flow Mitigation Plan (UFMP).  If the UFMP has not been initiated, the </w:t>
      </w:r>
      <w:r w:rsidR="00B722C6">
        <w:rPr>
          <w:rFonts w:eastAsia="Calibri"/>
        </w:rPr>
        <w:t>CAISO</w:t>
      </w:r>
      <w:r w:rsidRPr="00963B45">
        <w:rPr>
          <w:rFonts w:eastAsia="Calibri"/>
        </w:rPr>
        <w:t xml:space="preserve"> will manage congestion directly in the EIM dispatch by automatically enforcing constraints, using the transmission capacity available to EIM.  EIM will dispatch only bids submitted by EIM Participating Resource Scheduling Coordinators, and will not adjust self-schedules outside the submitted bid range.  </w:t>
      </w:r>
      <w:r w:rsidR="002D270D">
        <w:rPr>
          <w:rFonts w:eastAsia="Calibri"/>
        </w:rPr>
        <w:t xml:space="preserve">However, the EIM’s purpose is not to directly resolve unscheduled flow.  </w:t>
      </w:r>
      <w:r w:rsidRPr="00963B45">
        <w:rPr>
          <w:rFonts w:eastAsia="Calibri"/>
        </w:rPr>
        <w:t>Coordinated reliability curtailments such as through UFMP or Reliability Coordinator intervention in mandating schedule curtailments remain the role of the EIM Entity.</w:t>
      </w:r>
    </w:p>
    <w:p w14:paraId="66E1E439" w14:textId="6380D019" w:rsidR="008E46A5" w:rsidRPr="00657E79" w:rsidRDefault="008E46A5" w:rsidP="00F044BF">
      <w:pPr>
        <w:pStyle w:val="ParaText"/>
        <w:rPr>
          <w:rFonts w:eastAsia="Calibri"/>
        </w:rPr>
      </w:pPr>
      <w:r w:rsidRPr="00963B45">
        <w:rPr>
          <w:rFonts w:eastAsia="Calibri"/>
        </w:rPr>
        <w:t xml:space="preserve">The EIM will not automatically initiate the UFMP, but will alert EIM Entities to conditions that EIM has no effective bids to resolve, which may require the EIM Entity to initiate non-market procedures.  An EIM Entity may choose to issue reliability curtailments using its own procedures, after the EIM </w:t>
      </w:r>
      <w:r w:rsidR="002462E5">
        <w:rPr>
          <w:rFonts w:eastAsia="Calibri"/>
        </w:rPr>
        <w:lastRenderedPageBreak/>
        <w:t>CAISO</w:t>
      </w:r>
      <w:r w:rsidRPr="00963B45">
        <w:rPr>
          <w:rFonts w:eastAsia="Calibri"/>
        </w:rPr>
        <w:t xml:space="preserve"> notifies the EIM Entity that the </w:t>
      </w:r>
      <w:r w:rsidR="00B722C6">
        <w:rPr>
          <w:rFonts w:eastAsia="Calibri"/>
        </w:rPr>
        <w:t>CAISO</w:t>
      </w:r>
      <w:r w:rsidRPr="00963B45">
        <w:rPr>
          <w:rFonts w:eastAsia="Calibri"/>
        </w:rPr>
        <w:t xml:space="preserve"> observes congestion or other conditions that EIM cannot resolve, or separately before such conditions occur.  </w:t>
      </w:r>
    </w:p>
    <w:p w14:paraId="02FD5CD1" w14:textId="5D3DB5C1" w:rsidR="00B9221F" w:rsidRPr="002E5F50" w:rsidRDefault="00B9221F" w:rsidP="002E5F50">
      <w:pPr>
        <w:pStyle w:val="ParaText"/>
        <w:rPr>
          <w:rFonts w:eastAsia="Calibri"/>
        </w:rPr>
      </w:pPr>
      <w:r w:rsidRPr="00657E79">
        <w:rPr>
          <w:rFonts w:eastAsia="Calibri"/>
        </w:rPr>
        <w:t xml:space="preserve">It is the responsibility of the EIM entity to communicate unscheduled flow mitigation orders on any of its BAA resources via </w:t>
      </w:r>
      <w:r w:rsidR="00670A3B" w:rsidRPr="00657E79">
        <w:rPr>
          <w:rFonts w:eastAsia="Calibri"/>
        </w:rPr>
        <w:t xml:space="preserve">updating the energy profile of the corresponding tag to reflect the unscheduled flow mitigation procedure cuts, as well as </w:t>
      </w:r>
      <w:r w:rsidRPr="00657E79">
        <w:rPr>
          <w:rFonts w:eastAsia="Calibri"/>
        </w:rPr>
        <w:t>entering manual dispatches in the designated BAA operator</w:t>
      </w:r>
      <w:r w:rsidR="0033230B" w:rsidRPr="00657E79">
        <w:rPr>
          <w:rFonts w:eastAsia="Calibri"/>
        </w:rPr>
        <w:t>’s</w:t>
      </w:r>
      <w:r w:rsidRPr="00657E79">
        <w:rPr>
          <w:rFonts w:eastAsia="Calibri"/>
        </w:rPr>
        <w:t xml:space="preserve"> </w:t>
      </w:r>
      <w:r w:rsidR="0033230B" w:rsidRPr="00657E79">
        <w:rPr>
          <w:rFonts w:eastAsia="Calibri"/>
        </w:rPr>
        <w:t xml:space="preserve">CAISO provided user interface or </w:t>
      </w:r>
      <w:r w:rsidRPr="00657E79">
        <w:rPr>
          <w:rFonts w:eastAsia="Calibri"/>
        </w:rPr>
        <w:t>displays</w:t>
      </w:r>
      <w:r w:rsidR="00670A3B" w:rsidRPr="00657E79">
        <w:rPr>
          <w:rFonts w:eastAsia="Calibri"/>
        </w:rPr>
        <w:t>,</w:t>
      </w:r>
      <w:r w:rsidR="0033230B" w:rsidRPr="00657E79">
        <w:rPr>
          <w:rFonts w:eastAsia="Calibri"/>
        </w:rPr>
        <w:t xml:space="preserve"> or if these </w:t>
      </w:r>
      <w:r w:rsidR="007C4B4F" w:rsidRPr="00657E79">
        <w:rPr>
          <w:rFonts w:eastAsia="Calibri"/>
        </w:rPr>
        <w:t>displays</w:t>
      </w:r>
      <w:r w:rsidR="0033230B" w:rsidRPr="00657E79">
        <w:rPr>
          <w:rFonts w:eastAsia="Calibri"/>
        </w:rPr>
        <w:t xml:space="preserve"> are not functioning, through other </w:t>
      </w:r>
      <w:r w:rsidR="00670A3B" w:rsidRPr="00657E79">
        <w:rPr>
          <w:rFonts w:eastAsia="Calibri"/>
        </w:rPr>
        <w:t xml:space="preserve">back up </w:t>
      </w:r>
      <w:r w:rsidR="007C4B4F" w:rsidRPr="00657E79">
        <w:rPr>
          <w:rFonts w:eastAsia="Calibri"/>
        </w:rPr>
        <w:t>mechanisms</w:t>
      </w:r>
      <w:r w:rsidR="0033230B" w:rsidRPr="00657E79">
        <w:rPr>
          <w:rFonts w:eastAsia="Calibri"/>
        </w:rPr>
        <w:t xml:space="preserve"> such as phone or oral communications with the </w:t>
      </w:r>
      <w:r w:rsidR="002462E5">
        <w:rPr>
          <w:rFonts w:eastAsia="Calibri"/>
        </w:rPr>
        <w:t>CAISO</w:t>
      </w:r>
      <w:r w:rsidR="0033230B" w:rsidRPr="00657E79">
        <w:rPr>
          <w:rFonts w:eastAsia="Calibri"/>
        </w:rPr>
        <w:t>. Financial implications resulting from any uninstructed energy deviations</w:t>
      </w:r>
      <w:r w:rsidR="0033230B">
        <w:rPr>
          <w:rFonts w:eastAsia="Calibri"/>
        </w:rPr>
        <w:t xml:space="preserve"> due to manual dispatches and or lack of communication of the manual dispatches to the </w:t>
      </w:r>
      <w:r w:rsidR="002462E5">
        <w:rPr>
          <w:rFonts w:eastAsia="Calibri"/>
        </w:rPr>
        <w:t>CAISO</w:t>
      </w:r>
      <w:r w:rsidR="0033230B">
        <w:rPr>
          <w:rFonts w:eastAsia="Calibri"/>
        </w:rPr>
        <w:t xml:space="preserve"> is the responsibility of the resource’s registered scheduling coordinator.</w:t>
      </w:r>
    </w:p>
    <w:p w14:paraId="4CDE65F0" w14:textId="2372A1C7" w:rsidR="008E46A5" w:rsidRDefault="003638AA" w:rsidP="00C0737C">
      <w:pPr>
        <w:pStyle w:val="ParaText"/>
        <w:rPr>
          <w:rFonts w:eastAsia="Calibri"/>
        </w:rPr>
      </w:pPr>
      <w:bookmarkStart w:id="1918" w:name="_Toc390946289"/>
      <w:bookmarkStart w:id="1919" w:name="_Toc390869241"/>
      <w:bookmarkStart w:id="1920" w:name="_Toc390946290"/>
      <w:bookmarkEnd w:id="1911"/>
      <w:r>
        <w:rPr>
          <w:rFonts w:eastAsia="Calibri"/>
        </w:rPr>
        <w:t>Dynamic e-t</w:t>
      </w:r>
      <w:r w:rsidR="008E46A5" w:rsidRPr="008E46A5">
        <w:rPr>
          <w:rFonts w:eastAsia="Calibri"/>
        </w:rPr>
        <w:t xml:space="preserve">ags for EIM flows will be updated prior to real-time to show the expected EIM Transfers, to enable management by the UFMP, and be updated for actual EIM dispatch after the end of the operating hour.  Any intra-hour reduction in EIM available transmission must be communicated to the </w:t>
      </w:r>
      <w:r w:rsidR="002462E5">
        <w:rPr>
          <w:rFonts w:eastAsia="Calibri"/>
        </w:rPr>
        <w:t>CAISO</w:t>
      </w:r>
      <w:r w:rsidR="008E46A5" w:rsidRPr="008E46A5">
        <w:rPr>
          <w:rFonts w:eastAsia="Calibri"/>
        </w:rPr>
        <w:t xml:space="preserve"> by the EIM Entity.</w:t>
      </w:r>
    </w:p>
    <w:p w14:paraId="0AF981E2" w14:textId="77777777" w:rsidR="008E46A5" w:rsidRPr="002E5F50" w:rsidRDefault="008E46A5" w:rsidP="00C0737C">
      <w:pPr>
        <w:pStyle w:val="ParaText"/>
        <w:rPr>
          <w:rFonts w:eastAsia="Calibri"/>
        </w:rPr>
      </w:pPr>
      <w:r>
        <w:rPr>
          <w:rFonts w:eastAsia="Calibri"/>
        </w:rPr>
        <w:t xml:space="preserve">When CAISO initiates curtailments through the UFMP, EIM Market Participant schedules in the Real-Time Market will be affected based on the CAISO unscheduled flow mitigation procedure located at:  </w:t>
      </w:r>
      <w:hyperlink r:id="rId172" w:history="1">
        <w:r>
          <w:rPr>
            <w:rStyle w:val="Hyperlink"/>
            <w:rFonts w:eastAsia="Calibri"/>
          </w:rPr>
          <w:t>http://www.caiso.com/Documents/3510.pdf</w:t>
        </w:r>
      </w:hyperlink>
    </w:p>
    <w:p w14:paraId="20F86F7B" w14:textId="77777777" w:rsidR="0018494A" w:rsidRPr="0018494A" w:rsidRDefault="0018494A" w:rsidP="00C33762">
      <w:pPr>
        <w:pStyle w:val="Heading2"/>
        <w:rPr>
          <w:rFonts w:eastAsia="Calibri"/>
        </w:rPr>
      </w:pPr>
      <w:bookmarkStart w:id="1921" w:name="_Toc391969851"/>
      <w:bookmarkStart w:id="1922" w:name="_Toc460320459"/>
      <w:r w:rsidRPr="0018494A">
        <w:rPr>
          <w:rFonts w:eastAsia="Calibri"/>
        </w:rPr>
        <w:t>Day-Ahead Operations</w:t>
      </w:r>
      <w:bookmarkEnd w:id="1918"/>
      <w:bookmarkEnd w:id="1921"/>
      <w:bookmarkEnd w:id="1922"/>
      <w:r w:rsidRPr="0018494A">
        <w:rPr>
          <w:rFonts w:eastAsia="Calibri"/>
        </w:rPr>
        <w:tab/>
      </w:r>
      <w:r w:rsidRPr="0018494A">
        <w:rPr>
          <w:rFonts w:eastAsia="Calibri"/>
        </w:rPr>
        <w:tab/>
      </w:r>
      <w:bookmarkStart w:id="1923" w:name="_Toc390869240"/>
      <w:bookmarkEnd w:id="1923"/>
    </w:p>
    <w:p w14:paraId="75D973E2" w14:textId="7FB52203" w:rsidR="00CF1AB9" w:rsidRPr="001D354A" w:rsidRDefault="0018494A" w:rsidP="00877DDB">
      <w:pPr>
        <w:spacing w:after="240" w:line="300" w:lineRule="auto"/>
        <w:rPr>
          <w:rFonts w:eastAsia="Calibri"/>
        </w:rPr>
      </w:pPr>
      <w:r w:rsidRPr="001D354A">
        <w:rPr>
          <w:rFonts w:eastAsia="Calibri"/>
        </w:rPr>
        <w:t xml:space="preserve">This section is intended to describe the actions taken by EIM participants in the Day-Ahead </w:t>
      </w:r>
      <w:r w:rsidR="00A04379">
        <w:rPr>
          <w:rFonts w:eastAsia="Calibri"/>
        </w:rPr>
        <w:t>time frame</w:t>
      </w:r>
      <w:r w:rsidRPr="00877DDB">
        <w:rPr>
          <w:rFonts w:eastAsia="Calibri"/>
        </w:rPr>
        <w:t xml:space="preserve">.  It is strongly recommended that readers first review Section 6 of the </w:t>
      </w:r>
      <w:hyperlink r:id="rId173" w:history="1">
        <w:r w:rsidRPr="00877DDB">
          <w:rPr>
            <w:rStyle w:val="Hyperlink"/>
            <w:rFonts w:eastAsia="Calibri"/>
            <w:color w:val="auto"/>
          </w:rPr>
          <w:t>BPM for Market Operations</w:t>
        </w:r>
      </w:hyperlink>
      <w:r w:rsidRPr="00877DDB">
        <w:rPr>
          <w:rFonts w:eastAsia="Calibri"/>
        </w:rPr>
        <w:t xml:space="preserve">, which describes the general operation and timeline of the Day-Ahead Market. </w:t>
      </w:r>
      <w:r w:rsidR="00CF1AB9" w:rsidRPr="001D354A">
        <w:rPr>
          <w:rFonts w:eastAsia="Calibri"/>
        </w:rPr>
        <w:t>By 10:00 a.m. on the day preceding the Operating Day, the EIM Entity Scheduling Coordinators on behalf of non-participating resources and EIM Participating Resource Scheduling Coordinators on behalf of EIM Participating Resources shall submit EIM Resource Plan, which must cover a seven-day horizon with hourly granularity beginning with the Operating Day</w:t>
      </w:r>
      <w:r w:rsidR="00134738" w:rsidRPr="001D354A">
        <w:rPr>
          <w:rFonts w:eastAsia="Calibri"/>
        </w:rPr>
        <w:t>.</w:t>
      </w:r>
    </w:p>
    <w:p w14:paraId="323F99C4" w14:textId="62E6BB4F" w:rsidR="00CF1AB9" w:rsidRPr="00877DDB" w:rsidRDefault="00CF1AB9" w:rsidP="00877DDB">
      <w:pPr>
        <w:numPr>
          <w:ilvl w:val="0"/>
          <w:numId w:val="34"/>
        </w:numPr>
        <w:rPr>
          <w:rFonts w:eastAsia="Calibri"/>
          <w:b/>
        </w:rPr>
      </w:pPr>
      <w:r w:rsidRPr="00A46866">
        <w:rPr>
          <w:rFonts w:eastAsia="Calibri"/>
        </w:rPr>
        <w:t>The EIM Resource Plan shall comprise</w:t>
      </w:r>
    </w:p>
    <w:p w14:paraId="4CFAC700" w14:textId="77777777" w:rsidR="00CF1AB9" w:rsidRPr="00C94D50" w:rsidRDefault="00CF1AB9" w:rsidP="00877DDB">
      <w:pPr>
        <w:numPr>
          <w:ilvl w:val="1"/>
          <w:numId w:val="34"/>
        </w:numPr>
        <w:rPr>
          <w:rFonts w:eastAsia="Calibri"/>
        </w:rPr>
      </w:pPr>
      <w:r w:rsidRPr="00C94D50">
        <w:rPr>
          <w:rFonts w:eastAsia="Calibri"/>
        </w:rPr>
        <w:lastRenderedPageBreak/>
        <w:t>EIM Base Schedules of EIM Entities and EIM Participating Resources</w:t>
      </w:r>
      <w:r>
        <w:rPr>
          <w:rFonts w:eastAsia="Calibri"/>
        </w:rPr>
        <w:t xml:space="preserve">, which include </w:t>
      </w:r>
      <w:r w:rsidRPr="006C1BD1">
        <w:rPr>
          <w:rFonts w:cs="Arial"/>
          <w:kern w:val="16"/>
          <w:sz w:val="20"/>
        </w:rPr>
        <w:t>hourly-level schedules for resources, and hourly-level scheduled Interchanges</w:t>
      </w:r>
      <w:r w:rsidRPr="00C94D50">
        <w:rPr>
          <w:rFonts w:eastAsia="Calibri"/>
        </w:rPr>
        <w:t>;</w:t>
      </w:r>
    </w:p>
    <w:p w14:paraId="4BB119D3" w14:textId="77777777" w:rsidR="00CF1AB9" w:rsidRPr="00C94D50" w:rsidRDefault="00CF1AB9" w:rsidP="00877DDB">
      <w:pPr>
        <w:numPr>
          <w:ilvl w:val="1"/>
          <w:numId w:val="34"/>
        </w:numPr>
        <w:rPr>
          <w:rFonts w:eastAsia="Calibri"/>
        </w:rPr>
      </w:pPr>
      <w:r w:rsidRPr="00C94D50">
        <w:rPr>
          <w:rFonts w:eastAsia="Calibri"/>
        </w:rPr>
        <w:t>Energy Bids (applicable to EIM Participating Resources only);</w:t>
      </w:r>
    </w:p>
    <w:p w14:paraId="643890C9" w14:textId="77777777" w:rsidR="00CF1AB9" w:rsidRPr="00C94D50" w:rsidRDefault="000E406C" w:rsidP="00877DDB">
      <w:pPr>
        <w:numPr>
          <w:ilvl w:val="1"/>
          <w:numId w:val="34"/>
        </w:numPr>
        <w:rPr>
          <w:rFonts w:eastAsia="Calibri"/>
        </w:rPr>
      </w:pPr>
      <w:r>
        <w:rPr>
          <w:rFonts w:eastAsia="Calibri"/>
        </w:rPr>
        <w:t>EIM Upward Available Balancing Capacity</w:t>
      </w:r>
    </w:p>
    <w:p w14:paraId="691766C1" w14:textId="77777777" w:rsidR="00CF1AB9" w:rsidRDefault="000E406C" w:rsidP="00877DDB">
      <w:pPr>
        <w:numPr>
          <w:ilvl w:val="1"/>
          <w:numId w:val="34"/>
        </w:numPr>
        <w:rPr>
          <w:rFonts w:eastAsia="Calibri"/>
        </w:rPr>
      </w:pPr>
      <w:r>
        <w:rPr>
          <w:rFonts w:eastAsia="Calibri"/>
        </w:rPr>
        <w:t>EIM Downward Available Balancing Capacity</w:t>
      </w:r>
    </w:p>
    <w:p w14:paraId="41CDDDFE" w14:textId="77777777" w:rsidR="00A76137" w:rsidRPr="00C94D50" w:rsidRDefault="003D2963" w:rsidP="00877DDB">
      <w:pPr>
        <w:numPr>
          <w:ilvl w:val="1"/>
          <w:numId w:val="34"/>
        </w:numPr>
        <w:rPr>
          <w:rFonts w:eastAsia="Calibri"/>
        </w:rPr>
      </w:pPr>
      <w:r>
        <w:t>EIM Reserves to Meet NERC/WECC Contingency Reserves Requirements</w:t>
      </w:r>
    </w:p>
    <w:p w14:paraId="48D6FA89" w14:textId="77777777" w:rsidR="00CF1AB9" w:rsidRPr="00481F19" w:rsidRDefault="00CF1AB9" w:rsidP="00877DDB">
      <w:pPr>
        <w:numPr>
          <w:ilvl w:val="0"/>
          <w:numId w:val="243"/>
        </w:numPr>
        <w:rPr>
          <w:rFonts w:eastAsia="Calibri"/>
          <w:b/>
        </w:rPr>
      </w:pPr>
      <w:r>
        <w:rPr>
          <w:rFonts w:eastAsia="Calibri"/>
          <w:b/>
        </w:rPr>
        <w:t>EIM Scheduling Coordinators s</w:t>
      </w:r>
      <w:r w:rsidRPr="008817D0">
        <w:rPr>
          <w:rFonts w:eastAsia="Calibri"/>
          <w:b/>
        </w:rPr>
        <w:t>ubmit Base Schedules for External BAA Supply and Interchange</w:t>
      </w:r>
      <w:r>
        <w:rPr>
          <w:rFonts w:eastAsia="Calibri"/>
          <w:b/>
        </w:rPr>
        <w:t xml:space="preserve"> as part of the EIM Resource Plan</w:t>
      </w:r>
    </w:p>
    <w:p w14:paraId="7A564058" w14:textId="77777777" w:rsidR="008410E3" w:rsidRDefault="008410E3" w:rsidP="00877DDB">
      <w:pPr>
        <w:numPr>
          <w:ilvl w:val="1"/>
          <w:numId w:val="34"/>
        </w:numPr>
        <w:rPr>
          <w:rFonts w:eastAsia="Calibri"/>
        </w:rPr>
      </w:pPr>
      <w:r>
        <w:rPr>
          <w:rFonts w:eastAsia="Calibri"/>
        </w:rPr>
        <w:t>Base Schedule Coordinators (BSCs) submit Base Schedules and ancillary services schedules for EIM Participating and Non-Participating Resources and Interchanges through the Base Schedule Application Portal (BSAP).</w:t>
      </w:r>
    </w:p>
    <w:p w14:paraId="59EF635B" w14:textId="77777777" w:rsidR="0018494A" w:rsidRPr="008817D0" w:rsidRDefault="0018494A" w:rsidP="00877DDB">
      <w:pPr>
        <w:numPr>
          <w:ilvl w:val="1"/>
          <w:numId w:val="34"/>
        </w:numPr>
        <w:rPr>
          <w:rFonts w:eastAsia="Calibri"/>
        </w:rPr>
      </w:pPr>
      <w:r w:rsidRPr="008817D0">
        <w:rPr>
          <w:rFonts w:eastAsia="Calibri"/>
        </w:rPr>
        <w:t xml:space="preserve">The </w:t>
      </w:r>
      <w:r w:rsidR="008410E3">
        <w:rPr>
          <w:rFonts w:eastAsia="Calibri"/>
        </w:rPr>
        <w:t xml:space="preserve">Base schedule </w:t>
      </w:r>
      <w:r w:rsidR="00775CF7">
        <w:rPr>
          <w:rFonts w:eastAsia="Calibri"/>
        </w:rPr>
        <w:t xml:space="preserve">submission </w:t>
      </w:r>
      <w:r w:rsidR="00775CF7" w:rsidRPr="008817D0">
        <w:rPr>
          <w:rFonts w:eastAsia="Calibri"/>
        </w:rPr>
        <w:t>may</w:t>
      </w:r>
      <w:r w:rsidRPr="008817D0">
        <w:rPr>
          <w:rFonts w:eastAsia="Calibri"/>
        </w:rPr>
        <w:t xml:space="preserve"> cover a seven-day horizon with hourly </w:t>
      </w:r>
      <w:r w:rsidR="008410E3">
        <w:rPr>
          <w:rFonts w:eastAsia="Calibri"/>
        </w:rPr>
        <w:t>granularity</w:t>
      </w:r>
      <w:r w:rsidRPr="008817D0">
        <w:rPr>
          <w:rFonts w:eastAsia="Calibri"/>
        </w:rPr>
        <w:t xml:space="preserve"> beginning with the Operating Day.</w:t>
      </w:r>
    </w:p>
    <w:p w14:paraId="4FC38FC5" w14:textId="77777777" w:rsidR="008410E3" w:rsidRDefault="0018494A" w:rsidP="00877DDB">
      <w:pPr>
        <w:numPr>
          <w:ilvl w:val="1"/>
          <w:numId w:val="34"/>
        </w:numPr>
        <w:rPr>
          <w:rFonts w:eastAsia="Calibri"/>
        </w:rPr>
      </w:pPr>
      <w:r>
        <w:rPr>
          <w:rFonts w:eastAsia="Calibri"/>
        </w:rPr>
        <w:t>Base S</w:t>
      </w:r>
      <w:r w:rsidRPr="008817D0">
        <w:rPr>
          <w:rFonts w:eastAsia="Calibri"/>
        </w:rPr>
        <w:t xml:space="preserve">chedules must be submitted for all </w:t>
      </w:r>
      <w:r w:rsidR="008410E3">
        <w:rPr>
          <w:rFonts w:eastAsia="Calibri"/>
        </w:rPr>
        <w:t xml:space="preserve">online </w:t>
      </w:r>
      <w:r w:rsidRPr="008817D0">
        <w:rPr>
          <w:rFonts w:eastAsia="Calibri"/>
        </w:rPr>
        <w:t>generating resources in an EIM Entity BAA</w:t>
      </w:r>
      <w:r w:rsidR="008410E3">
        <w:rPr>
          <w:rFonts w:eastAsia="Calibri"/>
        </w:rPr>
        <w:t xml:space="preserve"> and all interchanges with tagged schedules with other BAAs, except CAISO. A Base schedule of zero (0 MW) may be submitted for an offline EIM Participating Resource with a three-part bid to be committed </w:t>
      </w:r>
      <w:r w:rsidR="008351FC">
        <w:rPr>
          <w:rFonts w:eastAsia="Calibri"/>
        </w:rPr>
        <w:t>optimally</w:t>
      </w:r>
      <w:r w:rsidR="008410E3">
        <w:rPr>
          <w:rFonts w:eastAsia="Calibri"/>
        </w:rPr>
        <w:t>.</w:t>
      </w:r>
    </w:p>
    <w:p w14:paraId="1C6F601F" w14:textId="77777777" w:rsidR="008410E3" w:rsidRDefault="008410E3" w:rsidP="00877DDB">
      <w:pPr>
        <w:numPr>
          <w:ilvl w:val="1"/>
          <w:numId w:val="34"/>
        </w:numPr>
        <w:rPr>
          <w:rFonts w:eastAsia="Calibri"/>
        </w:rPr>
      </w:pPr>
      <w:r>
        <w:rPr>
          <w:rFonts w:eastAsia="Calibri"/>
        </w:rPr>
        <w:t xml:space="preserve">Base schedules for online </w:t>
      </w:r>
      <w:r w:rsidRPr="008817D0">
        <w:rPr>
          <w:rFonts w:eastAsia="Calibri"/>
        </w:rPr>
        <w:t>generating resources</w:t>
      </w:r>
      <w:r w:rsidR="0018494A" w:rsidRPr="008817D0">
        <w:rPr>
          <w:rFonts w:eastAsia="Calibri"/>
        </w:rPr>
        <w:t xml:space="preserve"> must include disaggregation of forward </w:t>
      </w:r>
      <w:r>
        <w:rPr>
          <w:rFonts w:eastAsia="Calibri"/>
        </w:rPr>
        <w:t xml:space="preserve">net </w:t>
      </w:r>
      <w:r w:rsidR="0018494A" w:rsidRPr="008817D0">
        <w:rPr>
          <w:rFonts w:eastAsia="Calibri"/>
        </w:rPr>
        <w:t>export schedules to other BAAs</w:t>
      </w:r>
      <w:r>
        <w:rPr>
          <w:rFonts w:eastAsia="Calibri"/>
        </w:rPr>
        <w:t>, including RUC import schedules to CAISO</w:t>
      </w:r>
      <w:r w:rsidR="0018494A" w:rsidRPr="008817D0">
        <w:rPr>
          <w:rFonts w:eastAsia="Calibri"/>
        </w:rPr>
        <w:t xml:space="preserve">. </w:t>
      </w:r>
    </w:p>
    <w:p w14:paraId="77C739C9" w14:textId="77777777" w:rsidR="0018494A" w:rsidRPr="008817D0" w:rsidRDefault="0018494A" w:rsidP="00877DDB">
      <w:pPr>
        <w:numPr>
          <w:ilvl w:val="1"/>
          <w:numId w:val="34"/>
        </w:numPr>
        <w:rPr>
          <w:rFonts w:eastAsia="Calibri"/>
        </w:rPr>
      </w:pPr>
      <w:r w:rsidRPr="008817D0">
        <w:rPr>
          <w:rFonts w:eastAsia="Calibri"/>
        </w:rPr>
        <w:t>Base import</w:t>
      </w:r>
      <w:r w:rsidR="008410E3">
        <w:rPr>
          <w:rFonts w:eastAsia="Calibri"/>
        </w:rPr>
        <w:t>/export</w:t>
      </w:r>
      <w:r w:rsidRPr="008817D0">
        <w:rPr>
          <w:rFonts w:eastAsia="Calibri"/>
        </w:rPr>
        <w:t xml:space="preserve"> schedules to an EIM Enti</w:t>
      </w:r>
      <w:r>
        <w:rPr>
          <w:rFonts w:eastAsia="Calibri"/>
        </w:rPr>
        <w:t>ty BAA from BAAs other than CA</w:t>
      </w:r>
      <w:r w:rsidRPr="008817D0">
        <w:rPr>
          <w:rFonts w:eastAsia="Calibri"/>
        </w:rPr>
        <w:t>ISO must be submitted at the relevant intertie scheduling points.</w:t>
      </w:r>
    </w:p>
    <w:p w14:paraId="3100BA86" w14:textId="77777777" w:rsidR="0018494A" w:rsidRPr="00E858C4" w:rsidRDefault="0018494A" w:rsidP="00877DDB">
      <w:pPr>
        <w:numPr>
          <w:ilvl w:val="1"/>
          <w:numId w:val="34"/>
        </w:numPr>
        <w:rPr>
          <w:rFonts w:eastAsia="Calibri"/>
        </w:rPr>
      </w:pPr>
      <w:r w:rsidRPr="008817D0">
        <w:rPr>
          <w:rFonts w:eastAsia="Calibri"/>
        </w:rPr>
        <w:t xml:space="preserve">If resource(s) </w:t>
      </w:r>
      <w:r>
        <w:rPr>
          <w:rFonts w:eastAsia="Calibri"/>
        </w:rPr>
        <w:t>are modeled as a Multi-Stage Generator (MSG), the Base S</w:t>
      </w:r>
      <w:r w:rsidRPr="008817D0">
        <w:rPr>
          <w:rFonts w:eastAsia="Calibri"/>
        </w:rPr>
        <w:t>chedule(s) shall include the base MSG configuration.</w:t>
      </w:r>
    </w:p>
    <w:p w14:paraId="04006CBE" w14:textId="77777777" w:rsidR="0018494A" w:rsidRPr="008817D0" w:rsidRDefault="00CF1AB9" w:rsidP="00877DDB">
      <w:pPr>
        <w:numPr>
          <w:ilvl w:val="0"/>
          <w:numId w:val="33"/>
        </w:numPr>
        <w:rPr>
          <w:rFonts w:eastAsia="Calibri"/>
          <w:b/>
        </w:rPr>
      </w:pPr>
      <w:r>
        <w:rPr>
          <w:rFonts w:eastAsia="Calibri"/>
          <w:b/>
        </w:rPr>
        <w:t>CAISO p</w:t>
      </w:r>
      <w:r w:rsidR="0018494A" w:rsidRPr="008817D0">
        <w:rPr>
          <w:rFonts w:eastAsia="Calibri"/>
          <w:b/>
        </w:rPr>
        <w:t>erform</w:t>
      </w:r>
      <w:r>
        <w:rPr>
          <w:rFonts w:eastAsia="Calibri"/>
          <w:b/>
        </w:rPr>
        <w:t>s</w:t>
      </w:r>
      <w:r w:rsidR="0018494A" w:rsidRPr="008817D0">
        <w:rPr>
          <w:rFonts w:eastAsia="Calibri"/>
          <w:b/>
        </w:rPr>
        <w:t xml:space="preserve"> Feasibility Test for Each EIM Entity BAA</w:t>
      </w:r>
    </w:p>
    <w:p w14:paraId="1F586222" w14:textId="77777777" w:rsidR="0018494A" w:rsidRPr="005860DE" w:rsidRDefault="0018494A" w:rsidP="00877DDB">
      <w:pPr>
        <w:numPr>
          <w:ilvl w:val="1"/>
          <w:numId w:val="35"/>
        </w:numPr>
        <w:rPr>
          <w:rFonts w:eastAsia="Calibri"/>
          <w:b/>
        </w:rPr>
      </w:pPr>
      <w:r w:rsidRPr="008817D0">
        <w:rPr>
          <w:rFonts w:eastAsia="Calibri"/>
        </w:rPr>
        <w:t>The EIM Base Schedules included in the EIM Resource Plan should be balanced with the Demand Forecast for each EIM Entity Balancing Authority Area.</w:t>
      </w:r>
    </w:p>
    <w:p w14:paraId="1CB9732B" w14:textId="77777777" w:rsidR="0018494A" w:rsidRPr="005860DE" w:rsidRDefault="0018494A" w:rsidP="00877DDB">
      <w:pPr>
        <w:numPr>
          <w:ilvl w:val="1"/>
          <w:numId w:val="35"/>
        </w:numPr>
        <w:rPr>
          <w:rFonts w:eastAsia="Calibri"/>
          <w:b/>
        </w:rPr>
      </w:pPr>
      <w:r>
        <w:rPr>
          <w:rFonts w:eastAsia="Calibri"/>
        </w:rPr>
        <w:lastRenderedPageBreak/>
        <w:t>CAISO will perform Day-Ahead and Base S</w:t>
      </w:r>
      <w:r w:rsidRPr="008817D0">
        <w:rPr>
          <w:rFonts w:eastAsia="Calibri"/>
        </w:rPr>
        <w:t>chedule power</w:t>
      </w:r>
      <w:r>
        <w:rPr>
          <w:rFonts w:eastAsia="Calibri"/>
        </w:rPr>
        <w:t xml:space="preserve"> flow feasibility test</w:t>
      </w:r>
      <w:r w:rsidR="00CF1AB9">
        <w:rPr>
          <w:rFonts w:eastAsia="Calibri"/>
        </w:rPr>
        <w:t xml:space="preserve"> by 1:00 pm on the day before the Operating Day</w:t>
      </w:r>
      <w:r>
        <w:rPr>
          <w:rFonts w:eastAsia="Calibri"/>
        </w:rPr>
        <w:t>; if the D</w:t>
      </w:r>
      <w:r w:rsidRPr="008817D0">
        <w:rPr>
          <w:rFonts w:eastAsia="Calibri"/>
        </w:rPr>
        <w:t>ay-</w:t>
      </w:r>
      <w:r>
        <w:rPr>
          <w:rFonts w:eastAsia="Calibri"/>
        </w:rPr>
        <w:t>Ahead M</w:t>
      </w:r>
      <w:r w:rsidRPr="008817D0">
        <w:rPr>
          <w:rFonts w:eastAsia="Calibri"/>
        </w:rPr>
        <w:t xml:space="preserve">arket </w:t>
      </w:r>
      <w:r w:rsidR="00DA49BB">
        <w:rPr>
          <w:rFonts w:eastAsia="Calibri"/>
        </w:rPr>
        <w:t xml:space="preserve">or the Base Schedules submitted for the Real-Time Market </w:t>
      </w:r>
      <w:r w:rsidRPr="008817D0">
        <w:rPr>
          <w:rFonts w:eastAsia="Calibri"/>
        </w:rPr>
        <w:t>result in transmission violation</w:t>
      </w:r>
      <w:r>
        <w:rPr>
          <w:rFonts w:eastAsia="Calibri"/>
        </w:rPr>
        <w:t xml:space="preserve"> in the EIM Entity Balancing Authority Area</w:t>
      </w:r>
      <w:r w:rsidRPr="008817D0">
        <w:rPr>
          <w:rFonts w:eastAsia="Calibri"/>
        </w:rPr>
        <w:t xml:space="preserve">, </w:t>
      </w:r>
      <w:r>
        <w:rPr>
          <w:rFonts w:eastAsia="Calibri"/>
        </w:rPr>
        <w:t xml:space="preserve">then the </w:t>
      </w:r>
      <w:r w:rsidRPr="008817D0">
        <w:rPr>
          <w:rFonts w:eastAsia="Calibri"/>
        </w:rPr>
        <w:t>test fails.</w:t>
      </w:r>
    </w:p>
    <w:p w14:paraId="1183F0AC" w14:textId="77777777" w:rsidR="0018494A" w:rsidRPr="008817D0" w:rsidRDefault="0018494A" w:rsidP="00877DDB">
      <w:pPr>
        <w:numPr>
          <w:ilvl w:val="1"/>
          <w:numId w:val="35"/>
        </w:numPr>
        <w:rPr>
          <w:rFonts w:eastAsia="Calibri"/>
        </w:rPr>
      </w:pPr>
      <w:r w:rsidRPr="008817D0">
        <w:rPr>
          <w:rFonts w:eastAsia="Calibri"/>
        </w:rPr>
        <w:t>The test result will be broadcasted to the EIM Entity SC.</w:t>
      </w:r>
    </w:p>
    <w:p w14:paraId="66259CD5" w14:textId="249E0F4B" w:rsidR="0018494A" w:rsidRPr="00642F1C" w:rsidRDefault="0018494A" w:rsidP="00877DDB">
      <w:pPr>
        <w:numPr>
          <w:ilvl w:val="1"/>
          <w:numId w:val="35"/>
        </w:numPr>
        <w:rPr>
          <w:rFonts w:eastAsia="Calibri"/>
        </w:rPr>
      </w:pPr>
      <w:r>
        <w:rPr>
          <w:rFonts w:eastAsia="Calibri"/>
        </w:rPr>
        <w:t>The Day-Ahead M</w:t>
      </w:r>
      <w:r w:rsidRPr="008817D0">
        <w:rPr>
          <w:rFonts w:eastAsia="Calibri"/>
        </w:rPr>
        <w:t xml:space="preserve">arket test result is for information only and </w:t>
      </w:r>
      <w:r>
        <w:rPr>
          <w:rFonts w:eastAsia="Calibri"/>
        </w:rPr>
        <w:t>will</w:t>
      </w:r>
      <w:r w:rsidRPr="008817D0">
        <w:rPr>
          <w:rFonts w:eastAsia="Calibri"/>
        </w:rPr>
        <w:t xml:space="preserve"> not have </w:t>
      </w:r>
      <w:r>
        <w:rPr>
          <w:rFonts w:eastAsia="Calibri"/>
        </w:rPr>
        <w:t xml:space="preserve">a </w:t>
      </w:r>
      <w:r w:rsidRPr="008817D0">
        <w:rPr>
          <w:rFonts w:eastAsia="Calibri"/>
        </w:rPr>
        <w:t>settlement impact.</w:t>
      </w:r>
      <w:r w:rsidR="00571BB2" w:rsidRPr="00571BB2">
        <w:rPr>
          <w:rFonts w:eastAsia="Calibri"/>
        </w:rPr>
        <w:t xml:space="preserve"> </w:t>
      </w:r>
      <w:r w:rsidR="00571BB2">
        <w:rPr>
          <w:rFonts w:eastAsia="Calibri"/>
        </w:rPr>
        <w:t xml:space="preserve">The EIM Entity SC  may adjust the </w:t>
      </w:r>
      <w:r w:rsidR="00786423">
        <w:rPr>
          <w:rFonts w:eastAsia="Calibri"/>
        </w:rPr>
        <w:t xml:space="preserve">components </w:t>
      </w:r>
      <w:r w:rsidR="00571BB2">
        <w:rPr>
          <w:rFonts w:eastAsia="Calibri"/>
        </w:rPr>
        <w:t xml:space="preserve"> of EIM Resource Plan up to 75 minutes before the Operating Hour, when the submission of Real-Time EIM Base Schedules is due</w:t>
      </w:r>
      <w:r w:rsidR="0049730B">
        <w:rPr>
          <w:rFonts w:eastAsia="Calibri"/>
        </w:rPr>
        <w:t xml:space="preserve"> </w:t>
      </w:r>
      <w:r w:rsidR="00571BB2">
        <w:rPr>
          <w:rFonts w:eastAsia="Calibri"/>
        </w:rPr>
        <w:t xml:space="preserve">(see 11.3) </w:t>
      </w:r>
    </w:p>
    <w:p w14:paraId="4BFE7C75" w14:textId="77777777" w:rsidR="0018494A" w:rsidRPr="008817D0" w:rsidRDefault="0018494A" w:rsidP="00877DDB">
      <w:pPr>
        <w:numPr>
          <w:ilvl w:val="0"/>
          <w:numId w:val="33"/>
        </w:numPr>
        <w:rPr>
          <w:rFonts w:eastAsia="Calibri"/>
          <w:b/>
        </w:rPr>
      </w:pPr>
      <w:r w:rsidRPr="008817D0">
        <w:rPr>
          <w:rFonts w:eastAsia="Calibri"/>
          <w:b/>
        </w:rPr>
        <w:t>Other Considerations</w:t>
      </w:r>
    </w:p>
    <w:p w14:paraId="7CF96F9D" w14:textId="77777777" w:rsidR="0018494A" w:rsidRPr="005860DE" w:rsidRDefault="00DA49BB" w:rsidP="00877DDB">
      <w:pPr>
        <w:numPr>
          <w:ilvl w:val="1"/>
          <w:numId w:val="36"/>
        </w:numPr>
        <w:rPr>
          <w:rFonts w:eastAsia="Calibri"/>
        </w:rPr>
      </w:pPr>
      <w:r>
        <w:rPr>
          <w:rFonts w:eastAsia="Calibri"/>
        </w:rPr>
        <w:t>Bids may not be submitted for EIM Participating Resources in the Day-Ahead Market. Similarly, Bids may not be submitted at interties between EIM BAAs, or between EIM BAAs and Non-EIM BAAs in the Day-Ahead Market. Day-Ahead Bids may be submitted at CAISO interties for import/export to/from the CAISO BAA at the relevant Scheduling Points.</w:t>
      </w:r>
    </w:p>
    <w:p w14:paraId="083BD572" w14:textId="77777777" w:rsidR="0018494A" w:rsidRPr="005860DE" w:rsidRDefault="0018494A" w:rsidP="00877DDB">
      <w:pPr>
        <w:numPr>
          <w:ilvl w:val="1"/>
          <w:numId w:val="36"/>
        </w:numPr>
        <w:rPr>
          <w:rFonts w:eastAsia="Calibri"/>
        </w:rPr>
      </w:pPr>
      <w:r>
        <w:rPr>
          <w:rFonts w:eastAsia="Calibri"/>
        </w:rPr>
        <w:t>The Day-Ahead M</w:t>
      </w:r>
      <w:r w:rsidRPr="008817D0">
        <w:rPr>
          <w:rFonts w:eastAsia="Calibri"/>
        </w:rPr>
        <w:t>arke</w:t>
      </w:r>
      <w:r>
        <w:rPr>
          <w:rFonts w:eastAsia="Calibri"/>
        </w:rPr>
        <w:t>t shall run with the Day-Ahead Base S</w:t>
      </w:r>
      <w:r w:rsidRPr="008817D0">
        <w:rPr>
          <w:rFonts w:eastAsia="Calibri"/>
        </w:rPr>
        <w:t>chedule as a fixed injection without enforcing transmission constraints in the external BAA</w:t>
      </w:r>
      <w:r w:rsidR="00DA49BB">
        <w:rPr>
          <w:rFonts w:eastAsia="Calibri"/>
        </w:rPr>
        <w:t>s</w:t>
      </w:r>
      <w:r w:rsidRPr="008817D0">
        <w:rPr>
          <w:rFonts w:eastAsia="Calibri"/>
        </w:rPr>
        <w:t xml:space="preserve"> and</w:t>
      </w:r>
      <w:r>
        <w:rPr>
          <w:rFonts w:eastAsia="Calibri"/>
        </w:rPr>
        <w:t xml:space="preserve"> the</w:t>
      </w:r>
      <w:r w:rsidRPr="008817D0">
        <w:rPr>
          <w:rFonts w:eastAsia="Calibri"/>
        </w:rPr>
        <w:t xml:space="preserve"> EIM Entity BAA</w:t>
      </w:r>
      <w:r w:rsidR="00DA49BB">
        <w:rPr>
          <w:rFonts w:eastAsia="Calibri"/>
        </w:rPr>
        <w:t>s</w:t>
      </w:r>
      <w:r w:rsidRPr="008817D0">
        <w:rPr>
          <w:rFonts w:eastAsia="Calibri"/>
        </w:rPr>
        <w:t xml:space="preserve">. </w:t>
      </w:r>
    </w:p>
    <w:p w14:paraId="7A78302E" w14:textId="5EBD7D92" w:rsidR="0018494A" w:rsidRPr="008817D0" w:rsidRDefault="0018494A" w:rsidP="00877DDB">
      <w:pPr>
        <w:numPr>
          <w:ilvl w:val="1"/>
          <w:numId w:val="36"/>
        </w:numPr>
        <w:rPr>
          <w:rFonts w:eastAsia="Calibri"/>
        </w:rPr>
      </w:pPr>
      <w:r w:rsidRPr="008817D0">
        <w:rPr>
          <w:rFonts w:eastAsia="Calibri"/>
        </w:rPr>
        <w:t xml:space="preserve">The </w:t>
      </w:r>
      <w:r w:rsidR="002462E5">
        <w:rPr>
          <w:rFonts w:eastAsia="Calibri"/>
        </w:rPr>
        <w:t>CAISO</w:t>
      </w:r>
      <w:r w:rsidRPr="008817D0">
        <w:rPr>
          <w:rFonts w:eastAsia="Calibri"/>
        </w:rPr>
        <w:t xml:space="preserve"> will report any transmission overloads in the EIM Entity BAAs.</w:t>
      </w:r>
    </w:p>
    <w:p w14:paraId="6FDD56A2" w14:textId="77777777" w:rsidR="0018494A" w:rsidRPr="00BA2E6E" w:rsidRDefault="0018494A" w:rsidP="00877DDB">
      <w:pPr>
        <w:numPr>
          <w:ilvl w:val="1"/>
          <w:numId w:val="36"/>
        </w:numPr>
        <w:rPr>
          <w:rFonts w:eastAsia="Calibri"/>
        </w:rPr>
      </w:pPr>
      <w:r>
        <w:rPr>
          <w:rFonts w:eastAsia="Calibri"/>
        </w:rPr>
        <w:t>The Day-Ahead M</w:t>
      </w:r>
      <w:r w:rsidRPr="008817D0">
        <w:rPr>
          <w:rFonts w:eastAsia="Calibri"/>
        </w:rPr>
        <w:t xml:space="preserve">arket will maintain historical generation, demand, and interchange schedules for all external BAAs in the EIM footprint. Also, it will harvest data from the State Estimator and WECC RC, and receive </w:t>
      </w:r>
      <w:r>
        <w:rPr>
          <w:rFonts w:eastAsia="Calibri"/>
        </w:rPr>
        <w:t xml:space="preserve">Area to Area Net Scheduled Interchange (AANSI) </w:t>
      </w:r>
      <w:r w:rsidRPr="008817D0">
        <w:rPr>
          <w:rFonts w:eastAsia="Calibri"/>
        </w:rPr>
        <w:t>from WECC WIT and BAA load forecast.</w:t>
      </w:r>
    </w:p>
    <w:p w14:paraId="195183DC" w14:textId="77777777" w:rsidR="0018494A" w:rsidRPr="008817D0" w:rsidRDefault="0018494A" w:rsidP="00877DDB">
      <w:pPr>
        <w:numPr>
          <w:ilvl w:val="1"/>
          <w:numId w:val="36"/>
        </w:numPr>
        <w:rPr>
          <w:rFonts w:eastAsia="Calibri"/>
        </w:rPr>
      </w:pPr>
      <w:r w:rsidRPr="008817D0">
        <w:rPr>
          <w:rFonts w:eastAsia="Calibri"/>
        </w:rPr>
        <w:t>Since</w:t>
      </w:r>
      <w:r>
        <w:rPr>
          <w:rFonts w:eastAsia="Calibri"/>
        </w:rPr>
        <w:t xml:space="preserve"> the actual non-EIM Entity BAA Day-A</w:t>
      </w:r>
      <w:r w:rsidRPr="008817D0">
        <w:rPr>
          <w:rFonts w:eastAsia="Calibri"/>
        </w:rPr>
        <w:t>head supp</w:t>
      </w:r>
      <w:r>
        <w:rPr>
          <w:rFonts w:eastAsia="Calibri"/>
        </w:rPr>
        <w:t xml:space="preserve">ly schedules are unknown to </w:t>
      </w:r>
      <w:r w:rsidRPr="008817D0">
        <w:rPr>
          <w:rFonts w:eastAsia="Calibri"/>
        </w:rPr>
        <w:t>CAISO but a</w:t>
      </w:r>
      <w:r>
        <w:rPr>
          <w:rFonts w:eastAsia="Calibri"/>
        </w:rPr>
        <w:t xml:space="preserve">re required for a solution, </w:t>
      </w:r>
      <w:r w:rsidRPr="008817D0">
        <w:rPr>
          <w:rFonts w:eastAsia="Calibri"/>
        </w:rPr>
        <w:t>CAISO will estimate the schedules based on the demand forecast and net scheduled interchange where supply, demand, and any known or historical net interchange are balanced for each BAA individually. The same process will also be performed for EIM Entity BAAs.</w:t>
      </w:r>
    </w:p>
    <w:p w14:paraId="673C3DE6" w14:textId="77777777" w:rsidR="00571BB2" w:rsidRPr="00571BB2" w:rsidRDefault="0018494A" w:rsidP="00877DDB">
      <w:pPr>
        <w:numPr>
          <w:ilvl w:val="1"/>
          <w:numId w:val="36"/>
        </w:numPr>
        <w:rPr>
          <w:rFonts w:eastAsia="Calibri"/>
        </w:rPr>
      </w:pPr>
      <w:r>
        <w:rPr>
          <w:rFonts w:eastAsia="Calibri"/>
        </w:rPr>
        <w:t>Import/export bids to/from CAISO will be excluded from Base S</w:t>
      </w:r>
      <w:r w:rsidRPr="008817D0">
        <w:rPr>
          <w:rFonts w:eastAsia="Calibri"/>
        </w:rPr>
        <w:t xml:space="preserve">chedule calculation. </w:t>
      </w:r>
    </w:p>
    <w:p w14:paraId="10C32B86" w14:textId="2C132268" w:rsidR="00571BB2" w:rsidRPr="001D354A" w:rsidRDefault="00571BB2" w:rsidP="00877DDB">
      <w:pPr>
        <w:numPr>
          <w:ilvl w:val="1"/>
          <w:numId w:val="36"/>
        </w:numPr>
        <w:spacing w:line="300" w:lineRule="auto"/>
        <w:rPr>
          <w:rFonts w:eastAsia="Calibri"/>
        </w:rPr>
      </w:pPr>
      <w:r w:rsidRPr="00F2404E">
        <w:t>SIBR validate</w:t>
      </w:r>
      <w:r>
        <w:t>s</w:t>
      </w:r>
      <w:r w:rsidRPr="00F2404E">
        <w:t xml:space="preserve"> the energy bids and notify the applicable SCs. </w:t>
      </w:r>
    </w:p>
    <w:p w14:paraId="2A696B6E" w14:textId="77777777" w:rsidR="008817D0" w:rsidRPr="008817D0" w:rsidRDefault="00FC30E3" w:rsidP="00C33762">
      <w:pPr>
        <w:pStyle w:val="Heading2"/>
        <w:rPr>
          <w:rFonts w:eastAsia="Calibri"/>
        </w:rPr>
      </w:pPr>
      <w:bookmarkStart w:id="1924" w:name="_Toc391969852"/>
      <w:bookmarkStart w:id="1925" w:name="_Toc460320460"/>
      <w:r>
        <w:rPr>
          <w:rFonts w:eastAsia="Calibri"/>
        </w:rPr>
        <w:lastRenderedPageBreak/>
        <w:t>Real-Time</w:t>
      </w:r>
      <w:r w:rsidR="008817D0" w:rsidRPr="008817D0">
        <w:rPr>
          <w:rFonts w:eastAsia="Calibri"/>
        </w:rPr>
        <w:t xml:space="preserve"> Operations</w:t>
      </w:r>
      <w:bookmarkEnd w:id="1919"/>
      <w:bookmarkEnd w:id="1920"/>
      <w:bookmarkEnd w:id="1924"/>
      <w:bookmarkEnd w:id="1925"/>
    </w:p>
    <w:p w14:paraId="294B13D5" w14:textId="4D9D603D" w:rsidR="00D107C6" w:rsidRDefault="006D0170" w:rsidP="008817D0">
      <w:pPr>
        <w:spacing w:after="240" w:line="300" w:lineRule="auto"/>
        <w:rPr>
          <w:rFonts w:eastAsia="Calibri"/>
        </w:rPr>
      </w:pPr>
      <w:bookmarkStart w:id="1926" w:name="_Toc390869242"/>
      <w:r>
        <w:rPr>
          <w:rFonts w:eastAsia="Calibri"/>
        </w:rPr>
        <w:t xml:space="preserve">This section is intended to describe the actions taken by EIM participants in the </w:t>
      </w:r>
      <w:r w:rsidR="00FC30E3">
        <w:rPr>
          <w:rFonts w:eastAsia="Calibri"/>
        </w:rPr>
        <w:t>Real-Time</w:t>
      </w:r>
      <w:r>
        <w:rPr>
          <w:rFonts w:eastAsia="Calibri"/>
        </w:rPr>
        <w:t xml:space="preserve"> Market.  </w:t>
      </w:r>
      <w:r w:rsidR="00F43672">
        <w:rPr>
          <w:rFonts w:eastAsia="Calibri"/>
        </w:rPr>
        <w:t xml:space="preserve">Readers should </w:t>
      </w:r>
      <w:r w:rsidR="007970DF">
        <w:rPr>
          <w:rFonts w:eastAsia="Calibri"/>
        </w:rPr>
        <w:t>review S</w:t>
      </w:r>
      <w:r>
        <w:rPr>
          <w:rFonts w:eastAsia="Calibri"/>
        </w:rPr>
        <w:t>ection</w:t>
      </w:r>
      <w:r w:rsidR="0022082B">
        <w:rPr>
          <w:rFonts w:eastAsia="Calibri"/>
        </w:rPr>
        <w:t>s</w:t>
      </w:r>
      <w:r>
        <w:rPr>
          <w:rFonts w:eastAsia="Calibri"/>
        </w:rPr>
        <w:t xml:space="preserve"> 6 and 7 of the </w:t>
      </w:r>
      <w:hyperlink r:id="rId174" w:history="1">
        <w:r w:rsidRPr="0022082B">
          <w:rPr>
            <w:rStyle w:val="Hyperlink"/>
            <w:rFonts w:eastAsia="Calibri"/>
            <w:b/>
          </w:rPr>
          <w:t>BPM for Market Operations</w:t>
        </w:r>
      </w:hyperlink>
      <w:r>
        <w:rPr>
          <w:rFonts w:eastAsia="Calibri"/>
        </w:rPr>
        <w:t>, which describes the general operation and timeline of the Day</w:t>
      </w:r>
      <w:r w:rsidR="00E4613C">
        <w:rPr>
          <w:rFonts w:eastAsia="Calibri"/>
        </w:rPr>
        <w:t>-</w:t>
      </w:r>
      <w:r>
        <w:rPr>
          <w:rFonts w:eastAsia="Calibri"/>
        </w:rPr>
        <w:t xml:space="preserve">Ahead Market and </w:t>
      </w:r>
      <w:r w:rsidR="00FC30E3">
        <w:rPr>
          <w:rFonts w:eastAsia="Calibri"/>
        </w:rPr>
        <w:t>Real-Time</w:t>
      </w:r>
      <w:r>
        <w:rPr>
          <w:rFonts w:eastAsia="Calibri"/>
        </w:rPr>
        <w:t xml:space="preserve"> Market, respectively.</w:t>
      </w:r>
    </w:p>
    <w:p w14:paraId="4044A70C" w14:textId="77777777" w:rsidR="008817D0" w:rsidRPr="008817D0" w:rsidRDefault="008817D0" w:rsidP="008817D0">
      <w:pPr>
        <w:spacing w:after="240" w:line="300" w:lineRule="auto"/>
        <w:rPr>
          <w:rFonts w:eastAsia="Calibri"/>
        </w:rPr>
      </w:pPr>
      <w:r w:rsidRPr="008817D0">
        <w:rPr>
          <w:rFonts w:eastAsia="Calibri"/>
        </w:rPr>
        <w:object w:dxaOrig="10410" w:dyaOrig="5295" w14:anchorId="6AB2F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37.9pt" o:ole="">
            <v:imagedata r:id="rId175" o:title=""/>
          </v:shape>
          <o:OLEObject Type="Embed" ProgID="Visio.Drawing.11" ShapeID="_x0000_i1025" DrawAspect="Content" ObjectID="_1539430184" r:id="rId176"/>
        </w:object>
      </w:r>
    </w:p>
    <w:p w14:paraId="24C95AF1" w14:textId="77777777" w:rsidR="008817D0" w:rsidRPr="008817D0" w:rsidRDefault="008817D0" w:rsidP="008817D0">
      <w:pPr>
        <w:spacing w:after="240" w:line="300" w:lineRule="auto"/>
        <w:rPr>
          <w:rFonts w:eastAsia="Calibri"/>
          <w:b/>
        </w:rPr>
      </w:pPr>
    </w:p>
    <w:p w14:paraId="5BB29263" w14:textId="77777777" w:rsidR="008817D0" w:rsidRPr="008817D0" w:rsidRDefault="008817D0" w:rsidP="008817D0">
      <w:pPr>
        <w:spacing w:after="240" w:line="300" w:lineRule="auto"/>
        <w:rPr>
          <w:rFonts w:eastAsia="Calibri"/>
          <w:b/>
        </w:rPr>
      </w:pPr>
    </w:p>
    <w:p w14:paraId="6CA6BAB3" w14:textId="77777777" w:rsidR="008817D0" w:rsidRPr="008817D0" w:rsidRDefault="008817D0" w:rsidP="008817D0">
      <w:pPr>
        <w:spacing w:after="240" w:line="300" w:lineRule="auto"/>
        <w:rPr>
          <w:rFonts w:eastAsia="Calibri"/>
          <w:b/>
        </w:rPr>
      </w:pPr>
    </w:p>
    <w:p w14:paraId="535563F4" w14:textId="77777777" w:rsidR="008817D0" w:rsidRPr="008817D0" w:rsidRDefault="008817D0" w:rsidP="008817D0">
      <w:pPr>
        <w:spacing w:after="240" w:line="300" w:lineRule="auto"/>
        <w:rPr>
          <w:rFonts w:eastAsia="Calibri"/>
          <w:b/>
        </w:rPr>
      </w:pPr>
    </w:p>
    <w:p w14:paraId="0DE87C75" w14:textId="77777777" w:rsidR="008817D0" w:rsidRPr="008817D0" w:rsidRDefault="008817D0" w:rsidP="008817D0">
      <w:pPr>
        <w:spacing w:after="240" w:line="300" w:lineRule="auto"/>
        <w:rPr>
          <w:rFonts w:eastAsia="Calibri"/>
          <w:b/>
        </w:rPr>
      </w:pPr>
    </w:p>
    <w:p w14:paraId="2AFB4ECD" w14:textId="77777777" w:rsidR="008817D0" w:rsidRPr="008817D0" w:rsidRDefault="00A12507" w:rsidP="008817D0">
      <w:pPr>
        <w:spacing w:after="240" w:line="300" w:lineRule="auto"/>
        <w:rPr>
          <w:rFonts w:eastAsia="Calibri"/>
          <w:b/>
        </w:rPr>
      </w:pPr>
      <w:r>
        <w:rPr>
          <w:rFonts w:eastAsia="Calibri"/>
          <w:noProof/>
        </w:rPr>
        <w:lastRenderedPageBreak/>
        <w:drawing>
          <wp:inline distT="0" distB="0" distL="0" distR="0" wp14:anchorId="6FD2AC82" wp14:editId="0030DD95">
            <wp:extent cx="5934075" cy="356235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14:paraId="060ACE17" w14:textId="77777777" w:rsidR="008817D0" w:rsidRPr="008817D0" w:rsidRDefault="008817D0" w:rsidP="008817D0">
      <w:pPr>
        <w:spacing w:after="240" w:line="300" w:lineRule="auto"/>
        <w:rPr>
          <w:rFonts w:eastAsia="Calibri"/>
          <w:b/>
        </w:rPr>
      </w:pPr>
    </w:p>
    <w:p w14:paraId="679103FF" w14:textId="77777777" w:rsidR="008817D0" w:rsidRPr="008817D0" w:rsidRDefault="008817D0" w:rsidP="008817D0">
      <w:pPr>
        <w:spacing w:after="240" w:line="300" w:lineRule="auto"/>
        <w:rPr>
          <w:rFonts w:eastAsia="Calibri"/>
          <w:b/>
        </w:rPr>
      </w:pPr>
    </w:p>
    <w:p w14:paraId="41533DF4" w14:textId="77777777" w:rsidR="008817D0" w:rsidRPr="008817D0" w:rsidRDefault="008817D0" w:rsidP="008817D0">
      <w:pPr>
        <w:spacing w:after="240" w:line="300" w:lineRule="auto"/>
        <w:rPr>
          <w:rFonts w:eastAsia="Calibri"/>
          <w:b/>
        </w:rPr>
      </w:pPr>
    </w:p>
    <w:p w14:paraId="317C9E32" w14:textId="77777777" w:rsidR="008817D0" w:rsidRPr="008817D0" w:rsidRDefault="008817D0" w:rsidP="008817D0">
      <w:pPr>
        <w:spacing w:after="240" w:line="300" w:lineRule="auto"/>
        <w:rPr>
          <w:rFonts w:eastAsia="Calibri"/>
          <w:b/>
        </w:rPr>
      </w:pPr>
    </w:p>
    <w:p w14:paraId="14CDB4DD" w14:textId="77777777" w:rsidR="008817D0" w:rsidRPr="008817D0" w:rsidRDefault="008817D0" w:rsidP="008817D0">
      <w:pPr>
        <w:spacing w:after="240" w:line="300" w:lineRule="auto"/>
        <w:rPr>
          <w:rFonts w:eastAsia="Calibri"/>
          <w:b/>
        </w:rPr>
      </w:pPr>
    </w:p>
    <w:p w14:paraId="32A04DD0" w14:textId="77777777" w:rsidR="008817D0" w:rsidRDefault="00A12507" w:rsidP="008817D0">
      <w:pPr>
        <w:spacing w:after="240" w:line="300" w:lineRule="auto"/>
        <w:rPr>
          <w:rFonts w:eastAsia="Calibri"/>
          <w:b/>
        </w:rPr>
      </w:pPr>
      <w:r>
        <w:rPr>
          <w:rFonts w:eastAsia="Calibri"/>
          <w:noProof/>
        </w:rPr>
        <w:lastRenderedPageBreak/>
        <w:drawing>
          <wp:inline distT="0" distB="0" distL="0" distR="0" wp14:anchorId="6DB15566" wp14:editId="472613B4">
            <wp:extent cx="5943600" cy="3590925"/>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4AD601FF" w14:textId="77777777" w:rsidR="0062636A" w:rsidRPr="008817D0" w:rsidRDefault="0062636A" w:rsidP="008817D0">
      <w:pPr>
        <w:spacing w:after="240" w:line="300" w:lineRule="auto"/>
        <w:rPr>
          <w:rFonts w:eastAsia="Calibri"/>
          <w:b/>
        </w:rPr>
      </w:pPr>
    </w:p>
    <w:p w14:paraId="13B83180" w14:textId="2C380717" w:rsidR="008817D0" w:rsidRPr="00877DDB" w:rsidRDefault="008817D0" w:rsidP="00877DDB">
      <w:pPr>
        <w:pStyle w:val="Heading3"/>
        <w:rPr>
          <w:rFonts w:eastAsia="Calibri"/>
        </w:rPr>
      </w:pPr>
      <w:bookmarkStart w:id="1927" w:name="_Toc390946292"/>
      <w:bookmarkStart w:id="1928" w:name="_Toc391969853"/>
      <w:bookmarkStart w:id="1929" w:name="_Toc460320461"/>
      <w:r w:rsidRPr="008817D0">
        <w:rPr>
          <w:rFonts w:eastAsia="Calibri"/>
        </w:rPr>
        <w:t>Establishment of Hourly Base Schedules and Hourly Resource Plan</w:t>
      </w:r>
      <w:bookmarkEnd w:id="1926"/>
      <w:bookmarkEnd w:id="1927"/>
      <w:bookmarkEnd w:id="1928"/>
      <w:bookmarkEnd w:id="1929"/>
    </w:p>
    <w:p w14:paraId="1C4FB559" w14:textId="77777777" w:rsidR="00571BB2" w:rsidRPr="00877DDB" w:rsidRDefault="00571BB2">
      <w:pPr>
        <w:spacing w:after="240" w:line="300" w:lineRule="auto"/>
        <w:rPr>
          <w:rFonts w:cs="Arial"/>
          <w:kern w:val="16"/>
        </w:rPr>
      </w:pPr>
      <w:r w:rsidRPr="00877DDB">
        <w:rPr>
          <w:rFonts w:cs="Arial"/>
          <w:kern w:val="16"/>
        </w:rPr>
        <w:t xml:space="preserve">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at least 75 minutes before the start of the Operating Hour. </w:t>
      </w:r>
    </w:p>
    <w:p w14:paraId="38ECD380" w14:textId="77777777" w:rsidR="00571BB2" w:rsidRPr="00642F1C" w:rsidRDefault="00571BB2">
      <w:pPr>
        <w:spacing w:after="240" w:line="300" w:lineRule="auto"/>
        <w:rPr>
          <w:rFonts w:eastAsia="Calibri"/>
        </w:rPr>
      </w:pPr>
      <w:r w:rsidRPr="00642F1C">
        <w:rPr>
          <w:rFonts w:eastAsia="Calibri"/>
        </w:rPr>
        <w:t>The CAISO Markets systems will validate the EIM Resource Plan including any adjustments to the EIM Base Schedules within 15 minutes of the submission of EIM Base Schedules or adjustments to EIM Base Schedules and notify the EIM Entity Scheduling Coordinator about the result of the Resource Sufficien</w:t>
      </w:r>
      <w:r w:rsidR="00783517" w:rsidRPr="00642F1C">
        <w:rPr>
          <w:rFonts w:eastAsia="Calibri"/>
        </w:rPr>
        <w:t>c</w:t>
      </w:r>
      <w:r w:rsidRPr="00642F1C">
        <w:rPr>
          <w:rFonts w:eastAsia="Calibri"/>
        </w:rPr>
        <w:t>y Evaluation.</w:t>
      </w:r>
    </w:p>
    <w:p w14:paraId="707AA9DE" w14:textId="34724656" w:rsidR="00571BB2" w:rsidRPr="00642F1C" w:rsidRDefault="00571BB2">
      <w:pPr>
        <w:spacing w:after="240" w:line="300" w:lineRule="auto"/>
        <w:rPr>
          <w:rFonts w:eastAsia="Calibri"/>
        </w:rPr>
      </w:pPr>
      <w:r w:rsidRPr="00642F1C">
        <w:rPr>
          <w:rFonts w:eastAsia="Calibri"/>
        </w:rPr>
        <w:t xml:space="preserve">The EIM </w:t>
      </w:r>
      <w:r w:rsidR="00A43B57" w:rsidRPr="00642F1C">
        <w:rPr>
          <w:rFonts w:eastAsia="Calibri"/>
        </w:rPr>
        <w:t>Entity S</w:t>
      </w:r>
      <w:r w:rsidRPr="00642F1C">
        <w:rPr>
          <w:rFonts w:eastAsia="Calibri"/>
        </w:rPr>
        <w:t xml:space="preserve">cheduling </w:t>
      </w:r>
      <w:r w:rsidR="00A43B57" w:rsidRPr="00642F1C">
        <w:rPr>
          <w:rFonts w:eastAsia="Calibri"/>
        </w:rPr>
        <w:t>C</w:t>
      </w:r>
      <w:r w:rsidRPr="00642F1C">
        <w:rPr>
          <w:rFonts w:eastAsia="Calibri"/>
        </w:rPr>
        <w:t xml:space="preserve">oordinator has visibility to all elements of the </w:t>
      </w:r>
      <w:r w:rsidR="00F43672">
        <w:rPr>
          <w:rFonts w:eastAsia="Calibri"/>
        </w:rPr>
        <w:t xml:space="preserve">EIM </w:t>
      </w:r>
      <w:r w:rsidRPr="00642F1C">
        <w:rPr>
          <w:rFonts w:eastAsia="Calibri"/>
        </w:rPr>
        <w:t xml:space="preserve">Resource Plan and the results of the various checks in the resource sufficiency evaluation described below, and is able to make changes to hourly Base Schedules to resolve unbalanced supply and demand, transmission flow overloads, insufficient </w:t>
      </w:r>
      <w:r w:rsidR="00F43672">
        <w:rPr>
          <w:rFonts w:eastAsia="Calibri"/>
        </w:rPr>
        <w:t xml:space="preserve">EIM </w:t>
      </w:r>
      <w:r w:rsidRPr="00642F1C">
        <w:rPr>
          <w:rFonts w:eastAsia="Calibri"/>
        </w:rPr>
        <w:t xml:space="preserve">Participating Resource bid range, and ramping capability </w:t>
      </w:r>
      <w:r w:rsidRPr="00877DDB">
        <w:rPr>
          <w:rFonts w:cs="Arial"/>
          <w:kern w:val="16"/>
        </w:rPr>
        <w:t xml:space="preserve">up to 55 </w:t>
      </w:r>
      <w:r w:rsidRPr="00877DDB">
        <w:rPr>
          <w:rFonts w:cs="Arial"/>
          <w:kern w:val="16"/>
        </w:rPr>
        <w:lastRenderedPageBreak/>
        <w:t>minutes before the start of the Operating Hour (interim revision)  and up to 40 minutes before the start of the Operating Hour (final revision)</w:t>
      </w:r>
      <w:r w:rsidRPr="00642F1C">
        <w:rPr>
          <w:rFonts w:eastAsia="Calibri"/>
        </w:rPr>
        <w:t xml:space="preserve">.  This provides the EIM </w:t>
      </w:r>
      <w:r w:rsidR="00A43B57" w:rsidRPr="00642F1C">
        <w:rPr>
          <w:rFonts w:eastAsia="Calibri"/>
        </w:rPr>
        <w:t>Entity</w:t>
      </w:r>
      <w:r w:rsidRPr="00642F1C">
        <w:rPr>
          <w:rFonts w:eastAsia="Calibri"/>
        </w:rPr>
        <w:t xml:space="preserve"> </w:t>
      </w:r>
      <w:r w:rsidR="00A43B57" w:rsidRPr="00642F1C">
        <w:rPr>
          <w:rFonts w:eastAsia="Calibri"/>
        </w:rPr>
        <w:t>S</w:t>
      </w:r>
      <w:r w:rsidRPr="00642F1C">
        <w:rPr>
          <w:rFonts w:eastAsia="Calibri"/>
        </w:rPr>
        <w:t xml:space="preserve">cheduling </w:t>
      </w:r>
      <w:r w:rsidR="00A43B57" w:rsidRPr="00642F1C">
        <w:rPr>
          <w:rFonts w:eastAsia="Calibri"/>
        </w:rPr>
        <w:t>C</w:t>
      </w:r>
      <w:r w:rsidRPr="00642F1C">
        <w:rPr>
          <w:rFonts w:eastAsia="Calibri"/>
        </w:rPr>
        <w:t xml:space="preserve">oordinator with the opportunity to resolve any identified issues prior to the start of the EIM.  At 40 minutes prior to the operating hour, the hourly </w:t>
      </w:r>
      <w:r w:rsidR="00F43672">
        <w:rPr>
          <w:rFonts w:eastAsia="Calibri"/>
        </w:rPr>
        <w:t xml:space="preserve">EIM </w:t>
      </w:r>
      <w:r w:rsidRPr="00642F1C">
        <w:rPr>
          <w:rFonts w:eastAsia="Calibri"/>
        </w:rPr>
        <w:t xml:space="preserve">Resource Plan is approved by the EIM </w:t>
      </w:r>
      <w:r w:rsidR="00A43B57" w:rsidRPr="00642F1C">
        <w:rPr>
          <w:rFonts w:eastAsia="Calibri"/>
        </w:rPr>
        <w:t>Entity</w:t>
      </w:r>
      <w:r w:rsidRPr="00642F1C">
        <w:rPr>
          <w:rFonts w:eastAsia="Calibri"/>
        </w:rPr>
        <w:t xml:space="preserve"> </w:t>
      </w:r>
      <w:r w:rsidR="00A43B57" w:rsidRPr="00642F1C">
        <w:rPr>
          <w:rFonts w:eastAsia="Calibri"/>
        </w:rPr>
        <w:t>S</w:t>
      </w:r>
      <w:r w:rsidRPr="00642F1C">
        <w:rPr>
          <w:rFonts w:eastAsia="Calibri"/>
        </w:rPr>
        <w:t xml:space="preserve">cheduling </w:t>
      </w:r>
      <w:r w:rsidR="00A43B57" w:rsidRPr="00642F1C">
        <w:rPr>
          <w:rFonts w:eastAsia="Calibri"/>
        </w:rPr>
        <w:t>C</w:t>
      </w:r>
      <w:r w:rsidRPr="00642F1C">
        <w:rPr>
          <w:rFonts w:eastAsia="Calibri"/>
        </w:rPr>
        <w:t>oordinator and it becomes final.</w:t>
      </w:r>
    </w:p>
    <w:p w14:paraId="2CD397B8" w14:textId="77777777" w:rsidR="00571BB2" w:rsidRPr="00642F1C" w:rsidRDefault="00571BB2">
      <w:pPr>
        <w:spacing w:after="240" w:line="300" w:lineRule="auto"/>
        <w:rPr>
          <w:rFonts w:eastAsia="Calibri"/>
        </w:rPr>
      </w:pPr>
      <w:r w:rsidRPr="00642F1C">
        <w:rPr>
          <w:rFonts w:eastAsia="Calibri"/>
        </w:rPr>
        <w:t xml:space="preserve">These final hourly Base Schedules are used to balance against the load forecast and serve as the baseline for settling imbalance energy in the EIM.  </w:t>
      </w:r>
    </w:p>
    <w:p w14:paraId="4C70413D" w14:textId="77777777" w:rsidR="00571BB2" w:rsidRPr="00642F1C" w:rsidRDefault="00571BB2">
      <w:pPr>
        <w:spacing w:after="240" w:line="300" w:lineRule="auto"/>
        <w:rPr>
          <w:rFonts w:eastAsia="Calibri"/>
        </w:rPr>
      </w:pPr>
      <w:r w:rsidRPr="00642F1C">
        <w:rPr>
          <w:rFonts w:eastAsia="Calibri"/>
        </w:rPr>
        <w:t xml:space="preserve">In addition to hourly Base Schedules, </w:t>
      </w:r>
      <w:r w:rsidR="00A43B57" w:rsidRPr="00642F1C">
        <w:rPr>
          <w:rFonts w:eastAsia="Calibri"/>
        </w:rPr>
        <w:t xml:space="preserve">EIM </w:t>
      </w:r>
      <w:r w:rsidRPr="00642F1C">
        <w:rPr>
          <w:rFonts w:eastAsia="Calibri"/>
        </w:rPr>
        <w:t>Participating Resources have the opportunity to submit bid offers for EIM dispatch by 75 minutes prior to the operating hour</w:t>
      </w:r>
    </w:p>
    <w:p w14:paraId="0983A15F" w14:textId="77777777" w:rsidR="00571BB2" w:rsidRPr="008817D0" w:rsidRDefault="00571BB2" w:rsidP="008817D0">
      <w:pPr>
        <w:spacing w:after="240" w:line="300" w:lineRule="auto"/>
        <w:rPr>
          <w:rFonts w:eastAsia="Calibri"/>
        </w:rPr>
      </w:pPr>
    </w:p>
    <w:p w14:paraId="19D275AF" w14:textId="77777777" w:rsidR="00D56C99" w:rsidRPr="008817D0" w:rsidRDefault="00D56C99" w:rsidP="00D56C99">
      <w:pPr>
        <w:pStyle w:val="Heading3"/>
        <w:rPr>
          <w:rFonts w:eastAsia="Calibri"/>
        </w:rPr>
      </w:pPr>
      <w:bookmarkStart w:id="1930" w:name="_Toc390869243"/>
      <w:bookmarkStart w:id="1931" w:name="_Toc390946293"/>
      <w:bookmarkStart w:id="1932" w:name="_Toc391969854"/>
      <w:bookmarkStart w:id="1933" w:name="_Toc460320462"/>
      <w:r w:rsidRPr="008817D0">
        <w:rPr>
          <w:rFonts w:eastAsia="Calibri"/>
        </w:rPr>
        <w:t>Resource Sufficiency Evaluation</w:t>
      </w:r>
      <w:bookmarkEnd w:id="1930"/>
      <w:bookmarkEnd w:id="1931"/>
      <w:bookmarkEnd w:id="1932"/>
      <w:bookmarkEnd w:id="1933"/>
    </w:p>
    <w:p w14:paraId="39F96895" w14:textId="3EFB9CF8" w:rsidR="007D061D" w:rsidRDefault="008817D0" w:rsidP="00877DDB">
      <w:pPr>
        <w:spacing w:after="240" w:line="300" w:lineRule="auto"/>
      </w:pPr>
      <w:r w:rsidRPr="008817D0">
        <w:rPr>
          <w:rFonts w:eastAsia="Calibri"/>
        </w:rPr>
        <w:t>The EIM does not include forward resource adequacy requirements or obligations for resources to submit bids, but instead includes several elements to ensure each EIM balancing authority has sufficient resources to serve its load while still realizing the benefits o</w:t>
      </w:r>
      <w:r w:rsidR="005C0E23">
        <w:rPr>
          <w:rFonts w:eastAsia="Calibri"/>
        </w:rPr>
        <w:t>f increased resource diversity</w:t>
      </w:r>
      <w:r w:rsidR="00E33AAC">
        <w:rPr>
          <w:rFonts w:eastAsia="Calibri"/>
        </w:rPr>
        <w:t xml:space="preserve">. </w:t>
      </w:r>
      <w:r w:rsidR="007D061D" w:rsidRPr="00F8253C">
        <w:rPr>
          <w:rFonts w:eastAsia="Calibri"/>
        </w:rPr>
        <w:t xml:space="preserve">Load </w:t>
      </w:r>
      <w:r w:rsidR="007D061D">
        <w:rPr>
          <w:rFonts w:eastAsia="Calibri"/>
        </w:rPr>
        <w:t>conformance</w:t>
      </w:r>
      <w:r w:rsidR="007D061D" w:rsidRPr="00F8253C">
        <w:rPr>
          <w:rFonts w:eastAsia="Calibri"/>
        </w:rPr>
        <w:t xml:space="preserve">, transmission limit conformance and manual dispatch will not be considered in the Real Time Base Schedule Tests.  For dispatch and when base schedule tests are performed, it will be assumed that base schedules and bid in capacity are adjusted to account for generation outages and </w:t>
      </w:r>
      <w:r w:rsidR="007D061D">
        <w:rPr>
          <w:rFonts w:eastAsia="Calibri"/>
        </w:rPr>
        <w:t>ancillary services</w:t>
      </w:r>
      <w:r w:rsidR="007D061D" w:rsidRPr="00F8253C">
        <w:rPr>
          <w:rFonts w:eastAsia="Calibri"/>
        </w:rPr>
        <w:t>.  </w:t>
      </w:r>
      <w:r w:rsidR="007D061D" w:rsidRPr="00877DDB">
        <w:rPr>
          <w:rFonts w:eastAsia="Calibri"/>
          <w:i/>
        </w:rPr>
        <w:t>i</w:t>
      </w:r>
      <w:r w:rsidR="008D621F" w:rsidRPr="00877DDB">
        <w:rPr>
          <w:rFonts w:eastAsia="Calibri"/>
          <w:i/>
        </w:rPr>
        <w:t>.</w:t>
      </w:r>
      <w:r w:rsidR="007D061D" w:rsidRPr="00877DDB">
        <w:rPr>
          <w:rFonts w:eastAsia="Calibri"/>
          <w:i/>
        </w:rPr>
        <w:t>e.</w:t>
      </w:r>
      <w:r w:rsidR="007D061D" w:rsidRPr="00F8253C">
        <w:rPr>
          <w:rFonts w:eastAsia="Calibri"/>
        </w:rPr>
        <w:t>,</w:t>
      </w:r>
      <w:r w:rsidR="00F43672">
        <w:rPr>
          <w:rFonts w:eastAsia="Calibri"/>
        </w:rPr>
        <w:t xml:space="preserve"> a </w:t>
      </w:r>
      <w:r w:rsidR="007D061D" w:rsidRPr="00F8253C">
        <w:rPr>
          <w:rFonts w:eastAsia="Calibri"/>
        </w:rPr>
        <w:t>100 MW generator bids in full capacity, but has a 20 MW derate and 10 MW of SPIN.  The base schedule tests will only count 70 MW and the real time market will only dispatch up to 70</w:t>
      </w:r>
      <w:r w:rsidR="00F43672">
        <w:rPr>
          <w:rFonts w:eastAsia="Calibri"/>
        </w:rPr>
        <w:t xml:space="preserve"> </w:t>
      </w:r>
      <w:r w:rsidR="007D061D" w:rsidRPr="00F8253C">
        <w:rPr>
          <w:rFonts w:eastAsia="Calibri"/>
        </w:rPr>
        <w:t>MW</w:t>
      </w:r>
      <w:r w:rsidR="007D061D">
        <w:rPr>
          <w:rFonts w:eastAsia="Calibri"/>
        </w:rPr>
        <w:t xml:space="preserve">. </w:t>
      </w:r>
    </w:p>
    <w:p w14:paraId="302DE3D6" w14:textId="77777777" w:rsidR="008817D0" w:rsidRPr="008817D0" w:rsidRDefault="00E33AAC" w:rsidP="008817D0">
      <w:pPr>
        <w:spacing w:after="240" w:line="300" w:lineRule="auto"/>
        <w:rPr>
          <w:rFonts w:eastAsia="Calibri"/>
        </w:rPr>
      </w:pPr>
      <w:r>
        <w:rPr>
          <w:rFonts w:eastAsia="Calibri"/>
        </w:rPr>
        <w:t xml:space="preserve"> </w:t>
      </w:r>
      <w:r w:rsidR="008817D0" w:rsidRPr="008817D0">
        <w:rPr>
          <w:rFonts w:eastAsia="Calibri"/>
        </w:rPr>
        <w:t>The EIM design elements that ensure resource sufficiency include:</w:t>
      </w:r>
    </w:p>
    <w:p w14:paraId="6B8A5C0F" w14:textId="6FEEA970" w:rsidR="008817D0" w:rsidRPr="00BA2E6E" w:rsidRDefault="008817D0" w:rsidP="00877DDB">
      <w:pPr>
        <w:numPr>
          <w:ilvl w:val="0"/>
          <w:numId w:val="33"/>
        </w:numPr>
        <w:rPr>
          <w:rFonts w:eastAsia="Calibri"/>
        </w:rPr>
      </w:pPr>
      <w:r w:rsidRPr="008817D0">
        <w:rPr>
          <w:rFonts w:eastAsia="Calibri"/>
          <w:b/>
          <w:bCs/>
        </w:rPr>
        <w:t>Load Base Schedule Adjustments:</w:t>
      </w:r>
      <w:r w:rsidR="00E33AAC">
        <w:rPr>
          <w:rFonts w:eastAsia="Calibri"/>
          <w:b/>
          <w:bCs/>
        </w:rPr>
        <w:t xml:space="preserve">  </w:t>
      </w:r>
      <w:r w:rsidR="000B6D3C">
        <w:rPr>
          <w:rFonts w:eastAsia="Calibri"/>
        </w:rPr>
        <w:t>If Base S</w:t>
      </w:r>
      <w:r w:rsidRPr="008817D0">
        <w:rPr>
          <w:rFonts w:eastAsia="Calibri"/>
        </w:rPr>
        <w:t xml:space="preserve">chedules </w:t>
      </w:r>
      <w:r w:rsidR="001722F1">
        <w:rPr>
          <w:rFonts w:eastAsia="Calibri"/>
        </w:rPr>
        <w:t xml:space="preserve">from generation </w:t>
      </w:r>
      <w:r w:rsidR="0038273D">
        <w:rPr>
          <w:rFonts w:eastAsia="Calibri"/>
        </w:rPr>
        <w:t xml:space="preserve">and intertie </w:t>
      </w:r>
      <w:r w:rsidR="001722F1">
        <w:rPr>
          <w:rFonts w:eastAsia="Calibri"/>
        </w:rPr>
        <w:t>resources in a</w:t>
      </w:r>
      <w:r w:rsidR="0038273D">
        <w:rPr>
          <w:rFonts w:eastAsia="Calibri"/>
        </w:rPr>
        <w:t>n</w:t>
      </w:r>
      <w:r w:rsidR="001722F1">
        <w:rPr>
          <w:rFonts w:eastAsia="Calibri"/>
        </w:rPr>
        <w:t xml:space="preserve"> </w:t>
      </w:r>
      <w:r w:rsidR="004A69C9">
        <w:rPr>
          <w:rFonts w:eastAsia="Calibri"/>
        </w:rPr>
        <w:t xml:space="preserve">EIM </w:t>
      </w:r>
      <w:r w:rsidR="001722F1">
        <w:rPr>
          <w:rFonts w:eastAsia="Calibri"/>
        </w:rPr>
        <w:t>Resource P</w:t>
      </w:r>
      <w:r w:rsidRPr="008817D0">
        <w:rPr>
          <w:rFonts w:eastAsia="Calibri"/>
        </w:rPr>
        <w:t xml:space="preserve">lan </w:t>
      </w:r>
      <w:r w:rsidR="0038273D">
        <w:rPr>
          <w:rFonts w:eastAsia="Calibri"/>
        </w:rPr>
        <w:t>do not balance</w:t>
      </w:r>
      <w:r w:rsidR="009D507A">
        <w:rPr>
          <w:rFonts w:eastAsia="Calibri"/>
        </w:rPr>
        <w:t xml:space="preserve"> the load forecast, </w:t>
      </w:r>
      <w:r w:rsidR="00E4613C">
        <w:rPr>
          <w:rFonts w:eastAsia="Calibri"/>
        </w:rPr>
        <w:t>CA</w:t>
      </w:r>
      <w:r w:rsidR="000B6D3C">
        <w:rPr>
          <w:rFonts w:eastAsia="Calibri"/>
        </w:rPr>
        <w:t xml:space="preserve">ISO will </w:t>
      </w:r>
      <w:r w:rsidR="000B4FAD">
        <w:rPr>
          <w:rFonts w:eastAsia="Calibri"/>
        </w:rPr>
        <w:t xml:space="preserve">adjust </w:t>
      </w:r>
      <w:r w:rsidR="000B6D3C">
        <w:rPr>
          <w:rFonts w:eastAsia="Calibri"/>
        </w:rPr>
        <w:t>the load Base S</w:t>
      </w:r>
      <w:r w:rsidRPr="008817D0">
        <w:rPr>
          <w:rFonts w:eastAsia="Calibri"/>
        </w:rPr>
        <w:t>chedule to equal the scheduled generation</w:t>
      </w:r>
      <w:r w:rsidR="00CF554E">
        <w:rPr>
          <w:rFonts w:eastAsia="Calibri"/>
        </w:rPr>
        <w:t xml:space="preserve"> and interchange</w:t>
      </w:r>
      <w:r w:rsidRPr="008817D0">
        <w:rPr>
          <w:rFonts w:eastAsia="Calibri"/>
        </w:rPr>
        <w:t xml:space="preserve">, reduced by transmission losses. The resulting </w:t>
      </w:r>
      <w:r w:rsidR="00CF554E">
        <w:rPr>
          <w:rFonts w:eastAsia="Calibri"/>
        </w:rPr>
        <w:t>difference</w:t>
      </w:r>
      <w:r w:rsidR="00CF554E" w:rsidRPr="008817D0">
        <w:rPr>
          <w:rFonts w:eastAsia="Calibri"/>
        </w:rPr>
        <w:t xml:space="preserve"> </w:t>
      </w:r>
      <w:r w:rsidRPr="008817D0">
        <w:rPr>
          <w:rFonts w:eastAsia="Calibri"/>
        </w:rPr>
        <w:t xml:space="preserve">will be settled through the EIM along with any applicable under-scheduling </w:t>
      </w:r>
      <w:r w:rsidR="00CF554E">
        <w:rPr>
          <w:rFonts w:eastAsia="Calibri"/>
        </w:rPr>
        <w:t xml:space="preserve">or over-scheduling </w:t>
      </w:r>
      <w:r w:rsidRPr="008817D0">
        <w:rPr>
          <w:rFonts w:eastAsia="Calibri"/>
        </w:rPr>
        <w:t xml:space="preserve">penalties as </w:t>
      </w:r>
      <w:r w:rsidR="003D3036">
        <w:rPr>
          <w:rFonts w:eastAsia="Calibri"/>
        </w:rPr>
        <w:t>applicable</w:t>
      </w:r>
      <w:r w:rsidRPr="008817D0">
        <w:rPr>
          <w:rFonts w:eastAsia="Calibri"/>
        </w:rPr>
        <w:t>.</w:t>
      </w:r>
      <w:r w:rsidR="00CB7C91">
        <w:rPr>
          <w:rFonts w:eastAsia="Calibri"/>
        </w:rPr>
        <w:t xml:space="preserve"> The load Base Schedule is only </w:t>
      </w:r>
      <w:r w:rsidR="00CB7C91">
        <w:rPr>
          <w:rFonts w:eastAsia="Calibri"/>
        </w:rPr>
        <w:lastRenderedPageBreak/>
        <w:t>used as a reference for calculating load imbalance energy for settlement. The market solution will use the applicable demand forecast for each interval in the market horizon.</w:t>
      </w:r>
    </w:p>
    <w:p w14:paraId="35FAAB0E" w14:textId="31E72F75" w:rsidR="008817D0" w:rsidRPr="008817D0" w:rsidRDefault="008817D0" w:rsidP="00877DDB">
      <w:pPr>
        <w:numPr>
          <w:ilvl w:val="0"/>
          <w:numId w:val="33"/>
        </w:numPr>
        <w:rPr>
          <w:rFonts w:eastAsia="Calibri"/>
        </w:rPr>
      </w:pPr>
      <w:r w:rsidRPr="008817D0">
        <w:rPr>
          <w:rFonts w:eastAsia="Calibri"/>
          <w:b/>
          <w:bCs/>
        </w:rPr>
        <w:t xml:space="preserve">Under-Scheduling and Over-Scheduling Penalties and Resource Balancing Provisions:  </w:t>
      </w:r>
      <w:r w:rsidRPr="008817D0">
        <w:rPr>
          <w:rFonts w:eastAsia="Calibri"/>
        </w:rPr>
        <w:t xml:space="preserve">If an EIM balancing authority uses the </w:t>
      </w:r>
      <w:r w:rsidR="00E4613C">
        <w:rPr>
          <w:rFonts w:eastAsia="Calibri"/>
        </w:rPr>
        <w:t>CA</w:t>
      </w:r>
      <w:r w:rsidRPr="008817D0">
        <w:rPr>
          <w:rFonts w:eastAsia="Calibri"/>
        </w:rPr>
        <w:t xml:space="preserve">ISO forecast but does not schedule resources within one percent of the forecasted demand, then it will be subject to </w:t>
      </w:r>
      <w:r w:rsidR="00CB7C91">
        <w:rPr>
          <w:rFonts w:eastAsia="Calibri"/>
        </w:rPr>
        <w:t xml:space="preserve">over-scheduling or under-scheduling </w:t>
      </w:r>
      <w:r w:rsidRPr="008817D0">
        <w:rPr>
          <w:rFonts w:eastAsia="Calibri"/>
        </w:rPr>
        <w:t xml:space="preserve">penalties if its actual load is five percent more </w:t>
      </w:r>
      <w:r w:rsidR="00CB7C91">
        <w:rPr>
          <w:rFonts w:eastAsia="Calibri"/>
        </w:rPr>
        <w:t xml:space="preserve">or less </w:t>
      </w:r>
      <w:r w:rsidRPr="008817D0">
        <w:rPr>
          <w:rFonts w:eastAsia="Calibri"/>
        </w:rPr>
        <w:t xml:space="preserve">than </w:t>
      </w:r>
      <w:r w:rsidR="00382F08">
        <w:rPr>
          <w:rFonts w:eastAsia="Calibri"/>
        </w:rPr>
        <w:t>its load Base S</w:t>
      </w:r>
      <w:r w:rsidR="00382F08" w:rsidRPr="008817D0">
        <w:rPr>
          <w:rFonts w:eastAsia="Calibri"/>
        </w:rPr>
        <w:t>chedule</w:t>
      </w:r>
      <w:r w:rsidR="00CB7C91">
        <w:rPr>
          <w:rFonts w:eastAsia="Calibri"/>
        </w:rPr>
        <w:t>,</w:t>
      </w:r>
      <w:r w:rsidR="000539A9">
        <w:rPr>
          <w:rFonts w:eastAsia="Calibri"/>
        </w:rPr>
        <w:t xml:space="preserve"> </w:t>
      </w:r>
      <w:r w:rsidR="00CB7C91">
        <w:rPr>
          <w:rFonts w:eastAsia="Calibri"/>
        </w:rPr>
        <w:t>respectively</w:t>
      </w:r>
      <w:r w:rsidRPr="008817D0">
        <w:rPr>
          <w:rFonts w:eastAsia="Calibri"/>
        </w:rPr>
        <w:t xml:space="preserve">. If an EIM balancing authority does not use CAISO’s forecast, then it will be subject to </w:t>
      </w:r>
      <w:r w:rsidR="00CB7C91">
        <w:rPr>
          <w:rFonts w:eastAsia="Calibri"/>
        </w:rPr>
        <w:t>over-scheduling or under-scheduling</w:t>
      </w:r>
      <w:r w:rsidR="00CB7C91" w:rsidRPr="008817D0">
        <w:rPr>
          <w:rFonts w:eastAsia="Calibri"/>
        </w:rPr>
        <w:t xml:space="preserve"> </w:t>
      </w:r>
      <w:r w:rsidRPr="008817D0">
        <w:rPr>
          <w:rFonts w:eastAsia="Calibri"/>
        </w:rPr>
        <w:t xml:space="preserve">penalties for actual load imbalances. </w:t>
      </w:r>
      <w:r w:rsidRPr="000539A9">
        <w:rPr>
          <w:rFonts w:eastAsia="Calibri"/>
        </w:rPr>
        <w:t>The penalties collected will be allocated to the other balancing authorities who have not incurre</w:t>
      </w:r>
      <w:r w:rsidR="008475B8" w:rsidRPr="000539A9">
        <w:rPr>
          <w:rFonts w:eastAsia="Calibri"/>
        </w:rPr>
        <w:t>d</w:t>
      </w:r>
      <w:r w:rsidR="008475B8">
        <w:rPr>
          <w:rFonts w:eastAsia="Calibri"/>
        </w:rPr>
        <w:t xml:space="preserve"> a scheduling penalty for the Operating D</w:t>
      </w:r>
      <w:r w:rsidR="0022082B">
        <w:rPr>
          <w:rFonts w:eastAsia="Calibri"/>
        </w:rPr>
        <w:t>ay.</w:t>
      </w:r>
      <w:r w:rsidRPr="008817D0">
        <w:rPr>
          <w:rFonts w:eastAsia="Calibri"/>
        </w:rPr>
        <w:t xml:space="preserve"> </w:t>
      </w:r>
    </w:p>
    <w:p w14:paraId="6C80F872" w14:textId="60577725" w:rsidR="008817D0" w:rsidRPr="008817D0" w:rsidRDefault="008817D0" w:rsidP="00877DDB">
      <w:pPr>
        <w:numPr>
          <w:ilvl w:val="0"/>
          <w:numId w:val="33"/>
        </w:numPr>
        <w:rPr>
          <w:rFonts w:eastAsia="Calibri"/>
        </w:rPr>
      </w:pPr>
      <w:r w:rsidRPr="008817D0">
        <w:rPr>
          <w:rFonts w:eastAsia="Calibri"/>
          <w:b/>
          <w:bCs/>
        </w:rPr>
        <w:t xml:space="preserve">Capacity Test:  </w:t>
      </w:r>
      <w:r w:rsidRPr="008817D0">
        <w:rPr>
          <w:rFonts w:eastAsia="Calibri"/>
        </w:rPr>
        <w:t>P</w:t>
      </w:r>
      <w:r w:rsidR="0022082B">
        <w:rPr>
          <w:rFonts w:eastAsia="Calibri"/>
        </w:rPr>
        <w:t xml:space="preserve">rior to </w:t>
      </w:r>
      <w:r w:rsidR="007D0E12">
        <w:rPr>
          <w:rFonts w:eastAsia="Calibri"/>
        </w:rPr>
        <w:t>each hour</w:t>
      </w:r>
      <w:r w:rsidR="0022082B">
        <w:rPr>
          <w:rFonts w:eastAsia="Calibri"/>
        </w:rPr>
        <w:t xml:space="preserve">, </w:t>
      </w:r>
      <w:r w:rsidRPr="008817D0">
        <w:rPr>
          <w:rFonts w:eastAsia="Calibri"/>
        </w:rPr>
        <w:t>CAISO will administer a capacity test if an EIM balancing authority uses the CAISO forecast</w:t>
      </w:r>
      <w:r w:rsidR="004515FF">
        <w:rPr>
          <w:rFonts w:eastAsia="Calibri"/>
        </w:rPr>
        <w:t xml:space="preserve"> </w:t>
      </w:r>
      <w:r w:rsidRPr="008817D0">
        <w:rPr>
          <w:rFonts w:eastAsia="Calibri"/>
        </w:rPr>
        <w:t>and does not balance that f</w:t>
      </w:r>
      <w:r w:rsidR="000B6D3C">
        <w:rPr>
          <w:rFonts w:eastAsia="Calibri"/>
        </w:rPr>
        <w:t>orecast exactly with submitted Base S</w:t>
      </w:r>
      <w:r w:rsidRPr="008817D0">
        <w:rPr>
          <w:rFonts w:eastAsia="Calibri"/>
        </w:rPr>
        <w:t xml:space="preserve">chedules. There must be a </w:t>
      </w:r>
      <w:r w:rsidR="00C148A5">
        <w:rPr>
          <w:rFonts w:eastAsia="Calibri"/>
        </w:rPr>
        <w:t xml:space="preserve">sufficient </w:t>
      </w:r>
      <w:r w:rsidR="004A69C9">
        <w:rPr>
          <w:rFonts w:eastAsia="Calibri"/>
        </w:rPr>
        <w:t xml:space="preserve">EIM </w:t>
      </w:r>
      <w:r w:rsidR="00C148A5">
        <w:rPr>
          <w:rFonts w:eastAsia="Calibri"/>
        </w:rPr>
        <w:t>Participating R</w:t>
      </w:r>
      <w:r w:rsidRPr="008817D0">
        <w:rPr>
          <w:rFonts w:eastAsia="Calibri"/>
        </w:rPr>
        <w:t xml:space="preserve">esource capacity bid </w:t>
      </w:r>
      <w:r w:rsidR="00CB7C91">
        <w:rPr>
          <w:rFonts w:eastAsia="Calibri"/>
        </w:rPr>
        <w:t xml:space="preserve">range </w:t>
      </w:r>
      <w:r w:rsidRPr="008817D0">
        <w:rPr>
          <w:rFonts w:eastAsia="Calibri"/>
        </w:rPr>
        <w:t xml:space="preserve">in the EIM through incremental or decremental </w:t>
      </w:r>
      <w:r w:rsidR="000B6D3C">
        <w:rPr>
          <w:rFonts w:eastAsia="Calibri"/>
        </w:rPr>
        <w:t>energy bids above or below the Base S</w:t>
      </w:r>
      <w:r w:rsidRPr="008817D0">
        <w:rPr>
          <w:rFonts w:eastAsia="Calibri"/>
        </w:rPr>
        <w:t>chedules to meet the imbalance, positive or negative. If the EIM balancing authority fails the capacity test, it will automatically fail the flexible ramp sufficiency test.</w:t>
      </w:r>
      <w:r w:rsidR="00D56C99">
        <w:rPr>
          <w:rFonts w:eastAsia="Calibri"/>
        </w:rPr>
        <w:t xml:space="preserve"> The capacity test is applicable to the CAISO BAA.</w:t>
      </w:r>
    </w:p>
    <w:p w14:paraId="2AC82EBE" w14:textId="1682B75C" w:rsidR="00414D3F" w:rsidRDefault="008817D0" w:rsidP="00877DDB">
      <w:pPr>
        <w:numPr>
          <w:ilvl w:val="0"/>
          <w:numId w:val="33"/>
        </w:numPr>
        <w:rPr>
          <w:rFonts w:eastAsia="Calibri"/>
        </w:rPr>
      </w:pPr>
      <w:r w:rsidRPr="008817D0">
        <w:rPr>
          <w:rFonts w:eastAsia="Calibri"/>
          <w:b/>
          <w:bCs/>
        </w:rPr>
        <w:t xml:space="preserve">Flexible Ramping Sufficiency Test:  </w:t>
      </w:r>
      <w:r w:rsidRPr="008817D0">
        <w:rPr>
          <w:rFonts w:eastAsia="Calibri"/>
        </w:rPr>
        <w:t>P</w:t>
      </w:r>
      <w:r w:rsidR="009D507A">
        <w:rPr>
          <w:rFonts w:eastAsia="Calibri"/>
        </w:rPr>
        <w:t xml:space="preserve">rior to commencing </w:t>
      </w:r>
      <w:r w:rsidR="004313EC">
        <w:rPr>
          <w:rFonts w:eastAsia="Calibri"/>
        </w:rPr>
        <w:t>each hour</w:t>
      </w:r>
      <w:r w:rsidR="009D507A">
        <w:rPr>
          <w:rFonts w:eastAsia="Calibri"/>
        </w:rPr>
        <w:t xml:space="preserve">, </w:t>
      </w:r>
      <w:r w:rsidRPr="008817D0">
        <w:rPr>
          <w:rFonts w:eastAsia="Calibri"/>
        </w:rPr>
        <w:t>CAISO will calculate a flexible ramping requirement. The requirement is based upon the CAISO load forecast, the CAISO variable en</w:t>
      </w:r>
      <w:r w:rsidR="0022082B">
        <w:rPr>
          <w:rFonts w:eastAsia="Calibri"/>
        </w:rPr>
        <w:t xml:space="preserve">ergy resource forecast, and </w:t>
      </w:r>
      <w:r w:rsidRPr="008817D0">
        <w:rPr>
          <w:rFonts w:eastAsia="Calibri"/>
        </w:rPr>
        <w:t>CAISO’s historical assessment of the ramping capability needed to meet forecast uncertainty and variability. An EIM balancing authority will have insufficient flexible ramp</w:t>
      </w:r>
      <w:r w:rsidR="009E36C0">
        <w:rPr>
          <w:rFonts w:eastAsia="Calibri"/>
        </w:rPr>
        <w:t>ing</w:t>
      </w:r>
      <w:r w:rsidRPr="008817D0">
        <w:rPr>
          <w:rFonts w:eastAsia="Calibri"/>
        </w:rPr>
        <w:t xml:space="preserve"> capacit</w:t>
      </w:r>
      <w:r w:rsidR="00C148A5">
        <w:rPr>
          <w:rFonts w:eastAsia="Calibri"/>
        </w:rPr>
        <w:t xml:space="preserve">y if the ramping capability of </w:t>
      </w:r>
      <w:r w:rsidR="004A69C9">
        <w:rPr>
          <w:rFonts w:eastAsia="Calibri"/>
        </w:rPr>
        <w:t xml:space="preserve">EIM </w:t>
      </w:r>
      <w:r w:rsidR="00C148A5">
        <w:rPr>
          <w:rFonts w:eastAsia="Calibri"/>
        </w:rPr>
        <w:t>Participating R</w:t>
      </w:r>
      <w:r w:rsidRPr="008817D0">
        <w:rPr>
          <w:rFonts w:eastAsia="Calibri"/>
        </w:rPr>
        <w:t xml:space="preserve">esources with submitted energy bids cannot meet the EIM balancing authority’s </w:t>
      </w:r>
      <w:r w:rsidR="004F4F93">
        <w:rPr>
          <w:rFonts w:eastAsia="Calibri"/>
        </w:rPr>
        <w:t xml:space="preserve">upward or downward </w:t>
      </w:r>
      <w:r w:rsidRPr="008817D0">
        <w:rPr>
          <w:rFonts w:eastAsia="Calibri"/>
        </w:rPr>
        <w:t xml:space="preserve">flexible ramping requirement. </w:t>
      </w:r>
      <w:r w:rsidR="004F4F93">
        <w:rPr>
          <w:rFonts w:eastAsia="Calibri"/>
        </w:rPr>
        <w:t xml:space="preserve">If the upward </w:t>
      </w:r>
      <w:r w:rsidR="004F4F93" w:rsidRPr="008817D0">
        <w:rPr>
          <w:rFonts w:eastAsia="Calibri"/>
        </w:rPr>
        <w:t>flexible ramping requirement</w:t>
      </w:r>
      <w:r w:rsidR="004F4F93">
        <w:rPr>
          <w:rFonts w:eastAsia="Calibri"/>
        </w:rPr>
        <w:t xml:space="preserve"> is not met</w:t>
      </w:r>
      <w:r w:rsidRPr="008817D0">
        <w:rPr>
          <w:rFonts w:eastAsia="Calibri"/>
        </w:rPr>
        <w:t xml:space="preserve">, the </w:t>
      </w:r>
      <w:r w:rsidR="009E36C0" w:rsidRPr="009E36C0">
        <w:rPr>
          <w:rFonts w:eastAsia="Calibri"/>
        </w:rPr>
        <w:t xml:space="preserve">EIM Transfer during the next hour is bound from below at the lower of the base transfer for </w:t>
      </w:r>
      <w:r w:rsidR="00F63044">
        <w:rPr>
          <w:rFonts w:eastAsia="Calibri"/>
        </w:rPr>
        <w:t xml:space="preserve">the </w:t>
      </w:r>
      <w:r w:rsidR="009E36C0" w:rsidRPr="009E36C0">
        <w:rPr>
          <w:rFonts w:eastAsia="Calibri"/>
        </w:rPr>
        <w:t>current hour or the optimal transfer at the last 15min interval of the current hour</w:t>
      </w:r>
      <w:r w:rsidR="009E36C0">
        <w:rPr>
          <w:rFonts w:eastAsia="Calibri"/>
        </w:rPr>
        <w:t xml:space="preserve">. </w:t>
      </w:r>
      <w:r w:rsidR="009E36C0" w:rsidRPr="009E36C0">
        <w:rPr>
          <w:rFonts w:eastAsia="Calibri"/>
        </w:rPr>
        <w:t xml:space="preserve">Additionally, in the flexible ramp capacity constraints during the next hour, that BAA must meet its own </w:t>
      </w:r>
      <w:r w:rsidR="00F63044">
        <w:rPr>
          <w:rFonts w:eastAsia="Calibri"/>
        </w:rPr>
        <w:t xml:space="preserve">upward </w:t>
      </w:r>
      <w:r w:rsidR="009E36C0" w:rsidRPr="009E36C0">
        <w:rPr>
          <w:rFonts w:eastAsia="Calibri"/>
        </w:rPr>
        <w:t>flexible ramp capacity requirements without diversity benefit</w:t>
      </w:r>
      <w:r w:rsidR="00F63044">
        <w:rPr>
          <w:rFonts w:eastAsia="Calibri"/>
        </w:rPr>
        <w:t>, but</w:t>
      </w:r>
      <w:r w:rsidR="009E36C0" w:rsidRPr="009E36C0">
        <w:rPr>
          <w:rFonts w:eastAsia="Calibri"/>
        </w:rPr>
        <w:t xml:space="preserve"> reduced by any credit due to outgoing EIM transfers.</w:t>
      </w:r>
      <w:r w:rsidR="009E36C0">
        <w:rPr>
          <w:rFonts w:eastAsia="Calibri"/>
        </w:rPr>
        <w:t xml:space="preserve"> </w:t>
      </w:r>
      <w:bookmarkStart w:id="1934" w:name="_Toc390868409"/>
      <w:bookmarkStart w:id="1935" w:name="_Toc390869244"/>
      <w:bookmarkEnd w:id="1934"/>
      <w:bookmarkEnd w:id="1935"/>
      <w:r w:rsidR="00F63044">
        <w:rPr>
          <w:rFonts w:eastAsia="Calibri"/>
        </w:rPr>
        <w:t xml:space="preserve">If the downward </w:t>
      </w:r>
      <w:r w:rsidR="00F63044" w:rsidRPr="008817D0">
        <w:rPr>
          <w:rFonts w:eastAsia="Calibri"/>
        </w:rPr>
        <w:t>flexible ramping requirement</w:t>
      </w:r>
      <w:r w:rsidR="00F63044">
        <w:rPr>
          <w:rFonts w:eastAsia="Calibri"/>
        </w:rPr>
        <w:t xml:space="preserve"> is not met</w:t>
      </w:r>
      <w:r w:rsidR="00F63044" w:rsidRPr="008817D0">
        <w:rPr>
          <w:rFonts w:eastAsia="Calibri"/>
        </w:rPr>
        <w:t xml:space="preserve">, the </w:t>
      </w:r>
      <w:r w:rsidR="00F63044" w:rsidRPr="009E36C0">
        <w:rPr>
          <w:rFonts w:eastAsia="Calibri"/>
        </w:rPr>
        <w:t xml:space="preserve">EIM Transfer during the next hour is bound from </w:t>
      </w:r>
      <w:r w:rsidR="00F63044">
        <w:rPr>
          <w:rFonts w:eastAsia="Calibri"/>
        </w:rPr>
        <w:t>above</w:t>
      </w:r>
      <w:r w:rsidR="00F63044" w:rsidRPr="009E36C0">
        <w:rPr>
          <w:rFonts w:eastAsia="Calibri"/>
        </w:rPr>
        <w:t xml:space="preserve"> at the </w:t>
      </w:r>
      <w:r w:rsidR="000228B3">
        <w:rPr>
          <w:rFonts w:eastAsia="Calibri"/>
        </w:rPr>
        <w:t>higher</w:t>
      </w:r>
      <w:r w:rsidR="00F63044" w:rsidRPr="009E36C0">
        <w:rPr>
          <w:rFonts w:eastAsia="Calibri"/>
        </w:rPr>
        <w:t xml:space="preserve"> of the base transfer for </w:t>
      </w:r>
      <w:r w:rsidR="00F63044">
        <w:rPr>
          <w:rFonts w:eastAsia="Calibri"/>
        </w:rPr>
        <w:t xml:space="preserve">the </w:t>
      </w:r>
      <w:r w:rsidR="00F63044" w:rsidRPr="009E36C0">
        <w:rPr>
          <w:rFonts w:eastAsia="Calibri"/>
        </w:rPr>
        <w:t>current hour or the optimal transfer at the last 15min interval of the current hour</w:t>
      </w:r>
      <w:r w:rsidR="00F63044">
        <w:rPr>
          <w:rFonts w:eastAsia="Calibri"/>
        </w:rPr>
        <w:t xml:space="preserve">. </w:t>
      </w:r>
      <w:r w:rsidR="00F63044" w:rsidRPr="009E36C0">
        <w:rPr>
          <w:rFonts w:eastAsia="Calibri"/>
        </w:rPr>
        <w:t xml:space="preserve">Additionally, in the flexible ramp capacity constraints during the next hour, that BAA must meet its own </w:t>
      </w:r>
      <w:r w:rsidR="000228B3">
        <w:rPr>
          <w:rFonts w:eastAsia="Calibri"/>
        </w:rPr>
        <w:t>downward</w:t>
      </w:r>
      <w:r w:rsidR="00F63044">
        <w:rPr>
          <w:rFonts w:eastAsia="Calibri"/>
        </w:rPr>
        <w:t xml:space="preserve"> </w:t>
      </w:r>
      <w:r w:rsidR="00F63044" w:rsidRPr="009E36C0">
        <w:rPr>
          <w:rFonts w:eastAsia="Calibri"/>
        </w:rPr>
        <w:t xml:space="preserve">flexible ramp capacity requirements </w:t>
      </w:r>
      <w:r w:rsidR="00F63044" w:rsidRPr="009E36C0">
        <w:rPr>
          <w:rFonts w:eastAsia="Calibri"/>
        </w:rPr>
        <w:lastRenderedPageBreak/>
        <w:t>without diversity benefit</w:t>
      </w:r>
      <w:r w:rsidR="00F63044">
        <w:rPr>
          <w:rFonts w:eastAsia="Calibri"/>
        </w:rPr>
        <w:t>, but</w:t>
      </w:r>
      <w:r w:rsidR="00F63044" w:rsidRPr="009E36C0">
        <w:rPr>
          <w:rFonts w:eastAsia="Calibri"/>
        </w:rPr>
        <w:t xml:space="preserve"> reduced by any credit due to </w:t>
      </w:r>
      <w:r w:rsidR="000228B3">
        <w:rPr>
          <w:rFonts w:eastAsia="Calibri"/>
        </w:rPr>
        <w:t>incoming</w:t>
      </w:r>
      <w:r w:rsidR="00F63044" w:rsidRPr="009E36C0">
        <w:rPr>
          <w:rFonts w:eastAsia="Calibri"/>
        </w:rPr>
        <w:t xml:space="preserve"> EIM transfers.</w:t>
      </w:r>
      <w:r w:rsidR="00F63044">
        <w:rPr>
          <w:rFonts w:eastAsia="Calibri"/>
        </w:rPr>
        <w:t xml:space="preserve"> </w:t>
      </w:r>
      <w:r w:rsidR="00D56C99">
        <w:rPr>
          <w:rFonts w:eastAsia="Calibri"/>
        </w:rPr>
        <w:t>The Flexible Ramping Sufficiency Test is applicable to CAISO BAA.</w:t>
      </w:r>
    </w:p>
    <w:p w14:paraId="5CB5F647" w14:textId="02B82ECF" w:rsidR="00414D3F" w:rsidRPr="00414D3F" w:rsidRDefault="00414D3F" w:rsidP="00414D3F">
      <w:pPr>
        <w:spacing w:after="240" w:line="300" w:lineRule="auto"/>
        <w:rPr>
          <w:rFonts w:eastAsia="Calibri"/>
        </w:rPr>
      </w:pPr>
      <w:r>
        <w:rPr>
          <w:rFonts w:eastAsia="Calibri"/>
        </w:rPr>
        <w:t xml:space="preserve">The capacity test and flexible ramping test is applied to the CAISO BAA at </w:t>
      </w:r>
      <w:r w:rsidR="004B4B1F">
        <w:rPr>
          <w:rFonts w:eastAsia="Calibri"/>
        </w:rPr>
        <w:t xml:space="preserve">T–75 using RUC schedules and at T–55 and </w:t>
      </w:r>
      <w:r>
        <w:rPr>
          <w:rFonts w:eastAsia="Calibri"/>
        </w:rPr>
        <w:t>T-40</w:t>
      </w:r>
      <w:r w:rsidR="004B4B1F">
        <w:rPr>
          <w:rFonts w:eastAsia="Calibri"/>
        </w:rPr>
        <w:t xml:space="preserve"> using HAS schedules</w:t>
      </w:r>
      <w:r>
        <w:rPr>
          <w:rFonts w:eastAsia="Calibri"/>
        </w:rPr>
        <w:t xml:space="preserve">. The test will ensure there is sufficient ramping capability within the CAISO to meet 15-minute net load changes following the HASP. </w:t>
      </w:r>
      <w:r w:rsidR="00A43B57">
        <w:rPr>
          <w:rFonts w:eastAsia="Calibri"/>
        </w:rPr>
        <w:t xml:space="preserve"> </w:t>
      </w:r>
    </w:p>
    <w:p w14:paraId="4BB5F808" w14:textId="77777777" w:rsidR="008817D0" w:rsidRPr="008817D0" w:rsidRDefault="008817D0" w:rsidP="00C33762">
      <w:pPr>
        <w:pStyle w:val="Heading4"/>
        <w:rPr>
          <w:rFonts w:eastAsia="Calibri"/>
        </w:rPr>
      </w:pPr>
      <w:bookmarkStart w:id="1936" w:name="_Toc390869246"/>
      <w:r w:rsidRPr="008817D0">
        <w:rPr>
          <w:rFonts w:eastAsia="Calibri"/>
        </w:rPr>
        <w:t>Flexible Ramp Sufficiency Test Details</w:t>
      </w:r>
      <w:bookmarkEnd w:id="1936"/>
    </w:p>
    <w:p w14:paraId="1EF91683" w14:textId="3B2E5F00" w:rsidR="008817D0" w:rsidRPr="008817D0" w:rsidRDefault="008817D0" w:rsidP="008817D0">
      <w:pPr>
        <w:spacing w:after="240" w:line="300" w:lineRule="auto"/>
        <w:rPr>
          <w:rFonts w:eastAsia="Calibri"/>
        </w:rPr>
      </w:pPr>
      <w:r w:rsidRPr="008817D0">
        <w:rPr>
          <w:rFonts w:eastAsia="Calibri"/>
        </w:rPr>
        <w:t xml:space="preserve">The individual EIM Entity BAA requirement for the flexible ramp sufficiency test will be calculated </w:t>
      </w:r>
      <w:r w:rsidR="006D0170">
        <w:rPr>
          <w:rFonts w:eastAsia="Calibri"/>
        </w:rPr>
        <w:t xml:space="preserve">for the </w:t>
      </w:r>
      <w:r w:rsidR="007600DF">
        <w:rPr>
          <w:rFonts w:eastAsia="Calibri"/>
        </w:rPr>
        <w:t xml:space="preserve">next </w:t>
      </w:r>
      <w:r w:rsidR="006D0170">
        <w:rPr>
          <w:rFonts w:eastAsia="Calibri"/>
        </w:rPr>
        <w:t xml:space="preserve">hour </w:t>
      </w:r>
      <w:r w:rsidR="00F53882">
        <w:rPr>
          <w:rFonts w:eastAsia="Calibri"/>
        </w:rPr>
        <w:t xml:space="preserve"> (using algebraic notation) </w:t>
      </w:r>
      <w:r w:rsidRPr="008817D0">
        <w:rPr>
          <w:rFonts w:eastAsia="Calibri"/>
        </w:rPr>
        <w:t>as follows:</w:t>
      </w:r>
    </w:p>
    <w:p w14:paraId="54E15DA1" w14:textId="6733E506" w:rsidR="008817D0" w:rsidRDefault="00AE7E55" w:rsidP="008817D0">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+max</m:t>
          </m:r>
          <m:d>
            <m:dPr>
              <m:ctrlPr>
                <w:rPr>
                  <w:rFonts w:ascii="Cambria Math" w:hAnsi="Cambria Math"/>
                  <w:i/>
                  <w:color w:val="000000"/>
                </w:rPr>
              </m:ctrlPr>
            </m:dPr>
            <m:e>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f>
                <m:fPr>
                  <m:ctrlPr>
                    <w:rPr>
                      <w:rFonts w:ascii="Cambria Math" w:hAnsi="Cambria Math"/>
                      <w:i/>
                      <w:color w:val="000000"/>
                    </w:rPr>
                  </m:ctrlPr>
                </m:fPr>
                <m:num>
                  <m:r>
                    <w:rPr>
                      <w:rFonts w:ascii="Cambria Math" w:hAnsi="Cambria Math"/>
                      <w:color w:val="000000"/>
                    </w:rPr>
                    <m:t>FRUR</m:t>
                  </m:r>
                </m:num>
                <m:den>
                  <m:r>
                    <w:rPr>
                      <w:rFonts w:ascii="Cambria Math" w:eastAsia="Calibri" w:hAnsi="Cambria Math"/>
                      <w:color w:val="000000"/>
                    </w:rPr>
                    <m:t>TFRUR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e>
          </m:d>
          <m:r>
            <m:rPr>
              <m:sty m:val="p"/>
            </m:rPr>
            <w:rPr>
              <w:rFonts w:eastAsia="Calibri"/>
            </w:rPr>
            <w:br/>
          </m:r>
        </m:oMath>
        <m:oMath>
          <m:r>
            <m:rPr>
              <m:sty m:val="p"/>
            </m:rPr>
            <w:rPr>
              <w:rFonts w:ascii="Cambria Math" w:hAnsi="Cambria Math"/>
              <w:color w:val="000000"/>
            </w:rPr>
            <w:br/>
          </m:r>
        </m:oMath>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+min</m:t>
          </m:r>
          <m:d>
            <m:dPr>
              <m:ctrlPr>
                <w:rPr>
                  <w:rFonts w:ascii="Cambria Math" w:hAnsi="Cambria Math"/>
                  <w:i/>
                  <w:color w:val="000000"/>
                </w:rPr>
              </m:ctrlPr>
            </m:dPr>
            <m:e>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f>
                <m:fPr>
                  <m:ctrlPr>
                    <w:rPr>
                      <w:rFonts w:ascii="Cambria Math" w:hAnsi="Cambria Math"/>
                      <w:i/>
                      <w:color w:val="000000"/>
                    </w:rPr>
                  </m:ctrlPr>
                </m:fPr>
                <m:num>
                  <m:r>
                    <w:rPr>
                      <w:rFonts w:ascii="Cambria Math" w:eastAsia="Calibri" w:hAnsi="Cambria Math"/>
                      <w:color w:val="000000"/>
                    </w:rPr>
                    <m:t>FRDR</m:t>
                  </m:r>
                </m:num>
                <m:den>
                  <m:r>
                    <w:rPr>
                      <w:rFonts w:ascii="Cambria Math" w:eastAsia="Calibri" w:hAnsi="Cambria Math"/>
                      <w:color w:val="000000"/>
                    </w:rPr>
                    <m:t>TFRDR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e>
          </m:d>
          <m:r>
            <m:rPr>
              <m:sty m:val="p"/>
            </m:rPr>
            <w:rPr>
              <w:rFonts w:eastAsia="Calibri"/>
            </w:rPr>
            <w:br/>
          </m:r>
        </m:oMath>
      </m:oMathPara>
      <w:r w:rsidR="00CE6A2C" w:rsidRPr="008817D0">
        <w:rPr>
          <w:rFonts w:eastAsia="Calibri"/>
        </w:rPr>
        <w:t>Where:</w:t>
      </w:r>
    </w:p>
    <w:p w14:paraId="64D1D29C" w14:textId="0FFBE729" w:rsidR="007D0E12" w:rsidRPr="00FA595A" w:rsidRDefault="007D0E12" w:rsidP="008817D0">
      <w:pPr>
        <w:spacing w:after="240" w:line="300" w:lineRule="auto"/>
        <w:rPr>
          <w:rFonts w:eastAsia="Calibri"/>
          <w:i/>
        </w:rPr>
      </w:pPr>
    </w:p>
    <w:tbl>
      <w:tblPr>
        <w:tblW w:w="0" w:type="auto"/>
        <w:tblInd w:w="360" w:type="dxa"/>
        <w:tblLook w:val="0600" w:firstRow="0" w:lastRow="0" w:firstColumn="0" w:lastColumn="0" w:noHBand="1" w:noVBand="1"/>
      </w:tblPr>
      <w:tblGrid>
        <w:gridCol w:w="1131"/>
        <w:gridCol w:w="7869"/>
      </w:tblGrid>
      <w:tr w:rsidR="000D0C70" w:rsidRPr="008817D0" w:rsidDel="00975002" w14:paraId="0A60BA93" w14:textId="77777777" w:rsidTr="00142E9E">
        <w:tc>
          <w:tcPr>
            <w:tcW w:w="1131" w:type="dxa"/>
            <w:shd w:val="clear" w:color="auto" w:fill="auto"/>
          </w:tcPr>
          <w:p w14:paraId="64584164" w14:textId="62481528" w:rsidR="000D0C70" w:rsidDel="00975002" w:rsidRDefault="000D0C70" w:rsidP="008817D0">
            <w:pPr>
              <w:spacing w:after="240" w:line="300" w:lineRule="auto"/>
              <w:rPr>
                <w:rFonts w:ascii="Calibri" w:eastAsia="Calibri" w:hAnsi="Calibri" w:cs="Times New Roman"/>
                <w:i/>
                <w:color w:val="000000"/>
              </w:rPr>
            </w:pPr>
            <w:r>
              <w:rPr>
                <w:rFonts w:ascii="Calibri" w:eastAsia="Calibri" w:hAnsi="Calibri" w:cs="Times New Roman"/>
                <w:i/>
                <w:color w:val="000000"/>
              </w:rPr>
              <w:t>i</w:t>
            </w:r>
          </w:p>
        </w:tc>
        <w:tc>
          <w:tcPr>
            <w:tcW w:w="7869" w:type="dxa"/>
            <w:shd w:val="clear" w:color="auto" w:fill="auto"/>
          </w:tcPr>
          <w:p w14:paraId="28D18ED1" w14:textId="2F72B8C3" w:rsidR="000D0C70" w:rsidRPr="008817D0" w:rsidDel="00975002" w:rsidRDefault="000D0C70" w:rsidP="007D0E12">
            <w:pPr>
              <w:spacing w:after="240" w:line="300" w:lineRule="auto"/>
              <w:rPr>
                <w:rFonts w:eastAsia="Calibri"/>
              </w:rPr>
            </w:pPr>
            <w:r w:rsidRPr="00FA595A">
              <w:rPr>
                <w:rFonts w:eastAsia="Calibri"/>
              </w:rPr>
              <w:t xml:space="preserve">is the BAA index in the EIM </w:t>
            </w:r>
            <w:r>
              <w:rPr>
                <w:rFonts w:eastAsia="Calibri"/>
              </w:rPr>
              <w:t>A</w:t>
            </w:r>
            <w:r w:rsidRPr="00FA595A">
              <w:rPr>
                <w:rFonts w:eastAsia="Calibri"/>
              </w:rPr>
              <w:t>rea</w:t>
            </w:r>
            <w:r>
              <w:rPr>
                <w:rFonts w:eastAsia="Calibri"/>
              </w:rPr>
              <w:t>;</w:t>
            </w:r>
          </w:p>
        </w:tc>
      </w:tr>
      <w:tr w:rsidR="008817D0" w:rsidRPr="008817D0" w14:paraId="72307AF5" w14:textId="77777777" w:rsidTr="005D0E24">
        <w:tc>
          <w:tcPr>
            <w:tcW w:w="1131" w:type="dxa"/>
            <w:shd w:val="clear" w:color="auto" w:fill="auto"/>
            <w:hideMark/>
          </w:tcPr>
          <w:p w14:paraId="11D7318E" w14:textId="36B0711E" w:rsidR="008817D0" w:rsidRPr="00FA6B35" w:rsidRDefault="00AE7E55" w:rsidP="008817D0">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
          <w:p w14:paraId="0794CAB0" w14:textId="35BD0DD2" w:rsidR="008817D0" w:rsidRPr="008817D0" w:rsidRDefault="008817D0" w:rsidP="00540585">
            <w:pPr>
              <w:spacing w:after="240" w:line="300" w:lineRule="auto"/>
              <w:rPr>
                <w:rFonts w:eastAsia="Calibri"/>
              </w:rPr>
            </w:pPr>
            <w:r w:rsidRPr="008817D0">
              <w:rPr>
                <w:rFonts w:eastAsia="Calibri"/>
              </w:rPr>
              <w:t xml:space="preserve">is the flexible ramp </w:t>
            </w:r>
            <w:r w:rsidR="002358BB">
              <w:rPr>
                <w:rFonts w:eastAsia="Calibri"/>
              </w:rPr>
              <w:t xml:space="preserve">up uncertainty </w:t>
            </w:r>
            <w:r w:rsidRPr="008817D0">
              <w:rPr>
                <w:rFonts w:eastAsia="Calibri"/>
              </w:rPr>
              <w:t>requirement</w:t>
            </w:r>
            <w:r w:rsidR="009958D7">
              <w:rPr>
                <w:rFonts w:eastAsia="Calibri"/>
              </w:rPr>
              <w:t xml:space="preserve"> for a given </w:t>
            </w:r>
            <w:r w:rsidR="00975002">
              <w:rPr>
                <w:rFonts w:eastAsia="Calibri"/>
              </w:rPr>
              <w:t xml:space="preserve">15-minute </w:t>
            </w:r>
            <w:r w:rsidR="009958D7">
              <w:rPr>
                <w:rFonts w:eastAsia="Calibri"/>
              </w:rPr>
              <w:t>interval</w:t>
            </w:r>
            <w:r w:rsidR="00540585">
              <w:rPr>
                <w:rFonts w:eastAsia="Calibri"/>
              </w:rPr>
              <w:t xml:space="preserve"> in 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p>
        </w:tc>
      </w:tr>
      <w:tr w:rsidR="00975002" w:rsidRPr="008817D0" w14:paraId="324FAE2E" w14:textId="77777777" w:rsidTr="007B7476">
        <w:tc>
          <w:tcPr>
            <w:tcW w:w="1131" w:type="dxa"/>
            <w:shd w:val="clear" w:color="auto" w:fill="auto"/>
            <w:hideMark/>
          </w:tcPr>
          <w:p w14:paraId="13440288" w14:textId="49181076" w:rsidR="00975002" w:rsidRPr="00FA6B35" w:rsidRDefault="00AE7E55" w:rsidP="00975002">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
          <w:p w14:paraId="3321CA03" w14:textId="029F16B3" w:rsidR="00975002" w:rsidRPr="008817D0" w:rsidRDefault="00975002" w:rsidP="00540585">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w:t>
            </w:r>
            <w:r w:rsidR="00596474">
              <w:rPr>
                <w:rFonts w:eastAsia="Calibri"/>
              </w:rPr>
              <w:t xml:space="preserve"> in t</w:t>
            </w:r>
            <w:r w:rsidR="00540585">
              <w:rPr>
                <w:rFonts w:eastAsia="Calibri"/>
              </w:rPr>
              <w: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r w:rsidR="00A47BDA">
              <w:rPr>
                <w:rFonts w:eastAsia="Calibri"/>
              </w:rPr>
              <w:t xml:space="preserve"> (negative)</w:t>
            </w:r>
            <w:r w:rsidRPr="008817D0">
              <w:rPr>
                <w:rFonts w:eastAsia="Calibri"/>
              </w:rPr>
              <w:t>;</w:t>
            </w:r>
          </w:p>
        </w:tc>
      </w:tr>
      <w:tr w:rsidR="0089020D" w:rsidRPr="008817D0" w14:paraId="414E5489" w14:textId="77777777" w:rsidTr="007B7476">
        <w:tc>
          <w:tcPr>
            <w:tcW w:w="1131" w:type="dxa"/>
            <w:shd w:val="clear" w:color="auto" w:fill="auto"/>
            <w:hideMark/>
          </w:tcPr>
          <w:p w14:paraId="563A9539" w14:textId="4BE2F614" w:rsidR="0089020D" w:rsidRPr="00FA6B35" w:rsidRDefault="00AE7E55" w:rsidP="00705C2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
          <w:p w14:paraId="207B9D4D" w14:textId="7B200A8D" w:rsidR="0089020D" w:rsidRPr="008817D0" w:rsidRDefault="0089020D" w:rsidP="00540585">
            <w:pPr>
              <w:spacing w:after="240" w:line="300" w:lineRule="auto"/>
              <w:rPr>
                <w:rFonts w:eastAsia="Calibri"/>
              </w:rPr>
            </w:pPr>
            <w:r w:rsidRPr="008817D0">
              <w:rPr>
                <w:rFonts w:eastAsia="Calibri"/>
              </w:rPr>
              <w:t xml:space="preserve">is the </w:t>
            </w:r>
            <w:r w:rsidR="005E2ABF">
              <w:rPr>
                <w:rFonts w:eastAsia="Calibri"/>
              </w:rPr>
              <w:t xml:space="preserve">cumulative </w:t>
            </w:r>
            <w:r w:rsidRPr="008817D0">
              <w:rPr>
                <w:rFonts w:eastAsia="Calibri"/>
              </w:rPr>
              <w:t xml:space="preserve">flexible ramp </w:t>
            </w:r>
            <w:r>
              <w:rPr>
                <w:rFonts w:eastAsia="Calibri"/>
              </w:rPr>
              <w:t xml:space="preserve">up </w:t>
            </w:r>
            <w:r w:rsidRPr="008817D0">
              <w:rPr>
                <w:rFonts w:eastAsia="Calibri"/>
              </w:rPr>
              <w:t>requirement</w:t>
            </w:r>
            <w:r>
              <w:rPr>
                <w:rFonts w:eastAsia="Calibri"/>
              </w:rPr>
              <w:t xml:space="preserve"> </w:t>
            </w:r>
            <w:r w:rsidR="005E2ABF">
              <w:rPr>
                <w:rFonts w:eastAsia="Calibri"/>
              </w:rPr>
              <w:t xml:space="preserve">from the last 15-minute interval of the current hour to </w:t>
            </w:r>
            <w:r>
              <w:rPr>
                <w:rFonts w:eastAsia="Calibri"/>
              </w:rPr>
              <w:t>a given 15-minute interval</w:t>
            </w:r>
            <w:r w:rsidRPr="008817D0">
              <w:rPr>
                <w:rFonts w:eastAsia="Calibri"/>
              </w:rPr>
              <w:t xml:space="preserve"> </w:t>
            </w:r>
            <w:r w:rsidR="005E2ABF">
              <w:rPr>
                <w:rFonts w:eastAsia="Calibri"/>
              </w:rPr>
              <w:t xml:space="preserve">in the next hour </w:t>
            </w:r>
            <w:r w:rsidRPr="008817D0">
              <w:rPr>
                <w:rFonts w:eastAsia="Calibri"/>
              </w:rPr>
              <w:t xml:space="preserve">for EIM Entity </w:t>
            </w:r>
            <w:r w:rsidR="00540585">
              <w:rPr>
                <w:rFonts w:eastAsia="Calibri"/>
                <w:i/>
              </w:rPr>
              <w:t>i</w:t>
            </w:r>
            <w:r w:rsidR="005E2ABF">
              <w:rPr>
                <w:rFonts w:eastAsia="Calibri"/>
              </w:rPr>
              <w:t>;</w:t>
            </w:r>
            <w:r w:rsidRPr="008817D0">
              <w:rPr>
                <w:rFonts w:eastAsia="Calibri"/>
              </w:rPr>
              <w:t xml:space="preserve"> </w:t>
            </w:r>
            <w:r w:rsidR="005E2ABF">
              <w:rPr>
                <w:rFonts w:eastAsia="Calibri"/>
              </w:rPr>
              <w:t xml:space="preserve">it includes </w:t>
            </w:r>
            <w:r w:rsidR="00540585">
              <w:rPr>
                <w:rFonts w:eastAsia="Calibri"/>
              </w:rPr>
              <w:t xml:space="preserve">the effects of </w:t>
            </w:r>
            <w:r w:rsidR="005E2ABF">
              <w:rPr>
                <w:rFonts w:eastAsia="Calibri"/>
              </w:rPr>
              <w:t>EIM</w:t>
            </w:r>
            <w:r w:rsidRPr="008817D0">
              <w:rPr>
                <w:rFonts w:eastAsia="Calibri"/>
              </w:rPr>
              <w:t xml:space="preserve"> diversity benefit</w:t>
            </w:r>
            <w:r w:rsidR="005E2ABF">
              <w:rPr>
                <w:rFonts w:eastAsia="Calibri"/>
              </w:rPr>
              <w:t xml:space="preserve"> and credit</w:t>
            </w:r>
            <w:r w:rsidRPr="008817D0">
              <w:rPr>
                <w:rFonts w:eastAsia="Calibri"/>
              </w:rPr>
              <w:t>;</w:t>
            </w:r>
          </w:p>
        </w:tc>
      </w:tr>
      <w:tr w:rsidR="00540585" w:rsidRPr="008817D0" w14:paraId="24925A0B" w14:textId="77777777" w:rsidTr="007B7476">
        <w:tc>
          <w:tcPr>
            <w:tcW w:w="1131" w:type="dxa"/>
            <w:shd w:val="clear" w:color="auto" w:fill="auto"/>
            <w:hideMark/>
          </w:tcPr>
          <w:p w14:paraId="750DE322" w14:textId="6806BC92" w:rsidR="00540585" w:rsidRPr="00FA6B35" w:rsidRDefault="00AE7E55" w:rsidP="00540585">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
          <w:p w14:paraId="30CF879D" w14:textId="2225458B" w:rsidR="00540585" w:rsidRPr="008817D0" w:rsidRDefault="00540585" w:rsidP="00540585">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down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r w:rsidRPr="008817D0">
              <w:rPr>
                <w:rFonts w:eastAsia="Calibri"/>
              </w:rPr>
              <w:t xml:space="preserve"> </w:t>
            </w:r>
            <w:r>
              <w:rPr>
                <w:rFonts w:eastAsia="Calibri"/>
              </w:rPr>
              <w:t>it includes the effects of EIM</w:t>
            </w:r>
            <w:r w:rsidRPr="008817D0">
              <w:rPr>
                <w:rFonts w:eastAsia="Calibri"/>
              </w:rPr>
              <w:t xml:space="preserve"> diversity benefit</w:t>
            </w:r>
            <w:r>
              <w:rPr>
                <w:rFonts w:eastAsia="Calibri"/>
              </w:rPr>
              <w:t xml:space="preserve"> and credit</w:t>
            </w:r>
            <w:r w:rsidRPr="008817D0">
              <w:rPr>
                <w:rFonts w:eastAsia="Calibri"/>
              </w:rPr>
              <w:t>;</w:t>
            </w:r>
          </w:p>
        </w:tc>
      </w:tr>
      <w:tr w:rsidR="000D30A8" w:rsidRPr="008817D0" w14:paraId="17BC83E7" w14:textId="77777777" w:rsidTr="007B7476">
        <w:tc>
          <w:tcPr>
            <w:tcW w:w="1131" w:type="dxa"/>
            <w:shd w:val="clear" w:color="auto" w:fill="auto"/>
          </w:tcPr>
          <w:p w14:paraId="14C03BB4" w14:textId="2608A667" w:rsidR="000D30A8" w:rsidRPr="000D30A8" w:rsidRDefault="000D30A8" w:rsidP="00540585">
            <w:pPr>
              <w:spacing w:after="240" w:line="300" w:lineRule="auto"/>
              <w:rPr>
                <w:rFonts w:ascii="Calibri" w:eastAsia="Calibri" w:hAnsi="Calibri" w:cs="Times New Roman"/>
                <w:color w:val="000000"/>
              </w:rPr>
            </w:pPr>
            <m:oMathPara>
              <m:oMathParaPr>
                <m:jc m:val="left"/>
              </m:oMathParaPr>
              <m:oMath>
                <m:r>
                  <w:rPr>
                    <w:rFonts w:ascii="Cambria Math" w:eastAsia="Calibri" w:hAnsi="Cambria Math"/>
                    <w:color w:val="000000"/>
                  </w:rPr>
                  <w:lastRenderedPageBreak/>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oMath>
            </m:oMathPara>
          </w:p>
        </w:tc>
        <w:tc>
          <w:tcPr>
            <w:tcW w:w="7869" w:type="dxa"/>
            <w:shd w:val="clear" w:color="auto" w:fill="auto"/>
          </w:tcPr>
          <w:p w14:paraId="2DBF1CB1" w14:textId="56D5D491" w:rsidR="000D30A8" w:rsidRPr="008817D0" w:rsidRDefault="000D30A8" w:rsidP="00540585">
            <w:pPr>
              <w:spacing w:after="240" w:line="300" w:lineRule="auto"/>
              <w:rPr>
                <w:rFonts w:eastAsia="Calibri"/>
              </w:rPr>
            </w:pPr>
            <w:r>
              <w:rPr>
                <w:rFonts w:eastAsia="Calibri"/>
              </w:rPr>
              <w:t>is the change in the demand forecast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p>
        </w:tc>
      </w:tr>
      <w:tr w:rsidR="008817D0" w:rsidRPr="008817D0" w14:paraId="1F4785AD" w14:textId="77777777" w:rsidTr="005D0E24">
        <w:tc>
          <w:tcPr>
            <w:tcW w:w="1131" w:type="dxa"/>
            <w:shd w:val="clear" w:color="auto" w:fill="auto"/>
            <w:hideMark/>
          </w:tcPr>
          <w:p w14:paraId="48E9EB9C" w14:textId="77777777" w:rsidR="008817D0" w:rsidRPr="000D0C70" w:rsidRDefault="00AE7E55" w:rsidP="008817D0">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oMath>
            </m:oMathPara>
          </w:p>
        </w:tc>
        <w:tc>
          <w:tcPr>
            <w:tcW w:w="7869" w:type="dxa"/>
            <w:shd w:val="clear" w:color="auto" w:fill="auto"/>
            <w:hideMark/>
          </w:tcPr>
          <w:p w14:paraId="51009B02" w14:textId="53B6B190" w:rsidR="008817D0" w:rsidRPr="008817D0" w:rsidRDefault="008817D0" w:rsidP="00F53882">
            <w:pPr>
              <w:spacing w:after="240" w:line="300" w:lineRule="auto"/>
              <w:rPr>
                <w:rFonts w:eastAsia="Calibri"/>
              </w:rPr>
            </w:pPr>
            <w:r w:rsidRPr="008817D0">
              <w:rPr>
                <w:rFonts w:eastAsia="Calibri"/>
              </w:rPr>
              <w:t xml:space="preserve">is the available net import </w:t>
            </w:r>
            <w:r w:rsidR="0089020D">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sidR="00F53882">
              <w:rPr>
                <w:rFonts w:eastAsia="Calibri"/>
              </w:rPr>
              <w:t xml:space="preserve">at the last 15-minute interval of the current </w:t>
            </w:r>
            <w:r w:rsidRPr="008817D0">
              <w:rPr>
                <w:rFonts w:eastAsia="Calibri"/>
              </w:rPr>
              <w:t>hour</w:t>
            </w:r>
            <w:r w:rsidR="000D0C70">
              <w:rPr>
                <w:rFonts w:eastAsia="Calibri"/>
              </w:rPr>
              <w:t xml:space="preserve"> (negative)</w:t>
            </w:r>
            <w:r w:rsidRPr="008817D0">
              <w:rPr>
                <w:rFonts w:eastAsia="Calibri"/>
              </w:rPr>
              <w:t>;</w:t>
            </w:r>
          </w:p>
        </w:tc>
      </w:tr>
      <w:tr w:rsidR="00F53882" w:rsidRPr="008817D0" w14:paraId="352F38F2" w14:textId="77777777" w:rsidTr="007B7476">
        <w:tc>
          <w:tcPr>
            <w:tcW w:w="1131" w:type="dxa"/>
            <w:shd w:val="clear" w:color="auto" w:fill="auto"/>
            <w:hideMark/>
          </w:tcPr>
          <w:p w14:paraId="6B7B1599" w14:textId="4F34C07F" w:rsidR="00F53882" w:rsidRPr="000D0C70" w:rsidRDefault="00AE7E55" w:rsidP="00F53882">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oMath>
            </m:oMathPara>
          </w:p>
        </w:tc>
        <w:tc>
          <w:tcPr>
            <w:tcW w:w="7869" w:type="dxa"/>
            <w:shd w:val="clear" w:color="auto" w:fill="auto"/>
            <w:hideMark/>
          </w:tcPr>
          <w:p w14:paraId="6BF871B6" w14:textId="323C5C0C" w:rsidR="00F53882" w:rsidRPr="008817D0" w:rsidRDefault="00F53882" w:rsidP="00F53882">
            <w:pPr>
              <w:spacing w:after="240" w:line="300" w:lineRule="auto"/>
              <w:rPr>
                <w:rFonts w:eastAsia="Calibri"/>
              </w:rPr>
            </w:pPr>
            <w:r w:rsidRPr="008817D0">
              <w:rPr>
                <w:rFonts w:eastAsia="Calibri"/>
              </w:rPr>
              <w:t xml:space="preserve">is the available net </w:t>
            </w:r>
            <w:r>
              <w:rPr>
                <w:rFonts w:eastAsia="Calibri"/>
              </w:rPr>
              <w:t>ex</w:t>
            </w:r>
            <w:r w:rsidRPr="008817D0">
              <w:rPr>
                <w:rFonts w:eastAsia="Calibri"/>
              </w:rPr>
              <w:t xml:space="preserve">port </w:t>
            </w:r>
            <w:r>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(positive)</w:t>
            </w:r>
            <w:r w:rsidRPr="008817D0">
              <w:rPr>
                <w:rFonts w:eastAsia="Calibri"/>
              </w:rPr>
              <w:t>;</w:t>
            </w:r>
          </w:p>
        </w:tc>
      </w:tr>
      <w:tr w:rsidR="009C78FC" w:rsidRPr="008817D0" w14:paraId="0917304E" w14:textId="77777777" w:rsidTr="007B7476">
        <w:tc>
          <w:tcPr>
            <w:tcW w:w="1131" w:type="dxa"/>
            <w:shd w:val="clear" w:color="auto" w:fill="auto"/>
          </w:tcPr>
          <w:p w14:paraId="749D3222" w14:textId="59A4DCBA" w:rsidR="009C78FC" w:rsidRPr="005D0E24" w:rsidRDefault="009C78FC" w:rsidP="00F53882">
            <w:pPr>
              <w:spacing w:after="240" w:line="300" w:lineRule="auto"/>
              <w:rPr>
                <w:rFonts w:ascii="Calibri" w:eastAsia="Calibri" w:hAnsi="Calibri" w:cs="Times New Roman"/>
                <w:i/>
                <w:color w:val="000000"/>
              </w:rPr>
            </w:pPr>
            <w:r w:rsidRPr="005D0E24">
              <w:rPr>
                <w:rFonts w:ascii="Calibri" w:eastAsia="Calibri" w:hAnsi="Calibri" w:cs="Times New Roman"/>
                <w:i/>
                <w:color w:val="000000"/>
              </w:rPr>
              <w:t>FRUR</w:t>
            </w:r>
          </w:p>
        </w:tc>
        <w:tc>
          <w:tcPr>
            <w:tcW w:w="7869" w:type="dxa"/>
            <w:shd w:val="clear" w:color="auto" w:fill="auto"/>
          </w:tcPr>
          <w:p w14:paraId="4D9931C5" w14:textId="6AA69968" w:rsidR="009C78FC" w:rsidRPr="008817D0" w:rsidRDefault="009C78FC" w:rsidP="00F53882">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w:t>
            </w:r>
          </w:p>
        </w:tc>
      </w:tr>
      <w:tr w:rsidR="009C78FC" w:rsidRPr="008817D0" w14:paraId="4A41DD79" w14:textId="77777777" w:rsidTr="007B7476">
        <w:tc>
          <w:tcPr>
            <w:tcW w:w="1131" w:type="dxa"/>
            <w:shd w:val="clear" w:color="auto" w:fill="auto"/>
          </w:tcPr>
          <w:p w14:paraId="7B4848E1" w14:textId="68D388E6" w:rsidR="009C78FC" w:rsidRPr="00D90237" w:rsidRDefault="009C78FC" w:rsidP="009C78FC">
            <w:pPr>
              <w:spacing w:after="240" w:line="300" w:lineRule="auto"/>
              <w:rPr>
                <w:rFonts w:ascii="Calibri" w:eastAsia="Calibri" w:hAnsi="Calibri" w:cs="Times New Roman"/>
                <w:i/>
                <w:color w:val="000000"/>
              </w:rPr>
            </w:pPr>
            <w:r w:rsidRPr="00D90237">
              <w:rPr>
                <w:rFonts w:ascii="Calibri" w:eastAsia="Calibri" w:hAnsi="Calibri" w:cs="Times New Roman"/>
                <w:i/>
                <w:color w:val="000000"/>
              </w:rPr>
              <w:t>FR</w:t>
            </w:r>
            <w:r>
              <w:rPr>
                <w:rFonts w:ascii="Calibri" w:eastAsia="Calibri" w:hAnsi="Calibri" w:cs="Times New Roman"/>
                <w:i/>
                <w:color w:val="000000"/>
              </w:rPr>
              <w:t>D</w:t>
            </w:r>
            <w:r w:rsidRPr="00D90237">
              <w:rPr>
                <w:rFonts w:ascii="Calibri" w:eastAsia="Calibri" w:hAnsi="Calibri" w:cs="Times New Roman"/>
                <w:i/>
                <w:color w:val="000000"/>
              </w:rPr>
              <w:t>R</w:t>
            </w:r>
          </w:p>
        </w:tc>
        <w:tc>
          <w:tcPr>
            <w:tcW w:w="7869" w:type="dxa"/>
            <w:shd w:val="clear" w:color="auto" w:fill="auto"/>
          </w:tcPr>
          <w:p w14:paraId="1F20D96D" w14:textId="42D48354" w:rsidR="009C78FC" w:rsidRPr="008817D0" w:rsidRDefault="009C78FC" w:rsidP="009C78FC">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 (negative);</w:t>
            </w:r>
          </w:p>
        </w:tc>
      </w:tr>
      <w:tr w:rsidR="008817D0" w:rsidRPr="008817D0" w14:paraId="3E062B07" w14:textId="77777777" w:rsidTr="005D0E24">
        <w:tc>
          <w:tcPr>
            <w:tcW w:w="1131" w:type="dxa"/>
            <w:shd w:val="clear" w:color="auto" w:fill="auto"/>
            <w:hideMark/>
          </w:tcPr>
          <w:p w14:paraId="15E0118C" w14:textId="22C6CC03" w:rsidR="008817D0" w:rsidRPr="008817D0" w:rsidRDefault="008817D0" w:rsidP="000E16AB">
            <w:pPr>
              <w:spacing w:after="240" w:line="300" w:lineRule="auto"/>
              <w:rPr>
                <w:rFonts w:eastAsia="Calibri"/>
                <w:i/>
              </w:rPr>
            </w:pPr>
            <w:r w:rsidRPr="008817D0">
              <w:rPr>
                <w:rFonts w:eastAsia="Calibri"/>
                <w:i/>
              </w:rPr>
              <w:t>TFR</w:t>
            </w:r>
            <w:r w:rsidR="000D0C70">
              <w:rPr>
                <w:rFonts w:eastAsia="Calibri"/>
                <w:i/>
              </w:rPr>
              <w:t>U</w:t>
            </w:r>
            <w:r w:rsidRPr="008817D0">
              <w:rPr>
                <w:rFonts w:eastAsia="Calibri"/>
                <w:i/>
              </w:rPr>
              <w:t>R</w:t>
            </w:r>
          </w:p>
        </w:tc>
        <w:tc>
          <w:tcPr>
            <w:tcW w:w="7869" w:type="dxa"/>
            <w:shd w:val="clear" w:color="auto" w:fill="auto"/>
            <w:hideMark/>
          </w:tcPr>
          <w:p w14:paraId="500DD737" w14:textId="53486C2C" w:rsidR="008817D0" w:rsidRPr="008817D0" w:rsidRDefault="008817D0" w:rsidP="009C78FC">
            <w:pPr>
              <w:spacing w:after="240" w:line="300" w:lineRule="auto"/>
              <w:rPr>
                <w:rFonts w:eastAsia="Calibri"/>
              </w:rPr>
            </w:pPr>
            <w:r w:rsidRPr="008817D0">
              <w:rPr>
                <w:rFonts w:eastAsia="Calibri"/>
              </w:rPr>
              <w:t xml:space="preserve">is the </w:t>
            </w:r>
            <w:r w:rsidR="009C78FC">
              <w:rPr>
                <w:rFonts w:eastAsia="Calibri"/>
              </w:rPr>
              <w:t>sum of the</w:t>
            </w:r>
            <w:r w:rsidR="009C78FC" w:rsidRPr="008817D0">
              <w:rPr>
                <w:rFonts w:eastAsia="Calibri"/>
              </w:rPr>
              <w:t xml:space="preserve"> </w:t>
            </w:r>
            <w:r w:rsidRPr="008817D0">
              <w:rPr>
                <w:rFonts w:eastAsia="Calibri"/>
              </w:rPr>
              <w:t xml:space="preserve">flexible ramp </w:t>
            </w:r>
            <w:r w:rsidR="000E16AB">
              <w:rPr>
                <w:rFonts w:eastAsia="Calibri"/>
              </w:rPr>
              <w:t xml:space="preserve">up uncertainty </w:t>
            </w:r>
            <w:r w:rsidRPr="008817D0">
              <w:rPr>
                <w:rFonts w:eastAsia="Calibri"/>
              </w:rPr>
              <w:t>requirement</w:t>
            </w:r>
            <w:r w:rsidR="009C78FC">
              <w:rPr>
                <w:rFonts w:eastAsia="Calibri"/>
              </w:rPr>
              <w:t>s</w:t>
            </w:r>
            <w:r w:rsidRPr="008817D0">
              <w:rPr>
                <w:rFonts w:eastAsia="Calibri"/>
              </w:rPr>
              <w:t xml:space="preserve"> </w:t>
            </w:r>
            <w:r w:rsidR="009C78FC">
              <w:rPr>
                <w:rFonts w:eastAsia="Calibri"/>
              </w:rPr>
              <w:t>of all BAAs in the</w:t>
            </w:r>
            <w:r w:rsidRPr="008817D0">
              <w:rPr>
                <w:rFonts w:eastAsia="Calibri"/>
              </w:rPr>
              <w:t xml:space="preserve"> EIM </w:t>
            </w:r>
            <w:r w:rsidR="000E16AB">
              <w:rPr>
                <w:rFonts w:eastAsia="Calibri"/>
              </w:rPr>
              <w:t>Area</w:t>
            </w:r>
            <w:r w:rsidR="000E16AB" w:rsidRPr="008817D0">
              <w:rPr>
                <w:rFonts w:eastAsia="Calibri"/>
              </w:rPr>
              <w:t xml:space="preserve"> </w:t>
            </w:r>
            <w:r w:rsidR="000E16AB">
              <w:rPr>
                <w:rFonts w:eastAsia="Calibri"/>
              </w:rPr>
              <w:t>for a given 15-minute interval</w:t>
            </w:r>
            <w:r w:rsidR="000E16AB" w:rsidRPr="008817D0">
              <w:rPr>
                <w:rFonts w:eastAsia="Calibri"/>
              </w:rPr>
              <w:t xml:space="preserve"> </w:t>
            </w:r>
            <w:r w:rsidR="009C78FC">
              <w:rPr>
                <w:rFonts w:eastAsia="Calibri"/>
              </w:rPr>
              <w:t>in the next hour</w:t>
            </w:r>
            <w:r w:rsidRPr="008817D0">
              <w:rPr>
                <w:rFonts w:eastAsia="Calibri"/>
              </w:rPr>
              <w:t>;</w:t>
            </w:r>
          </w:p>
        </w:tc>
      </w:tr>
      <w:tr w:rsidR="00255797" w:rsidRPr="008817D0" w14:paraId="3426014D" w14:textId="77777777" w:rsidTr="007B7476">
        <w:tc>
          <w:tcPr>
            <w:tcW w:w="1131" w:type="dxa"/>
            <w:shd w:val="clear" w:color="auto" w:fill="auto"/>
            <w:hideMark/>
          </w:tcPr>
          <w:p w14:paraId="2666F7DB" w14:textId="75AF0135" w:rsidR="00255797" w:rsidRPr="008817D0" w:rsidRDefault="00255797" w:rsidP="00255797">
            <w:pPr>
              <w:spacing w:after="240" w:line="300" w:lineRule="auto"/>
              <w:rPr>
                <w:rFonts w:eastAsia="Calibri"/>
                <w:i/>
              </w:rPr>
            </w:pPr>
            <w:r w:rsidRPr="008817D0">
              <w:rPr>
                <w:rFonts w:eastAsia="Calibri"/>
                <w:i/>
              </w:rPr>
              <w:t>TFR</w:t>
            </w:r>
            <w:r>
              <w:rPr>
                <w:rFonts w:eastAsia="Calibri"/>
                <w:i/>
              </w:rPr>
              <w:t>D</w:t>
            </w:r>
            <w:r w:rsidRPr="008817D0">
              <w:rPr>
                <w:rFonts w:eastAsia="Calibri"/>
                <w:i/>
              </w:rPr>
              <w:t>R</w:t>
            </w:r>
          </w:p>
        </w:tc>
        <w:tc>
          <w:tcPr>
            <w:tcW w:w="7869" w:type="dxa"/>
            <w:shd w:val="clear" w:color="auto" w:fill="auto"/>
            <w:hideMark/>
          </w:tcPr>
          <w:p w14:paraId="573F5829" w14:textId="65624655" w:rsidR="00255797" w:rsidRPr="008817D0" w:rsidRDefault="00255797" w:rsidP="00255797">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down uncertainty </w:t>
            </w:r>
            <w:r w:rsidRPr="008817D0">
              <w:rPr>
                <w:rFonts w:eastAsia="Calibri"/>
              </w:rPr>
              <w:t>requirement</w:t>
            </w:r>
            <w:r>
              <w:rPr>
                <w:rFonts w:eastAsia="Calibri"/>
              </w:rPr>
              <w:t>s</w:t>
            </w:r>
            <w:r w:rsidRPr="008817D0">
              <w:rPr>
                <w:rFonts w:eastAsia="Calibri"/>
              </w:rPr>
              <w:t xml:space="preserve"> </w:t>
            </w:r>
            <w:r>
              <w:rPr>
                <w:rFonts w:eastAsia="Calibri"/>
              </w:rPr>
              <w:t>of all BAAs in the</w:t>
            </w:r>
            <w:r w:rsidRPr="008817D0">
              <w:rPr>
                <w:rFonts w:eastAsia="Calibri"/>
              </w:rPr>
              <w:t xml:space="preserve"> EIM </w:t>
            </w:r>
            <w:r>
              <w:rPr>
                <w:rFonts w:eastAsia="Calibri"/>
              </w:rPr>
              <w:t>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 (negative)</w:t>
            </w:r>
            <w:r w:rsidRPr="008817D0">
              <w:rPr>
                <w:rFonts w:eastAsia="Calibri"/>
              </w:rPr>
              <w:t>;</w:t>
            </w:r>
          </w:p>
        </w:tc>
      </w:tr>
      <w:tr w:rsidR="008817D0" w:rsidRPr="008817D0" w14:paraId="02648EB2" w14:textId="77777777" w:rsidTr="005D0E24">
        <w:tc>
          <w:tcPr>
            <w:tcW w:w="1131" w:type="dxa"/>
            <w:shd w:val="clear" w:color="auto" w:fill="auto"/>
            <w:hideMark/>
          </w:tcPr>
          <w:p w14:paraId="03BECBC6" w14:textId="1C6AC25B" w:rsidR="008817D0" w:rsidRPr="00596474" w:rsidRDefault="00AE7E55" w:rsidP="00596474">
            <w:pPr>
              <w:spacing w:after="240" w:line="300" w:lineRule="auto"/>
              <w:rPr>
                <w:rFonts w:eastAsia="Calibri"/>
                <w: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oMath>
            </m:oMathPara>
          </w:p>
        </w:tc>
        <w:tc>
          <w:tcPr>
            <w:tcW w:w="7869" w:type="dxa"/>
            <w:shd w:val="clear" w:color="auto" w:fill="auto"/>
            <w:hideMark/>
          </w:tcPr>
          <w:p w14:paraId="499C0B26" w14:textId="46AEE5E4" w:rsidR="008817D0" w:rsidRPr="008817D0" w:rsidRDefault="008817D0" w:rsidP="007B7476">
            <w:pPr>
              <w:spacing w:after="240" w:line="300" w:lineRule="auto"/>
              <w:rPr>
                <w:rFonts w:eastAsia="Calibri"/>
              </w:rPr>
            </w:pPr>
            <w:r w:rsidRPr="008817D0">
              <w:rPr>
                <w:rFonts w:eastAsia="Calibri"/>
              </w:rPr>
              <w:t xml:space="preserve">is the flexible ramp </w:t>
            </w:r>
            <w:r w:rsidR="00596474">
              <w:rPr>
                <w:rFonts w:eastAsia="Calibri"/>
              </w:rPr>
              <w:t xml:space="preserve">up </w:t>
            </w:r>
            <w:r w:rsidRPr="008817D0">
              <w:rPr>
                <w:rFonts w:eastAsia="Calibri"/>
              </w:rPr>
              <w:t xml:space="preserve">credit </w:t>
            </w:r>
            <w:r w:rsidR="00BB4964">
              <w:rPr>
                <w:rFonts w:eastAsia="Calibri"/>
              </w:rPr>
              <w:t>for a given 15-minute interval in the next hour</w:t>
            </w:r>
            <w:r w:rsidR="00BB4964" w:rsidRPr="008817D0">
              <w:rPr>
                <w:rFonts w:eastAsia="Calibri"/>
              </w:rPr>
              <w:t xml:space="preserve"> for EIM Entity </w:t>
            </w:r>
            <w:r w:rsidR="00BB4964">
              <w:rPr>
                <w:rFonts w:eastAsia="Calibri"/>
                <w:i/>
              </w:rPr>
              <w:t>i</w:t>
            </w:r>
            <w:r w:rsidR="00BB4964">
              <w:rPr>
                <w:rFonts w:eastAsia="Calibri"/>
              </w:rPr>
              <w:t>,</w:t>
            </w:r>
            <w:r w:rsidR="00BB4964" w:rsidRPr="008817D0">
              <w:rPr>
                <w:rFonts w:eastAsia="Calibri"/>
              </w:rPr>
              <w:t xml:space="preserve"> </w:t>
            </w:r>
            <w:r w:rsidRPr="008817D0">
              <w:rPr>
                <w:rFonts w:eastAsia="Calibri"/>
              </w:rPr>
              <w:t xml:space="preserve">equal to the </w:t>
            </w:r>
            <w:r w:rsidR="00BB4964">
              <w:rPr>
                <w:rFonts w:eastAsia="Calibri"/>
              </w:rPr>
              <w:t xml:space="preserve">net EIM </w:t>
            </w:r>
            <w:r w:rsidR="007B7476">
              <w:rPr>
                <w:rFonts w:eastAsia="Calibri"/>
              </w:rPr>
              <w:t>export</w:t>
            </w:r>
            <w:r w:rsidR="00BB4964">
              <w:rPr>
                <w:rFonts w:eastAsia="Calibri"/>
              </w:rPr>
              <w:t xml:space="preserve"> transfer at the last 15-minute interval of the current </w:t>
            </w:r>
            <w:r w:rsidR="00BB4964" w:rsidRPr="008817D0">
              <w:rPr>
                <w:rFonts w:eastAsia="Calibri"/>
              </w:rPr>
              <w:t>hour</w:t>
            </w:r>
            <w:r w:rsidR="00BB4964">
              <w:rPr>
                <w:rFonts w:eastAsia="Calibri"/>
              </w:rPr>
              <w:t>; and</w:t>
            </w:r>
          </w:p>
        </w:tc>
      </w:tr>
      <w:tr w:rsidR="007B7476" w:rsidRPr="008817D0" w14:paraId="6EB57E66" w14:textId="77777777" w:rsidTr="00142E9E">
        <w:tc>
          <w:tcPr>
            <w:tcW w:w="1131" w:type="dxa"/>
            <w:shd w:val="clear" w:color="auto" w:fill="auto"/>
          </w:tcPr>
          <w:p w14:paraId="4F311ED4" w14:textId="0A4F8CEA" w:rsidR="007B7476" w:rsidRDefault="00AE7E55" w:rsidP="007B7476">
            <w:pPr>
              <w:spacing w:after="240" w:line="300" w:lineRule="auto"/>
              <w:rPr>
                <w:rFonts w:ascii="Calibri" w:eastAsia="Calibri" w:hAnsi="Calibri" w:cs="Times New Roman"/>
                <w:color w:val="000000"/>
              </w:rPr>
            </w:pPr>
            <m:oMathPara>
              <m:oMath>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oMath>
            </m:oMathPara>
          </w:p>
        </w:tc>
        <w:tc>
          <w:tcPr>
            <w:tcW w:w="7869" w:type="dxa"/>
            <w:shd w:val="clear" w:color="auto" w:fill="auto"/>
          </w:tcPr>
          <w:p w14:paraId="2A78933E" w14:textId="6BBA9DAB" w:rsidR="007B7476" w:rsidRPr="008817D0" w:rsidRDefault="007B7476" w:rsidP="007B7476">
            <w:pPr>
              <w:spacing w:after="240" w:line="300" w:lineRule="auto"/>
              <w:rPr>
                <w:rFonts w:eastAsia="Calibri"/>
              </w:rPr>
            </w:pPr>
            <w:r w:rsidRPr="008817D0">
              <w:rPr>
                <w:rFonts w:eastAsia="Calibri"/>
              </w:rPr>
              <w:t xml:space="preserve">is the flexible ramp </w:t>
            </w:r>
            <w:r>
              <w:rPr>
                <w:rFonts w:eastAsia="Calibri"/>
              </w:rPr>
              <w:t xml:space="preserve">down </w:t>
            </w:r>
            <w:r w:rsidRPr="008817D0">
              <w:rPr>
                <w:rFonts w:eastAsia="Calibri"/>
              </w:rPr>
              <w:t xml:space="preserve">credit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equal to the </w:t>
            </w:r>
            <w:r>
              <w:rPr>
                <w:rFonts w:eastAsia="Calibri"/>
              </w:rPr>
              <w:t xml:space="preserve">net EIM import transfer at the last 15-minute interval of the current </w:t>
            </w:r>
            <w:r w:rsidRPr="008817D0">
              <w:rPr>
                <w:rFonts w:eastAsia="Calibri"/>
              </w:rPr>
              <w:t>hour</w:t>
            </w:r>
            <w:r>
              <w:rPr>
                <w:rFonts w:eastAsia="Calibri"/>
              </w:rPr>
              <w:t xml:space="preserve"> (negative).</w:t>
            </w:r>
          </w:p>
        </w:tc>
      </w:tr>
    </w:tbl>
    <w:p w14:paraId="66C2E6A1" w14:textId="4E50FC0B" w:rsidR="008817D0" w:rsidRPr="008817D0" w:rsidRDefault="008817D0" w:rsidP="002F635A">
      <w:pPr>
        <w:spacing w:after="240" w:line="300" w:lineRule="auto"/>
        <w:rPr>
          <w:rFonts w:eastAsia="Calibri"/>
        </w:rPr>
      </w:pPr>
      <w:r w:rsidRPr="008817D0">
        <w:rPr>
          <w:rFonts w:eastAsia="Calibri"/>
        </w:rPr>
        <w:t xml:space="preserve">This requirement reflects a pro rata share of potential EIM </w:t>
      </w:r>
      <w:r w:rsidR="001672D4">
        <w:rPr>
          <w:rFonts w:eastAsia="Calibri"/>
        </w:rPr>
        <w:t>D</w:t>
      </w:r>
      <w:r w:rsidRPr="008817D0">
        <w:rPr>
          <w:rFonts w:eastAsia="Calibri"/>
        </w:rPr>
        <w:t xml:space="preserve">iversity </w:t>
      </w:r>
      <w:r w:rsidR="001672D4">
        <w:rPr>
          <w:rFonts w:eastAsia="Calibri"/>
        </w:rPr>
        <w:t>B</w:t>
      </w:r>
      <w:r w:rsidRPr="008817D0">
        <w:rPr>
          <w:rFonts w:eastAsia="Calibri"/>
        </w:rPr>
        <w:t>enefit and the flexible ramping credit, up to the available net import</w:t>
      </w:r>
      <w:r w:rsidR="0042276C">
        <w:rPr>
          <w:rFonts w:eastAsia="Calibri"/>
        </w:rPr>
        <w:t>/export transfer</w:t>
      </w:r>
      <w:r w:rsidRPr="008817D0">
        <w:rPr>
          <w:rFonts w:eastAsia="Calibri"/>
        </w:rPr>
        <w:t xml:space="preserve"> capability. The EIM </w:t>
      </w:r>
      <w:r w:rsidR="001672D4">
        <w:rPr>
          <w:rFonts w:eastAsia="Calibri"/>
        </w:rPr>
        <w:t>D</w:t>
      </w:r>
      <w:r w:rsidRPr="008817D0">
        <w:rPr>
          <w:rFonts w:eastAsia="Calibri"/>
        </w:rPr>
        <w:t xml:space="preserve">iversity </w:t>
      </w:r>
      <w:r w:rsidR="001672D4">
        <w:rPr>
          <w:rFonts w:eastAsia="Calibri"/>
        </w:rPr>
        <w:t>B</w:t>
      </w:r>
      <w:r w:rsidRPr="008817D0">
        <w:rPr>
          <w:rFonts w:eastAsia="Calibri"/>
        </w:rPr>
        <w:t>enefit is the difference between the sum of the individual flexible ramping requirements of each BAA in the EIM Area and the flexible ramping requirement for the entire EIM Area taken as a whole.</w:t>
      </w:r>
    </w:p>
    <w:p w14:paraId="5E168F85" w14:textId="0C588C22" w:rsidR="008817D0" w:rsidRPr="008817D0" w:rsidRDefault="008817D0" w:rsidP="002F635A">
      <w:pPr>
        <w:spacing w:after="240" w:line="300" w:lineRule="auto"/>
        <w:rPr>
          <w:rFonts w:eastAsia="Calibri"/>
        </w:rPr>
      </w:pPr>
      <w:r w:rsidRPr="008817D0">
        <w:rPr>
          <w:rFonts w:eastAsia="Calibri"/>
        </w:rPr>
        <w:t xml:space="preserve">The </w:t>
      </w:r>
      <w:r w:rsidR="002462E5">
        <w:rPr>
          <w:rFonts w:eastAsia="Calibri"/>
        </w:rPr>
        <w:t>CAISO</w:t>
      </w:r>
      <w:r w:rsidRPr="008817D0">
        <w:rPr>
          <w:rFonts w:eastAsia="Calibri"/>
        </w:rPr>
        <w:t xml:space="preserve"> will perform a series of flexible ramping constraint sufficiency tests prior to </w:t>
      </w:r>
      <w:r w:rsidR="00BF3D50">
        <w:rPr>
          <w:rFonts w:eastAsia="Calibri"/>
        </w:rPr>
        <w:t>each hour</w:t>
      </w:r>
      <w:r w:rsidRPr="008817D0">
        <w:rPr>
          <w:rFonts w:eastAsia="Calibri"/>
        </w:rPr>
        <w:t>.  The EIM Entity Scheduling Coordinator will ha</w:t>
      </w:r>
      <w:r w:rsidR="000B6D3C">
        <w:rPr>
          <w:rFonts w:eastAsia="Calibri"/>
        </w:rPr>
        <w:t>ve an opportunity to re-submit Base S</w:t>
      </w:r>
      <w:r w:rsidRPr="008817D0">
        <w:rPr>
          <w:rFonts w:eastAsia="Calibri"/>
        </w:rPr>
        <w:t xml:space="preserve">chedules if it fails the flexible ramping constraint sufficiency test or to resolve congestion up to 40 minutes prior to the operating hour, which is just before the start of the first financially binding EIM 15-minute </w:t>
      </w:r>
      <w:r w:rsidRPr="008817D0">
        <w:rPr>
          <w:rFonts w:eastAsia="Calibri"/>
        </w:rPr>
        <w:lastRenderedPageBreak/>
        <w:t>market for the operating hour.</w:t>
      </w:r>
      <w:r w:rsidR="00883639" w:rsidRPr="00883639">
        <w:rPr>
          <w:rFonts w:eastAsia="Calibri"/>
        </w:rPr>
        <w:t xml:space="preserve"> </w:t>
      </w:r>
      <w:r w:rsidR="00883639">
        <w:rPr>
          <w:rFonts w:eastAsia="Calibri"/>
        </w:rPr>
        <w:t>Thresholds are developed by the CAISO to cap the flexible ramp up and down uncertainty requirements to within historical bounds.</w:t>
      </w:r>
    </w:p>
    <w:p w14:paraId="228CDAC7" w14:textId="77777777" w:rsidR="008817D0" w:rsidRPr="008817D0" w:rsidRDefault="008817D0" w:rsidP="008817D0">
      <w:pPr>
        <w:spacing w:after="240" w:line="300" w:lineRule="auto"/>
        <w:rPr>
          <w:rFonts w:eastAsia="Calibri"/>
        </w:rPr>
      </w:pPr>
      <w:r w:rsidRPr="008817D0">
        <w:rPr>
          <w:rFonts w:eastAsia="Calibri"/>
        </w:rPr>
        <w:t>The flexible ramp sufficiency test is performed for each EIM Entity BAA after T-75’, T-55’, and T-40’ for the trading hour starting at T. The test uses the initial schedules at T-7.5’ and EIM resources energy bids and ramp rates.</w:t>
      </w:r>
    </w:p>
    <w:p w14:paraId="10B1C8A1" w14:textId="7CF220D6" w:rsidR="008817D0" w:rsidRPr="008817D0" w:rsidRDefault="008817D0" w:rsidP="008817D0">
      <w:pPr>
        <w:spacing w:after="240" w:line="300" w:lineRule="auto"/>
        <w:rPr>
          <w:rFonts w:eastAsia="Calibri"/>
        </w:rPr>
      </w:pPr>
      <w:r w:rsidRPr="008817D0">
        <w:rPr>
          <w:rFonts w:eastAsia="Calibri"/>
        </w:rPr>
        <w:t>The test for meeting flexible ramp requirements is cumulative for each 15' interval of the hour.</w:t>
      </w:r>
      <w:r w:rsidR="009958D7">
        <w:rPr>
          <w:rFonts w:eastAsia="Calibri"/>
        </w:rPr>
        <w:t xml:space="preserve"> More specifically, for each interval, the flexible ramp requirement is the sum of the </w:t>
      </w:r>
      <w:r w:rsidR="00625C79">
        <w:rPr>
          <w:rFonts w:eastAsia="Calibri"/>
        </w:rPr>
        <w:t>demand forecast change</w:t>
      </w:r>
      <w:r w:rsidR="009958D7">
        <w:rPr>
          <w:rFonts w:eastAsia="Calibri"/>
        </w:rPr>
        <w:t xml:space="preserve"> from T-7.5’ to </w:t>
      </w:r>
      <w:r w:rsidR="00625C79">
        <w:rPr>
          <w:rFonts w:eastAsia="Calibri"/>
        </w:rPr>
        <w:t xml:space="preserve">the relevant </w:t>
      </w:r>
      <w:r w:rsidR="009958D7">
        <w:rPr>
          <w:rFonts w:eastAsia="Calibri"/>
        </w:rPr>
        <w:t xml:space="preserve">interval plus the flexible ramp </w:t>
      </w:r>
      <w:r w:rsidR="00625C79">
        <w:rPr>
          <w:rFonts w:eastAsia="Calibri"/>
        </w:rPr>
        <w:t>uncertainty requirement for that interval including the effects of EIM diversity and credit</w:t>
      </w:r>
      <w:r w:rsidR="000417E3">
        <w:rPr>
          <w:rFonts w:eastAsia="Calibri"/>
        </w:rPr>
        <w:t>:</w:t>
      </w:r>
    </w:p>
    <w:p w14:paraId="0F6A9525" w14:textId="77777777" w:rsidR="008817D0" w:rsidRPr="00877DDB" w:rsidRDefault="008817D0" w:rsidP="00877DDB">
      <w:pPr>
        <w:pStyle w:val="ListParagraph"/>
        <w:numPr>
          <w:ilvl w:val="0"/>
          <w:numId w:val="248"/>
        </w:numPr>
        <w:spacing w:after="240" w:line="300" w:lineRule="auto"/>
        <w:rPr>
          <w:rFonts w:eastAsia="Calibri"/>
        </w:rPr>
      </w:pPr>
      <w:r w:rsidRPr="00877DDB">
        <w:rPr>
          <w:rFonts w:eastAsia="Calibri"/>
        </w:rPr>
        <w:t>15' ramp from T−7.5' to T+7.5' (1st 15' interval)</w:t>
      </w:r>
    </w:p>
    <w:p w14:paraId="06E858F4" w14:textId="77777777" w:rsidR="008817D0" w:rsidRPr="00877DDB" w:rsidRDefault="008817D0" w:rsidP="00877DDB">
      <w:pPr>
        <w:pStyle w:val="ListParagraph"/>
        <w:numPr>
          <w:ilvl w:val="0"/>
          <w:numId w:val="248"/>
        </w:numPr>
        <w:spacing w:after="240" w:line="300" w:lineRule="auto"/>
        <w:rPr>
          <w:rFonts w:eastAsia="Calibri"/>
        </w:rPr>
      </w:pPr>
      <w:r w:rsidRPr="00877DDB">
        <w:rPr>
          <w:rFonts w:eastAsia="Calibri"/>
        </w:rPr>
        <w:t>30' ramp from T−7.5' to T+22.5' (2nd 15' interval)</w:t>
      </w:r>
    </w:p>
    <w:p w14:paraId="1AA93813" w14:textId="77777777" w:rsidR="008817D0" w:rsidRPr="00877DDB" w:rsidRDefault="008817D0" w:rsidP="00877DDB">
      <w:pPr>
        <w:pStyle w:val="ListParagraph"/>
        <w:numPr>
          <w:ilvl w:val="0"/>
          <w:numId w:val="248"/>
        </w:numPr>
        <w:spacing w:after="240" w:line="300" w:lineRule="auto"/>
        <w:rPr>
          <w:rFonts w:eastAsia="Calibri"/>
        </w:rPr>
      </w:pPr>
      <w:r w:rsidRPr="00877DDB">
        <w:rPr>
          <w:rFonts w:eastAsia="Calibri"/>
        </w:rPr>
        <w:t>45' ramp from T−7.5' to T+37.5' (3rd 15' interval)</w:t>
      </w:r>
    </w:p>
    <w:p w14:paraId="68D8E38D" w14:textId="77777777" w:rsidR="008817D0" w:rsidRPr="00877DDB" w:rsidRDefault="008817D0" w:rsidP="00877DDB">
      <w:pPr>
        <w:pStyle w:val="ListParagraph"/>
        <w:numPr>
          <w:ilvl w:val="0"/>
          <w:numId w:val="248"/>
        </w:numPr>
        <w:spacing w:after="240" w:line="300" w:lineRule="auto"/>
        <w:rPr>
          <w:rFonts w:eastAsia="Calibri"/>
        </w:rPr>
      </w:pPr>
      <w:r w:rsidRPr="00877DDB">
        <w:rPr>
          <w:rFonts w:eastAsia="Calibri"/>
        </w:rPr>
        <w:t>60' ramp from T−7.5' to T+52.5' (4th 15' interval)</w:t>
      </w:r>
    </w:p>
    <w:p w14:paraId="639E9055" w14:textId="77777777" w:rsidR="008817D0" w:rsidRPr="005860DE" w:rsidRDefault="008817D0" w:rsidP="00D769E5">
      <w:pPr>
        <w:spacing w:after="240" w:line="300" w:lineRule="auto"/>
        <w:rPr>
          <w:rFonts w:eastAsia="Calibri"/>
        </w:rPr>
      </w:pPr>
      <w:r w:rsidRPr="008817D0">
        <w:rPr>
          <w:rFonts w:eastAsia="Calibri"/>
        </w:rPr>
        <w:t>The test passes if all four cumulative tests pass; the test fails if any of the four cumulative tests fail.</w:t>
      </w:r>
    </w:p>
    <w:p w14:paraId="5513ED3C" w14:textId="43C6F932" w:rsidR="008817D0" w:rsidRPr="008817D0" w:rsidRDefault="008817D0" w:rsidP="00E42C54">
      <w:pPr>
        <w:spacing w:line="300" w:lineRule="auto"/>
        <w:rPr>
          <w:rFonts w:eastAsia="Calibri"/>
        </w:rPr>
      </w:pPr>
      <w:r w:rsidRPr="008817D0">
        <w:rPr>
          <w:rFonts w:eastAsia="Calibri"/>
        </w:rPr>
        <w:t xml:space="preserve">In </w:t>
      </w:r>
      <w:r w:rsidR="00FB43F9">
        <w:rPr>
          <w:rFonts w:eastAsia="Calibri"/>
        </w:rPr>
        <w:t xml:space="preserve">Fifteen Minute Market </w:t>
      </w:r>
      <w:r w:rsidR="00CB7C91">
        <w:rPr>
          <w:rFonts w:eastAsia="Calibri"/>
        </w:rPr>
        <w:t>and RTD</w:t>
      </w:r>
      <w:r w:rsidRPr="008817D0">
        <w:rPr>
          <w:rFonts w:eastAsia="Calibri"/>
        </w:rPr>
        <w:t>, the flexible ramping capacity requirement constraints for the CAISO BAA, each EIM Entity BAA, and the total EIM footprint must be enforced:</w:t>
      </w:r>
    </w:p>
    <w:p w14:paraId="78810743" w14:textId="16A299D3" w:rsidR="008817D0" w:rsidRPr="00505DCA" w:rsidRDefault="008817D0" w:rsidP="00877DDB">
      <w:pPr>
        <w:numPr>
          <w:ilvl w:val="0"/>
          <w:numId w:val="14"/>
        </w:numPr>
        <w:rPr>
          <w:rFonts w:eastAsia="Calibri"/>
        </w:rPr>
      </w:pPr>
      <w:r w:rsidRPr="00505DCA">
        <w:rPr>
          <w:rFonts w:eastAsia="Calibri"/>
        </w:rPr>
        <w:t xml:space="preserve">If the EIM Entity BAA fails the </w:t>
      </w:r>
      <w:r w:rsidR="003D0D88">
        <w:rPr>
          <w:rFonts w:eastAsia="Calibri"/>
        </w:rPr>
        <w:t>flexible</w:t>
      </w:r>
      <w:r w:rsidR="003D0D88" w:rsidRPr="00505DCA">
        <w:rPr>
          <w:rFonts w:eastAsia="Calibri"/>
        </w:rPr>
        <w:t xml:space="preserve"> </w:t>
      </w:r>
      <w:r w:rsidRPr="00505DCA">
        <w:rPr>
          <w:rFonts w:eastAsia="Calibri"/>
        </w:rPr>
        <w:t xml:space="preserve">ramp </w:t>
      </w:r>
      <w:r w:rsidR="0083584B">
        <w:rPr>
          <w:rFonts w:eastAsia="Calibri"/>
        </w:rPr>
        <w:t xml:space="preserve">up </w:t>
      </w:r>
      <w:r w:rsidR="003D0D88">
        <w:rPr>
          <w:rFonts w:eastAsia="Calibri"/>
        </w:rPr>
        <w:t xml:space="preserve">sufficiency </w:t>
      </w:r>
      <w:r w:rsidRPr="00505DCA">
        <w:rPr>
          <w:rFonts w:eastAsia="Calibri"/>
        </w:rPr>
        <w:t>tes</w:t>
      </w:r>
      <w:r w:rsidR="009D507A" w:rsidRPr="00505DCA">
        <w:rPr>
          <w:rFonts w:eastAsia="Calibri"/>
        </w:rPr>
        <w:t>t</w:t>
      </w:r>
      <w:r w:rsidR="00B23B50" w:rsidRPr="00505DCA">
        <w:rPr>
          <w:rFonts w:eastAsia="Calibri"/>
        </w:rPr>
        <w:t xml:space="preserve"> </w:t>
      </w:r>
      <w:r w:rsidR="00B23B50" w:rsidRPr="00B23B50">
        <w:t>or is deemed to have failed the test as specified in Section 10.3.2 because it failed the capacity (resource plan) test</w:t>
      </w:r>
      <w:r w:rsidR="009D507A" w:rsidRPr="00505DCA">
        <w:rPr>
          <w:rFonts w:eastAsia="Calibri"/>
        </w:rPr>
        <w:t xml:space="preserve">, </w:t>
      </w:r>
      <w:r w:rsidR="0083584B">
        <w:rPr>
          <w:rFonts w:eastAsia="Calibri"/>
        </w:rPr>
        <w:t xml:space="preserve">the </w:t>
      </w:r>
      <w:r w:rsidR="00577EB4">
        <w:rPr>
          <w:rFonts w:eastAsia="Calibri"/>
        </w:rPr>
        <w:t>EIM Transfer during the next hour will be</w:t>
      </w:r>
      <w:r w:rsidR="00577EB4" w:rsidRPr="00577EB4">
        <w:rPr>
          <w:rFonts w:eastAsia="Calibri"/>
        </w:rPr>
        <w:t xml:space="preserve"> bound</w:t>
      </w:r>
      <w:r w:rsidR="00577EB4">
        <w:rPr>
          <w:rFonts w:eastAsia="Calibri"/>
        </w:rPr>
        <w:t>ed</w:t>
      </w:r>
      <w:r w:rsidR="00577EB4" w:rsidRPr="00577EB4">
        <w:rPr>
          <w:rFonts w:eastAsia="Calibri"/>
        </w:rPr>
        <w:t xml:space="preserve"> from below at the lower of the base transfer for current hour or the optimal transfer at the last </w:t>
      </w:r>
      <w:r w:rsidR="00FB43F9">
        <w:rPr>
          <w:rFonts w:eastAsia="Calibri"/>
        </w:rPr>
        <w:t>fifteen-minute</w:t>
      </w:r>
      <w:r w:rsidR="00577EB4">
        <w:rPr>
          <w:rFonts w:eastAsia="Calibri"/>
        </w:rPr>
        <w:t xml:space="preserve"> interval of the current hour</w:t>
      </w:r>
      <w:r w:rsidR="004A04C1" w:rsidRPr="00505DCA">
        <w:rPr>
          <w:rFonts w:eastAsia="Calibri"/>
        </w:rPr>
        <w:t xml:space="preserve">. </w:t>
      </w:r>
      <w:r w:rsidR="00E453E7">
        <w:rPr>
          <w:rFonts w:eastAsia="Calibri"/>
        </w:rPr>
        <w:t>Furthermore, t</w:t>
      </w:r>
      <w:r w:rsidR="004A04C1" w:rsidRPr="00505DCA">
        <w:rPr>
          <w:rFonts w:eastAsia="Calibri"/>
        </w:rPr>
        <w:t xml:space="preserve">he </w:t>
      </w:r>
      <w:r w:rsidRPr="00505DCA">
        <w:rPr>
          <w:rFonts w:eastAsia="Calibri"/>
        </w:rPr>
        <w:t xml:space="preserve">CAISO will enforce the individual EIM Entity BAA flexible ramp </w:t>
      </w:r>
      <w:r w:rsidR="00E453E7">
        <w:rPr>
          <w:rFonts w:eastAsia="Calibri"/>
        </w:rPr>
        <w:t>up</w:t>
      </w:r>
      <w:r w:rsidR="00E22732">
        <w:rPr>
          <w:rFonts w:eastAsia="Calibri"/>
        </w:rPr>
        <w:t xml:space="preserve"> uncertainty</w:t>
      </w:r>
      <w:r w:rsidR="00E453E7">
        <w:rPr>
          <w:rFonts w:eastAsia="Calibri"/>
        </w:rPr>
        <w:t xml:space="preserve"> </w:t>
      </w:r>
      <w:r w:rsidRPr="00505DCA">
        <w:rPr>
          <w:rFonts w:eastAsia="Calibri"/>
        </w:rPr>
        <w:t>requirement in the EIM Entity BAA</w:t>
      </w:r>
      <w:r w:rsidR="00577EB4">
        <w:rPr>
          <w:rFonts w:eastAsia="Calibri"/>
        </w:rPr>
        <w:t xml:space="preserve"> without diversity benefit</w:t>
      </w:r>
      <w:r w:rsidR="00E22732">
        <w:rPr>
          <w:rFonts w:eastAsia="Calibri"/>
        </w:rPr>
        <w:t>, but the credit shall apply</w:t>
      </w:r>
      <w:r w:rsidR="00505DCA" w:rsidRPr="00B23B50">
        <w:rPr>
          <w:rFonts w:eastAsia="Calibri"/>
        </w:rPr>
        <w:t>.</w:t>
      </w:r>
      <w:r w:rsidR="00186C03">
        <w:rPr>
          <w:rFonts w:eastAsia="Calibri"/>
        </w:rPr>
        <w:t xml:space="preserve"> </w:t>
      </w:r>
      <w:r w:rsidRPr="00505DCA">
        <w:rPr>
          <w:rFonts w:eastAsia="Calibri"/>
        </w:rPr>
        <w:t xml:space="preserve">If the EIM Entity BAA passes the </w:t>
      </w:r>
      <w:r w:rsidR="003D0D88">
        <w:rPr>
          <w:rFonts w:eastAsia="Calibri"/>
        </w:rPr>
        <w:t>flexible</w:t>
      </w:r>
      <w:r w:rsidR="003D0D88" w:rsidRPr="00505DCA">
        <w:rPr>
          <w:rFonts w:eastAsia="Calibri"/>
        </w:rPr>
        <w:t xml:space="preserve"> </w:t>
      </w:r>
      <w:r w:rsidRPr="00505DCA">
        <w:rPr>
          <w:rFonts w:eastAsia="Calibri"/>
        </w:rPr>
        <w:t>ramp</w:t>
      </w:r>
      <w:r w:rsidR="00462BD0">
        <w:rPr>
          <w:rFonts w:eastAsia="Calibri"/>
        </w:rPr>
        <w:t xml:space="preserve"> </w:t>
      </w:r>
      <w:r w:rsidR="007A2AD5">
        <w:rPr>
          <w:rFonts w:eastAsia="Calibri"/>
        </w:rPr>
        <w:t>up</w:t>
      </w:r>
      <w:r w:rsidR="00462BD0">
        <w:rPr>
          <w:rFonts w:eastAsia="Calibri"/>
        </w:rPr>
        <w:t xml:space="preserve"> sufficiency</w:t>
      </w:r>
      <w:r w:rsidRPr="00505DCA">
        <w:rPr>
          <w:rFonts w:eastAsia="Calibri"/>
        </w:rPr>
        <w:t xml:space="preserve"> test, the </w:t>
      </w:r>
      <w:r w:rsidR="00CB7C91" w:rsidRPr="00505DCA">
        <w:rPr>
          <w:rFonts w:eastAsia="Calibri"/>
        </w:rPr>
        <w:t xml:space="preserve">flexible </w:t>
      </w:r>
      <w:r w:rsidRPr="00505DCA">
        <w:rPr>
          <w:rFonts w:eastAsia="Calibri"/>
        </w:rPr>
        <w:t xml:space="preserve">ramp </w:t>
      </w:r>
      <w:r w:rsidR="00462BD0">
        <w:rPr>
          <w:rFonts w:eastAsia="Calibri"/>
        </w:rPr>
        <w:t>up</w:t>
      </w:r>
      <w:r w:rsidR="00462BD0" w:rsidRPr="00505DCA">
        <w:rPr>
          <w:rFonts w:eastAsia="Calibri"/>
        </w:rPr>
        <w:t xml:space="preserve"> </w:t>
      </w:r>
      <w:r w:rsidR="00E22732">
        <w:rPr>
          <w:rFonts w:eastAsia="Calibri"/>
        </w:rPr>
        <w:t xml:space="preserve">uncertainty </w:t>
      </w:r>
      <w:r w:rsidRPr="00505DCA">
        <w:rPr>
          <w:rFonts w:eastAsia="Calibri"/>
        </w:rPr>
        <w:t xml:space="preserve">requirement </w:t>
      </w:r>
      <w:r w:rsidR="00E22732">
        <w:rPr>
          <w:rFonts w:eastAsia="Calibri"/>
        </w:rPr>
        <w:t>without</w:t>
      </w:r>
      <w:r w:rsidRPr="00505DCA">
        <w:rPr>
          <w:rFonts w:eastAsia="Calibri"/>
        </w:rPr>
        <w:t xml:space="preserve"> </w:t>
      </w:r>
      <w:r w:rsidR="00FB43F9">
        <w:rPr>
          <w:rFonts w:eastAsia="Calibri"/>
        </w:rPr>
        <w:t xml:space="preserve">diversity benefit </w:t>
      </w:r>
      <w:r w:rsidRPr="00505DCA">
        <w:rPr>
          <w:rFonts w:eastAsia="Calibri"/>
        </w:rPr>
        <w:t>shall be reduced by the avai</w:t>
      </w:r>
      <w:r w:rsidR="004A04C1" w:rsidRPr="00505DCA">
        <w:rPr>
          <w:rFonts w:eastAsia="Calibri"/>
        </w:rPr>
        <w:t xml:space="preserve">lable net import </w:t>
      </w:r>
      <w:r w:rsidR="007A2AD5">
        <w:rPr>
          <w:rFonts w:eastAsia="Calibri"/>
        </w:rPr>
        <w:t xml:space="preserve">transfer </w:t>
      </w:r>
      <w:r w:rsidR="00945FCB" w:rsidRPr="00505DCA">
        <w:rPr>
          <w:rFonts w:eastAsia="Calibri"/>
        </w:rPr>
        <w:t>capa</w:t>
      </w:r>
      <w:r w:rsidR="00945FCB">
        <w:rPr>
          <w:rFonts w:eastAsia="Calibri"/>
        </w:rPr>
        <w:t>bili</w:t>
      </w:r>
      <w:r w:rsidR="00945FCB" w:rsidRPr="00505DCA">
        <w:rPr>
          <w:rFonts w:eastAsia="Calibri"/>
        </w:rPr>
        <w:t>ty</w:t>
      </w:r>
      <w:r w:rsidR="004A04C1" w:rsidRPr="00505DCA">
        <w:rPr>
          <w:rFonts w:eastAsia="Calibri"/>
        </w:rPr>
        <w:t xml:space="preserve">. The </w:t>
      </w:r>
      <w:r w:rsidR="00FB43F9">
        <w:rPr>
          <w:rFonts w:eastAsia="Calibri"/>
        </w:rPr>
        <w:t>CAISO</w:t>
      </w:r>
      <w:r w:rsidRPr="00505DCA">
        <w:rPr>
          <w:rFonts w:eastAsia="Calibri"/>
        </w:rPr>
        <w:t xml:space="preserve"> will enforce the constraint for each EIM Entity BAA, the CAISO BAA</w:t>
      </w:r>
      <w:r w:rsidR="007A2AD5">
        <w:rPr>
          <w:rFonts w:eastAsia="Calibri"/>
        </w:rPr>
        <w:t>,</w:t>
      </w:r>
      <w:r w:rsidR="006623E5">
        <w:rPr>
          <w:rFonts w:eastAsia="Calibri"/>
        </w:rPr>
        <w:t xml:space="preserve"> </w:t>
      </w:r>
      <w:r w:rsidRPr="00505DCA">
        <w:rPr>
          <w:rFonts w:eastAsia="Calibri"/>
        </w:rPr>
        <w:t xml:space="preserve">and </w:t>
      </w:r>
      <w:r w:rsidR="00945FCB">
        <w:rPr>
          <w:rFonts w:eastAsia="Calibri"/>
        </w:rPr>
        <w:t xml:space="preserve">the </w:t>
      </w:r>
      <w:r w:rsidRPr="00505DCA">
        <w:rPr>
          <w:rFonts w:eastAsia="Calibri"/>
        </w:rPr>
        <w:t xml:space="preserve">total </w:t>
      </w:r>
      <w:r w:rsidR="007A2AD5">
        <w:rPr>
          <w:rFonts w:eastAsia="Calibri"/>
        </w:rPr>
        <w:t xml:space="preserve">flexible ramp up uncertainty </w:t>
      </w:r>
      <w:r w:rsidRPr="00505DCA">
        <w:rPr>
          <w:rFonts w:eastAsia="Calibri"/>
        </w:rPr>
        <w:t xml:space="preserve">requirement for the EIM </w:t>
      </w:r>
      <w:r w:rsidR="007A2AD5">
        <w:rPr>
          <w:rFonts w:eastAsia="Calibri"/>
        </w:rPr>
        <w:t>Area</w:t>
      </w:r>
      <w:r w:rsidRPr="00505DCA">
        <w:rPr>
          <w:rFonts w:eastAsia="Calibri"/>
        </w:rPr>
        <w:t>.</w:t>
      </w:r>
    </w:p>
    <w:p w14:paraId="415296B7" w14:textId="469F2B28" w:rsidR="007A2AD5" w:rsidRPr="00505DCA" w:rsidRDefault="007A2AD5" w:rsidP="007A2AD5">
      <w:pPr>
        <w:numPr>
          <w:ilvl w:val="0"/>
          <w:numId w:val="14"/>
        </w:numPr>
        <w:rPr>
          <w:rFonts w:eastAsia="Calibri"/>
        </w:rPr>
      </w:pPr>
      <w:r w:rsidRPr="00505DCA">
        <w:rPr>
          <w:rFonts w:eastAsia="Calibri"/>
        </w:rPr>
        <w:lastRenderedPageBreak/>
        <w:t xml:space="preserve">If the EIM Entity BAA fails the </w:t>
      </w:r>
      <w:r>
        <w:rPr>
          <w:rFonts w:eastAsia="Calibri"/>
        </w:rPr>
        <w:t>flexible</w:t>
      </w:r>
      <w:r w:rsidRPr="00505DCA">
        <w:rPr>
          <w:rFonts w:eastAsia="Calibri"/>
        </w:rPr>
        <w:t xml:space="preserve"> ramp </w:t>
      </w:r>
      <w:r>
        <w:rPr>
          <w:rFonts w:eastAsia="Calibri"/>
        </w:rPr>
        <w:t xml:space="preserve">down sufficiency </w:t>
      </w:r>
      <w:r w:rsidRPr="00505DCA">
        <w:rPr>
          <w:rFonts w:eastAsia="Calibri"/>
        </w:rPr>
        <w:t xml:space="preserve">test </w:t>
      </w:r>
      <w:r w:rsidRPr="00B23B50">
        <w:t>or is deemed to have failed the test as specified in Section 10.3.2 because it failed the capacity (resource plan) test</w:t>
      </w:r>
      <w:r w:rsidRPr="00505DCA">
        <w:rPr>
          <w:rFonts w:eastAsia="Calibri"/>
        </w:rPr>
        <w:t xml:space="preserve">, </w:t>
      </w:r>
      <w:r>
        <w:rPr>
          <w:rFonts w:eastAsia="Calibri"/>
        </w:rPr>
        <w:t>the EIM Transfer during the next hour will be</w:t>
      </w:r>
      <w:r w:rsidRPr="00577EB4">
        <w:rPr>
          <w:rFonts w:eastAsia="Calibri"/>
        </w:rPr>
        <w:t xml:space="preserve"> bound</w:t>
      </w:r>
      <w:r>
        <w:rPr>
          <w:rFonts w:eastAsia="Calibri"/>
        </w:rPr>
        <w:t>ed</w:t>
      </w:r>
      <w:r w:rsidRPr="00577EB4">
        <w:rPr>
          <w:rFonts w:eastAsia="Calibri"/>
        </w:rPr>
        <w:t xml:space="preserve"> from </w:t>
      </w:r>
      <w:r>
        <w:rPr>
          <w:rFonts w:eastAsia="Calibri"/>
        </w:rPr>
        <w:t>above</w:t>
      </w:r>
      <w:r w:rsidRPr="00577EB4">
        <w:rPr>
          <w:rFonts w:eastAsia="Calibri"/>
        </w:rPr>
        <w:t xml:space="preserve"> at the </w:t>
      </w:r>
      <w:r>
        <w:rPr>
          <w:rFonts w:eastAsia="Calibri"/>
        </w:rPr>
        <w:t>higher</w:t>
      </w:r>
      <w:r w:rsidRPr="00577EB4">
        <w:rPr>
          <w:rFonts w:eastAsia="Calibri"/>
        </w:rPr>
        <w:t xml:space="preserve"> of the base transfer for current hour or the optimal transfer at the last </w:t>
      </w:r>
      <w:r>
        <w:rPr>
          <w:rFonts w:eastAsia="Calibri"/>
        </w:rPr>
        <w:t>fifteen-minute interval of the current hour</w:t>
      </w:r>
      <w:r w:rsidRPr="00505DCA">
        <w:rPr>
          <w:rFonts w:eastAsia="Calibri"/>
        </w:rPr>
        <w:t xml:space="preserve">. </w:t>
      </w:r>
      <w:r>
        <w:rPr>
          <w:rFonts w:eastAsia="Calibri"/>
        </w:rPr>
        <w:t>Furthermore, t</w:t>
      </w:r>
      <w:r w:rsidRPr="00505DCA">
        <w:rPr>
          <w:rFonts w:eastAsia="Calibri"/>
        </w:rPr>
        <w:t xml:space="preserve">he CAISO will enforce the individual EIM Entity BAA flexible ramp </w:t>
      </w:r>
      <w:r>
        <w:rPr>
          <w:rFonts w:eastAsia="Calibri"/>
        </w:rPr>
        <w:t xml:space="preserve">down uncertainty </w:t>
      </w:r>
      <w:r w:rsidRPr="00505DCA">
        <w:rPr>
          <w:rFonts w:eastAsia="Calibri"/>
        </w:rPr>
        <w:t>requirement in the EIM 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 xml:space="preserve">If the EIM Entity BAA passes the </w:t>
      </w:r>
      <w:r>
        <w:rPr>
          <w:rFonts w:eastAsia="Calibri"/>
        </w:rPr>
        <w:t>flexible</w:t>
      </w:r>
      <w:r w:rsidRPr="00505DCA">
        <w:rPr>
          <w:rFonts w:eastAsia="Calibri"/>
        </w:rPr>
        <w:t xml:space="preserve"> ramp</w:t>
      </w:r>
      <w:r>
        <w:rPr>
          <w:rFonts w:eastAsia="Calibri"/>
        </w:rPr>
        <w:t xml:space="preserve"> down sufficiency</w:t>
      </w:r>
      <w:r w:rsidRPr="00505DCA">
        <w:rPr>
          <w:rFonts w:eastAsia="Calibri"/>
        </w:rPr>
        <w:t xml:space="preserve"> test, the flexible ramp </w:t>
      </w:r>
      <w:r>
        <w:rPr>
          <w:rFonts w:eastAsia="Calibri"/>
        </w:rPr>
        <w:t>down</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w:t>
      </w:r>
      <w:r>
        <w:rPr>
          <w:rFonts w:eastAsia="Calibri"/>
        </w:rPr>
        <w:t>ex</w:t>
      </w:r>
      <w:r w:rsidRPr="00505DCA">
        <w:rPr>
          <w:rFonts w:eastAsia="Calibri"/>
        </w:rPr>
        <w:t xml:space="preserve">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 EIM 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down uncertainty </w:t>
      </w:r>
      <w:r w:rsidRPr="00505DCA">
        <w:rPr>
          <w:rFonts w:eastAsia="Calibri"/>
        </w:rPr>
        <w:t xml:space="preserve">requirement for the EIM </w:t>
      </w:r>
      <w:r>
        <w:rPr>
          <w:rFonts w:eastAsia="Calibri"/>
        </w:rPr>
        <w:t>Area</w:t>
      </w:r>
      <w:r w:rsidRPr="00505DCA">
        <w:rPr>
          <w:rFonts w:eastAsia="Calibri"/>
        </w:rPr>
        <w:t>.</w:t>
      </w:r>
    </w:p>
    <w:p w14:paraId="090087D5" w14:textId="77777777" w:rsidR="008817D0" w:rsidRPr="008817D0" w:rsidRDefault="008817D0" w:rsidP="00877DDB">
      <w:pPr>
        <w:numPr>
          <w:ilvl w:val="0"/>
          <w:numId w:val="14"/>
        </w:numPr>
        <w:rPr>
          <w:rFonts w:eastAsia="Calibri"/>
        </w:rPr>
      </w:pPr>
      <w:r w:rsidRPr="008817D0">
        <w:rPr>
          <w:rFonts w:eastAsia="Calibri"/>
        </w:rPr>
        <w:t>The market model will map the corresponding resources that can provide the flexible ramping capacity for the EIM Entity BAA.</w:t>
      </w:r>
    </w:p>
    <w:p w14:paraId="7467BED5" w14:textId="77777777" w:rsidR="008817D0" w:rsidRPr="008817D0" w:rsidRDefault="008817D0" w:rsidP="00877DDB">
      <w:pPr>
        <w:numPr>
          <w:ilvl w:val="0"/>
          <w:numId w:val="14"/>
        </w:numPr>
        <w:rPr>
          <w:rFonts w:eastAsia="Calibri"/>
          <w:i/>
          <w:u w:val="single"/>
        </w:rPr>
      </w:pPr>
      <w:r w:rsidRPr="008817D0">
        <w:rPr>
          <w:rFonts w:eastAsia="Calibri"/>
        </w:rPr>
        <w:t xml:space="preserve">The flexible ramp requirements for </w:t>
      </w:r>
      <w:r w:rsidR="00FC6D6F">
        <w:rPr>
          <w:rFonts w:eastAsia="Calibri"/>
        </w:rPr>
        <w:t>total EIM footprint</w:t>
      </w:r>
      <w:r w:rsidRPr="008817D0">
        <w:rPr>
          <w:rFonts w:eastAsia="Calibri"/>
        </w:rPr>
        <w:t xml:space="preserve"> can be potentially lower than the</w:t>
      </w:r>
      <w:r w:rsidR="00FC6D6F">
        <w:rPr>
          <w:rFonts w:eastAsia="Calibri"/>
        </w:rPr>
        <w:t xml:space="preserve"> sum of</w:t>
      </w:r>
      <w:r w:rsidRPr="008817D0">
        <w:rPr>
          <w:rFonts w:eastAsia="Calibri"/>
        </w:rPr>
        <w:t xml:space="preserve"> individual requirements of each BAA</w:t>
      </w:r>
      <w:r w:rsidR="00C57135">
        <w:rPr>
          <w:rFonts w:eastAsia="Calibri"/>
        </w:rPr>
        <w:t xml:space="preserve">, </w:t>
      </w:r>
      <w:r w:rsidRPr="008817D0">
        <w:rPr>
          <w:rFonts w:eastAsia="Calibri"/>
        </w:rPr>
        <w:t>reflecting the benefits of reduced uncertainty and volatility across the BAA</w:t>
      </w:r>
      <w:r w:rsidR="00C57135">
        <w:rPr>
          <w:rFonts w:eastAsia="Calibri"/>
        </w:rPr>
        <w:t>s</w:t>
      </w:r>
      <w:r w:rsidRPr="008817D0">
        <w:rPr>
          <w:rFonts w:eastAsia="Calibri"/>
        </w:rPr>
        <w:t>.</w:t>
      </w:r>
      <w:r w:rsidR="000B5618">
        <w:rPr>
          <w:rFonts w:eastAsia="Calibri"/>
        </w:rPr>
        <w:t xml:space="preserve"> </w:t>
      </w:r>
    </w:p>
    <w:p w14:paraId="4B10E405" w14:textId="018E4860" w:rsidR="000B5618" w:rsidRDefault="000B5618" w:rsidP="00877DDB">
      <w:pPr>
        <w:numPr>
          <w:ilvl w:val="0"/>
          <w:numId w:val="14"/>
        </w:numPr>
        <w:rPr>
          <w:rFonts w:eastAsia="Calibri"/>
        </w:rPr>
      </w:pPr>
      <w:r w:rsidRPr="000B5618">
        <w:rPr>
          <w:rFonts w:eastAsia="Calibri"/>
        </w:rPr>
        <w:t>For a period of six months following the Implementation Date of a new EIM Entity, the CAISO shall set the Flexible Ramping Constraint parameter specified in Section 27.10, for pricing purposes, for the new EIM Entity Balancing Authority Area, at an amount between and including $0 and $0.01</w:t>
      </w:r>
      <w:r w:rsidR="002D7264">
        <w:rPr>
          <w:rFonts w:eastAsia="Calibri"/>
        </w:rPr>
        <w:t xml:space="preserve"> only for when the transmission or power balance constraints are relaxed in the corresponding </w:t>
      </w:r>
      <w:r w:rsidR="002D7264" w:rsidRPr="000B5618">
        <w:rPr>
          <w:rFonts w:eastAsia="Calibri"/>
        </w:rPr>
        <w:t>new EIM Entity Balancing Authority Area</w:t>
      </w:r>
      <w:r w:rsidRPr="000B5618">
        <w:rPr>
          <w:rFonts w:eastAsia="Calibri"/>
        </w:rPr>
        <w:t>.</w:t>
      </w:r>
    </w:p>
    <w:p w14:paraId="62086A5B" w14:textId="77777777" w:rsidR="008817D0" w:rsidRPr="008817D0" w:rsidRDefault="008817D0" w:rsidP="00877DDB">
      <w:pPr>
        <w:numPr>
          <w:ilvl w:val="0"/>
          <w:numId w:val="14"/>
        </w:numPr>
        <w:rPr>
          <w:rFonts w:eastAsia="Calibri"/>
        </w:rPr>
      </w:pPr>
      <w:r w:rsidRPr="008817D0">
        <w:rPr>
          <w:rFonts w:eastAsia="Calibri"/>
        </w:rPr>
        <w:t>CAISO will broadcast the resource flexible ramping awards</w:t>
      </w:r>
      <w:r w:rsidR="00DA49BB">
        <w:rPr>
          <w:rFonts w:eastAsia="Calibri"/>
        </w:rPr>
        <w:t xml:space="preserve"> to the relevant SCs</w:t>
      </w:r>
      <w:r w:rsidRPr="008817D0">
        <w:rPr>
          <w:rFonts w:eastAsia="Calibri"/>
        </w:rPr>
        <w:t>.</w:t>
      </w:r>
    </w:p>
    <w:p w14:paraId="77E51D64" w14:textId="77777777" w:rsidR="008817D0" w:rsidRPr="00C57135" w:rsidRDefault="008817D0" w:rsidP="00AF79E1">
      <w:pPr>
        <w:numPr>
          <w:ilvl w:val="0"/>
          <w:numId w:val="14"/>
        </w:numPr>
        <w:rPr>
          <w:rFonts w:eastAsia="Calibri"/>
        </w:rPr>
      </w:pPr>
      <w:r w:rsidRPr="00FC6D6F">
        <w:rPr>
          <w:rFonts w:eastAsia="Calibri"/>
        </w:rPr>
        <w:t>CAISO will publish the shadow prices of each flexible ramping constraint and associated BAA</w:t>
      </w:r>
      <w:r w:rsidR="00FC6D6F" w:rsidRPr="00536515">
        <w:rPr>
          <w:rFonts w:eastAsia="Calibri"/>
        </w:rPr>
        <w:t>,</w:t>
      </w:r>
      <w:r w:rsidR="00AB4A9C" w:rsidRPr="00536515">
        <w:rPr>
          <w:rFonts w:eastAsia="Calibri"/>
        </w:rPr>
        <w:t xml:space="preserve"> and</w:t>
      </w:r>
      <w:r w:rsidRPr="00536515">
        <w:rPr>
          <w:rFonts w:eastAsia="Calibri"/>
        </w:rPr>
        <w:t xml:space="preserve"> total EIM footprint.</w:t>
      </w:r>
      <w:r w:rsidR="00DA49BB" w:rsidRPr="00C57135">
        <w:rPr>
          <w:rFonts w:eastAsia="Calibri"/>
        </w:rPr>
        <w:t xml:space="preserve"> </w:t>
      </w:r>
      <w:r w:rsidR="000B5618">
        <w:rPr>
          <w:rFonts w:eastAsia="Calibri"/>
        </w:rPr>
        <w:t xml:space="preserve"> </w:t>
      </w:r>
      <w:r w:rsidRPr="00FC6D6F">
        <w:rPr>
          <w:rFonts w:eastAsia="Calibri"/>
        </w:rPr>
        <w:t xml:space="preserve">The flexible ramping capacity shall be managed in corresponding RTD for EIM market in the same manner as </w:t>
      </w:r>
      <w:r w:rsidR="00AB4A9C" w:rsidRPr="00C57135">
        <w:rPr>
          <w:rFonts w:eastAsia="Calibri"/>
        </w:rPr>
        <w:t xml:space="preserve">the </w:t>
      </w:r>
      <w:r w:rsidRPr="00C57135">
        <w:rPr>
          <w:rFonts w:eastAsia="Calibri"/>
        </w:rPr>
        <w:t>current CAISO R</w:t>
      </w:r>
      <w:r w:rsidR="00884D6F" w:rsidRPr="00C57135">
        <w:rPr>
          <w:rFonts w:eastAsia="Calibri"/>
        </w:rPr>
        <w:t>TM</w:t>
      </w:r>
      <w:r w:rsidRPr="00C57135">
        <w:rPr>
          <w:rFonts w:eastAsia="Calibri"/>
        </w:rPr>
        <w:t xml:space="preserve">. The RTD shall enforce the flexible </w:t>
      </w:r>
      <w:r w:rsidRPr="006A2C15">
        <w:rPr>
          <w:rFonts w:eastAsia="Calibri"/>
        </w:rPr>
        <w:t xml:space="preserve">ramping capacity requirement constraints. The requirement of each five-minute interval in the RTD run horizon will be preserved according to the pre-defined </w:t>
      </w:r>
      <w:r w:rsidR="00DA49BB" w:rsidRPr="006A2C15">
        <w:rPr>
          <w:rFonts w:eastAsia="Calibri"/>
        </w:rPr>
        <w:t xml:space="preserve">attenuation </w:t>
      </w:r>
      <w:r w:rsidRPr="006A2C15">
        <w:rPr>
          <w:rFonts w:eastAsia="Calibri"/>
        </w:rPr>
        <w:t>percentage of each interval, currently as 0%, 25%, 50%, 75%, 100%, 100%... The same per</w:t>
      </w:r>
      <w:r w:rsidRPr="0025727C">
        <w:rPr>
          <w:rFonts w:eastAsia="Calibri"/>
        </w:rPr>
        <w:t xml:space="preserve">centage will apply to the effective requirement (reduced by the available net import capacity) for each EIM Entity BAA and </w:t>
      </w:r>
      <w:r w:rsidR="00C57135">
        <w:rPr>
          <w:rFonts w:eastAsia="Calibri"/>
        </w:rPr>
        <w:t>EIM footprint</w:t>
      </w:r>
      <w:r w:rsidRPr="00C57135">
        <w:rPr>
          <w:rFonts w:eastAsia="Calibri"/>
        </w:rPr>
        <w:t xml:space="preserve"> constraints.</w:t>
      </w:r>
    </w:p>
    <w:p w14:paraId="2BA57A98" w14:textId="77777777" w:rsidR="00DF5C47" w:rsidRPr="00D769E5" w:rsidRDefault="00DF5C47" w:rsidP="008817D0">
      <w:pPr>
        <w:spacing w:after="240" w:line="300" w:lineRule="auto"/>
        <w:rPr>
          <w:rFonts w:cs="Arial"/>
          <w:b/>
          <w:color w:val="4F758B"/>
          <w:kern w:val="24"/>
        </w:rPr>
      </w:pPr>
      <w:r w:rsidRPr="00D769E5">
        <w:rPr>
          <w:rFonts w:cs="Arial"/>
          <w:b/>
          <w:kern w:val="24"/>
        </w:rPr>
        <w:t>Example Assumptions</w:t>
      </w:r>
    </w:p>
    <w:p w14:paraId="065CD70A"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CAISO BAA and two EIM Entity BAAs</w:t>
      </w:r>
    </w:p>
    <w:p w14:paraId="32B2487D"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lastRenderedPageBreak/>
        <w:t xml:space="preserve"> All interties rated at 10MW</w:t>
      </w:r>
    </w:p>
    <w:p w14:paraId="7C93C38A"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 xml:space="preserve"> Two generators and two loads in each BAA</w:t>
      </w:r>
    </w:p>
    <w:p w14:paraId="4BC1870F"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 xml:space="preserve"> Zero base schedules; no transmission losses</w:t>
      </w:r>
    </w:p>
    <w:p w14:paraId="5A672317"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 xml:space="preserve"> Real−Time Unit Commitment run at </w:t>
      </w:r>
      <w:r w:rsidRPr="00D769E5">
        <w:rPr>
          <w:rFonts w:cs="Arial"/>
          <w:i/>
          <w:iCs/>
          <w:kern w:val="24"/>
        </w:rPr>
        <w:t>T</w:t>
      </w:r>
      <w:r w:rsidRPr="00D769E5">
        <w:rPr>
          <w:rFonts w:cs="Arial"/>
          <w:kern w:val="24"/>
        </w:rPr>
        <w:t>−37.5'</w:t>
      </w:r>
    </w:p>
    <w:p w14:paraId="41B9FEA0"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 xml:space="preserve"> Only upward flexible ramp capacity</w:t>
      </w:r>
    </w:p>
    <w:p w14:paraId="176A0EBA" w14:textId="77777777" w:rsidR="00DF5C47" w:rsidRPr="00D769E5" w:rsidRDefault="00DF5C47">
      <w:pPr>
        <w:pStyle w:val="ListParagraph"/>
        <w:numPr>
          <w:ilvl w:val="0"/>
          <w:numId w:val="130"/>
        </w:numPr>
        <w:kinsoku w:val="0"/>
        <w:overflowPunct w:val="0"/>
        <w:contextualSpacing/>
        <w:textAlignment w:val="baseline"/>
      </w:pPr>
      <w:r w:rsidRPr="00D769E5">
        <w:rPr>
          <w:rFonts w:cs="Arial"/>
          <w:kern w:val="24"/>
        </w:rPr>
        <w:t xml:space="preserve"> Flexible ramp capacity requirement determined by demand forecast change</w:t>
      </w:r>
      <w:r w:rsidR="009958D7">
        <w:rPr>
          <w:rFonts w:cs="Arial"/>
          <w:kern w:val="24"/>
        </w:rPr>
        <w:t xml:space="preserve"> and historical assessment of ramping capability to meet forecast uncertainty</w:t>
      </w:r>
    </w:p>
    <w:p w14:paraId="5AC3BDCD" w14:textId="77777777" w:rsidR="00DF5C47" w:rsidRPr="00D769E5" w:rsidRDefault="00DF5C47" w:rsidP="00D769E5">
      <w:pPr>
        <w:pStyle w:val="ListParagraph"/>
        <w:kinsoku w:val="0"/>
        <w:overflowPunct w:val="0"/>
        <w:contextualSpacing/>
        <w:textAlignment w:val="baseline"/>
        <w:rPr>
          <w:color w:val="006699"/>
          <w:sz w:val="42"/>
        </w:rPr>
      </w:pPr>
    </w:p>
    <w:p w14:paraId="22553F36" w14:textId="77777777" w:rsidR="00DF5C47" w:rsidRPr="00D769E5" w:rsidRDefault="00DF5C47" w:rsidP="00D769E5">
      <w:pPr>
        <w:rPr>
          <w:rFonts w:cs="Arial"/>
          <w:b/>
          <w:color w:val="4F758B"/>
          <w:kern w:val="24"/>
        </w:rPr>
      </w:pPr>
      <w:r w:rsidRPr="00D769E5">
        <w:rPr>
          <w:rFonts w:cs="Arial"/>
          <w:b/>
          <w:kern w:val="24"/>
        </w:rPr>
        <w:t>Example</w:t>
      </w:r>
    </w:p>
    <w:p w14:paraId="3B66B703" w14:textId="77777777" w:rsidR="00DF5C47" w:rsidRDefault="00DF5C47" w:rsidP="00D769E5">
      <w:pPr>
        <w:pStyle w:val="ListParagraph"/>
        <w:rPr>
          <w:rFonts w:cs="Arial"/>
          <w:color w:val="4F758B"/>
          <w:kern w:val="24"/>
          <w:sz w:val="64"/>
          <w:szCs w:val="64"/>
        </w:rPr>
      </w:pPr>
      <w:r>
        <w:rPr>
          <w:noProof/>
        </w:rPr>
        <w:drawing>
          <wp:inline distT="0" distB="0" distL="0" distR="0" wp14:anchorId="1ACECCF7" wp14:editId="0A99DAC7">
            <wp:extent cx="3051174" cy="1464736"/>
            <wp:effectExtent l="0" t="0" r="0" b="0"/>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79"/>
                    <a:stretch>
                      <a:fillRect/>
                    </a:stretch>
                  </pic:blipFill>
                  <pic:spPr>
                    <a:xfrm>
                      <a:off x="0" y="0"/>
                      <a:ext cx="3051174" cy="1464736"/>
                    </a:xfrm>
                    <a:prstGeom prst="rect">
                      <a:avLst/>
                    </a:prstGeom>
                  </pic:spPr>
                </pic:pic>
              </a:graphicData>
            </a:graphic>
          </wp:inline>
        </w:drawing>
      </w:r>
    </w:p>
    <w:p w14:paraId="6E87B100" w14:textId="77777777" w:rsidR="00DF5C47" w:rsidRDefault="00DF5C47" w:rsidP="00D769E5">
      <w:pPr>
        <w:pStyle w:val="ListParagraph"/>
        <w:rPr>
          <w:rFonts w:cs="Arial"/>
          <w:color w:val="4F758B"/>
          <w:kern w:val="24"/>
          <w:sz w:val="64"/>
          <w:szCs w:val="64"/>
        </w:rPr>
      </w:pPr>
    </w:p>
    <w:p w14:paraId="669E2EB4" w14:textId="77777777" w:rsidR="00DF5C47" w:rsidRDefault="00DF5C47" w:rsidP="00D769E5">
      <w:pPr>
        <w:pStyle w:val="ListParagraph"/>
        <w:rPr>
          <w:rFonts w:cs="Arial"/>
          <w:color w:val="4F758B"/>
          <w:kern w:val="24"/>
          <w:sz w:val="64"/>
          <w:szCs w:val="64"/>
        </w:rPr>
      </w:pPr>
    </w:p>
    <w:p w14:paraId="5D72AA32" w14:textId="77777777" w:rsidR="00DF5C47" w:rsidRDefault="00DF5C47" w:rsidP="00D769E5">
      <w:pPr>
        <w:pStyle w:val="ListParagraph"/>
        <w:rPr>
          <w:noProof/>
        </w:rPr>
      </w:pPr>
    </w:p>
    <w:p w14:paraId="12F83535" w14:textId="77777777" w:rsidR="00DF5C47" w:rsidRDefault="00DF5C47" w:rsidP="00D769E5">
      <w:pPr>
        <w:pStyle w:val="ListParagraph"/>
        <w:kinsoku w:val="0"/>
        <w:overflowPunct w:val="0"/>
        <w:contextualSpacing/>
        <w:textAlignment w:val="baseline"/>
        <w:rPr>
          <w:rFonts w:cs="Arial"/>
          <w:color w:val="000000"/>
          <w:kern w:val="24"/>
          <w:sz w:val="56"/>
          <w:szCs w:val="56"/>
        </w:rPr>
      </w:pPr>
    </w:p>
    <w:p w14:paraId="571DDB17" w14:textId="77777777" w:rsidR="00DF5C47" w:rsidRPr="00E8403E" w:rsidRDefault="00DF5C47">
      <w:pPr>
        <w:pStyle w:val="ListParagraph"/>
        <w:kinsoku w:val="0"/>
        <w:overflowPunct w:val="0"/>
        <w:contextualSpacing/>
        <w:textAlignment w:val="baseline"/>
        <w:rPr>
          <w:color w:val="006699"/>
          <w:sz w:val="42"/>
        </w:rPr>
      </w:pPr>
      <w:r>
        <w:rPr>
          <w:noProof/>
        </w:rPr>
        <w:lastRenderedPageBreak/>
        <w:drawing>
          <wp:inline distT="0" distB="0" distL="0" distR="0" wp14:anchorId="4B6ABCDD" wp14:editId="58DC4971">
            <wp:extent cx="5888736" cy="341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888736" cy="3410712"/>
                    </a:xfrm>
                    <a:prstGeom prst="rect">
                      <a:avLst/>
                    </a:prstGeom>
                    <a:noFill/>
                  </pic:spPr>
                </pic:pic>
              </a:graphicData>
            </a:graphic>
          </wp:inline>
        </w:drawing>
      </w:r>
    </w:p>
    <w:p w14:paraId="2F6ADAF9" w14:textId="77777777" w:rsidR="00DF5C47" w:rsidRDefault="00DF5C47" w:rsidP="00DF5C47">
      <w:pPr>
        <w:pStyle w:val="ListParagraph"/>
        <w:kinsoku w:val="0"/>
        <w:overflowPunct w:val="0"/>
        <w:textAlignment w:val="baseline"/>
        <w:rPr>
          <w:color w:val="006699"/>
          <w:sz w:val="42"/>
        </w:rPr>
      </w:pPr>
    </w:p>
    <w:p w14:paraId="315F3F3A" w14:textId="77777777" w:rsidR="008D74F0" w:rsidRPr="00D769E5" w:rsidRDefault="008D74F0" w:rsidP="00D769E5">
      <w:pPr>
        <w:kinsoku w:val="0"/>
        <w:overflowPunct w:val="0"/>
        <w:textAlignment w:val="baseline"/>
        <w:rPr>
          <w:color w:val="006699"/>
          <w:sz w:val="42"/>
        </w:rPr>
      </w:pPr>
    </w:p>
    <w:p w14:paraId="2E095376" w14:textId="77777777" w:rsidR="00C122B6" w:rsidRPr="00D769E5" w:rsidRDefault="00C122B6" w:rsidP="00D769E5">
      <w:pPr>
        <w:spacing w:after="240" w:line="300" w:lineRule="auto"/>
        <w:jc w:val="center"/>
        <w:rPr>
          <w:rFonts w:cs="Arial"/>
          <w:b/>
          <w:color w:val="4F758B"/>
          <w:kern w:val="24"/>
        </w:rPr>
      </w:pPr>
      <w:r w:rsidRPr="00D769E5">
        <w:rPr>
          <w:rFonts w:cs="Arial"/>
          <w:b/>
          <w:kern w:val="24"/>
        </w:rPr>
        <w:t>Available Flexible Ramp Capacity</w:t>
      </w:r>
    </w:p>
    <w:p w14:paraId="36D3A2F8" w14:textId="77777777" w:rsidR="00C122B6" w:rsidRDefault="00C122B6">
      <w:pPr>
        <w:spacing w:after="240" w:line="300" w:lineRule="auto"/>
        <w:jc w:val="center"/>
        <w:rPr>
          <w:rFonts w:eastAsia="Calibri"/>
        </w:rPr>
      </w:pPr>
      <w:r>
        <w:rPr>
          <w:noProof/>
        </w:rPr>
        <w:drawing>
          <wp:inline distT="0" distB="0" distL="0" distR="0" wp14:anchorId="15FA681E" wp14:editId="4279083C">
            <wp:extent cx="5486400" cy="1565031"/>
            <wp:effectExtent l="0" t="0" r="0" b="0"/>
            <wp:docPr id="3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1"/>
                    <a:stretch>
                      <a:fillRect/>
                    </a:stretch>
                  </pic:blipFill>
                  <pic:spPr>
                    <a:xfrm>
                      <a:off x="0" y="0"/>
                      <a:ext cx="5486400" cy="1565031"/>
                    </a:xfrm>
                    <a:prstGeom prst="rect">
                      <a:avLst/>
                    </a:prstGeom>
                  </pic:spPr>
                </pic:pic>
              </a:graphicData>
            </a:graphic>
          </wp:inline>
        </w:drawing>
      </w:r>
    </w:p>
    <w:p w14:paraId="701FDA69" w14:textId="77777777" w:rsidR="00C122B6" w:rsidRDefault="00C122B6" w:rsidP="008817D0">
      <w:pPr>
        <w:spacing w:after="240" w:line="300" w:lineRule="auto"/>
        <w:rPr>
          <w:rFonts w:eastAsia="Calibri"/>
        </w:rPr>
      </w:pPr>
    </w:p>
    <w:p w14:paraId="110AD194" w14:textId="77777777" w:rsidR="00C122B6" w:rsidRDefault="00C122B6" w:rsidP="008817D0">
      <w:pPr>
        <w:spacing w:after="240" w:line="300" w:lineRule="auto"/>
        <w:rPr>
          <w:rFonts w:eastAsia="Calibri"/>
        </w:rPr>
      </w:pPr>
    </w:p>
    <w:p w14:paraId="6716CFBD" w14:textId="77777777" w:rsidR="00C122B6" w:rsidRDefault="00C122B6" w:rsidP="008817D0">
      <w:pPr>
        <w:spacing w:after="240" w:line="300" w:lineRule="auto"/>
        <w:rPr>
          <w:rFonts w:eastAsia="Calibri"/>
        </w:rPr>
      </w:pPr>
    </w:p>
    <w:p w14:paraId="712C6F9B" w14:textId="77777777" w:rsidR="00C122B6" w:rsidRDefault="00C122B6" w:rsidP="008817D0">
      <w:pPr>
        <w:spacing w:after="240" w:line="300" w:lineRule="auto"/>
        <w:rPr>
          <w:rFonts w:eastAsia="Calibri"/>
        </w:rPr>
      </w:pPr>
    </w:p>
    <w:p w14:paraId="50C2875E" w14:textId="77777777" w:rsidR="00C122B6" w:rsidRDefault="00C122B6" w:rsidP="008817D0">
      <w:pPr>
        <w:spacing w:after="240" w:line="300" w:lineRule="auto"/>
        <w:rPr>
          <w:rFonts w:eastAsia="Calibri"/>
        </w:rPr>
      </w:pPr>
    </w:p>
    <w:p w14:paraId="51CFF6F1" w14:textId="77777777" w:rsidR="00C122B6" w:rsidRDefault="00C122B6" w:rsidP="008817D0">
      <w:pPr>
        <w:spacing w:after="240" w:line="300" w:lineRule="auto"/>
        <w:rPr>
          <w:rFonts w:eastAsia="Calibri"/>
        </w:rPr>
      </w:pPr>
    </w:p>
    <w:p w14:paraId="32415491" w14:textId="77777777" w:rsidR="00DF5C47" w:rsidRPr="00D769E5" w:rsidRDefault="008D74F0" w:rsidP="00D769E5">
      <w:pPr>
        <w:spacing w:after="240" w:line="300" w:lineRule="auto"/>
        <w:jc w:val="center"/>
        <w:rPr>
          <w:rFonts w:eastAsia="Calibri"/>
          <w:b/>
        </w:rPr>
      </w:pPr>
      <w:r w:rsidRPr="004741AC">
        <w:rPr>
          <w:rFonts w:cs="Arial"/>
          <w:b/>
          <w:kern w:val="24"/>
        </w:rPr>
        <w:t xml:space="preserve">Case </w:t>
      </w:r>
      <w:r w:rsidRPr="004741AC">
        <w:rPr>
          <w:b/>
          <w:kern w:val="24"/>
        </w:rPr>
        <w:t xml:space="preserve">1: </w:t>
      </w:r>
      <w:r>
        <w:rPr>
          <w:rFonts w:cs="Arial"/>
          <w:b/>
          <w:kern w:val="24"/>
        </w:rPr>
        <w:t xml:space="preserve"> </w:t>
      </w:r>
      <w:r w:rsidR="00C122B6" w:rsidRPr="00D769E5">
        <w:rPr>
          <w:rFonts w:cs="Arial"/>
          <w:b/>
          <w:kern w:val="24"/>
        </w:rPr>
        <w:t>Flexible Ramp Sufficiency Test Pass</w:t>
      </w:r>
    </w:p>
    <w:p w14:paraId="0F56106D" w14:textId="77777777" w:rsidR="009958D7" w:rsidRDefault="009958D7">
      <w:pPr>
        <w:spacing w:after="240" w:line="300" w:lineRule="auto"/>
        <w:jc w:val="center"/>
        <w:rPr>
          <w:rFonts w:eastAsia="Calibri"/>
        </w:rPr>
      </w:pPr>
      <w:r w:rsidRPr="0066107F">
        <w:rPr>
          <w:rFonts w:eastAsia="Calibri"/>
          <w:noProof/>
        </w:rPr>
        <w:drawing>
          <wp:inline distT="0" distB="0" distL="0" distR="0" wp14:anchorId="383DCE9F" wp14:editId="362C8806">
            <wp:extent cx="5943600" cy="35490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73C0DF97" w14:textId="77777777" w:rsidR="00DF5C47" w:rsidRDefault="00DF5C47">
      <w:pPr>
        <w:spacing w:after="240" w:line="300" w:lineRule="auto"/>
        <w:jc w:val="center"/>
        <w:rPr>
          <w:rFonts w:eastAsia="Calibri"/>
        </w:rPr>
      </w:pPr>
    </w:p>
    <w:p w14:paraId="494E9453" w14:textId="77777777" w:rsidR="00C122B6" w:rsidRDefault="00C122B6" w:rsidP="000F299B">
      <w:pPr>
        <w:jc w:val="center"/>
        <w:rPr>
          <w:rFonts w:cs="Arial"/>
          <w:b/>
          <w:kern w:val="24"/>
        </w:rPr>
      </w:pPr>
    </w:p>
    <w:p w14:paraId="669D005A" w14:textId="77777777" w:rsidR="00C122B6" w:rsidRPr="000F299B" w:rsidRDefault="00C122B6" w:rsidP="000F299B">
      <w:pPr>
        <w:jc w:val="center"/>
        <w:rPr>
          <w:rFonts w:cs="Arial"/>
          <w:b/>
          <w:color w:val="4F758B"/>
          <w:kern w:val="24"/>
        </w:rPr>
      </w:pPr>
      <w:r w:rsidRPr="000F299B">
        <w:rPr>
          <w:rFonts w:cs="Arial"/>
          <w:b/>
          <w:kern w:val="24"/>
        </w:rPr>
        <w:t xml:space="preserve">Case 1: </w:t>
      </w:r>
      <w:r w:rsidR="008D74F0">
        <w:rPr>
          <w:rFonts w:cs="Arial"/>
          <w:b/>
          <w:kern w:val="24"/>
        </w:rPr>
        <w:t xml:space="preserve"> </w:t>
      </w:r>
      <w:r w:rsidRPr="000F299B">
        <w:rPr>
          <w:rFonts w:cs="Arial"/>
          <w:b/>
          <w:kern w:val="24"/>
        </w:rPr>
        <w:t>Flexible Ramp Capacity Constraints</w:t>
      </w:r>
    </w:p>
    <w:p w14:paraId="3023727C" w14:textId="77777777" w:rsidR="00C122B6" w:rsidRPr="000F299B" w:rsidRDefault="00C122B6" w:rsidP="000F299B">
      <w:pPr>
        <w:kinsoku w:val="0"/>
        <w:overflowPunct w:val="0"/>
        <w:contextualSpacing/>
        <w:textAlignment w:val="baseline"/>
      </w:pPr>
      <w:r w:rsidRPr="000F299B">
        <w:rPr>
          <w:rFonts w:cs="Arial"/>
          <w:kern w:val="24"/>
        </w:rPr>
        <w:t xml:space="preserve">For </w:t>
      </w:r>
      <w:r w:rsidRPr="000F299B">
        <w:rPr>
          <w:rFonts w:cs="Arial"/>
          <w:i/>
          <w:iCs/>
          <w:kern w:val="24"/>
        </w:rPr>
        <w:t>T</w:t>
      </w:r>
      <w:r w:rsidRPr="000F299B">
        <w:rPr>
          <w:rFonts w:cs="Arial"/>
          <w:kern w:val="24"/>
        </w:rPr>
        <w:t>+7.5'</w:t>
      </w:r>
    </w:p>
    <w:p w14:paraId="5AEBC734" w14:textId="77777777" w:rsidR="00C122B6" w:rsidRPr="000F299B" w:rsidRDefault="00C122B6">
      <w:pPr>
        <w:pStyle w:val="ListParagraph"/>
        <w:numPr>
          <w:ilvl w:val="0"/>
          <w:numId w:val="13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2245ECA9" w14:textId="77777777" w:rsidR="00C122B6" w:rsidRPr="000F299B" w:rsidRDefault="00C122B6">
      <w:pPr>
        <w:pStyle w:val="ListParagraph"/>
        <w:numPr>
          <w:ilvl w:val="0"/>
          <w:numId w:val="13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6F94CFE8" w14:textId="77777777" w:rsidR="00C122B6" w:rsidRPr="000F299B" w:rsidRDefault="00C122B6">
      <w:pPr>
        <w:pStyle w:val="ListParagraph"/>
        <w:numPr>
          <w:ilvl w:val="0"/>
          <w:numId w:val="13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max(0, FRR</w:t>
      </w:r>
      <w:r w:rsidRPr="000F299B">
        <w:rPr>
          <w:rFonts w:cs="Arial"/>
          <w:kern w:val="24"/>
          <w:position w:val="-12"/>
          <w:vertAlign w:val="subscript"/>
        </w:rPr>
        <w:t>2</w:t>
      </w:r>
      <w:r w:rsidRPr="000F299B">
        <w:rPr>
          <w:rFonts w:cs="Arial"/>
          <w:kern w:val="24"/>
        </w:rPr>
        <w:t xml:space="preserve"> − 10) = </w:t>
      </w:r>
      <w:r w:rsidR="009958D7">
        <w:rPr>
          <w:rFonts w:cs="Arial"/>
          <w:kern w:val="24"/>
        </w:rPr>
        <w:t>2</w:t>
      </w:r>
      <w:r w:rsidRPr="000F299B">
        <w:rPr>
          <w:rFonts w:cs="Arial"/>
          <w:kern w:val="24"/>
        </w:rPr>
        <w:t>0</w:t>
      </w:r>
    </w:p>
    <w:p w14:paraId="3AF8E02E" w14:textId="77777777" w:rsidR="00C122B6" w:rsidRPr="000F299B" w:rsidRDefault="00C122B6">
      <w:pPr>
        <w:pStyle w:val="ListParagraph"/>
        <w:numPr>
          <w:ilvl w:val="0"/>
          <w:numId w:val="131"/>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sidR="009958D7">
        <w:rPr>
          <w:rFonts w:cs="Arial"/>
          <w:kern w:val="24"/>
        </w:rPr>
        <w:t>85</w:t>
      </w:r>
    </w:p>
    <w:p w14:paraId="78BD29F0" w14:textId="77777777" w:rsidR="00C122B6" w:rsidRPr="000F299B" w:rsidRDefault="00C122B6" w:rsidP="00C122B6">
      <w:pPr>
        <w:kinsoku w:val="0"/>
        <w:overflowPunct w:val="0"/>
        <w:textAlignment w:val="baseline"/>
      </w:pPr>
    </w:p>
    <w:p w14:paraId="0BFEC53E" w14:textId="77777777" w:rsidR="000E624A" w:rsidRDefault="000E624A" w:rsidP="000F299B">
      <w:pPr>
        <w:kinsoku w:val="0"/>
        <w:overflowPunct w:val="0"/>
        <w:jc w:val="center"/>
        <w:textAlignment w:val="baseline"/>
        <w:rPr>
          <w:rFonts w:cs="Arial"/>
          <w:b/>
          <w:kern w:val="24"/>
        </w:rPr>
      </w:pPr>
    </w:p>
    <w:p w14:paraId="47E1821D" w14:textId="77777777" w:rsidR="000E624A" w:rsidRDefault="000E624A" w:rsidP="000F299B">
      <w:pPr>
        <w:kinsoku w:val="0"/>
        <w:overflowPunct w:val="0"/>
        <w:jc w:val="center"/>
        <w:textAlignment w:val="baseline"/>
        <w:rPr>
          <w:rFonts w:cs="Arial"/>
          <w:b/>
          <w:kern w:val="24"/>
        </w:rPr>
      </w:pPr>
    </w:p>
    <w:p w14:paraId="31495AEB" w14:textId="77777777" w:rsidR="004C013F" w:rsidRDefault="004C013F" w:rsidP="000F299B">
      <w:pPr>
        <w:kinsoku w:val="0"/>
        <w:overflowPunct w:val="0"/>
        <w:jc w:val="center"/>
        <w:textAlignment w:val="baseline"/>
        <w:rPr>
          <w:rFonts w:cs="Arial"/>
          <w:b/>
          <w:kern w:val="24"/>
        </w:rPr>
      </w:pPr>
    </w:p>
    <w:p w14:paraId="6631AEAE" w14:textId="77777777" w:rsidR="004C013F" w:rsidRDefault="004C013F" w:rsidP="000F299B">
      <w:pPr>
        <w:kinsoku w:val="0"/>
        <w:overflowPunct w:val="0"/>
        <w:jc w:val="center"/>
        <w:textAlignment w:val="baseline"/>
        <w:rPr>
          <w:rFonts w:cs="Arial"/>
          <w:b/>
          <w:kern w:val="24"/>
        </w:rPr>
      </w:pPr>
    </w:p>
    <w:p w14:paraId="1B0723BA" w14:textId="77777777" w:rsidR="00C122B6" w:rsidRPr="000F299B" w:rsidRDefault="00C122B6" w:rsidP="00F57D97">
      <w:pPr>
        <w:keepNext/>
        <w:keepLines/>
        <w:kinsoku w:val="0"/>
        <w:overflowPunct w:val="0"/>
        <w:jc w:val="center"/>
        <w:textAlignment w:val="baseline"/>
        <w:rPr>
          <w:b/>
          <w:color w:val="FF0000"/>
        </w:rPr>
      </w:pPr>
      <w:r w:rsidRPr="000F299B">
        <w:rPr>
          <w:rFonts w:cs="Arial"/>
          <w:b/>
          <w:kern w:val="24"/>
        </w:rPr>
        <w:t xml:space="preserve">Case 2: </w:t>
      </w:r>
      <w:r w:rsidR="008D74F0">
        <w:rPr>
          <w:rFonts w:cs="Arial"/>
          <w:b/>
          <w:kern w:val="24"/>
        </w:rPr>
        <w:t xml:space="preserve"> </w:t>
      </w:r>
      <w:r w:rsidRPr="000F299B">
        <w:rPr>
          <w:rFonts w:cs="Arial"/>
          <w:b/>
          <w:kern w:val="24"/>
        </w:rPr>
        <w:t>Flexible Ramp Sufficiency Test Fail</w:t>
      </w:r>
    </w:p>
    <w:p w14:paraId="7BF25A3A" w14:textId="77777777" w:rsidR="009958D7" w:rsidRDefault="009958D7" w:rsidP="000F299B">
      <w:pPr>
        <w:spacing w:after="240" w:line="300" w:lineRule="auto"/>
        <w:jc w:val="center"/>
        <w:rPr>
          <w:rFonts w:eastAsia="Calibri"/>
        </w:rPr>
      </w:pPr>
      <w:r w:rsidRPr="0066107F">
        <w:rPr>
          <w:rFonts w:eastAsia="Calibri"/>
          <w:noProof/>
        </w:rPr>
        <w:drawing>
          <wp:inline distT="0" distB="0" distL="0" distR="0" wp14:anchorId="656B14FC" wp14:editId="5810FA56">
            <wp:extent cx="5943600" cy="35490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1B7C6419" w14:textId="77777777" w:rsidR="00C122B6" w:rsidRDefault="00C122B6" w:rsidP="000F299B">
      <w:pPr>
        <w:spacing w:after="240" w:line="300" w:lineRule="auto"/>
        <w:jc w:val="center"/>
        <w:rPr>
          <w:rFonts w:eastAsia="Calibri"/>
        </w:rPr>
      </w:pPr>
    </w:p>
    <w:p w14:paraId="0E18E4D5" w14:textId="77777777" w:rsidR="008D74F0" w:rsidRDefault="008D74F0" w:rsidP="000F299B">
      <w:pPr>
        <w:spacing w:after="240" w:line="300" w:lineRule="auto"/>
        <w:jc w:val="center"/>
        <w:rPr>
          <w:rFonts w:cs="Arial"/>
          <w:b/>
          <w:kern w:val="24"/>
        </w:rPr>
      </w:pPr>
    </w:p>
    <w:p w14:paraId="6C0F795F" w14:textId="77777777" w:rsidR="00DF5C47" w:rsidRPr="000F299B" w:rsidRDefault="00C122B6" w:rsidP="000F299B">
      <w:pPr>
        <w:spacing w:after="240" w:line="300" w:lineRule="auto"/>
        <w:jc w:val="center"/>
        <w:rPr>
          <w:rFonts w:eastAsia="Calibri"/>
          <w:b/>
        </w:rPr>
      </w:pPr>
      <w:r w:rsidRPr="000F299B">
        <w:rPr>
          <w:rFonts w:cs="Arial"/>
          <w:b/>
          <w:kern w:val="24"/>
        </w:rPr>
        <w:t xml:space="preserve">Case 2: </w:t>
      </w:r>
      <w:r w:rsidR="008D74F0">
        <w:rPr>
          <w:rFonts w:cs="Arial"/>
          <w:b/>
          <w:kern w:val="24"/>
        </w:rPr>
        <w:t xml:space="preserve"> </w:t>
      </w:r>
      <w:r w:rsidRPr="000F299B">
        <w:rPr>
          <w:rFonts w:cs="Arial"/>
          <w:b/>
          <w:kern w:val="24"/>
        </w:rPr>
        <w:t>Flexible Ramp Capacity Constraints</w:t>
      </w:r>
    </w:p>
    <w:p w14:paraId="28B021FB" w14:textId="77777777" w:rsidR="00C122B6" w:rsidRPr="000F299B" w:rsidRDefault="00C122B6" w:rsidP="000F299B">
      <w:pPr>
        <w:kinsoku w:val="0"/>
        <w:overflowPunct w:val="0"/>
        <w:contextualSpacing/>
        <w:textAlignment w:val="baseline"/>
        <w:rPr>
          <w:color w:val="006699"/>
        </w:rPr>
      </w:pPr>
      <w:r w:rsidRPr="000F299B">
        <w:rPr>
          <w:rFonts w:cs="Arial"/>
          <w:color w:val="000000"/>
          <w:kern w:val="24"/>
        </w:rPr>
        <w:t xml:space="preserve">For </w:t>
      </w:r>
      <w:r w:rsidRPr="000F299B">
        <w:rPr>
          <w:rFonts w:cs="Arial"/>
          <w:i/>
          <w:iCs/>
          <w:color w:val="000000"/>
          <w:kern w:val="24"/>
        </w:rPr>
        <w:t>T</w:t>
      </w:r>
      <w:r w:rsidRPr="000F299B">
        <w:rPr>
          <w:rFonts w:cs="Arial"/>
          <w:color w:val="000000"/>
          <w:kern w:val="24"/>
        </w:rPr>
        <w:t>+7.5'</w:t>
      </w:r>
    </w:p>
    <w:p w14:paraId="08146664" w14:textId="77777777" w:rsidR="00C122B6" w:rsidRPr="000F299B" w:rsidRDefault="00C122B6">
      <w:pPr>
        <w:pStyle w:val="ListParagraph"/>
        <w:numPr>
          <w:ilvl w:val="0"/>
          <w:numId w:val="13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11A8B364" w14:textId="77777777" w:rsidR="00C122B6" w:rsidRPr="000F299B" w:rsidRDefault="00C122B6">
      <w:pPr>
        <w:pStyle w:val="ListParagraph"/>
        <w:numPr>
          <w:ilvl w:val="0"/>
          <w:numId w:val="13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09E92AD1" w14:textId="743F1DF0" w:rsidR="00C122B6" w:rsidRPr="000F299B" w:rsidRDefault="00C122B6">
      <w:pPr>
        <w:pStyle w:val="ListParagraph"/>
        <w:numPr>
          <w:ilvl w:val="0"/>
          <w:numId w:val="13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2</w:t>
      </w:r>
      <w:r w:rsidRPr="000F299B">
        <w:rPr>
          <w:rFonts w:cs="Arial"/>
          <w:kern w:val="24"/>
        </w:rPr>
        <w:t xml:space="preserve"> = </w:t>
      </w:r>
      <w:r w:rsidR="009419E1">
        <w:rPr>
          <w:rFonts w:cs="Arial"/>
          <w:kern w:val="24"/>
        </w:rPr>
        <w:t>3</w:t>
      </w:r>
      <w:r w:rsidRPr="000F299B">
        <w:rPr>
          <w:rFonts w:cs="Arial"/>
          <w:kern w:val="24"/>
        </w:rPr>
        <w:t>0</w:t>
      </w:r>
    </w:p>
    <w:p w14:paraId="511C5470" w14:textId="77777777" w:rsidR="004515FF" w:rsidRPr="004515FF" w:rsidRDefault="00C122B6">
      <w:pPr>
        <w:pStyle w:val="ListParagraph"/>
        <w:numPr>
          <w:ilvl w:val="0"/>
          <w:numId w:val="132"/>
        </w:numPr>
        <w:kinsoku w:val="0"/>
        <w:overflowPunct w:val="0"/>
        <w:contextualSpacing/>
        <w:textAlignment w:val="baseline"/>
      </w:pPr>
      <w:r w:rsidRPr="000F299B">
        <w:rPr>
          <w:rFonts w:cs="Arial"/>
          <w:kern w:val="24"/>
        </w:rPr>
        <w:t xml:space="preserve"> NSI</w:t>
      </w:r>
      <w:r w:rsidRPr="000F299B">
        <w:rPr>
          <w:rFonts w:cs="Arial"/>
          <w:kern w:val="24"/>
          <w:position w:val="-12"/>
          <w:vertAlign w:val="subscript"/>
        </w:rPr>
        <w:t>2</w:t>
      </w:r>
      <w:r w:rsidRPr="000F299B">
        <w:rPr>
          <w:rFonts w:cs="Arial"/>
          <w:kern w:val="24"/>
        </w:rPr>
        <w:t xml:space="preserve"> ≥ −10</w:t>
      </w:r>
    </w:p>
    <w:p w14:paraId="566C46E9" w14:textId="77777777" w:rsidR="004645FA" w:rsidRPr="000F299B" w:rsidRDefault="004645FA" w:rsidP="004645FA">
      <w:pPr>
        <w:pStyle w:val="ListParagraph"/>
        <w:numPr>
          <w:ilvl w:val="0"/>
          <w:numId w:val="132"/>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46E03596" w14:textId="77777777" w:rsidR="004515FF" w:rsidRPr="008817D0" w:rsidRDefault="004515FF" w:rsidP="00BE02D8">
      <w:pPr>
        <w:pStyle w:val="Heading4"/>
        <w:spacing w:before="240"/>
        <w:rPr>
          <w:rFonts w:eastAsia="Calibri"/>
        </w:rPr>
      </w:pPr>
      <w:r>
        <w:rPr>
          <w:rFonts w:eastAsia="Calibri"/>
        </w:rPr>
        <w:lastRenderedPageBreak/>
        <w:t>C</w:t>
      </w:r>
      <w:r w:rsidR="00A428E9">
        <w:rPr>
          <w:rFonts w:eastAsia="Calibri"/>
        </w:rPr>
        <w:t>alculate import/export hourly block schedule difference</w:t>
      </w:r>
    </w:p>
    <w:p w14:paraId="2274A0B9" w14:textId="346C6318" w:rsidR="004515FF" w:rsidRDefault="004515FF" w:rsidP="004515FF">
      <w:pPr>
        <w:spacing w:after="240" w:line="300" w:lineRule="auto"/>
        <w:rPr>
          <w:rFonts w:eastAsia="Calibri"/>
        </w:rPr>
      </w:pPr>
      <w:r>
        <w:t xml:space="preserve">First, the </w:t>
      </w:r>
      <w:r w:rsidR="0058562B">
        <w:t>CA</w:t>
      </w:r>
      <w:r>
        <w:t xml:space="preserve">ISO </w:t>
      </w:r>
      <w:r w:rsidR="006A2C15">
        <w:t>will</w:t>
      </w:r>
      <w:r>
        <w:t xml:space="preserve"> calculate and publish, for each BAA, the hourly scheduling error of imports and exports whose final tag schedules differ from either the EIM base schedule or </w:t>
      </w:r>
      <w:r w:rsidR="0058562B">
        <w:t>CA</w:t>
      </w:r>
      <w:r>
        <w:t>ISO hourly schedules. This hourly scheduling error will be calculated over a month between the 15</w:t>
      </w:r>
      <w:r>
        <w:rPr>
          <w:sz w:val="14"/>
          <w:szCs w:val="14"/>
        </w:rPr>
        <w:t xml:space="preserve">th </w:t>
      </w:r>
      <w:r>
        <w:t>day of the prior month and the 15</w:t>
      </w:r>
      <w:r>
        <w:rPr>
          <w:sz w:val="14"/>
          <w:szCs w:val="14"/>
        </w:rPr>
        <w:t xml:space="preserve">th </w:t>
      </w:r>
      <w:r>
        <w:t>day of the current month. The scheduling error will be included in the hourly capacity test of the upcoming month.</w:t>
      </w:r>
    </w:p>
    <w:p w14:paraId="6F469BE4" w14:textId="77777777" w:rsidR="006A2C15" w:rsidRDefault="006A2C15" w:rsidP="004515FF">
      <w:pPr>
        <w:spacing w:after="240" w:line="300" w:lineRule="auto"/>
      </w:pPr>
      <w:r>
        <w:t xml:space="preserve">Secondly, if a BAA has historically high import/export schedule changes between T-40 and T-20, the </w:t>
      </w:r>
      <w:r w:rsidR="0058562B">
        <w:t>CA</w:t>
      </w:r>
      <w:r>
        <w:t>ISO will add an hourly block schedule difference that must also be met in addition to the capacity test that ensures the bid range from participating resources can meet the 15-minute granular net load forecast for the operating hour.</w:t>
      </w:r>
    </w:p>
    <w:p w14:paraId="02D76CFF" w14:textId="77777777" w:rsidR="006A2C15" w:rsidRPr="00877DDB" w:rsidRDefault="006A2C15" w:rsidP="00877DDB">
      <w:pPr>
        <w:pStyle w:val="Default"/>
        <w:spacing w:after="240" w:line="300"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On a monthly basis, the </w:t>
      </w:r>
      <w:r w:rsidR="0058562B" w:rsidRPr="00877DDB">
        <w:rPr>
          <w:rFonts w:asciiTheme="minorHAnsi" w:eastAsiaTheme="minorHAnsi" w:hAnsiTheme="minorHAnsi" w:cstheme="minorBidi"/>
          <w:color w:val="auto"/>
          <w:sz w:val="22"/>
          <w:szCs w:val="22"/>
        </w:rPr>
        <w:t>CA</w:t>
      </w:r>
      <w:r w:rsidRPr="00877DDB">
        <w:rPr>
          <w:rFonts w:asciiTheme="minorHAnsi" w:eastAsiaTheme="minorHAnsi" w:hAnsiTheme="minorHAnsi" w:cstheme="minorBidi"/>
          <w:color w:val="auto"/>
          <w:sz w:val="22"/>
          <w:szCs w:val="22"/>
        </w:rPr>
        <w:t xml:space="preserve">ISO will calculate histograms of the percentage of the difference between imports and exports scheduled at T-40 and final tagged imports at T-20. The </w:t>
      </w:r>
      <w:r w:rsidR="0058562B" w:rsidRPr="00877DDB">
        <w:rPr>
          <w:rFonts w:asciiTheme="minorHAnsi" w:eastAsiaTheme="minorHAnsi" w:hAnsiTheme="minorHAnsi" w:cstheme="minorBidi"/>
          <w:color w:val="auto"/>
          <w:sz w:val="22"/>
          <w:szCs w:val="22"/>
        </w:rPr>
        <w:t>CA</w:t>
      </w:r>
      <w:r w:rsidRPr="00877DDB">
        <w:rPr>
          <w:rFonts w:asciiTheme="minorHAnsi" w:eastAsiaTheme="minorHAnsi" w:hAnsiTheme="minorHAnsi" w:cstheme="minorBidi"/>
          <w:color w:val="auto"/>
          <w:sz w:val="22"/>
          <w:szCs w:val="22"/>
        </w:rPr>
        <w:t xml:space="preserve">ISO will calculate these histograms in accordance with the following: </w:t>
      </w:r>
    </w:p>
    <w:p w14:paraId="663A2C0D" w14:textId="77777777" w:rsidR="008F095D" w:rsidRPr="00877DDB" w:rsidRDefault="008F095D" w:rsidP="006A2C15">
      <w:pPr>
        <w:pStyle w:val="Default"/>
        <w:rPr>
          <w:rFonts w:asciiTheme="minorHAnsi" w:eastAsiaTheme="minorHAnsi" w:hAnsiTheme="minorHAnsi" w:cstheme="minorBidi"/>
          <w:color w:val="auto"/>
          <w:sz w:val="22"/>
          <w:szCs w:val="22"/>
        </w:rPr>
      </w:pPr>
    </w:p>
    <w:p w14:paraId="2EC48D86" w14:textId="6ADF7423" w:rsidR="008F095D"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rPr>
        <w:t xml:space="preserve">The calculation will be done independently for the upward and downward directions. </w:t>
      </w:r>
    </w:p>
    <w:p w14:paraId="60FC494E" w14:textId="13686B24" w:rsidR="008F095D"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rPr>
        <w:t xml:space="preserve">Imports and exports will not be netted against each other. </w:t>
      </w:r>
    </w:p>
    <w:p w14:paraId="79DAFBD5" w14:textId="4845BF82" w:rsidR="008F095D"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rPr>
        <w:t xml:space="preserve">If imports tag higher than the base schedules, additional downward bid range will be required. If imports tag lower than the base schedules, additional upward bid range will be required. </w:t>
      </w:r>
    </w:p>
    <w:p w14:paraId="3F5B9CEB" w14:textId="021DBFBD" w:rsidR="008F095D"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rPr>
        <w:t xml:space="preserve">If exports tag higher than the base schedules, additional upward bid range will be required. If exports tag lower than base schedules, additional downward bid range will be required. </w:t>
      </w:r>
    </w:p>
    <w:p w14:paraId="621F3E51" w14:textId="2E0AAE9C" w:rsidR="008F095D"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rPr>
        <w:t xml:space="preserve">The scheduling error does will not consider the root cause of the difference when calculating the histogram. </w:t>
      </w:r>
    </w:p>
    <w:p w14:paraId="63A68270" w14:textId="6AD95EAD" w:rsidR="006A2C15" w:rsidRPr="00877DDB" w:rsidRDefault="006A2C15" w:rsidP="00877DDB">
      <w:pPr>
        <w:pStyle w:val="Default"/>
        <w:numPr>
          <w:ilvl w:val="0"/>
          <w:numId w:val="250"/>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The percentages will be calculated by dividing the difference between the T-40 base schedule and the T-20 actual tagged value of the base schedule imports or exports. </w:t>
      </w:r>
    </w:p>
    <w:p w14:paraId="05E6FACD" w14:textId="77777777" w:rsidR="006A2C15" w:rsidRPr="00877DDB" w:rsidRDefault="006A2C15" w:rsidP="006A2C15">
      <w:pPr>
        <w:pStyle w:val="Default"/>
        <w:rPr>
          <w:rFonts w:asciiTheme="minorHAnsi" w:eastAsiaTheme="minorHAnsi" w:hAnsiTheme="minorHAnsi" w:cstheme="minorBidi"/>
          <w:color w:val="auto"/>
          <w:sz w:val="22"/>
          <w:szCs w:val="22"/>
        </w:rPr>
      </w:pPr>
    </w:p>
    <w:p w14:paraId="09304479" w14:textId="77777777" w:rsidR="006A2C15" w:rsidRPr="00877DDB" w:rsidRDefault="006A2C15" w:rsidP="006A2C15">
      <w:pPr>
        <w:pStyle w:val="Default"/>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lastRenderedPageBreak/>
        <w:t xml:space="preserve">The differences between imports and exports scheduled at T-40 and final tagged imports at T-20 will be calculated as follows: </w:t>
      </w:r>
    </w:p>
    <w:p w14:paraId="1BBF79B3" w14:textId="77777777" w:rsidR="006A2C15" w:rsidRPr="00877DDB" w:rsidRDefault="006A2C15" w:rsidP="006A2C15">
      <w:pPr>
        <w:pStyle w:val="Default"/>
        <w:rPr>
          <w:rFonts w:asciiTheme="minorHAnsi" w:eastAsiaTheme="minorHAnsi" w:hAnsiTheme="minorHAnsi" w:cstheme="minorBidi"/>
          <w:color w:val="auto"/>
          <w:sz w:val="22"/>
          <w:szCs w:val="22"/>
        </w:rPr>
      </w:pPr>
    </w:p>
    <w:p w14:paraId="1BAC9428" w14:textId="77777777" w:rsidR="006A2C15" w:rsidRPr="00877DDB" w:rsidRDefault="006A2C15" w:rsidP="006A2C15">
      <w:pPr>
        <w:pStyle w:val="Default"/>
        <w:rPr>
          <w:rFonts w:asciiTheme="minorHAnsi" w:eastAsiaTheme="minorHAnsi" w:hAnsiTheme="minorHAnsi" w:cstheme="minorBidi"/>
          <w:b/>
          <w:color w:val="auto"/>
          <w:sz w:val="22"/>
          <w:szCs w:val="22"/>
        </w:rPr>
      </w:pPr>
      <w:r w:rsidRPr="00877DDB">
        <w:rPr>
          <w:rFonts w:asciiTheme="minorHAnsi" w:eastAsiaTheme="minorHAnsi" w:hAnsiTheme="minorHAnsi" w:cstheme="minorBidi"/>
          <w:b/>
          <w:color w:val="auto"/>
          <w:sz w:val="22"/>
          <w:szCs w:val="22"/>
        </w:rPr>
        <w:t xml:space="preserve">Import histogram data </w:t>
      </w:r>
    </w:p>
    <w:p w14:paraId="46BC8AFD" w14:textId="77777777" w:rsidR="006A2C15" w:rsidRPr="00877DDB" w:rsidRDefault="006A2C15" w:rsidP="00BE02D8">
      <w:pPr>
        <w:pStyle w:val="Default"/>
        <w:ind w:left="720"/>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(Base schedule imports – actual tagged imports) / base schedule imports </w:t>
      </w:r>
    </w:p>
    <w:p w14:paraId="4A2CD830" w14:textId="77777777" w:rsidR="006A2C15" w:rsidRPr="00877DDB" w:rsidRDefault="006A2C15" w:rsidP="006A2C15">
      <w:pPr>
        <w:pStyle w:val="Default"/>
        <w:rPr>
          <w:rFonts w:asciiTheme="minorHAnsi" w:eastAsiaTheme="minorHAnsi" w:hAnsiTheme="minorHAnsi" w:cstheme="minorBidi"/>
          <w:color w:val="auto"/>
          <w:sz w:val="22"/>
          <w:szCs w:val="22"/>
        </w:rPr>
      </w:pPr>
    </w:p>
    <w:p w14:paraId="356E7FD5" w14:textId="77777777" w:rsidR="006A2C15" w:rsidRPr="00877DDB" w:rsidRDefault="006A2C15" w:rsidP="006A2C15">
      <w:pPr>
        <w:pStyle w:val="Default"/>
        <w:rPr>
          <w:rFonts w:asciiTheme="minorHAnsi" w:eastAsiaTheme="minorHAnsi" w:hAnsiTheme="minorHAnsi" w:cstheme="minorBidi"/>
          <w:b/>
          <w:color w:val="auto"/>
          <w:sz w:val="22"/>
          <w:szCs w:val="22"/>
        </w:rPr>
      </w:pPr>
      <w:r w:rsidRPr="00877DDB">
        <w:rPr>
          <w:rFonts w:asciiTheme="minorHAnsi" w:eastAsiaTheme="minorHAnsi" w:hAnsiTheme="minorHAnsi" w:cstheme="minorBidi"/>
          <w:b/>
          <w:color w:val="auto"/>
          <w:sz w:val="22"/>
          <w:szCs w:val="22"/>
        </w:rPr>
        <w:t xml:space="preserve">Export histogram data </w:t>
      </w:r>
    </w:p>
    <w:p w14:paraId="6B2AD269" w14:textId="77777777" w:rsidR="006A2C15" w:rsidRPr="00877DDB" w:rsidRDefault="006A2C15" w:rsidP="00BE02D8">
      <w:pPr>
        <w:pStyle w:val="Default"/>
        <w:ind w:left="720"/>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(Base schedule exports – actual tagged exports) / base schedule exports </w:t>
      </w:r>
    </w:p>
    <w:p w14:paraId="64D703A6" w14:textId="77777777" w:rsidR="006A2C15" w:rsidRPr="00877DDB" w:rsidRDefault="006A2C15" w:rsidP="006A2C15">
      <w:pPr>
        <w:pStyle w:val="Default"/>
        <w:rPr>
          <w:rFonts w:asciiTheme="minorHAnsi" w:eastAsiaTheme="minorHAnsi" w:hAnsiTheme="minorHAnsi" w:cstheme="minorBidi"/>
          <w:color w:val="auto"/>
          <w:sz w:val="22"/>
          <w:szCs w:val="22"/>
        </w:rPr>
      </w:pPr>
    </w:p>
    <w:p w14:paraId="27B3DABD" w14:textId="77777777" w:rsidR="006A2C15" w:rsidRPr="00877DDB" w:rsidRDefault="006A2C15" w:rsidP="00877DDB">
      <w:pPr>
        <w:pStyle w:val="Default"/>
        <w:spacing w:after="240" w:line="300"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Initially, the hourly capacity test will ensure 95% of the historical T-20 tagged imports/exports can be met by the bid range of EIM participating resources. The incremental requirement combines the over-scheduled imports and the under-scheduled exports. The decremental requirement combines the over-scheduled imports and the under-scheduled exports. The additional capacity test requirements can be derived as follows: </w:t>
      </w:r>
    </w:p>
    <w:p w14:paraId="39DB398F" w14:textId="77777777" w:rsidR="006A2C15" w:rsidRPr="00877DDB" w:rsidRDefault="006A2C15" w:rsidP="006A2C15">
      <w:pPr>
        <w:pStyle w:val="Default"/>
        <w:rPr>
          <w:rFonts w:asciiTheme="minorHAnsi" w:eastAsiaTheme="minorHAnsi" w:hAnsiTheme="minorHAnsi" w:cstheme="minorBidi"/>
          <w:color w:val="auto"/>
          <w:sz w:val="22"/>
          <w:szCs w:val="22"/>
        </w:rPr>
      </w:pPr>
    </w:p>
    <w:p w14:paraId="5BBC5347" w14:textId="3DE528C0" w:rsidR="006A2C15" w:rsidRPr="00134738" w:rsidRDefault="006A2C15" w:rsidP="00877DDB">
      <w:pPr>
        <w:pStyle w:val="Default"/>
        <w:numPr>
          <w:ilvl w:val="0"/>
          <w:numId w:val="251"/>
        </w:numPr>
        <w:spacing w:after="160" w:line="259"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b/>
          <w:color w:val="auto"/>
        </w:rPr>
        <w:t>Additional incremental requirement</w:t>
      </w:r>
      <w:r w:rsidR="00134738">
        <w:rPr>
          <w:rFonts w:asciiTheme="minorHAnsi" w:eastAsiaTheme="minorHAnsi" w:hAnsiTheme="minorHAnsi" w:cstheme="minorBidi"/>
          <w:color w:val="auto"/>
          <w:sz w:val="22"/>
          <w:szCs w:val="22"/>
        </w:rPr>
        <w:t xml:space="preserve">: </w:t>
      </w:r>
      <w:r w:rsidRPr="00877DDB">
        <w:rPr>
          <w:rFonts w:asciiTheme="minorHAnsi" w:eastAsiaTheme="minorHAnsi" w:hAnsiTheme="minorHAnsi" w:cstheme="minorBidi"/>
          <w:color w:val="auto"/>
          <w:sz w:val="22"/>
          <w:szCs w:val="22"/>
        </w:rPr>
        <w:t>97.5th percentile of import histogram * gross import base schedule – 2.5th percentile of export histogram * gross export base schedule</w:t>
      </w:r>
      <w:r w:rsidR="00134738">
        <w:rPr>
          <w:rFonts w:asciiTheme="minorHAnsi" w:eastAsiaTheme="minorHAnsi" w:hAnsiTheme="minorHAnsi" w:cstheme="minorBidi"/>
          <w:color w:val="auto"/>
          <w:sz w:val="22"/>
          <w:szCs w:val="22"/>
        </w:rPr>
        <w:t>.</w:t>
      </w:r>
      <w:r w:rsidRPr="00877DDB">
        <w:rPr>
          <w:rFonts w:asciiTheme="minorHAnsi" w:eastAsiaTheme="minorHAnsi" w:hAnsiTheme="minorHAnsi" w:cstheme="minorBidi"/>
          <w:color w:val="auto"/>
          <w:sz w:val="22"/>
          <w:szCs w:val="22"/>
        </w:rPr>
        <w:t xml:space="preserve"> </w:t>
      </w:r>
    </w:p>
    <w:p w14:paraId="62D3A022" w14:textId="77777777" w:rsidR="00134738" w:rsidRPr="00877DDB" w:rsidRDefault="00134738" w:rsidP="006A2C15">
      <w:pPr>
        <w:pStyle w:val="Default"/>
        <w:ind w:left="720"/>
        <w:rPr>
          <w:rFonts w:asciiTheme="minorHAnsi" w:eastAsiaTheme="minorHAnsi" w:hAnsiTheme="minorHAnsi" w:cstheme="minorBidi"/>
          <w:color w:val="auto"/>
          <w:sz w:val="22"/>
          <w:szCs w:val="22"/>
        </w:rPr>
      </w:pPr>
    </w:p>
    <w:p w14:paraId="54E998A1" w14:textId="4875A4D3" w:rsidR="006A2C15" w:rsidRPr="00134738" w:rsidRDefault="006A2C15" w:rsidP="00877DDB">
      <w:pPr>
        <w:pStyle w:val="Default"/>
        <w:numPr>
          <w:ilvl w:val="0"/>
          <w:numId w:val="251"/>
        </w:numPr>
        <w:spacing w:after="160" w:line="259" w:lineRule="auto"/>
      </w:pPr>
      <w:r w:rsidRPr="00877DDB">
        <w:rPr>
          <w:rFonts w:asciiTheme="minorHAnsi" w:eastAsiaTheme="minorHAnsi" w:hAnsiTheme="minorHAnsi" w:cstheme="minorBidi"/>
          <w:b/>
          <w:color w:val="auto"/>
        </w:rPr>
        <w:t>Additional decremental requirement</w:t>
      </w:r>
      <w:r w:rsidR="00134738">
        <w:rPr>
          <w:rFonts w:asciiTheme="minorHAnsi" w:eastAsiaTheme="minorHAnsi" w:hAnsiTheme="minorHAnsi" w:cstheme="minorBidi"/>
          <w:b/>
          <w:color w:val="auto"/>
          <w:sz w:val="22"/>
          <w:szCs w:val="22"/>
        </w:rPr>
        <w:t xml:space="preserve">: </w:t>
      </w:r>
      <w:r w:rsidRPr="00134738">
        <w:rPr>
          <w:rFonts w:asciiTheme="minorHAnsi" w:eastAsiaTheme="minorHAnsi" w:hAnsiTheme="minorHAnsi" w:cstheme="minorBidi"/>
          <w:color w:val="auto"/>
          <w:sz w:val="22"/>
          <w:szCs w:val="22"/>
        </w:rPr>
        <w:t>97.5th percentile of export histogram * gross export base schedule – 2.5th percentile of import histogram * gross import base schedule</w:t>
      </w:r>
      <w:r w:rsidR="00134738">
        <w:rPr>
          <w:rFonts w:asciiTheme="minorHAnsi" w:eastAsiaTheme="minorHAnsi" w:hAnsiTheme="minorHAnsi" w:cstheme="minorBidi"/>
          <w:color w:val="auto"/>
          <w:sz w:val="22"/>
          <w:szCs w:val="22"/>
        </w:rPr>
        <w:t>.</w:t>
      </w:r>
    </w:p>
    <w:p w14:paraId="209136AD" w14:textId="77777777" w:rsidR="006A2C15" w:rsidRPr="00877DDB" w:rsidRDefault="006A2C15">
      <w:pPr>
        <w:spacing w:after="240" w:line="300" w:lineRule="auto"/>
      </w:pPr>
      <w:r>
        <w:t>The percentage of imports/exports under/overscheduling to be met through the resource sufficiency evaluation will be configurable</w:t>
      </w:r>
      <w:r w:rsidR="00FC3CA9">
        <w:t xml:space="preserve">. </w:t>
      </w:r>
      <w:r w:rsidR="00F8546B">
        <w:t xml:space="preserve">In addition, </w:t>
      </w:r>
      <w:r w:rsidR="00F8546B" w:rsidRPr="00F8546B">
        <w:t>each hour of 24 hours in the corresponding month</w:t>
      </w:r>
      <w:r w:rsidR="00F8546B">
        <w:t xml:space="preserve"> is used to establish the histogram.</w:t>
      </w:r>
    </w:p>
    <w:p w14:paraId="7DEB4AAF" w14:textId="77777777" w:rsidR="004515FF" w:rsidRPr="004515FF" w:rsidRDefault="004515FF" w:rsidP="0008033D">
      <w:pPr>
        <w:pStyle w:val="ListParagraph"/>
        <w:kinsoku w:val="0"/>
        <w:overflowPunct w:val="0"/>
        <w:contextualSpacing/>
        <w:textAlignment w:val="baseline"/>
      </w:pPr>
    </w:p>
    <w:p w14:paraId="469D127C" w14:textId="77777777" w:rsidR="000E624A" w:rsidRPr="000F299B" w:rsidRDefault="000E624A" w:rsidP="000F299B">
      <w:pPr>
        <w:pStyle w:val="ListParagraph"/>
        <w:kinsoku w:val="0"/>
        <w:overflowPunct w:val="0"/>
        <w:contextualSpacing/>
        <w:textAlignment w:val="baseline"/>
      </w:pPr>
    </w:p>
    <w:p w14:paraId="12DB0314" w14:textId="77777777" w:rsidR="0008033D" w:rsidRDefault="0008033D" w:rsidP="000B754E">
      <w:pPr>
        <w:pStyle w:val="Heading3"/>
        <w:spacing w:line="300" w:lineRule="auto"/>
        <w:rPr>
          <w:rFonts w:eastAsia="Calibri"/>
        </w:rPr>
      </w:pPr>
      <w:bookmarkStart w:id="1937" w:name="_Toc390946294"/>
      <w:bookmarkStart w:id="1938" w:name="_Toc391969855"/>
      <w:bookmarkStart w:id="1939" w:name="_Toc460320463"/>
      <w:bookmarkStart w:id="1940" w:name="_Toc390869269"/>
      <w:r>
        <w:rPr>
          <w:rFonts w:eastAsia="Calibri"/>
        </w:rPr>
        <w:t>Locational Marginal Prices</w:t>
      </w:r>
      <w:bookmarkEnd w:id="1937"/>
      <w:bookmarkEnd w:id="1938"/>
      <w:bookmarkEnd w:id="1939"/>
    </w:p>
    <w:p w14:paraId="7711DC8C" w14:textId="77777777" w:rsidR="00D71B97" w:rsidRPr="00D71B97" w:rsidRDefault="00D71B97" w:rsidP="002F635A">
      <w:pPr>
        <w:spacing w:after="240" w:line="300" w:lineRule="auto"/>
        <w:rPr>
          <w:rFonts w:eastAsia="Calibri"/>
        </w:rPr>
      </w:pPr>
      <w:r>
        <w:rPr>
          <w:rFonts w:eastAsia="Calibri"/>
        </w:rPr>
        <w:t xml:space="preserve">The CAISO Markets, including the EIM, are based on using a Full Network Model coupled with locational marginal pricing.  This coupling is meant to ensure that the Locational Marginal Prices (LMPs) </w:t>
      </w:r>
      <w:r>
        <w:rPr>
          <w:rFonts w:eastAsia="Calibri"/>
        </w:rPr>
        <w:lastRenderedPageBreak/>
        <w:t>reflect both the physical system as well as the schedules produced by the market applications.  A detailed explanation for how the LM</w:t>
      </w:r>
      <w:r w:rsidR="007970DF">
        <w:rPr>
          <w:rFonts w:eastAsia="Calibri"/>
        </w:rPr>
        <w:t>Ps are derived is contained in S</w:t>
      </w:r>
      <w:r>
        <w:rPr>
          <w:rFonts w:eastAsia="Calibri"/>
        </w:rPr>
        <w:t>ection 3.2 of the</w:t>
      </w:r>
      <w:r w:rsidRPr="00A746D3">
        <w:rPr>
          <w:rFonts w:eastAsia="Calibri"/>
          <w:b/>
        </w:rPr>
        <w:t xml:space="preserve"> </w:t>
      </w:r>
      <w:hyperlink r:id="rId184" w:history="1">
        <w:r w:rsidRPr="00A746D3">
          <w:rPr>
            <w:rStyle w:val="Hyperlink"/>
            <w:rFonts w:eastAsia="Calibri"/>
            <w:b/>
          </w:rPr>
          <w:t>BPM for Market Operations</w:t>
        </w:r>
      </w:hyperlink>
      <w:r>
        <w:rPr>
          <w:rFonts w:eastAsia="Calibri"/>
        </w:rPr>
        <w:t xml:space="preserve">.  </w:t>
      </w:r>
    </w:p>
    <w:p w14:paraId="0346CF3D" w14:textId="77777777" w:rsidR="008817D0" w:rsidRPr="008817D0" w:rsidRDefault="008817D0" w:rsidP="00C33762">
      <w:pPr>
        <w:pStyle w:val="Heading4"/>
        <w:rPr>
          <w:rFonts w:eastAsia="Calibri"/>
          <w:i/>
        </w:rPr>
      </w:pPr>
      <w:r w:rsidRPr="008817D0">
        <w:rPr>
          <w:rFonts w:eastAsia="Calibri"/>
        </w:rPr>
        <w:t>Accounting for Greenhouse Gas Regulation</w:t>
      </w:r>
      <w:r w:rsidRPr="008817D0">
        <w:rPr>
          <w:rFonts w:eastAsia="Calibri"/>
          <w:i/>
        </w:rPr>
        <w:t xml:space="preserve"> </w:t>
      </w:r>
    </w:p>
    <w:p w14:paraId="4E890BAF" w14:textId="77777777" w:rsidR="008817D0" w:rsidRPr="008817D0" w:rsidRDefault="009D507A">
      <w:pPr>
        <w:spacing w:after="240" w:line="300" w:lineRule="auto"/>
        <w:rPr>
          <w:rFonts w:eastAsia="Calibri"/>
        </w:rPr>
      </w:pPr>
      <w:r>
        <w:rPr>
          <w:rFonts w:eastAsia="Calibri"/>
        </w:rPr>
        <w:t xml:space="preserve">Imports of energy into </w:t>
      </w:r>
      <w:r w:rsidR="008817D0" w:rsidRPr="008817D0">
        <w:rPr>
          <w:rFonts w:eastAsia="Calibri"/>
        </w:rPr>
        <w:t xml:space="preserve">CAISO and </w:t>
      </w:r>
      <w:r>
        <w:rPr>
          <w:rFonts w:eastAsia="Calibri"/>
        </w:rPr>
        <w:t xml:space="preserve">generation of energy within </w:t>
      </w:r>
      <w:r w:rsidR="008817D0" w:rsidRPr="008817D0">
        <w:rPr>
          <w:rFonts w:eastAsia="Calibri"/>
        </w:rPr>
        <w:t xml:space="preserve">CAISO from greenhouse gas emitting resources are subject to the California Cap on Greenhouse Gas Emissions regulated by the California Air Resources Board (CARB). According to CARB rules, energy generated outside of California that is not imported into California is not subject to this regulation. </w:t>
      </w:r>
    </w:p>
    <w:p w14:paraId="7A921F13" w14:textId="77777777" w:rsidR="008817D0" w:rsidRPr="008817D0" w:rsidRDefault="008817D0">
      <w:pPr>
        <w:spacing w:after="240" w:line="300" w:lineRule="auto"/>
        <w:rPr>
          <w:rFonts w:eastAsia="Calibri"/>
        </w:rPr>
      </w:pPr>
      <w:r w:rsidRPr="008817D0">
        <w:rPr>
          <w:rFonts w:eastAsia="Calibri"/>
        </w:rPr>
        <w:t xml:space="preserve">The EIM design accounts for this regulation through the following: </w:t>
      </w:r>
    </w:p>
    <w:p w14:paraId="52BF1F53" w14:textId="77777777" w:rsidR="00120F26" w:rsidRPr="008D74F0" w:rsidRDefault="008817D0" w:rsidP="00877DDB">
      <w:pPr>
        <w:pStyle w:val="ListParagraph"/>
        <w:numPr>
          <w:ilvl w:val="0"/>
          <w:numId w:val="126"/>
        </w:numPr>
      </w:pPr>
      <w:r w:rsidRPr="000F1AD7">
        <w:rPr>
          <w:rFonts w:eastAsia="Calibri"/>
        </w:rPr>
        <w:t xml:space="preserve">For generation within an EIM balancing authority, the cost of the greenhouse gas compliance obligation will be included in dispatching energy </w:t>
      </w:r>
      <w:r w:rsidR="00120F26" w:rsidRPr="00B94F9D">
        <w:t xml:space="preserve">from resources located outside of the CAISO BAA that serve CAISO load as determined by the EIM market optimization, but will otherwise be excluded.  Thus, for resources located outside CAISO that do not serve CAISO load under the EIM market optimization, the cost of the greenhouse gas compliance obligation will be excluded from dispatching energy from these resources.  </w:t>
      </w:r>
    </w:p>
    <w:p w14:paraId="0921A413" w14:textId="77777777" w:rsidR="008817D0" w:rsidRPr="00885130" w:rsidRDefault="008817D0" w:rsidP="00877DDB">
      <w:pPr>
        <w:pStyle w:val="ListParagraph"/>
        <w:numPr>
          <w:ilvl w:val="0"/>
          <w:numId w:val="126"/>
        </w:numPr>
        <w:rPr>
          <w:rFonts w:eastAsia="Calibri"/>
        </w:rPr>
      </w:pPr>
      <w:r w:rsidRPr="00885130">
        <w:rPr>
          <w:rFonts w:eastAsia="Calibri"/>
        </w:rPr>
        <w:t>The</w:t>
      </w:r>
      <w:r w:rsidRPr="008D74F0">
        <w:rPr>
          <w:rFonts w:eastAsia="Calibri"/>
        </w:rPr>
        <w:t xml:space="preserve"> energy produced by each generator within an EIM balancing authority that serves </w:t>
      </w:r>
      <w:r w:rsidR="00E4613C" w:rsidRPr="00885130">
        <w:rPr>
          <w:rFonts w:eastAsia="Calibri"/>
        </w:rPr>
        <w:t>CA</w:t>
      </w:r>
      <w:r w:rsidRPr="00885130">
        <w:rPr>
          <w:rFonts w:eastAsia="Calibri"/>
        </w:rPr>
        <w:t>ISO</w:t>
      </w:r>
      <w:r w:rsidR="009D507A" w:rsidRPr="00885130">
        <w:rPr>
          <w:rFonts w:eastAsia="Calibri"/>
        </w:rPr>
        <w:t xml:space="preserve"> load will be calculated by </w:t>
      </w:r>
      <w:r w:rsidR="00E4613C" w:rsidRPr="00885130">
        <w:rPr>
          <w:rFonts w:eastAsia="Calibri"/>
        </w:rPr>
        <w:t>CA</w:t>
      </w:r>
      <w:r w:rsidR="00120F26" w:rsidRPr="00885130">
        <w:rPr>
          <w:rFonts w:eastAsia="Calibri"/>
        </w:rPr>
        <w:t xml:space="preserve">ISO. </w:t>
      </w:r>
      <w:r w:rsidR="00120F26" w:rsidRPr="00B94F9D">
        <w:t xml:space="preserve">Through a market results interface, CAISO will provide EIM Participating Resource Scheduling Coordinators with summary reports listing the amounts of </w:t>
      </w:r>
      <w:r w:rsidR="00E04ABD">
        <w:t xml:space="preserve">energy exported to CA </w:t>
      </w:r>
      <w:r w:rsidR="00120F26" w:rsidRPr="00B94F9D">
        <w:t>as determined by the EIM market optimization,</w:t>
      </w:r>
      <w:r w:rsidRPr="008D74F0">
        <w:rPr>
          <w:rFonts w:eastAsia="Calibri"/>
        </w:rPr>
        <w:t xml:space="preserve"> which will be the basis of their greenhouse gas regulation compliance obligation with the California Air Resources Board</w:t>
      </w:r>
      <w:r w:rsidR="00D578BA" w:rsidRPr="00885130">
        <w:rPr>
          <w:rFonts w:eastAsia="Calibri"/>
        </w:rPr>
        <w:t xml:space="preserve"> (CARB)</w:t>
      </w:r>
      <w:r w:rsidR="00F11752">
        <w:rPr>
          <w:rFonts w:eastAsia="Calibri"/>
        </w:rPr>
        <w:t>.</w:t>
      </w:r>
      <w:r w:rsidRPr="00885130">
        <w:rPr>
          <w:rFonts w:eastAsia="Calibri"/>
        </w:rPr>
        <w:t xml:space="preserve"> </w:t>
      </w:r>
    </w:p>
    <w:p w14:paraId="6AA0161C" w14:textId="77777777" w:rsidR="008817D0" w:rsidRPr="00885130" w:rsidRDefault="00D71222" w:rsidP="00877DDB">
      <w:pPr>
        <w:pStyle w:val="ListParagraph"/>
        <w:numPr>
          <w:ilvl w:val="0"/>
          <w:numId w:val="126"/>
        </w:numPr>
        <w:rPr>
          <w:rFonts w:eastAsia="Calibri"/>
        </w:rPr>
      </w:pPr>
      <w:r w:rsidRPr="00885130">
        <w:rPr>
          <w:rFonts w:eastAsia="Calibri"/>
        </w:rPr>
        <w:t>EIM</w:t>
      </w:r>
      <w:r w:rsidRPr="008D74F0">
        <w:rPr>
          <w:rFonts w:eastAsia="Calibri"/>
        </w:rPr>
        <w:t xml:space="preserve"> Participating Resource Scheduling C</w:t>
      </w:r>
      <w:r w:rsidR="008817D0" w:rsidRPr="00885130">
        <w:rPr>
          <w:rFonts w:eastAsia="Calibri"/>
        </w:rPr>
        <w:t xml:space="preserve">oordinators can include the costs of their greenhouse gas regulation compliance obligation as an adder to their energy bids. </w:t>
      </w:r>
    </w:p>
    <w:p w14:paraId="1A7D2CA1" w14:textId="77777777" w:rsidR="008D74F0" w:rsidRDefault="008817D0" w:rsidP="000F299B">
      <w:pPr>
        <w:spacing w:after="240" w:line="300" w:lineRule="auto"/>
        <w:rPr>
          <w:rFonts w:eastAsia="Calibri"/>
        </w:rPr>
      </w:pPr>
      <w:r w:rsidRPr="000778EC">
        <w:rPr>
          <w:rFonts w:eastAsia="Calibri"/>
        </w:rPr>
        <w:t>The EIM has been designed so that the greenhouse gas compliance costs</w:t>
      </w:r>
      <w:r w:rsidRPr="00D02938">
        <w:rPr>
          <w:rFonts w:eastAsia="Calibri"/>
        </w:rPr>
        <w:t xml:space="preserve"> will not affect the locational marginal price in an EIM balancing authority area. Rather, the market optimization will calculate the marginal cost difference between EIM</w:t>
      </w:r>
      <w:r w:rsidR="009D507A" w:rsidRPr="000778EC">
        <w:rPr>
          <w:rFonts w:eastAsia="Calibri"/>
        </w:rPr>
        <w:t xml:space="preserve"> generation serving load in </w:t>
      </w:r>
      <w:r w:rsidR="00E4613C" w:rsidRPr="000778EC">
        <w:rPr>
          <w:rFonts w:eastAsia="Calibri"/>
        </w:rPr>
        <w:t>CA</w:t>
      </w:r>
      <w:r w:rsidRPr="000778EC">
        <w:rPr>
          <w:rFonts w:eastAsia="Calibri"/>
        </w:rPr>
        <w:t xml:space="preserve">ISO </w:t>
      </w:r>
      <w:r w:rsidR="009D507A" w:rsidRPr="000778EC">
        <w:rPr>
          <w:rFonts w:eastAsia="Calibri"/>
        </w:rPr>
        <w:t xml:space="preserve">and serving load outside of </w:t>
      </w:r>
      <w:r w:rsidR="00E4613C" w:rsidRPr="000778EC">
        <w:rPr>
          <w:rFonts w:eastAsia="Calibri"/>
        </w:rPr>
        <w:t>CA</w:t>
      </w:r>
      <w:r w:rsidRPr="000778EC">
        <w:rPr>
          <w:rFonts w:eastAsia="Calibri"/>
        </w:rPr>
        <w:t>ISO. This difference will be the marginal greenhouse gas regulation complianc</w:t>
      </w:r>
      <w:r w:rsidR="0072794B" w:rsidRPr="00E33AAC">
        <w:rPr>
          <w:rFonts w:eastAsia="Calibri"/>
        </w:rPr>
        <w:t xml:space="preserve">e cost and </w:t>
      </w:r>
      <w:r w:rsidR="0072794B" w:rsidRPr="00E33AAC">
        <w:rPr>
          <w:rFonts w:eastAsia="Calibri"/>
        </w:rPr>
        <w:lastRenderedPageBreak/>
        <w:t xml:space="preserve">will be the rate </w:t>
      </w:r>
      <w:r w:rsidR="00E4613C" w:rsidRPr="00E33AAC">
        <w:rPr>
          <w:rFonts w:eastAsia="Calibri"/>
        </w:rPr>
        <w:t>CA</w:t>
      </w:r>
      <w:r w:rsidRPr="00E33AAC">
        <w:rPr>
          <w:rFonts w:eastAsia="Calibri"/>
        </w:rPr>
        <w:t xml:space="preserve">ISO will use to calculate a payment to each generator in an EIM balancing authority </w:t>
      </w:r>
      <w:r w:rsidRPr="00D02938">
        <w:rPr>
          <w:rFonts w:eastAsia="Calibri"/>
        </w:rPr>
        <w:t xml:space="preserve">for its output that served </w:t>
      </w:r>
      <w:r w:rsidR="00E4613C" w:rsidRPr="00D02938">
        <w:rPr>
          <w:rFonts w:eastAsia="Calibri"/>
        </w:rPr>
        <w:t>CA</w:t>
      </w:r>
      <w:r w:rsidRPr="00D02938">
        <w:rPr>
          <w:rFonts w:eastAsia="Calibri"/>
        </w:rPr>
        <w:t>ISO imbalances. This payment will be funded th</w:t>
      </w:r>
      <w:r w:rsidR="0072794B" w:rsidRPr="00D02938">
        <w:rPr>
          <w:rFonts w:eastAsia="Calibri"/>
        </w:rPr>
        <w:t xml:space="preserve">rough the price paid within </w:t>
      </w:r>
      <w:r w:rsidR="00E4613C" w:rsidRPr="00D02938">
        <w:rPr>
          <w:rFonts w:eastAsia="Calibri"/>
        </w:rPr>
        <w:t>CA</w:t>
      </w:r>
      <w:r w:rsidRPr="00D02938">
        <w:rPr>
          <w:rFonts w:eastAsia="Calibri"/>
        </w:rPr>
        <w:t xml:space="preserve">ISO for imbalance energy. </w:t>
      </w:r>
      <w:r w:rsidR="00DA49BB" w:rsidRPr="000778EC">
        <w:rPr>
          <w:rFonts w:eastAsia="Calibri"/>
        </w:rPr>
        <w:t xml:space="preserve"> CAISO will publish the marginal GHG compliance price.</w:t>
      </w:r>
    </w:p>
    <w:p w14:paraId="4F25EB03" w14:textId="77777777" w:rsidR="008D74F0" w:rsidRDefault="008D74F0" w:rsidP="00C33762">
      <w:pPr>
        <w:pStyle w:val="Heading4"/>
        <w:rPr>
          <w:rFonts w:eastAsia="Calibri"/>
        </w:rPr>
      </w:pPr>
      <w:r>
        <w:rPr>
          <w:rFonts w:eastAsia="Calibri"/>
        </w:rPr>
        <w:t>Greenhouse Gas Methodology</w:t>
      </w:r>
    </w:p>
    <w:p w14:paraId="7CB5B9B6" w14:textId="77777777" w:rsidR="001E7023" w:rsidRDefault="001E7023" w:rsidP="000F299B">
      <w:pPr>
        <w:spacing w:after="240" w:line="300" w:lineRule="auto"/>
        <w:rPr>
          <w:rFonts w:eastAsia="Calibri"/>
        </w:rPr>
      </w:pPr>
      <w:r>
        <w:rPr>
          <w:rFonts w:eastAsia="Calibri"/>
        </w:rPr>
        <w:t>The following methodology describes the real time optimal dispatch that accounts for the greenhouse gas allowance costs of resources in EIM Entity BAAs</w:t>
      </w:r>
      <w:r w:rsidR="000F1AD7">
        <w:rPr>
          <w:rFonts w:eastAsia="Calibri"/>
        </w:rPr>
        <w:t>:</w:t>
      </w:r>
    </w:p>
    <w:p w14:paraId="62A28356" w14:textId="77777777" w:rsidR="001E7023" w:rsidRPr="001E7023" w:rsidRDefault="001E7023" w:rsidP="00877DDB">
      <w:pPr>
        <w:numPr>
          <w:ilvl w:val="0"/>
          <w:numId w:val="124"/>
        </w:numPr>
        <w:rPr>
          <w:rFonts w:eastAsia="Calibri"/>
        </w:rPr>
      </w:pPr>
      <w:r w:rsidRPr="001E7023">
        <w:rPr>
          <w:rFonts w:eastAsia="Calibri"/>
        </w:rPr>
        <w:t>The net imbalance energy export from all EIM Entity BAAs, exclusive of import/export imbalance energy schedules to non-EIM BAAs, is imbalance energy imported into the C</w:t>
      </w:r>
      <w:r w:rsidR="00D769E5">
        <w:rPr>
          <w:rFonts w:eastAsia="Calibri"/>
        </w:rPr>
        <w:t>A</w:t>
      </w:r>
      <w:r w:rsidRPr="001E7023">
        <w:rPr>
          <w:rFonts w:eastAsia="Calibri"/>
        </w:rPr>
        <w:t>ISO BAA. This energy would be allocated optimally to supply resources in the EIM Entity BAAs.</w:t>
      </w:r>
    </w:p>
    <w:p w14:paraId="0F955CC7" w14:textId="77777777" w:rsidR="001E7023" w:rsidRPr="001E7023" w:rsidRDefault="001E7023" w:rsidP="00877DDB">
      <w:pPr>
        <w:numPr>
          <w:ilvl w:val="0"/>
          <w:numId w:val="124"/>
        </w:numPr>
        <w:rPr>
          <w:rFonts w:eastAsia="Calibri"/>
        </w:rPr>
      </w:pPr>
      <w:r w:rsidRPr="001E7023">
        <w:rPr>
          <w:rFonts w:eastAsia="Calibri"/>
        </w:rPr>
        <w:t>The net imbalance energy export allocation to supply resources in EIM Entity BAAs does not depend on the location of these resources; no shift factors are used in this allocation. The rationale is that this allocation is an accounting problem, which is irrelevant to the actual flow of energy on the network; in other words, supply resources in EIM Entity BAAs are only differentiated in terms of their respective energy and emission costs, as reflected by a greenhouse gas (GHG) bid adder, and not in terms of their physical location.</w:t>
      </w:r>
    </w:p>
    <w:p w14:paraId="7014EC4C" w14:textId="77777777" w:rsidR="00695FB7" w:rsidRPr="00927518" w:rsidRDefault="00695FB7" w:rsidP="00877DDB">
      <w:pPr>
        <w:pStyle w:val="Default"/>
        <w:numPr>
          <w:ilvl w:val="0"/>
          <w:numId w:val="124"/>
        </w:numPr>
        <w:spacing w:after="160" w:line="259" w:lineRule="auto"/>
        <w:rPr>
          <w:rFonts w:asciiTheme="minorHAnsi" w:eastAsia="Calibri" w:hAnsiTheme="minorHAnsi"/>
          <w:szCs w:val="22"/>
        </w:rPr>
      </w:pPr>
      <w:r w:rsidRPr="00927518">
        <w:rPr>
          <w:rFonts w:asciiTheme="minorHAnsi" w:hAnsiTheme="minorHAnsi"/>
          <w:sz w:val="22"/>
          <w:szCs w:val="22"/>
        </w:rPr>
        <w:t xml:space="preserve">On an hourly basis by T-75, the EIM participating resource SC will submit a single MW quantity and single bid price expressing its willingness to be deemed delivered to the </w:t>
      </w:r>
      <w:r w:rsidR="0058562B" w:rsidRPr="00927518">
        <w:rPr>
          <w:rFonts w:asciiTheme="minorHAnsi" w:hAnsiTheme="minorHAnsi"/>
          <w:sz w:val="22"/>
          <w:szCs w:val="22"/>
        </w:rPr>
        <w:t>CA</w:t>
      </w:r>
      <w:r w:rsidRPr="00927518">
        <w:rPr>
          <w:rFonts w:asciiTheme="minorHAnsi" w:hAnsiTheme="minorHAnsi"/>
          <w:sz w:val="22"/>
          <w:szCs w:val="22"/>
        </w:rPr>
        <w:t xml:space="preserve">ISO. The MW quantity is independent of the energy bid curve submitted, thus the total output of the EIM participating resource up to the MW quantity bid is eligible to be deemed delivered to the </w:t>
      </w:r>
      <w:r w:rsidR="0058562B" w:rsidRPr="00927518">
        <w:rPr>
          <w:rFonts w:asciiTheme="minorHAnsi" w:hAnsiTheme="minorHAnsi"/>
          <w:sz w:val="22"/>
          <w:szCs w:val="22"/>
        </w:rPr>
        <w:t>CA</w:t>
      </w:r>
      <w:r w:rsidRPr="00927518">
        <w:rPr>
          <w:rFonts w:asciiTheme="minorHAnsi" w:hAnsiTheme="minorHAnsi"/>
          <w:sz w:val="22"/>
          <w:szCs w:val="22"/>
        </w:rPr>
        <w:t xml:space="preserve">ISO. </w:t>
      </w:r>
    </w:p>
    <w:p w14:paraId="6DBA0DAD" w14:textId="77777777" w:rsidR="00860F46" w:rsidRPr="00927518" w:rsidRDefault="00695FB7" w:rsidP="00877DDB">
      <w:pPr>
        <w:pStyle w:val="Default"/>
        <w:numPr>
          <w:ilvl w:val="0"/>
          <w:numId w:val="124"/>
        </w:numPr>
        <w:spacing w:after="160" w:line="259" w:lineRule="auto"/>
        <w:rPr>
          <w:rFonts w:asciiTheme="minorHAnsi" w:eastAsia="Calibri" w:hAnsiTheme="minorHAnsi"/>
          <w:szCs w:val="22"/>
        </w:rPr>
      </w:pPr>
      <w:r w:rsidRPr="00927518">
        <w:rPr>
          <w:rFonts w:asciiTheme="minorHAnsi" w:hAnsiTheme="minorHAnsi"/>
          <w:sz w:val="22"/>
          <w:szCs w:val="22"/>
        </w:rPr>
        <w:t xml:space="preserve">EIM participating resource can, through its bid, accomplish the objective of not being considered for EIM transfers into the </w:t>
      </w:r>
      <w:r w:rsidR="0058562B" w:rsidRPr="00927518">
        <w:rPr>
          <w:rFonts w:asciiTheme="minorHAnsi" w:hAnsiTheme="minorHAnsi"/>
          <w:sz w:val="22"/>
          <w:szCs w:val="22"/>
        </w:rPr>
        <w:t>CA</w:t>
      </w:r>
      <w:r w:rsidRPr="00927518">
        <w:rPr>
          <w:rFonts w:asciiTheme="minorHAnsi" w:hAnsiTheme="minorHAnsi"/>
          <w:sz w:val="22"/>
          <w:szCs w:val="22"/>
        </w:rPr>
        <w:t xml:space="preserve">ISO by bidding zero MW. In addition, the </w:t>
      </w:r>
      <w:r w:rsidR="0058562B" w:rsidRPr="00927518">
        <w:rPr>
          <w:rFonts w:asciiTheme="minorHAnsi" w:hAnsiTheme="minorHAnsi"/>
          <w:sz w:val="22"/>
          <w:szCs w:val="22"/>
        </w:rPr>
        <w:t>CA</w:t>
      </w:r>
      <w:r w:rsidRPr="00927518">
        <w:rPr>
          <w:rFonts w:asciiTheme="minorHAnsi" w:hAnsiTheme="minorHAnsi"/>
          <w:sz w:val="22"/>
          <w:szCs w:val="22"/>
        </w:rPr>
        <w:t xml:space="preserve">ISO will set the default value of the MW bid to zero. If an EIM participating resource SC, does not submit a MW bid, it will not be considered for EIM transfer into the </w:t>
      </w:r>
      <w:r w:rsidR="0058562B" w:rsidRPr="00927518">
        <w:rPr>
          <w:rFonts w:asciiTheme="minorHAnsi" w:hAnsiTheme="minorHAnsi"/>
          <w:sz w:val="22"/>
          <w:szCs w:val="22"/>
        </w:rPr>
        <w:t>CA</w:t>
      </w:r>
      <w:r w:rsidRPr="00927518">
        <w:rPr>
          <w:rFonts w:asciiTheme="minorHAnsi" w:hAnsiTheme="minorHAnsi"/>
          <w:sz w:val="22"/>
          <w:szCs w:val="22"/>
        </w:rPr>
        <w:t xml:space="preserve">ISO because the MW quantity will be set to zero. </w:t>
      </w:r>
    </w:p>
    <w:p w14:paraId="15AB9F9C" w14:textId="77777777" w:rsidR="001E7023" w:rsidRDefault="001E7023" w:rsidP="00877DDB">
      <w:pPr>
        <w:numPr>
          <w:ilvl w:val="0"/>
          <w:numId w:val="124"/>
        </w:numPr>
        <w:rPr>
          <w:rFonts w:eastAsia="Calibri"/>
        </w:rPr>
      </w:pPr>
      <w:r w:rsidRPr="001E7023">
        <w:rPr>
          <w:rFonts w:eastAsia="Calibri"/>
        </w:rPr>
        <w:t>Each EIM Participating Resource in an EIM Entity BAA may submit a greenhouse gas bid adder that reflects the cost of procuring GHG allowances required by CARB for energy imports to California. This cost is added to the objective function for an efficient cost-effective imbalance energy dispatch.</w:t>
      </w:r>
    </w:p>
    <w:p w14:paraId="7416DD97" w14:textId="77777777" w:rsidR="00860F46" w:rsidRPr="0025727C" w:rsidRDefault="00860F46" w:rsidP="00877DDB">
      <w:pPr>
        <w:numPr>
          <w:ilvl w:val="0"/>
          <w:numId w:val="124"/>
        </w:numPr>
        <w:rPr>
          <w:rFonts w:eastAsia="Calibri"/>
        </w:rPr>
      </w:pPr>
      <w:r>
        <w:lastRenderedPageBreak/>
        <w:t xml:space="preserve">The </w:t>
      </w:r>
      <w:r w:rsidR="0058562B">
        <w:t>CA</w:t>
      </w:r>
      <w:r>
        <w:t>ISO will use a process similar to establishing the GHG cost adder included in the default energy bids</w:t>
      </w:r>
      <w:r>
        <w:rPr>
          <w:b/>
          <w:bCs/>
          <w:sz w:val="17"/>
          <w:szCs w:val="17"/>
        </w:rPr>
        <w:t xml:space="preserve"> </w:t>
      </w:r>
      <w:r>
        <w:t xml:space="preserve">of </w:t>
      </w:r>
      <w:r w:rsidR="0058562B">
        <w:t>CA</w:t>
      </w:r>
      <w:r>
        <w:t>ISO resources</w:t>
      </w:r>
      <w:r w:rsidR="00A20AB0">
        <w:t xml:space="preserve"> to determine EIM Greenhouse Gas </w:t>
      </w:r>
      <w:r w:rsidR="008F46B7">
        <w:t>Maximum Cost</w:t>
      </w:r>
      <w:r>
        <w:t xml:space="preserve">. This includes a variable cost option and a negotiated rate option. The negotiated rate option may be used for new participating resources that do not have an emission rate used by the CARB in assessing GHG compliance obligations. However, rather than calculating a GHG cost curve, the </w:t>
      </w:r>
      <w:r w:rsidR="00BE02D8">
        <w:t>CA</w:t>
      </w:r>
      <w:r>
        <w:t>ISO will calculate a single daily value based upon the maximum heat rate of the EIM participating resource.</w:t>
      </w:r>
    </w:p>
    <w:p w14:paraId="2C3FD35B" w14:textId="77777777" w:rsidR="00860F46" w:rsidRPr="0025727C" w:rsidRDefault="00860F46" w:rsidP="00877DDB">
      <w:pPr>
        <w:numPr>
          <w:ilvl w:val="0"/>
          <w:numId w:val="124"/>
        </w:numPr>
        <w:rPr>
          <w:rFonts w:eastAsia="Calibri"/>
        </w:rPr>
      </w:pPr>
      <w:r>
        <w:t xml:space="preserve">Under the variable cost option, on a daily basis, the </w:t>
      </w:r>
      <w:r w:rsidR="0058562B">
        <w:t>CA</w:t>
      </w:r>
      <w:r>
        <w:t>ISO will calculate a single</w:t>
      </w:r>
      <w:r w:rsidR="0038790D">
        <w:t xml:space="preserve"> EIM</w:t>
      </w:r>
      <w:r>
        <w:t xml:space="preserve"> GHG </w:t>
      </w:r>
      <w:r w:rsidR="0038790D">
        <w:t xml:space="preserve">maximum </w:t>
      </w:r>
      <w:r>
        <w:t xml:space="preserve">cost. The </w:t>
      </w:r>
      <w:r w:rsidR="0058562B">
        <w:t>CA</w:t>
      </w:r>
      <w:r>
        <w:t xml:space="preserve">ISO proposes to calculate each unit’s greenhouse gas emissions </w:t>
      </w:r>
      <w:r w:rsidR="0038790D">
        <w:t xml:space="preserve">maximum </w:t>
      </w:r>
      <w:r>
        <w:t xml:space="preserve">cost based on the unit’s heat rate characteristics, as registered with the </w:t>
      </w:r>
      <w:r w:rsidR="0058562B">
        <w:t>CA</w:t>
      </w:r>
      <w:r>
        <w:t>ISO, the applicable GHG allowance price, and using the resource’s emission rate. The standard GHG emission rate is documented in the US EPA Subpart C</w:t>
      </w:r>
      <w:r>
        <w:rPr>
          <w:b/>
          <w:bCs/>
          <w:sz w:val="17"/>
          <w:szCs w:val="17"/>
        </w:rPr>
        <w:t xml:space="preserve">4 </w:t>
      </w:r>
      <w:r>
        <w:t xml:space="preserve">default emission factors. For example, the standard GHG emission rate for natural gas calculated under US EPA is 0.053072 mtCO2e/mmBTU. Similar to the default energy bids of </w:t>
      </w:r>
      <w:r w:rsidR="0058562B">
        <w:t>CA</w:t>
      </w:r>
      <w:r>
        <w:t xml:space="preserve">ISO resources, there will be a 10% adder to the calculated cost. </w:t>
      </w:r>
    </w:p>
    <w:p w14:paraId="279C1A4F" w14:textId="77777777" w:rsidR="00860F46" w:rsidRPr="00BE02D8" w:rsidRDefault="00860F46" w:rsidP="00877DDB">
      <w:pPr>
        <w:numPr>
          <w:ilvl w:val="0"/>
          <w:numId w:val="124"/>
        </w:numPr>
        <w:rPr>
          <w:rFonts w:eastAsia="Calibri"/>
        </w:rPr>
      </w:pPr>
      <w:r>
        <w:t xml:space="preserve">An EIM participating resource SC must submit a GHG bid price equal to or less than its GHG </w:t>
      </w:r>
      <w:r w:rsidR="0038790D">
        <w:t xml:space="preserve">maximum </w:t>
      </w:r>
      <w:r>
        <w:t xml:space="preserve">cost, but not less than zero. If an EIM participating resource SC submits a GHG bid price above the GHG </w:t>
      </w:r>
      <w:r w:rsidR="0038790D">
        <w:t xml:space="preserve">maximum </w:t>
      </w:r>
      <w:r>
        <w:t xml:space="preserve">cost of the EIM participating resource, the GHG bid price will be set to the calculated GHG </w:t>
      </w:r>
      <w:r w:rsidR="0038790D">
        <w:t xml:space="preserve">maximum </w:t>
      </w:r>
      <w:r>
        <w:t xml:space="preserve">cost. If a resource submits a MW quantity, but fails to submit a GHG bid price, the default will be the calculated GHG </w:t>
      </w:r>
      <w:r w:rsidR="0038790D">
        <w:t xml:space="preserve">maximum </w:t>
      </w:r>
      <w:r>
        <w:t>cost.</w:t>
      </w:r>
    </w:p>
    <w:p w14:paraId="2AAA10C8" w14:textId="77777777" w:rsidR="00FE1D6E" w:rsidRPr="00927518" w:rsidRDefault="00FE1D6E" w:rsidP="00877DDB">
      <w:pPr>
        <w:numPr>
          <w:ilvl w:val="0"/>
          <w:numId w:val="124"/>
        </w:numPr>
        <w:rPr>
          <w:rFonts w:eastAsia="Calibri"/>
        </w:rPr>
      </w:pPr>
      <w:r>
        <w:t xml:space="preserve">If an EIM entity allows economic participation in the FMM by imports on EIM external interties, the imports will also submit an hourly GHG MW quantity and bid price. </w:t>
      </w:r>
      <w:r w:rsidRPr="0038790D">
        <w:t xml:space="preserve">If the import is registered as a resource specific resource, the GHG emissions rate authorized by CARB for the specific resource will be used in the calculation of the maximum GHG cost. If the import is registered as a system resource, </w:t>
      </w:r>
      <w:r w:rsidR="00F40388" w:rsidRPr="0038790D">
        <w:t xml:space="preserve">the carbon dioxide equivalent emission rate of the resource with the highest such rate in the WECC region and the applicable Greenhouse Gas Allowance Price Index </w:t>
      </w:r>
      <w:r w:rsidRPr="0038790D">
        <w:t>will be used in the calculation of the maximum GHG cost.</w:t>
      </w:r>
    </w:p>
    <w:p w14:paraId="59529874" w14:textId="4B341D56" w:rsidR="00EB4341" w:rsidRPr="001E7023" w:rsidRDefault="00EB4341" w:rsidP="00877DDB">
      <w:pPr>
        <w:numPr>
          <w:ilvl w:val="0"/>
          <w:numId w:val="124"/>
        </w:numPr>
        <w:rPr>
          <w:rFonts w:eastAsia="Calibri"/>
        </w:rPr>
      </w:pPr>
      <w:r>
        <w:t xml:space="preserve">An EIM participating resource SC may negotiate an alternative GHG maximum cost through the </w:t>
      </w:r>
      <w:r w:rsidRPr="00EB4341">
        <w:t xml:space="preserve">negotiated rate option procedures </w:t>
      </w:r>
      <w:r>
        <w:t xml:space="preserve">described </w:t>
      </w:r>
      <w:r w:rsidRPr="00EB4341">
        <w:t xml:space="preserve">in </w:t>
      </w:r>
      <w:r>
        <w:t xml:space="preserve">tariff </w:t>
      </w:r>
      <w:r w:rsidRPr="00EB4341">
        <w:t>section 39.7.1.3.1</w:t>
      </w:r>
      <w:r>
        <w:t xml:space="preserve">.  An SC wishing to negotiate a GHG maximum cost may contact the CAISO by submitting a written request to </w:t>
      </w:r>
      <w:hyperlink r:id="rId185" w:history="1">
        <w:r w:rsidRPr="00134738">
          <w:rPr>
            <w:rStyle w:val="Hyperlink"/>
          </w:rPr>
          <w:t>ndeb@caiso.com</w:t>
        </w:r>
      </w:hyperlink>
      <w:r w:rsidR="00134738">
        <w:t>.</w:t>
      </w:r>
    </w:p>
    <w:p w14:paraId="50AF8523" w14:textId="77777777" w:rsidR="001E7023" w:rsidRPr="001E7023" w:rsidRDefault="001E7023" w:rsidP="00877DDB">
      <w:pPr>
        <w:numPr>
          <w:ilvl w:val="0"/>
          <w:numId w:val="124"/>
        </w:numPr>
        <w:rPr>
          <w:rFonts w:eastAsia="Calibri"/>
        </w:rPr>
      </w:pPr>
      <w:r w:rsidRPr="001E7023">
        <w:rPr>
          <w:rFonts w:eastAsia="Calibri"/>
        </w:rPr>
        <w:lastRenderedPageBreak/>
        <w:t>If the net imbalance energy export from all EIM Entity BAAs as a group is negative or zero, there is no associated net imbalance energy export allocation or greenhouse gas allowance cost. Otherwise the net imbalance energy export allocation constraint is binding and it may have a nonzero shadow price.</w:t>
      </w:r>
    </w:p>
    <w:p w14:paraId="7893783D" w14:textId="77777777" w:rsidR="001E7023" w:rsidRPr="001E7023" w:rsidRDefault="001E7023" w:rsidP="00877DDB">
      <w:pPr>
        <w:numPr>
          <w:ilvl w:val="0"/>
          <w:numId w:val="124"/>
        </w:numPr>
        <w:rPr>
          <w:rFonts w:eastAsia="Calibri"/>
        </w:rPr>
      </w:pPr>
      <w:r w:rsidRPr="001E7023">
        <w:rPr>
          <w:rFonts w:eastAsia="Calibri"/>
        </w:rPr>
        <w:t>Greenhouse gas allowance costs are reflected through the net imbalance energy export allocation shadow prices in the Locational Marginal Prices (LMPs) in the EIM Entity BAAs through a fourth component that is the same for all locations in the EIM Entity BAAs. This LMP component can be seen as an adder to the marginal energy component that reflects the marginal cost of greenhouse gas allowance credits in EIM Entity BAAs. This LMP component is absent for locations in CAISO, or other BAAs that do not participate in EIM, because in these cases the cost of greenhouse gas allowance credits is included in the energy bids; hence it is already reflected in the marginal energy component.</w:t>
      </w:r>
    </w:p>
    <w:p w14:paraId="4C78A4E9" w14:textId="77777777" w:rsidR="001E7023" w:rsidRPr="001E7023" w:rsidRDefault="001E7023" w:rsidP="00877DDB">
      <w:pPr>
        <w:numPr>
          <w:ilvl w:val="0"/>
          <w:numId w:val="124"/>
        </w:numPr>
        <w:rPr>
          <w:rFonts w:eastAsia="Calibri"/>
        </w:rPr>
      </w:pPr>
      <w:r w:rsidRPr="001E7023">
        <w:rPr>
          <w:rFonts w:eastAsia="Calibri"/>
        </w:rPr>
        <w:t>The absence of the fourth LMP component for locations in CAISO results in no impact on existing Market Participants that would not have to modify their systems.</w:t>
      </w:r>
    </w:p>
    <w:p w14:paraId="4B5B5616" w14:textId="77777777" w:rsidR="001E7023" w:rsidRPr="001E7023" w:rsidRDefault="001E7023" w:rsidP="00877DDB">
      <w:pPr>
        <w:numPr>
          <w:ilvl w:val="0"/>
          <w:numId w:val="124"/>
        </w:numPr>
        <w:rPr>
          <w:rFonts w:eastAsia="Calibri"/>
        </w:rPr>
      </w:pPr>
      <w:r w:rsidRPr="001E7023">
        <w:rPr>
          <w:rFonts w:eastAsia="Calibri"/>
        </w:rPr>
        <w:t xml:space="preserve">As a result of the imbalance energy settlement, the CAISO </w:t>
      </w:r>
      <w:r w:rsidR="00885130">
        <w:rPr>
          <w:rFonts w:eastAsia="Calibri"/>
        </w:rPr>
        <w:t>will</w:t>
      </w:r>
      <w:r w:rsidRPr="001E7023">
        <w:rPr>
          <w:rFonts w:eastAsia="Calibri"/>
        </w:rPr>
        <w:t xml:space="preserve"> collect greenhouse gas allowance revenue for the net imbalance energy export from the EIM Entity BAAs at the respective net imbalance energy export allocation constraint shadow price, similarly to the congestion revenue. Distributing this revenue back to the optimal net imbalance</w:t>
      </w:r>
      <w:r>
        <w:rPr>
          <w:rFonts w:eastAsia="Calibri"/>
        </w:rPr>
        <w:t xml:space="preserve"> </w:t>
      </w:r>
      <w:r w:rsidRPr="001E7023">
        <w:rPr>
          <w:rFonts w:eastAsia="Calibri"/>
        </w:rPr>
        <w:t>energy export allocations in addition to the imbalance energy settlement at the LMP would adequately compensate supply resources in EIM Entity BAAs for their energy and greenhouse gas allowance costs without a need for any side payments and uplift.</w:t>
      </w:r>
    </w:p>
    <w:p w14:paraId="0A0262DC" w14:textId="77777777" w:rsidR="001E7023" w:rsidRDefault="001E7023" w:rsidP="00877DDB">
      <w:pPr>
        <w:numPr>
          <w:ilvl w:val="0"/>
          <w:numId w:val="124"/>
        </w:numPr>
        <w:rPr>
          <w:rFonts w:eastAsia="Calibri"/>
        </w:rPr>
      </w:pPr>
      <w:r>
        <w:rPr>
          <w:rFonts w:eastAsia="Calibri"/>
        </w:rPr>
        <w:t>This</w:t>
      </w:r>
      <w:r w:rsidRPr="001E7023">
        <w:rPr>
          <w:rFonts w:eastAsia="Calibri"/>
        </w:rPr>
        <w:t xml:space="preserve"> methodology is very general and robust and it does not depend on the particular network configuration or how the various BAAs are interconnected. Therefore, it is readily expandable to any number of BAAs in the Full Network Model (FNM) with any number of EIM Entity BAAs and any BAA interconnection pattern.</w:t>
      </w:r>
    </w:p>
    <w:p w14:paraId="189755BC" w14:textId="77777777" w:rsidR="001E7023" w:rsidRDefault="001E7023" w:rsidP="00C33762">
      <w:pPr>
        <w:pStyle w:val="Heading5"/>
      </w:pPr>
      <w:r>
        <w:t>Mathematical Formulation</w:t>
      </w:r>
    </w:p>
    <w:p w14:paraId="00C0CF8A" w14:textId="77777777" w:rsidR="001E7023" w:rsidRPr="000F299B" w:rsidRDefault="001E7023" w:rsidP="00877DDB">
      <w:pPr>
        <w:pStyle w:val="BPM"/>
      </w:pPr>
      <w:r w:rsidRPr="000F299B">
        <w:t>To illustrate the method, consider a simple network configuration that consists only of the CAISO and a single EIM Entity BAA. Furthermore, day-ahead and base schedules are ignored for simplicity, as well as ancillary services, transmission losses, and inter-temporal constraints, focusing on a single time period.</w:t>
      </w:r>
    </w:p>
    <w:p w14:paraId="7FE6841F" w14:textId="77777777" w:rsidR="001E7023" w:rsidRPr="00225179" w:rsidRDefault="001E7023" w:rsidP="00225179">
      <w:pPr>
        <w:rPr>
          <w:b/>
        </w:rPr>
      </w:pPr>
      <w:r w:rsidRPr="00225179">
        <w:rPr>
          <w:b/>
        </w:rPr>
        <w:t>Notation</w:t>
      </w:r>
    </w:p>
    <w:p w14:paraId="496792CC" w14:textId="77777777" w:rsidR="001E7023" w:rsidRPr="000F299B" w:rsidRDefault="001E7023" w:rsidP="00877DDB">
      <w:pPr>
        <w:pStyle w:val="BPM"/>
      </w:pPr>
      <w:r w:rsidRPr="000F299B">
        <w:lastRenderedPageBreak/>
        <w:t>The following notation is used to formulate the problem:</w:t>
      </w:r>
    </w:p>
    <w:tbl>
      <w:tblPr>
        <w:tblW w:w="0" w:type="auto"/>
        <w:tblLook w:val="04A0" w:firstRow="1" w:lastRow="0" w:firstColumn="1" w:lastColumn="0" w:noHBand="0" w:noVBand="1"/>
      </w:tblPr>
      <w:tblGrid>
        <w:gridCol w:w="826"/>
        <w:gridCol w:w="8534"/>
      </w:tblGrid>
      <w:tr w:rsidR="001E7023" w14:paraId="7701040A" w14:textId="77777777" w:rsidTr="001E7023">
        <w:tc>
          <w:tcPr>
            <w:tcW w:w="828" w:type="dxa"/>
            <w:hideMark/>
          </w:tcPr>
          <w:p w14:paraId="257772F4" w14:textId="77777777" w:rsidR="001E7023" w:rsidRPr="00877DDB" w:rsidRDefault="001E7023" w:rsidP="00877DDB">
            <w:pPr>
              <w:pStyle w:val="BPM"/>
              <w:rPr>
                <w:i/>
              </w:rPr>
            </w:pPr>
            <w:r w:rsidRPr="00877DDB">
              <w:rPr>
                <w:i/>
              </w:rPr>
              <w:t>i</w:t>
            </w:r>
          </w:p>
        </w:tc>
        <w:tc>
          <w:tcPr>
            <w:tcW w:w="8748" w:type="dxa"/>
            <w:hideMark/>
          </w:tcPr>
          <w:p w14:paraId="7281C21F" w14:textId="77777777" w:rsidR="001E7023" w:rsidRPr="000F299B" w:rsidRDefault="001E7023" w:rsidP="00877DDB">
            <w:pPr>
              <w:pStyle w:val="BPM"/>
              <w:rPr>
                <w:rFonts w:ascii="Arial" w:hAnsi="Arial" w:cs="Arial"/>
              </w:rPr>
            </w:pPr>
            <w:r w:rsidRPr="000F299B">
              <w:rPr>
                <w:rFonts w:ascii="Arial" w:hAnsi="Arial" w:cs="Arial"/>
              </w:rPr>
              <w:t>Node index in CAISO.</w:t>
            </w:r>
          </w:p>
        </w:tc>
      </w:tr>
      <w:tr w:rsidR="001E7023" w14:paraId="440B708C" w14:textId="77777777" w:rsidTr="001E7023">
        <w:tc>
          <w:tcPr>
            <w:tcW w:w="828" w:type="dxa"/>
            <w:hideMark/>
          </w:tcPr>
          <w:p w14:paraId="7D04D94F" w14:textId="77777777" w:rsidR="001E7023" w:rsidRDefault="001E7023">
            <w:pPr>
              <w:pStyle w:val="Paragraph"/>
              <w:rPr>
                <w:rFonts w:ascii="Cambria Math" w:hAnsi="Cambria Math"/>
                <w:i/>
              </w:rPr>
            </w:pPr>
            <w:r>
              <w:rPr>
                <w:rFonts w:ascii="Cambria Math" w:hAnsi="Cambria Math"/>
                <w:i/>
              </w:rPr>
              <w:t>j</w:t>
            </w:r>
          </w:p>
        </w:tc>
        <w:tc>
          <w:tcPr>
            <w:tcW w:w="8748" w:type="dxa"/>
            <w:hideMark/>
          </w:tcPr>
          <w:p w14:paraId="3E119845" w14:textId="77777777" w:rsidR="001E7023" w:rsidRPr="000F299B" w:rsidRDefault="001E7023">
            <w:pPr>
              <w:pStyle w:val="Paragraph"/>
              <w:rPr>
                <w:rFonts w:ascii="Arial" w:hAnsi="Arial" w:cs="Arial"/>
              </w:rPr>
            </w:pPr>
            <w:r w:rsidRPr="000F299B">
              <w:rPr>
                <w:rFonts w:ascii="Arial" w:hAnsi="Arial" w:cs="Arial"/>
              </w:rPr>
              <w:t>Node index in EIM Entity BAA.</w:t>
            </w:r>
          </w:p>
        </w:tc>
      </w:tr>
      <w:tr w:rsidR="001E7023" w14:paraId="3BFB7CD0" w14:textId="77777777" w:rsidTr="001E7023">
        <w:tc>
          <w:tcPr>
            <w:tcW w:w="828" w:type="dxa"/>
            <w:hideMark/>
          </w:tcPr>
          <w:p w14:paraId="05E990C4" w14:textId="77777777" w:rsidR="001E7023" w:rsidRDefault="001E7023">
            <w:pPr>
              <w:pStyle w:val="Paragraph"/>
              <w:rPr>
                <w:rFonts w:ascii="Cambria Math" w:hAnsi="Cambria Math"/>
                <w:i/>
              </w:rPr>
            </w:pPr>
            <w:r>
              <w:rPr>
                <w:rFonts w:ascii="Cambria Math" w:hAnsi="Cambria Math"/>
                <w:i/>
              </w:rPr>
              <w:t>k</w:t>
            </w:r>
          </w:p>
        </w:tc>
        <w:tc>
          <w:tcPr>
            <w:tcW w:w="8748" w:type="dxa"/>
            <w:hideMark/>
          </w:tcPr>
          <w:p w14:paraId="6C6363E0" w14:textId="77777777" w:rsidR="001E7023" w:rsidRPr="000F299B" w:rsidRDefault="001E7023">
            <w:pPr>
              <w:pStyle w:val="Paragraph"/>
              <w:rPr>
                <w:rFonts w:ascii="Arial" w:hAnsi="Arial" w:cs="Arial"/>
              </w:rPr>
            </w:pPr>
            <w:r w:rsidRPr="000F299B">
              <w:rPr>
                <w:rFonts w:ascii="Arial" w:hAnsi="Arial" w:cs="Arial"/>
              </w:rPr>
              <w:t>Oriented transmission line index.</w:t>
            </w:r>
          </w:p>
        </w:tc>
      </w:tr>
      <w:tr w:rsidR="001E7023" w14:paraId="5D862A70" w14:textId="77777777" w:rsidTr="001E7023">
        <w:tc>
          <w:tcPr>
            <w:tcW w:w="828" w:type="dxa"/>
            <w:hideMark/>
          </w:tcPr>
          <w:p w14:paraId="39F01BE4" w14:textId="77777777" w:rsidR="001E7023" w:rsidRDefault="001E7023">
            <w:pPr>
              <w:pStyle w:val="Paragraph"/>
              <w:rPr>
                <w:rFonts w:ascii="Cambria Math" w:hAnsi="Cambria Math"/>
              </w:rPr>
            </w:pPr>
            <w:r>
              <w:rPr>
                <w:rFonts w:ascii="Cambria Math" w:hAnsi="Cambria Math"/>
              </w:rPr>
              <w:sym w:font="Symbol" w:char="F022"/>
            </w:r>
          </w:p>
        </w:tc>
        <w:tc>
          <w:tcPr>
            <w:tcW w:w="8748" w:type="dxa"/>
            <w:hideMark/>
          </w:tcPr>
          <w:p w14:paraId="4B6ADBFC" w14:textId="77777777" w:rsidR="001E7023" w:rsidRPr="000F299B" w:rsidRDefault="001E7023">
            <w:pPr>
              <w:pStyle w:val="Paragraph"/>
              <w:rPr>
                <w:rFonts w:ascii="Arial" w:hAnsi="Arial" w:cs="Arial"/>
              </w:rPr>
            </w:pPr>
            <w:r w:rsidRPr="000F299B">
              <w:rPr>
                <w:rFonts w:ascii="Arial" w:hAnsi="Arial" w:cs="Arial"/>
              </w:rPr>
              <w:t>For all…</w:t>
            </w:r>
          </w:p>
        </w:tc>
      </w:tr>
      <w:tr w:rsidR="001E7023" w14:paraId="60524C56" w14:textId="77777777" w:rsidTr="001E7023">
        <w:tc>
          <w:tcPr>
            <w:tcW w:w="828" w:type="dxa"/>
            <w:hideMark/>
          </w:tcPr>
          <w:p w14:paraId="7F16E6FF"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i/>
                <w:vertAlign w:val="subscript"/>
              </w:rPr>
              <w:t>i</w:t>
            </w:r>
          </w:p>
        </w:tc>
        <w:tc>
          <w:tcPr>
            <w:tcW w:w="8748" w:type="dxa"/>
            <w:hideMark/>
          </w:tcPr>
          <w:p w14:paraId="2CA8BC73" w14:textId="77777777" w:rsidR="001E7023" w:rsidRPr="000F299B" w:rsidRDefault="001E7023">
            <w:pPr>
              <w:pStyle w:val="Paragraph"/>
              <w:rPr>
                <w:rFonts w:ascii="Arial" w:hAnsi="Arial" w:cs="Arial"/>
              </w:rPr>
            </w:pPr>
            <w:r w:rsidRPr="000F299B">
              <w:rPr>
                <w:rFonts w:ascii="Arial" w:hAnsi="Arial" w:cs="Arial"/>
              </w:rPr>
              <w:t xml:space="preserve">Imbalance energy dispatch for generator at node </w:t>
            </w:r>
            <w:r w:rsidRPr="000F299B">
              <w:rPr>
                <w:rFonts w:ascii="Arial" w:hAnsi="Arial" w:cs="Arial"/>
                <w:i/>
              </w:rPr>
              <w:t>i</w:t>
            </w:r>
            <w:r w:rsidRPr="000F299B">
              <w:rPr>
                <w:rFonts w:ascii="Arial" w:hAnsi="Arial" w:cs="Arial"/>
              </w:rPr>
              <w:t>.</w:t>
            </w:r>
          </w:p>
        </w:tc>
      </w:tr>
      <w:tr w:rsidR="001E7023" w14:paraId="489D9A1A" w14:textId="77777777" w:rsidTr="001E7023">
        <w:tc>
          <w:tcPr>
            <w:tcW w:w="828" w:type="dxa"/>
            <w:hideMark/>
          </w:tcPr>
          <w:p w14:paraId="504760CC"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vertAlign w:val="subscript"/>
              </w:rPr>
              <w:t>MIN</w:t>
            </w:r>
            <w:r>
              <w:rPr>
                <w:rFonts w:ascii="Cambria Math" w:hAnsi="Cambria Math"/>
                <w:i/>
                <w:vertAlign w:val="subscript"/>
              </w:rPr>
              <w:t>i</w:t>
            </w:r>
          </w:p>
        </w:tc>
        <w:tc>
          <w:tcPr>
            <w:tcW w:w="8748" w:type="dxa"/>
            <w:hideMark/>
          </w:tcPr>
          <w:p w14:paraId="5D595EFB" w14:textId="77777777" w:rsidR="001E7023" w:rsidRPr="000F299B" w:rsidRDefault="001E7023">
            <w:pPr>
              <w:pStyle w:val="Paragraph"/>
              <w:rPr>
                <w:rFonts w:ascii="Arial" w:hAnsi="Arial" w:cs="Arial"/>
              </w:rPr>
            </w:pPr>
            <w:r w:rsidRPr="000F299B">
              <w:rPr>
                <w:rFonts w:ascii="Arial" w:hAnsi="Arial" w:cs="Arial"/>
              </w:rPr>
              <w:t xml:space="preserve">Minimum capacity for generator at node </w:t>
            </w:r>
            <w:r w:rsidRPr="000F299B">
              <w:rPr>
                <w:rFonts w:ascii="Arial" w:hAnsi="Arial" w:cs="Arial"/>
                <w:i/>
              </w:rPr>
              <w:t>i</w:t>
            </w:r>
            <w:r w:rsidRPr="000F299B">
              <w:rPr>
                <w:rFonts w:ascii="Arial" w:hAnsi="Arial" w:cs="Arial"/>
              </w:rPr>
              <w:t>.</w:t>
            </w:r>
          </w:p>
        </w:tc>
      </w:tr>
      <w:tr w:rsidR="001E7023" w14:paraId="173FC4D0" w14:textId="77777777" w:rsidTr="001E7023">
        <w:tc>
          <w:tcPr>
            <w:tcW w:w="828" w:type="dxa"/>
            <w:hideMark/>
          </w:tcPr>
          <w:p w14:paraId="612DA5E5"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vertAlign w:val="subscript"/>
              </w:rPr>
              <w:t>MAX</w:t>
            </w:r>
            <w:r>
              <w:rPr>
                <w:rFonts w:ascii="Cambria Math" w:hAnsi="Cambria Math"/>
                <w:i/>
                <w:vertAlign w:val="subscript"/>
              </w:rPr>
              <w:t>i</w:t>
            </w:r>
          </w:p>
        </w:tc>
        <w:tc>
          <w:tcPr>
            <w:tcW w:w="8748" w:type="dxa"/>
            <w:hideMark/>
          </w:tcPr>
          <w:p w14:paraId="2F4222DA" w14:textId="77777777" w:rsidR="001E7023" w:rsidRPr="00D769E5" w:rsidRDefault="001E7023">
            <w:pPr>
              <w:pStyle w:val="Paragraph"/>
              <w:rPr>
                <w:rFonts w:ascii="Arial" w:hAnsi="Arial" w:cs="Arial"/>
              </w:rPr>
            </w:pPr>
            <w:r w:rsidRPr="000F299B">
              <w:rPr>
                <w:rFonts w:ascii="Arial" w:hAnsi="Arial" w:cs="Arial"/>
              </w:rPr>
              <w:t xml:space="preserve">Maximum capacity for generator at node </w:t>
            </w:r>
            <w:r w:rsidRPr="000F299B">
              <w:rPr>
                <w:rFonts w:ascii="Arial" w:hAnsi="Arial" w:cs="Arial"/>
                <w:i/>
              </w:rPr>
              <w:t>i</w:t>
            </w:r>
            <w:r w:rsidRPr="000F299B">
              <w:rPr>
                <w:rFonts w:ascii="Arial" w:hAnsi="Arial" w:cs="Arial"/>
              </w:rPr>
              <w:t>.</w:t>
            </w:r>
          </w:p>
        </w:tc>
      </w:tr>
      <w:tr w:rsidR="001E7023" w14:paraId="6EC0F7CE" w14:textId="77777777" w:rsidTr="001E7023">
        <w:tc>
          <w:tcPr>
            <w:tcW w:w="828" w:type="dxa"/>
            <w:hideMark/>
          </w:tcPr>
          <w:p w14:paraId="046E1B36" w14:textId="77777777" w:rsidR="001E7023" w:rsidRDefault="001E7023">
            <w:pPr>
              <w:pStyle w:val="Paragraph"/>
              <w:rPr>
                <w:rFonts w:ascii="Cambria Math" w:hAnsi="Cambria Math"/>
                <w:i/>
                <w:vertAlign w:val="subscript"/>
              </w:rPr>
            </w:pPr>
            <w:r>
              <w:rPr>
                <w:rFonts w:ascii="Cambria Math" w:hAnsi="Cambria Math"/>
                <w:i/>
              </w:rPr>
              <w:t>L</w:t>
            </w:r>
            <w:r>
              <w:rPr>
                <w:rFonts w:ascii="Cambria Math" w:hAnsi="Cambria Math"/>
                <w:i/>
                <w:vertAlign w:val="subscript"/>
              </w:rPr>
              <w:t>i</w:t>
            </w:r>
          </w:p>
        </w:tc>
        <w:tc>
          <w:tcPr>
            <w:tcW w:w="8748" w:type="dxa"/>
            <w:hideMark/>
          </w:tcPr>
          <w:p w14:paraId="0F168A36" w14:textId="77777777" w:rsidR="001E7023" w:rsidRPr="00D769E5" w:rsidRDefault="001E7023">
            <w:pPr>
              <w:pStyle w:val="Paragraph"/>
              <w:rPr>
                <w:rFonts w:ascii="Arial" w:hAnsi="Arial" w:cs="Arial"/>
              </w:rPr>
            </w:pPr>
            <w:r w:rsidRPr="00D769E5">
              <w:rPr>
                <w:rFonts w:ascii="Arial" w:hAnsi="Arial" w:cs="Arial"/>
              </w:rPr>
              <w:t xml:space="preserve">Distributed load forecast at node </w:t>
            </w:r>
            <w:r w:rsidRPr="00D769E5">
              <w:rPr>
                <w:rFonts w:ascii="Arial" w:hAnsi="Arial" w:cs="Arial"/>
                <w:i/>
              </w:rPr>
              <w:t>i</w:t>
            </w:r>
            <w:r w:rsidRPr="00D769E5">
              <w:rPr>
                <w:rFonts w:ascii="Arial" w:hAnsi="Arial" w:cs="Arial"/>
              </w:rPr>
              <w:t>.</w:t>
            </w:r>
          </w:p>
        </w:tc>
      </w:tr>
      <w:tr w:rsidR="001E7023" w14:paraId="1B984A03" w14:textId="77777777" w:rsidTr="001E7023">
        <w:tc>
          <w:tcPr>
            <w:tcW w:w="828" w:type="dxa"/>
            <w:hideMark/>
          </w:tcPr>
          <w:p w14:paraId="7BEF90E5" w14:textId="77777777" w:rsidR="001E7023" w:rsidRDefault="001E7023">
            <w:pPr>
              <w:pStyle w:val="Paragraph"/>
              <w:rPr>
                <w:rFonts w:ascii="Cambria Math" w:hAnsi="Cambria Math"/>
                <w:i/>
                <w:vertAlign w:val="subscript"/>
              </w:rPr>
            </w:pPr>
            <w:r>
              <w:rPr>
                <w:rFonts w:ascii="Cambria Math" w:hAnsi="Cambria Math"/>
                <w:i/>
              </w:rPr>
              <w:t>C</w:t>
            </w:r>
            <w:r>
              <w:rPr>
                <w:rFonts w:ascii="Cambria Math" w:hAnsi="Cambria Math"/>
                <w:i/>
                <w:vertAlign w:val="subscript"/>
              </w:rPr>
              <w:t>i</w:t>
            </w:r>
          </w:p>
        </w:tc>
        <w:tc>
          <w:tcPr>
            <w:tcW w:w="8748" w:type="dxa"/>
            <w:hideMark/>
          </w:tcPr>
          <w:p w14:paraId="30969329" w14:textId="77777777" w:rsidR="001E7023" w:rsidRPr="00D769E5" w:rsidRDefault="001E7023">
            <w:pPr>
              <w:pStyle w:val="Paragraph"/>
              <w:rPr>
                <w:rFonts w:ascii="Arial" w:hAnsi="Arial" w:cs="Arial"/>
              </w:rPr>
            </w:pPr>
            <w:r w:rsidRPr="00D769E5">
              <w:rPr>
                <w:rFonts w:ascii="Arial" w:hAnsi="Arial" w:cs="Arial"/>
              </w:rPr>
              <w:t xml:space="preserve">Incremental energy bid for generator at node </w:t>
            </w:r>
            <w:r w:rsidRPr="00D769E5">
              <w:rPr>
                <w:rFonts w:ascii="Arial" w:hAnsi="Arial" w:cs="Arial"/>
                <w:i/>
              </w:rPr>
              <w:t>i</w:t>
            </w:r>
            <w:r w:rsidRPr="00D769E5">
              <w:rPr>
                <w:rFonts w:ascii="Arial" w:hAnsi="Arial" w:cs="Arial"/>
              </w:rPr>
              <w:t>.</w:t>
            </w:r>
          </w:p>
        </w:tc>
      </w:tr>
      <w:tr w:rsidR="001E7023" w14:paraId="554A2D3F" w14:textId="77777777" w:rsidTr="001E7023">
        <w:tc>
          <w:tcPr>
            <w:tcW w:w="828" w:type="dxa"/>
            <w:hideMark/>
          </w:tcPr>
          <w:p w14:paraId="3C5C1ED2" w14:textId="77777777" w:rsidR="001E7023" w:rsidRDefault="001E7023">
            <w:pPr>
              <w:pStyle w:val="Paragraph"/>
              <w:rPr>
                <w:rFonts w:ascii="Cambria Math" w:hAnsi="Cambria Math"/>
                <w:i/>
                <w:vertAlign w:val="subscript"/>
              </w:rPr>
            </w:pPr>
            <w:r>
              <w:rPr>
                <w:rFonts w:ascii="Cambria Math" w:hAnsi="Cambria Math"/>
                <w:i/>
              </w:rPr>
              <w:t>C</w:t>
            </w:r>
            <w:r>
              <w:rPr>
                <w:rFonts w:ascii="Cambria Math" w:hAnsi="Cambria Math"/>
                <w:i/>
                <w:vertAlign w:val="subscript"/>
              </w:rPr>
              <w:t>Gj</w:t>
            </w:r>
          </w:p>
        </w:tc>
        <w:tc>
          <w:tcPr>
            <w:tcW w:w="8748" w:type="dxa"/>
            <w:hideMark/>
          </w:tcPr>
          <w:p w14:paraId="35172DF0" w14:textId="77777777" w:rsidR="001E7023" w:rsidRPr="00D769E5" w:rsidRDefault="001E7023">
            <w:pPr>
              <w:pStyle w:val="Paragraph"/>
              <w:rPr>
                <w:rFonts w:ascii="Arial" w:hAnsi="Arial" w:cs="Arial"/>
              </w:rPr>
            </w:pPr>
            <w:r w:rsidRPr="00D769E5">
              <w:rPr>
                <w:rFonts w:ascii="Arial" w:hAnsi="Arial" w:cs="Arial"/>
              </w:rPr>
              <w:t xml:space="preserve">GHG bid adder for generator at node </w:t>
            </w:r>
            <w:r w:rsidRPr="00D769E5">
              <w:rPr>
                <w:rFonts w:ascii="Arial" w:hAnsi="Arial" w:cs="Arial"/>
                <w:i/>
              </w:rPr>
              <w:t>j</w:t>
            </w:r>
            <w:r w:rsidRPr="00D769E5">
              <w:rPr>
                <w:rFonts w:ascii="Arial" w:hAnsi="Arial" w:cs="Arial"/>
              </w:rPr>
              <w:t>.</w:t>
            </w:r>
          </w:p>
        </w:tc>
      </w:tr>
      <w:tr w:rsidR="001E7023" w14:paraId="770BFE74" w14:textId="77777777" w:rsidTr="001E7023">
        <w:tc>
          <w:tcPr>
            <w:tcW w:w="828" w:type="dxa"/>
            <w:hideMark/>
          </w:tcPr>
          <w:p w14:paraId="19B6BAA8" w14:textId="77777777" w:rsidR="001E7023" w:rsidRDefault="001E7023">
            <w:pPr>
              <w:pStyle w:val="Paragraph"/>
              <w:rPr>
                <w:rFonts w:ascii="Cambria Math" w:hAnsi="Cambria Math"/>
                <w:i/>
                <w:vertAlign w:val="subscript"/>
              </w:rPr>
            </w:pPr>
            <w:r>
              <w:rPr>
                <w:rFonts w:ascii="Cambria Math" w:hAnsi="Cambria Math"/>
                <w:i/>
              </w:rPr>
              <w:t>S</w:t>
            </w:r>
            <w:r>
              <w:rPr>
                <w:rFonts w:ascii="Cambria Math" w:hAnsi="Cambria Math"/>
                <w:i/>
                <w:vertAlign w:val="subscript"/>
              </w:rPr>
              <w:t>i</w:t>
            </w:r>
            <w:r>
              <w:rPr>
                <w:rFonts w:ascii="Cambria Math" w:hAnsi="Cambria Math"/>
                <w:vertAlign w:val="subscript"/>
              </w:rPr>
              <w:t>,</w:t>
            </w:r>
            <w:r>
              <w:rPr>
                <w:rFonts w:ascii="Cambria Math" w:hAnsi="Cambria Math"/>
                <w:i/>
                <w:vertAlign w:val="subscript"/>
              </w:rPr>
              <w:t>k</w:t>
            </w:r>
          </w:p>
        </w:tc>
        <w:tc>
          <w:tcPr>
            <w:tcW w:w="8748" w:type="dxa"/>
            <w:hideMark/>
          </w:tcPr>
          <w:p w14:paraId="122380AC" w14:textId="77777777" w:rsidR="001E7023" w:rsidRPr="00D769E5" w:rsidRDefault="001E7023">
            <w:pPr>
              <w:pStyle w:val="Paragraph"/>
              <w:rPr>
                <w:rFonts w:ascii="Arial" w:hAnsi="Arial" w:cs="Arial"/>
              </w:rPr>
            </w:pPr>
            <w:r w:rsidRPr="00D769E5">
              <w:rPr>
                <w:rFonts w:ascii="Arial" w:hAnsi="Arial" w:cs="Arial"/>
              </w:rPr>
              <w:t xml:space="preserve">Shift Factor of power injection at node </w:t>
            </w:r>
            <w:r w:rsidRPr="00D769E5">
              <w:rPr>
                <w:rFonts w:ascii="Arial" w:hAnsi="Arial" w:cs="Arial"/>
                <w:i/>
              </w:rPr>
              <w:t>i</w:t>
            </w:r>
            <w:r w:rsidRPr="00D769E5">
              <w:rPr>
                <w:rFonts w:ascii="Arial" w:hAnsi="Arial" w:cs="Arial"/>
              </w:rPr>
              <w:t xml:space="preserve"> on transmission line </w:t>
            </w:r>
            <w:r w:rsidRPr="00D769E5">
              <w:rPr>
                <w:rFonts w:ascii="Arial" w:hAnsi="Arial" w:cs="Arial"/>
                <w:i/>
              </w:rPr>
              <w:t>k</w:t>
            </w:r>
            <w:r w:rsidRPr="00D769E5">
              <w:rPr>
                <w:rFonts w:ascii="Arial" w:hAnsi="Arial" w:cs="Arial"/>
              </w:rPr>
              <w:t>.</w:t>
            </w:r>
          </w:p>
        </w:tc>
      </w:tr>
      <w:tr w:rsidR="001E7023" w14:paraId="585BD950" w14:textId="77777777" w:rsidTr="001E7023">
        <w:tc>
          <w:tcPr>
            <w:tcW w:w="828" w:type="dxa"/>
            <w:hideMark/>
          </w:tcPr>
          <w:p w14:paraId="222D9C48" w14:textId="77777777" w:rsidR="001E7023" w:rsidRDefault="001E7023">
            <w:pPr>
              <w:pStyle w:val="Paragraph"/>
              <w:rPr>
                <w:rFonts w:ascii="Cambria Math" w:hAnsi="Cambria Math"/>
                <w:i/>
                <w:vertAlign w:val="subscript"/>
              </w:rPr>
            </w:pPr>
            <w:r>
              <w:rPr>
                <w:rFonts w:ascii="Cambria Math" w:hAnsi="Cambria Math"/>
                <w:i/>
              </w:rPr>
              <w:t>F</w:t>
            </w:r>
            <w:r>
              <w:rPr>
                <w:rFonts w:ascii="Cambria Math" w:hAnsi="Cambria Math"/>
                <w:i/>
                <w:vertAlign w:val="subscript"/>
              </w:rPr>
              <w:t>k</w:t>
            </w:r>
          </w:p>
        </w:tc>
        <w:tc>
          <w:tcPr>
            <w:tcW w:w="8748" w:type="dxa"/>
            <w:hideMark/>
          </w:tcPr>
          <w:p w14:paraId="4AD13E9D" w14:textId="77777777" w:rsidR="001E7023" w:rsidRPr="00D769E5" w:rsidRDefault="001E7023">
            <w:pPr>
              <w:pStyle w:val="Paragraph"/>
              <w:rPr>
                <w:rFonts w:ascii="Arial" w:hAnsi="Arial" w:cs="Arial"/>
              </w:rPr>
            </w:pPr>
            <w:r w:rsidRPr="00D769E5">
              <w:rPr>
                <w:rFonts w:ascii="Arial" w:hAnsi="Arial" w:cs="Arial"/>
              </w:rPr>
              <w:t xml:space="preserve">Active power flow on transmission line </w:t>
            </w:r>
            <w:r w:rsidRPr="00D769E5">
              <w:rPr>
                <w:rFonts w:ascii="Arial" w:hAnsi="Arial" w:cs="Arial"/>
                <w:i/>
              </w:rPr>
              <w:t>k</w:t>
            </w:r>
            <w:r w:rsidRPr="00D769E5">
              <w:rPr>
                <w:rFonts w:ascii="Arial" w:hAnsi="Arial" w:cs="Arial"/>
              </w:rPr>
              <w:t>.</w:t>
            </w:r>
          </w:p>
        </w:tc>
      </w:tr>
      <w:tr w:rsidR="001E7023" w14:paraId="52030946" w14:textId="77777777" w:rsidTr="001E7023">
        <w:tc>
          <w:tcPr>
            <w:tcW w:w="828" w:type="dxa"/>
            <w:hideMark/>
          </w:tcPr>
          <w:p w14:paraId="56ACA874" w14:textId="77777777" w:rsidR="001E7023" w:rsidRDefault="001E7023">
            <w:pPr>
              <w:pStyle w:val="Paragraph"/>
              <w:rPr>
                <w:rFonts w:ascii="Cambria Math" w:hAnsi="Cambria Math"/>
                <w:i/>
                <w:vertAlign w:val="subscript"/>
              </w:rPr>
            </w:pPr>
            <w:r>
              <w:rPr>
                <w:rFonts w:ascii="Cambria Math" w:hAnsi="Cambria Math"/>
                <w:i/>
              </w:rPr>
              <w:t>F</w:t>
            </w:r>
            <w:r>
              <w:rPr>
                <w:rFonts w:ascii="Cambria Math" w:hAnsi="Cambria Math"/>
                <w:vertAlign w:val="subscript"/>
              </w:rPr>
              <w:t>MAX</w:t>
            </w:r>
            <w:r>
              <w:rPr>
                <w:rFonts w:ascii="Cambria Math" w:hAnsi="Cambria Math"/>
                <w:i/>
                <w:vertAlign w:val="subscript"/>
              </w:rPr>
              <w:t>k</w:t>
            </w:r>
          </w:p>
        </w:tc>
        <w:tc>
          <w:tcPr>
            <w:tcW w:w="8748" w:type="dxa"/>
            <w:hideMark/>
          </w:tcPr>
          <w:p w14:paraId="38C7548A" w14:textId="77777777" w:rsidR="001E7023" w:rsidRPr="00D769E5" w:rsidRDefault="001E7023">
            <w:pPr>
              <w:pStyle w:val="Paragraph"/>
              <w:rPr>
                <w:rFonts w:ascii="Arial" w:hAnsi="Arial" w:cs="Arial"/>
              </w:rPr>
            </w:pPr>
            <w:r w:rsidRPr="00D769E5">
              <w:rPr>
                <w:rFonts w:ascii="Arial" w:hAnsi="Arial" w:cs="Arial"/>
              </w:rPr>
              <w:t xml:space="preserve">Active power flow limit on transmission line </w:t>
            </w:r>
            <w:r w:rsidRPr="00D769E5">
              <w:rPr>
                <w:rFonts w:ascii="Arial" w:hAnsi="Arial" w:cs="Arial"/>
                <w:i/>
              </w:rPr>
              <w:t>k</w:t>
            </w:r>
            <w:r w:rsidRPr="00D769E5">
              <w:rPr>
                <w:rFonts w:ascii="Arial" w:hAnsi="Arial" w:cs="Arial"/>
              </w:rPr>
              <w:t>.</w:t>
            </w:r>
          </w:p>
        </w:tc>
      </w:tr>
      <w:tr w:rsidR="001E7023" w14:paraId="6516B829" w14:textId="77777777" w:rsidTr="001E7023">
        <w:tc>
          <w:tcPr>
            <w:tcW w:w="828" w:type="dxa"/>
            <w:hideMark/>
          </w:tcPr>
          <w:p w14:paraId="5987A5C9" w14:textId="77777777" w:rsidR="001E7023" w:rsidRDefault="001E7023">
            <w:pPr>
              <w:pStyle w:val="Paragraph"/>
              <w:rPr>
                <w:rFonts w:ascii="Cambria Math" w:hAnsi="Cambria Math"/>
                <w:i/>
              </w:rPr>
            </w:pPr>
            <w:r>
              <w:rPr>
                <w:rFonts w:ascii="Cambria Math" w:hAnsi="Cambria Math"/>
                <w:i/>
              </w:rPr>
              <w:t>E</w:t>
            </w:r>
          </w:p>
        </w:tc>
        <w:tc>
          <w:tcPr>
            <w:tcW w:w="8748" w:type="dxa"/>
            <w:hideMark/>
          </w:tcPr>
          <w:p w14:paraId="43EFE450" w14:textId="77777777" w:rsidR="001E7023" w:rsidRPr="00D769E5" w:rsidRDefault="001E7023">
            <w:pPr>
              <w:pStyle w:val="Paragraph"/>
              <w:rPr>
                <w:rFonts w:ascii="Arial" w:hAnsi="Arial" w:cs="Arial"/>
              </w:rPr>
            </w:pPr>
            <w:r w:rsidRPr="00D769E5">
              <w:rPr>
                <w:rFonts w:ascii="Arial" w:hAnsi="Arial" w:cs="Arial"/>
              </w:rPr>
              <w:t>Net imbalance energy export from EIM Entity BAA.</w:t>
            </w:r>
          </w:p>
        </w:tc>
      </w:tr>
      <w:tr w:rsidR="001E7023" w14:paraId="7D4B7E00" w14:textId="77777777" w:rsidTr="001E7023">
        <w:tc>
          <w:tcPr>
            <w:tcW w:w="828" w:type="dxa"/>
            <w:hideMark/>
          </w:tcPr>
          <w:p w14:paraId="33A3FAB3" w14:textId="77777777" w:rsidR="001E7023" w:rsidRDefault="001E7023">
            <w:pPr>
              <w:pStyle w:val="Paragraph"/>
              <w:rPr>
                <w:rFonts w:ascii="Cambria Math" w:hAnsi="Cambria Math"/>
                <w:i/>
              </w:rPr>
            </w:pPr>
            <w:r>
              <w:rPr>
                <w:rFonts w:ascii="Cambria Math" w:hAnsi="Cambria Math"/>
                <w:i/>
              </w:rPr>
              <w:t>E</w:t>
            </w:r>
            <w:r>
              <w:rPr>
                <w:rFonts w:ascii="Cambria Math" w:hAnsi="Cambria Math"/>
                <w:i/>
                <w:vertAlign w:val="subscript"/>
              </w:rPr>
              <w:t>S</w:t>
            </w:r>
          </w:p>
        </w:tc>
        <w:tc>
          <w:tcPr>
            <w:tcW w:w="8748" w:type="dxa"/>
            <w:hideMark/>
          </w:tcPr>
          <w:p w14:paraId="34D57DE5" w14:textId="77777777" w:rsidR="001E7023" w:rsidRPr="00D769E5" w:rsidRDefault="001E7023">
            <w:pPr>
              <w:pStyle w:val="Paragraph"/>
              <w:rPr>
                <w:rFonts w:ascii="Arial" w:hAnsi="Arial" w:cs="Arial"/>
              </w:rPr>
            </w:pPr>
            <w:r w:rsidRPr="00D769E5">
              <w:rPr>
                <w:rFonts w:ascii="Arial" w:hAnsi="Arial" w:cs="Arial"/>
              </w:rPr>
              <w:t>Net imbalance energy export surplus (cannot be allocated).</w:t>
            </w:r>
          </w:p>
        </w:tc>
      </w:tr>
      <w:tr w:rsidR="001E7023" w14:paraId="6D414424" w14:textId="77777777" w:rsidTr="001E7023">
        <w:tc>
          <w:tcPr>
            <w:tcW w:w="828" w:type="dxa"/>
            <w:hideMark/>
          </w:tcPr>
          <w:p w14:paraId="542DAE99" w14:textId="77777777" w:rsidR="001E7023" w:rsidRDefault="001E7023">
            <w:pPr>
              <w:pStyle w:val="Paragraph"/>
              <w:rPr>
                <w:rFonts w:ascii="Cambria Math" w:hAnsi="Cambria Math"/>
                <w:i/>
                <w:vertAlign w:val="subscript"/>
              </w:rPr>
            </w:pPr>
            <w:r>
              <w:rPr>
                <w:rFonts w:ascii="Cambria Math" w:hAnsi="Cambria Math"/>
                <w:i/>
              </w:rPr>
              <w:t>E</w:t>
            </w:r>
            <w:r>
              <w:rPr>
                <w:rFonts w:ascii="Cambria Math" w:hAnsi="Cambria Math"/>
                <w:i/>
                <w:vertAlign w:val="subscript"/>
              </w:rPr>
              <w:t>j</w:t>
            </w:r>
          </w:p>
        </w:tc>
        <w:tc>
          <w:tcPr>
            <w:tcW w:w="8748" w:type="dxa"/>
            <w:hideMark/>
          </w:tcPr>
          <w:p w14:paraId="7790134C" w14:textId="77777777" w:rsidR="001E7023" w:rsidRPr="00D769E5" w:rsidRDefault="001E7023">
            <w:pPr>
              <w:pStyle w:val="Paragraph"/>
              <w:rPr>
                <w:rFonts w:ascii="Arial" w:hAnsi="Arial" w:cs="Arial"/>
              </w:rPr>
            </w:pPr>
            <w:r w:rsidRPr="00D769E5">
              <w:rPr>
                <w:rFonts w:ascii="Arial" w:hAnsi="Arial" w:cs="Arial"/>
              </w:rPr>
              <w:t xml:space="preserve">Net imbalance energy export from EIM Entity BAA allocated to generator </w:t>
            </w:r>
            <w:r w:rsidRPr="00D769E5">
              <w:rPr>
                <w:rFonts w:ascii="Arial" w:hAnsi="Arial" w:cs="Arial"/>
                <w:i/>
              </w:rPr>
              <w:t>j</w:t>
            </w:r>
            <w:r w:rsidRPr="00D769E5">
              <w:rPr>
                <w:rFonts w:ascii="Arial" w:hAnsi="Arial" w:cs="Arial"/>
              </w:rPr>
              <w:t>.</w:t>
            </w:r>
          </w:p>
        </w:tc>
      </w:tr>
      <w:tr w:rsidR="00BD153C" w14:paraId="1B5E0359" w14:textId="77777777" w:rsidTr="001E7023">
        <w:tc>
          <w:tcPr>
            <w:tcW w:w="828" w:type="dxa"/>
          </w:tcPr>
          <w:p w14:paraId="7BE00AE4" w14:textId="77777777" w:rsidR="00BD153C" w:rsidRDefault="00AE7E55">
            <w:pPr>
              <w:pStyle w:val="Paragraph"/>
              <w:rPr>
                <w:rFonts w:ascii="Cambria Math" w:hAnsi="Cambria Math"/>
                <w:i/>
              </w:rPr>
            </w:pPr>
            <m:oMathPara>
              <m:oMath>
                <m:sSub>
                  <m:sSubPr>
                    <m:ctrlPr>
                      <w:rPr>
                        <w:rFonts w:ascii="Cambria Math" w:hAnsi="Cambria Math"/>
                        <w:i/>
                      </w:rPr>
                    </m:ctrlPr>
                  </m:sSubPr>
                  <m:e>
                    <m:r>
                      <w:rPr>
                        <w:rFonts w:ascii="Cambria Math" w:hAnsi="Cambria Math"/>
                      </w:rPr>
                      <m:t>E</m:t>
                    </m:r>
                  </m:e>
                  <m:sub>
                    <m:r>
                      <m:rPr>
                        <m:sty m:val="p"/>
                      </m:rPr>
                      <w:rPr>
                        <w:rFonts w:ascii="Cambria Math" w:hAnsi="Cambria Math"/>
                      </w:rPr>
                      <m:t>MAX</m:t>
                    </m:r>
                    <m:r>
                      <w:rPr>
                        <w:rFonts w:ascii="Cambria Math" w:hAnsi="Cambria Math"/>
                      </w:rPr>
                      <m:t>j</m:t>
                    </m:r>
                  </m:sub>
                </m:sSub>
              </m:oMath>
            </m:oMathPara>
          </w:p>
        </w:tc>
        <w:tc>
          <w:tcPr>
            <w:tcW w:w="8748" w:type="dxa"/>
          </w:tcPr>
          <w:p w14:paraId="5D0EC9BB" w14:textId="77777777" w:rsidR="00BD153C" w:rsidRPr="00D769E5" w:rsidRDefault="00BD153C" w:rsidP="00BD153C">
            <w:pPr>
              <w:pStyle w:val="Paragraph"/>
              <w:rPr>
                <w:rFonts w:ascii="Arial" w:hAnsi="Arial" w:cs="Arial"/>
              </w:rPr>
            </w:pPr>
            <w:r>
              <w:rPr>
                <w:rFonts w:ascii="Arial" w:hAnsi="Arial" w:cs="Arial"/>
              </w:rPr>
              <w:t xml:space="preserve">GHG quantity bid for </w:t>
            </w:r>
            <w:r w:rsidRPr="00D769E5">
              <w:rPr>
                <w:rFonts w:ascii="Arial" w:hAnsi="Arial" w:cs="Arial"/>
              </w:rPr>
              <w:t xml:space="preserve">generator </w:t>
            </w:r>
            <w:r>
              <w:rPr>
                <w:rFonts w:ascii="Arial" w:hAnsi="Arial" w:cs="Arial"/>
              </w:rPr>
              <w:t xml:space="preserve">at node </w:t>
            </w:r>
            <w:r w:rsidRPr="00D769E5">
              <w:rPr>
                <w:rFonts w:ascii="Arial" w:hAnsi="Arial" w:cs="Arial"/>
                <w:i/>
              </w:rPr>
              <w:t>j</w:t>
            </w:r>
            <w:r w:rsidRPr="00D769E5">
              <w:rPr>
                <w:rFonts w:ascii="Arial" w:hAnsi="Arial" w:cs="Arial"/>
              </w:rPr>
              <w:t>.</w:t>
            </w:r>
          </w:p>
        </w:tc>
      </w:tr>
      <w:tr w:rsidR="001E7023" w14:paraId="528F3632" w14:textId="77777777" w:rsidTr="001E7023">
        <w:tc>
          <w:tcPr>
            <w:tcW w:w="828" w:type="dxa"/>
            <w:hideMark/>
          </w:tcPr>
          <w:p w14:paraId="00B31CD7" w14:textId="77777777" w:rsidR="001E7023" w:rsidRDefault="001E7023">
            <w:pPr>
              <w:pStyle w:val="Paragraph"/>
              <w:rPr>
                <w:rFonts w:ascii="Cambria Math" w:hAnsi="Cambria Math"/>
                <w:i/>
                <w:vertAlign w:val="subscript"/>
              </w:rPr>
            </w:pPr>
            <w:r>
              <w:rPr>
                <w:rFonts w:ascii="Cambria Math" w:hAnsi="Cambria Math"/>
                <w:i/>
              </w:rPr>
              <w:t>LMP</w:t>
            </w:r>
            <w:r>
              <w:rPr>
                <w:rFonts w:ascii="Cambria Math" w:hAnsi="Cambria Math"/>
                <w:i/>
                <w:vertAlign w:val="subscript"/>
              </w:rPr>
              <w:t>i</w:t>
            </w:r>
          </w:p>
        </w:tc>
        <w:tc>
          <w:tcPr>
            <w:tcW w:w="8748" w:type="dxa"/>
            <w:hideMark/>
          </w:tcPr>
          <w:p w14:paraId="72661DB9" w14:textId="77777777" w:rsidR="001E7023" w:rsidRPr="00D769E5" w:rsidRDefault="001E7023">
            <w:pPr>
              <w:pStyle w:val="Paragraph"/>
              <w:rPr>
                <w:rFonts w:ascii="Arial" w:hAnsi="Arial" w:cs="Arial"/>
              </w:rPr>
            </w:pPr>
            <w:r w:rsidRPr="00D769E5">
              <w:rPr>
                <w:rFonts w:ascii="Arial" w:hAnsi="Arial" w:cs="Arial"/>
              </w:rPr>
              <w:t xml:space="preserve">Locational Marginal Price at node </w:t>
            </w:r>
            <w:r w:rsidRPr="00D769E5">
              <w:rPr>
                <w:rFonts w:ascii="Arial" w:hAnsi="Arial" w:cs="Arial"/>
                <w:i/>
              </w:rPr>
              <w:t>i</w:t>
            </w:r>
            <w:r w:rsidRPr="00D769E5">
              <w:rPr>
                <w:rFonts w:ascii="Arial" w:hAnsi="Arial" w:cs="Arial"/>
              </w:rPr>
              <w:t>.</w:t>
            </w:r>
          </w:p>
        </w:tc>
      </w:tr>
      <w:tr w:rsidR="001E7023" w14:paraId="442B31C3" w14:textId="77777777" w:rsidTr="001E7023">
        <w:tc>
          <w:tcPr>
            <w:tcW w:w="828" w:type="dxa"/>
            <w:hideMark/>
          </w:tcPr>
          <w:p w14:paraId="5B1F086F" w14:textId="77777777" w:rsidR="001E7023" w:rsidRDefault="001E7023">
            <w:pPr>
              <w:pStyle w:val="Paragraph"/>
              <w:rPr>
                <w:rFonts w:ascii="Cambria Math" w:hAnsi="Cambria Math"/>
                <w:i/>
              </w:rPr>
            </w:pPr>
            <w:r>
              <w:rPr>
                <w:rFonts w:ascii="Cambria Math" w:hAnsi="Cambria Math"/>
                <w:i/>
              </w:rPr>
              <w:sym w:font="Symbol" w:char="F06C"/>
            </w:r>
          </w:p>
        </w:tc>
        <w:tc>
          <w:tcPr>
            <w:tcW w:w="8748" w:type="dxa"/>
            <w:hideMark/>
          </w:tcPr>
          <w:p w14:paraId="50937638" w14:textId="77777777" w:rsidR="001E7023" w:rsidRPr="00D769E5" w:rsidRDefault="001E7023">
            <w:pPr>
              <w:pStyle w:val="Paragraph"/>
              <w:rPr>
                <w:rFonts w:ascii="Arial" w:hAnsi="Arial" w:cs="Arial"/>
              </w:rPr>
            </w:pPr>
            <w:r w:rsidRPr="00D769E5">
              <w:rPr>
                <w:rFonts w:ascii="Arial" w:hAnsi="Arial" w:cs="Arial"/>
              </w:rPr>
              <w:t>Shadow price of power balance constraint.</w:t>
            </w:r>
          </w:p>
        </w:tc>
      </w:tr>
      <w:tr w:rsidR="001E7023" w14:paraId="7DA0BAE9" w14:textId="77777777" w:rsidTr="001E7023">
        <w:tc>
          <w:tcPr>
            <w:tcW w:w="828" w:type="dxa"/>
            <w:hideMark/>
          </w:tcPr>
          <w:p w14:paraId="4820E380" w14:textId="77777777" w:rsidR="001E7023" w:rsidRDefault="001E7023">
            <w:pPr>
              <w:pStyle w:val="Paragraph"/>
              <w:rPr>
                <w:rFonts w:ascii="Cambria Math" w:hAnsi="Cambria Math"/>
                <w:i/>
                <w:vertAlign w:val="subscript"/>
              </w:rPr>
            </w:pPr>
            <w:r>
              <w:rPr>
                <w:rFonts w:ascii="Cambria Math" w:hAnsi="Cambria Math"/>
                <w:i/>
              </w:rPr>
              <w:sym w:font="Symbol" w:char="F06D"/>
            </w:r>
            <w:r>
              <w:rPr>
                <w:rFonts w:ascii="Cambria Math" w:hAnsi="Cambria Math"/>
                <w:i/>
                <w:vertAlign w:val="subscript"/>
              </w:rPr>
              <w:t>k</w:t>
            </w:r>
          </w:p>
        </w:tc>
        <w:tc>
          <w:tcPr>
            <w:tcW w:w="8748" w:type="dxa"/>
            <w:hideMark/>
          </w:tcPr>
          <w:p w14:paraId="30C4814A" w14:textId="77777777" w:rsidR="00DB39CD" w:rsidRPr="00D769E5" w:rsidRDefault="001E7023" w:rsidP="00DB39CD">
            <w:pPr>
              <w:pStyle w:val="Paragraph"/>
              <w:rPr>
                <w:rFonts w:ascii="Arial" w:hAnsi="Arial" w:cs="Arial"/>
              </w:rPr>
            </w:pPr>
            <w:r w:rsidRPr="00D769E5">
              <w:rPr>
                <w:rFonts w:ascii="Arial" w:hAnsi="Arial" w:cs="Arial"/>
              </w:rPr>
              <w:t xml:space="preserve">Shadow price of active power flow limit constraint on transmission line </w:t>
            </w:r>
            <w:r w:rsidRPr="00D769E5">
              <w:rPr>
                <w:rFonts w:ascii="Arial" w:hAnsi="Arial" w:cs="Arial"/>
                <w:i/>
              </w:rPr>
              <w:t>k</w:t>
            </w:r>
            <w:r w:rsidRPr="00D769E5">
              <w:rPr>
                <w:rFonts w:ascii="Arial" w:hAnsi="Arial" w:cs="Arial"/>
              </w:rPr>
              <w:t>.</w:t>
            </w:r>
          </w:p>
        </w:tc>
      </w:tr>
      <w:tr w:rsidR="00DB39CD" w14:paraId="6AB50530" w14:textId="77777777" w:rsidTr="00DB39CD">
        <w:tc>
          <w:tcPr>
            <w:tcW w:w="828" w:type="dxa"/>
            <w:hideMark/>
          </w:tcPr>
          <w:p w14:paraId="1A2F8458" w14:textId="77777777" w:rsidR="00DB39CD" w:rsidRDefault="00DB39CD">
            <w:pPr>
              <w:pStyle w:val="Paragraph"/>
              <w:rPr>
                <w:rFonts w:ascii="Cambria Math" w:hAnsi="Cambria Math"/>
                <w:i/>
              </w:rPr>
            </w:pPr>
            <w:r>
              <w:rPr>
                <w:rFonts w:ascii="Cambria Math" w:hAnsi="Cambria Math"/>
                <w:i/>
              </w:rPr>
              <w:sym w:font="Symbol" w:char="F068"/>
            </w:r>
          </w:p>
        </w:tc>
        <w:tc>
          <w:tcPr>
            <w:tcW w:w="8748" w:type="dxa"/>
            <w:hideMark/>
          </w:tcPr>
          <w:p w14:paraId="2BF4D5A6" w14:textId="77777777" w:rsidR="00DB39CD" w:rsidRPr="00D769E5" w:rsidRDefault="00DB39CD">
            <w:pPr>
              <w:pStyle w:val="Paragraph"/>
              <w:rPr>
                <w:rFonts w:ascii="Arial" w:hAnsi="Arial"/>
              </w:rPr>
            </w:pPr>
            <w:r w:rsidRPr="00D769E5">
              <w:rPr>
                <w:rFonts w:ascii="Arial" w:hAnsi="Arial"/>
              </w:rPr>
              <w:t>Shadow price of net imbalance energy export allocation constraint.</w:t>
            </w:r>
          </w:p>
        </w:tc>
      </w:tr>
      <w:tr w:rsidR="00DB39CD" w14:paraId="3E12DFEA" w14:textId="77777777" w:rsidTr="00DB39CD">
        <w:tc>
          <w:tcPr>
            <w:tcW w:w="828" w:type="dxa"/>
            <w:hideMark/>
          </w:tcPr>
          <w:p w14:paraId="3D94F202" w14:textId="77777777" w:rsidR="00DB39CD" w:rsidRDefault="00DB39CD">
            <w:pPr>
              <w:pStyle w:val="Paragraph"/>
              <w:rPr>
                <w:rFonts w:ascii="Cambria Math" w:hAnsi="Cambria Math"/>
                <w:i/>
                <w:vertAlign w:val="subscript"/>
              </w:rPr>
            </w:pPr>
            <w:r>
              <w:rPr>
                <w:rFonts w:ascii="Cambria Math" w:hAnsi="Cambria Math"/>
                <w:i/>
              </w:rPr>
              <w:t>R</w:t>
            </w:r>
            <w:r>
              <w:rPr>
                <w:rFonts w:ascii="Cambria Math" w:hAnsi="Cambria Math"/>
                <w:i/>
                <w:vertAlign w:val="subscript"/>
              </w:rPr>
              <w:t>G</w:t>
            </w:r>
          </w:p>
        </w:tc>
        <w:tc>
          <w:tcPr>
            <w:tcW w:w="8748" w:type="dxa"/>
            <w:hideMark/>
          </w:tcPr>
          <w:p w14:paraId="1614FBF7" w14:textId="77777777" w:rsidR="00DB39CD" w:rsidRPr="00D769E5" w:rsidRDefault="00DB39CD">
            <w:pPr>
              <w:pStyle w:val="Paragraph"/>
              <w:rPr>
                <w:rFonts w:ascii="Arial" w:hAnsi="Arial"/>
              </w:rPr>
            </w:pPr>
            <w:r w:rsidRPr="00D769E5">
              <w:rPr>
                <w:rFonts w:ascii="Arial" w:hAnsi="Arial"/>
              </w:rPr>
              <w:t>Greenhouse gas allowance revenue.</w:t>
            </w:r>
          </w:p>
        </w:tc>
      </w:tr>
      <w:tr w:rsidR="00DB39CD" w14:paraId="7509D1AD" w14:textId="77777777" w:rsidTr="00DB39CD">
        <w:tc>
          <w:tcPr>
            <w:tcW w:w="828" w:type="dxa"/>
            <w:hideMark/>
          </w:tcPr>
          <w:p w14:paraId="7524DBC9" w14:textId="77777777" w:rsidR="00DB39CD" w:rsidRDefault="00DB39CD">
            <w:pPr>
              <w:pStyle w:val="Paragraph"/>
              <w:rPr>
                <w:rFonts w:ascii="Cambria Math" w:hAnsi="Cambria Math"/>
                <w:i/>
                <w:vertAlign w:val="subscript"/>
              </w:rPr>
            </w:pPr>
            <w:r>
              <w:rPr>
                <w:rFonts w:ascii="Cambria Math" w:hAnsi="Cambria Math"/>
                <w:i/>
              </w:rPr>
              <w:lastRenderedPageBreak/>
              <w:t>R</w:t>
            </w:r>
            <w:r>
              <w:rPr>
                <w:rFonts w:ascii="Cambria Math" w:hAnsi="Cambria Math"/>
                <w:i/>
                <w:vertAlign w:val="subscript"/>
              </w:rPr>
              <w:t>Gj</w:t>
            </w:r>
          </w:p>
        </w:tc>
        <w:tc>
          <w:tcPr>
            <w:tcW w:w="8748" w:type="dxa"/>
            <w:hideMark/>
          </w:tcPr>
          <w:p w14:paraId="2210AEAC" w14:textId="77777777" w:rsidR="00DB39CD" w:rsidRPr="00D769E5" w:rsidRDefault="00DB39CD">
            <w:pPr>
              <w:pStyle w:val="Paragraph"/>
              <w:rPr>
                <w:rFonts w:ascii="Arial" w:hAnsi="Arial"/>
              </w:rPr>
            </w:pPr>
            <w:r w:rsidRPr="00D769E5">
              <w:rPr>
                <w:rFonts w:ascii="Arial" w:hAnsi="Arial"/>
              </w:rPr>
              <w:t xml:space="preserve">Greenhouse gas allowance revenue distribution to generator at node </w:t>
            </w:r>
            <w:r w:rsidRPr="00D769E5">
              <w:rPr>
                <w:rFonts w:ascii="Arial" w:hAnsi="Arial"/>
                <w:i/>
              </w:rPr>
              <w:t>j</w:t>
            </w:r>
            <w:r w:rsidRPr="00D769E5">
              <w:rPr>
                <w:rFonts w:ascii="Arial" w:hAnsi="Arial"/>
              </w:rPr>
              <w:t>.</w:t>
            </w:r>
          </w:p>
        </w:tc>
      </w:tr>
      <w:tr w:rsidR="00DB39CD" w14:paraId="0CBCD6A7" w14:textId="77777777" w:rsidTr="00DB39CD">
        <w:tc>
          <w:tcPr>
            <w:tcW w:w="828" w:type="dxa"/>
            <w:hideMark/>
          </w:tcPr>
          <w:p w14:paraId="14BDC7D8" w14:textId="77777777" w:rsidR="00DB39CD" w:rsidRDefault="00DB39CD">
            <w:pPr>
              <w:pStyle w:val="Paragraph"/>
              <w:rPr>
                <w:rFonts w:ascii="Cambria Math" w:hAnsi="Cambria Math"/>
                <w:i/>
              </w:rPr>
            </w:pPr>
            <w:r>
              <w:rPr>
                <w:rFonts w:ascii="Cambria Math" w:hAnsi="Cambria Math"/>
                <w:i/>
              </w:rPr>
              <w:t>M</w:t>
            </w:r>
          </w:p>
        </w:tc>
        <w:tc>
          <w:tcPr>
            <w:tcW w:w="8748" w:type="dxa"/>
            <w:hideMark/>
          </w:tcPr>
          <w:p w14:paraId="4FA875D2" w14:textId="77777777" w:rsidR="00DB39CD" w:rsidRPr="00D769E5" w:rsidRDefault="00DB39CD">
            <w:pPr>
              <w:pStyle w:val="Paragraph"/>
              <w:rPr>
                <w:rFonts w:ascii="Arial" w:hAnsi="Arial"/>
              </w:rPr>
            </w:pPr>
            <w:r w:rsidRPr="00D769E5">
              <w:rPr>
                <w:rFonts w:ascii="Arial" w:hAnsi="Arial"/>
              </w:rPr>
              <w:t>Penalty cost for net imbalance energy export surplus (</w:t>
            </w:r>
            <w:r w:rsidRPr="00D769E5">
              <w:rPr>
                <w:rFonts w:ascii="Arial" w:hAnsi="Arial"/>
                <w:i/>
              </w:rPr>
              <w:t>E</w:t>
            </w:r>
            <w:r w:rsidRPr="00D769E5">
              <w:rPr>
                <w:rFonts w:ascii="Arial" w:hAnsi="Arial"/>
                <w:i/>
                <w:vertAlign w:val="subscript"/>
              </w:rPr>
              <w:t>S</w:t>
            </w:r>
            <w:r w:rsidRPr="00D769E5">
              <w:rPr>
                <w:rFonts w:ascii="Arial" w:hAnsi="Arial"/>
              </w:rPr>
              <w:t>).</w:t>
            </w:r>
          </w:p>
        </w:tc>
      </w:tr>
      <w:tr w:rsidR="00DB39CD" w14:paraId="1B92F392" w14:textId="77777777" w:rsidTr="00DB39CD">
        <w:tc>
          <w:tcPr>
            <w:tcW w:w="828" w:type="dxa"/>
            <w:hideMark/>
          </w:tcPr>
          <w:p w14:paraId="43838495" w14:textId="77777777" w:rsidR="00DB39CD" w:rsidRDefault="00DB39CD">
            <w:pPr>
              <w:pStyle w:val="Paragraph"/>
              <w:rPr>
                <w:rFonts w:ascii="Cambria Math" w:hAnsi="Cambria Math"/>
                <w:i/>
              </w:rPr>
            </w:pPr>
            <w:r>
              <w:rPr>
                <w:rFonts w:ascii="Cambria Math" w:hAnsi="Cambria Math"/>
                <w:i/>
              </w:rPr>
              <w:sym w:font="Symbol" w:char="F065"/>
            </w:r>
          </w:p>
        </w:tc>
        <w:tc>
          <w:tcPr>
            <w:tcW w:w="8748" w:type="dxa"/>
            <w:hideMark/>
          </w:tcPr>
          <w:p w14:paraId="27821FA6" w14:textId="77777777" w:rsidR="00447056" w:rsidRPr="00D769E5" w:rsidRDefault="00DB39CD">
            <w:pPr>
              <w:pStyle w:val="Paragraph"/>
              <w:rPr>
                <w:rFonts w:ascii="Arial" w:hAnsi="Arial"/>
              </w:rPr>
            </w:pPr>
            <w:r w:rsidRPr="00D769E5">
              <w:rPr>
                <w:rFonts w:ascii="Arial" w:hAnsi="Arial"/>
              </w:rPr>
              <w:t>A small tolerance.</w:t>
            </w:r>
          </w:p>
          <w:p w14:paraId="4604DCC6" w14:textId="77777777" w:rsidR="00DB39CD" w:rsidRPr="005F6CDE" w:rsidRDefault="00DB39CD" w:rsidP="005F6CDE">
            <w:pPr>
              <w:spacing w:before="240"/>
              <w:rPr>
                <w:b/>
              </w:rPr>
            </w:pPr>
            <w:bookmarkStart w:id="1941" w:name="_Ref397090901"/>
            <w:r w:rsidRPr="005F6CDE">
              <w:rPr>
                <w:b/>
              </w:rPr>
              <w:t>Optimization Problem</w:t>
            </w:r>
            <w:bookmarkEnd w:id="1941"/>
          </w:p>
          <w:p w14:paraId="43967DFB" w14:textId="77777777" w:rsidR="00DB39CD" w:rsidRPr="00D769E5" w:rsidRDefault="00DB39CD" w:rsidP="00877DDB">
            <w:pPr>
              <w:pStyle w:val="BPM"/>
            </w:pPr>
            <w:r w:rsidRPr="00D769E5">
              <w:t>The mathematical formulation is as follows:</w:t>
            </w:r>
          </w:p>
          <w:p w14:paraId="7F6BEF28" w14:textId="77777777" w:rsidR="00DB39CD" w:rsidRDefault="00AE7E55" w:rsidP="00D769E5">
            <w:pPr>
              <w:pStyle w:val="Paragraph"/>
              <w:ind w:left="720"/>
            </w:pPr>
            <m:oMathPara>
              <m:oMathParaPr>
                <m:jc m:val="left"/>
              </m:oMathParaPr>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Gj</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e>
                            </m:d>
                          </m:e>
                        </m:nary>
                      </m:e>
                    </m:d>
                  </m:e>
                </m:func>
              </m:oMath>
            </m:oMathPara>
          </w:p>
          <w:p w14:paraId="6AC2BDBA" w14:textId="77777777" w:rsidR="00DB39CD" w:rsidRDefault="00DB39CD" w:rsidP="00D769E5">
            <w:pPr>
              <w:pStyle w:val="Paragraph"/>
              <w:ind w:left="720"/>
              <w:rPr>
                <w:i/>
              </w:rPr>
            </w:pPr>
            <w:r>
              <w:rPr>
                <w:i/>
              </w:rPr>
              <w:t>subject to:</w:t>
            </w:r>
          </w:p>
          <w:p w14:paraId="4BF56D80" w14:textId="77777777" w:rsidR="00DB39CD" w:rsidRDefault="00DB39CD" w:rsidP="00D769E5">
            <w:pPr>
              <w:pStyle w:val="Paragraph"/>
              <w:ind w:left="720"/>
            </w:pPr>
            <m:oMathPara>
              <m:oMathParaPr>
                <m:jc m:val="left"/>
              </m:oMathParaPr>
              <m:oMath>
                <m:r>
                  <m:rPr>
                    <m:sty m:val="p"/>
                  </m:rPr>
                  <w:rPr>
                    <w:rFonts w:ascii="Cambria Math" w:hAnsi="Cambria Math"/>
                  </w:rPr>
                  <m:t>power balance:</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=0</m:t>
                </m:r>
              </m:oMath>
            </m:oMathPara>
          </w:p>
          <w:p w14:paraId="217694AE" w14:textId="77777777" w:rsidR="00DB39CD" w:rsidRDefault="00DB39CD" w:rsidP="00D769E5">
            <w:pPr>
              <w:pStyle w:val="Paragraph"/>
              <w:ind w:left="720"/>
            </w:pPr>
            <m:oMathPara>
              <m:oMathParaPr>
                <m:jc m:val="left"/>
              </m:oMathParaPr>
              <m:oMath>
                <m:r>
                  <m:rPr>
                    <m:sty m:val="p"/>
                  </m:rPr>
                  <w:rPr>
                    <w:rFonts w:ascii="Cambria Math" w:hAnsi="Cambria Math"/>
                  </w:rPr>
                  <m:t xml:space="preserve">transmission line flow: </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S</m:t>
                        </m:r>
                      </m:e>
                      <m:sub>
                        <m:r>
                          <w:rPr>
                            <w:rFonts w:ascii="Cambria Math" w:hAnsi="Cambria Math"/>
                          </w:rPr>
                          <m:t>i,k</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m:t>
                        </m:r>
                      </m:e>
                      <m:sub>
                        <m:r>
                          <w:rPr>
                            <w:rFonts w:ascii="Cambria Math" w:hAnsi="Cambria Math"/>
                          </w:rPr>
                          <m:t>j,k</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MAX</m:t>
                    </m:r>
                    <m:r>
                      <w:rPr>
                        <w:rFonts w:ascii="Cambria Math" w:hAnsi="Cambria Math"/>
                      </w:rPr>
                      <m:t>k</m:t>
                    </m:r>
                  </m:sub>
                </m:sSub>
                <m:r>
                  <w:rPr>
                    <w:rFonts w:ascii="Cambria Math" w:hAnsi="Cambria Math"/>
                  </w:rPr>
                  <m:t>, ∀k</m:t>
                </m:r>
              </m:oMath>
            </m:oMathPara>
          </w:p>
          <w:p w14:paraId="5D328E22" w14:textId="77777777" w:rsidR="00DB39CD" w:rsidRDefault="00DB39CD" w:rsidP="00D769E5">
            <w:pPr>
              <w:pStyle w:val="Paragraph"/>
              <w:ind w:left="720"/>
            </w:pPr>
            <m:oMathPara>
              <m:oMathParaPr>
                <m:jc m:val="left"/>
              </m:oMathParaPr>
              <m:oMath>
                <m:r>
                  <m:rPr>
                    <m:sty m:val="p"/>
                  </m:rPr>
                  <w:rPr>
                    <w:rFonts w:ascii="Cambria Math" w:hAnsi="Cambria Math"/>
                  </w:rPr>
                  <m:t xml:space="preserve">net export allocation: </m:t>
                </m:r>
                <m:r>
                  <w:rPr>
                    <w:rFonts w:ascii="Cambria Math" w:hAnsi="Cambria Math"/>
                  </w:rPr>
                  <m:t>E≡</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m:t>
                        </m:r>
                      </m:e>
                      <m:sub>
                        <m:r>
                          <w:rPr>
                            <w:rFonts w:ascii="Cambria Math" w:hAnsi="Cambria Math"/>
                          </w:rPr>
                          <m:t>j</m:t>
                        </m:r>
                      </m:sub>
                    </m:sSub>
                  </m:e>
                </m:nary>
              </m:oMath>
            </m:oMathPara>
          </w:p>
          <w:p w14:paraId="77838DA8" w14:textId="77777777" w:rsidR="00DB39CD" w:rsidRDefault="00DB39CD" w:rsidP="00D769E5">
            <w:pPr>
              <w:pStyle w:val="Paragraph"/>
              <w:ind w:left="720"/>
            </w:pPr>
            <m:oMathPara>
              <m:oMathParaPr>
                <m:jc m:val="left"/>
              </m:oMathParaPr>
              <m:oMath>
                <m:r>
                  <m:rPr>
                    <m:sty m:val="p"/>
                  </m:rPr>
                  <w:rPr>
                    <w:rFonts w:ascii="Cambria Math" w:hAnsi="Cambria Math"/>
                  </w:rPr>
                  <m:t xml:space="preserve">generator limits: </m:t>
                </m:r>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m:rPr>
                              <m:sty m:val="p"/>
                            </m:rPr>
                            <w:rPr>
                              <w:rFonts w:ascii="Cambria Math" w:hAnsi="Cambria Math"/>
                            </w:rPr>
                            <m:t>MIN</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m:rPr>
                              <m:sty m:val="p"/>
                            </m:rPr>
                            <w:rPr>
                              <w:rFonts w:ascii="Cambria Math" w:hAnsi="Cambria Math"/>
                            </w:rPr>
                            <m:t>MAX</m:t>
                          </m:r>
                          <m:r>
                            <w:rPr>
                              <w:rFonts w:ascii="Cambria Math" w:hAnsi="Cambria Math"/>
                            </w:rPr>
                            <m:t>i</m:t>
                          </m:r>
                        </m:sub>
                      </m:sSub>
                      <m:r>
                        <w:rPr>
                          <w:rFonts w:ascii="Cambria Math" w:hAnsi="Cambria Math"/>
                        </w:rPr>
                        <m:t>, ∀i</m:t>
                      </m:r>
                    </m:e>
                  </m:mr>
                  <m:mr>
                    <m:e>
                      <m:sSub>
                        <m:sSubPr>
                          <m:ctrlPr>
                            <w:rPr>
                              <w:rFonts w:ascii="Cambria Math" w:hAnsi="Cambria Math"/>
                              <w:i/>
                            </w:rPr>
                          </m:ctrlPr>
                        </m:sSubPr>
                        <m:e>
                          <m:r>
                            <w:rPr>
                              <w:rFonts w:ascii="Cambria Math" w:hAnsi="Cambria Math"/>
                            </w:rPr>
                            <m:t>G</m:t>
                          </m:r>
                        </m:e>
                        <m:sub>
                          <m:r>
                            <m:rPr>
                              <m:sty m:val="p"/>
                            </m:rPr>
                            <w:rPr>
                              <w:rFonts w:ascii="Cambria Math" w:hAnsi="Cambria Math"/>
                            </w:rPr>
                            <m:t>MIN</m:t>
                          </m:r>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m:rPr>
                              <m:sty m:val="p"/>
                            </m:rPr>
                            <w:rPr>
                              <w:rFonts w:ascii="Cambria Math" w:hAnsi="Cambria Math"/>
                            </w:rPr>
                            <m:t>MAX</m:t>
                          </m:r>
                          <m:r>
                            <w:rPr>
                              <w:rFonts w:ascii="Cambria Math" w:hAnsi="Cambria Math"/>
                            </w:rPr>
                            <m:t>j</m:t>
                          </m:r>
                        </m:sub>
                      </m:sSub>
                      <m:r>
                        <w:rPr>
                          <w:rFonts w:ascii="Cambria Math" w:hAnsi="Cambria Math"/>
                        </w:rPr>
                        <m:t>, ∀j</m:t>
                      </m:r>
                    </m:e>
                  </m:mr>
                </m:m>
              </m:oMath>
            </m:oMathPara>
          </w:p>
          <w:p w14:paraId="0CDE6809" w14:textId="77777777" w:rsidR="00DB39CD" w:rsidRPr="004741AC" w:rsidRDefault="00DB39CD" w:rsidP="00D769E5">
            <w:pPr>
              <w:pStyle w:val="Paragraph"/>
              <w:ind w:left="720"/>
            </w:pPr>
            <m:oMathPara>
              <m:oMathParaPr>
                <m:jc m:val="left"/>
              </m:oMathParaPr>
              <m:oMath>
                <m:r>
                  <m:rPr>
                    <m:sty m:val="p"/>
                  </m:rPr>
                  <w:rPr>
                    <w:rFonts w:ascii="Cambria Math" w:hAnsi="Cambria Math"/>
                  </w:rPr>
                  <m:t xml:space="preserve">allocation limits: </m:t>
                </m:r>
                <m:r>
                  <w:rPr>
                    <w:rFonts w:ascii="Cambria Math" w:hAnsi="Cambria Math"/>
                  </w:rPr>
                  <m:t>0≤</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m:rPr>
                            <m:sty m:val="p"/>
                          </m:rPr>
                          <w:rPr>
                            <w:rFonts w:ascii="Cambria Math" w:hAnsi="Cambria Math"/>
                          </w:rPr>
                          <m:t>MAX</m:t>
                        </m:r>
                        <m:r>
                          <w:rPr>
                            <w:rFonts w:ascii="Cambria Math" w:hAnsi="Cambria Math"/>
                          </w:rPr>
                          <m:t>j</m:t>
                        </m:r>
                      </m:sub>
                    </m:sSub>
                  </m:e>
                </m:d>
                <m:r>
                  <w:rPr>
                    <w:rFonts w:ascii="Cambria Math" w:hAnsi="Cambria Math"/>
                  </w:rPr>
                  <m:t>, ∀j</m:t>
                </m:r>
              </m:oMath>
            </m:oMathPara>
          </w:p>
          <w:p w14:paraId="4B49DA71" w14:textId="77777777" w:rsidR="00E243C7" w:rsidRDefault="00E243C7" w:rsidP="00D769E5">
            <w:pPr>
              <w:pStyle w:val="Paragraph"/>
              <w:ind w:left="720"/>
            </w:pPr>
          </w:p>
          <w:p w14:paraId="6B4DEB3A" w14:textId="77777777" w:rsidR="00DB39CD" w:rsidRPr="00D769E5" w:rsidRDefault="00DB39CD" w:rsidP="00877DDB">
            <w:pPr>
              <w:pStyle w:val="BPM"/>
            </w:pPr>
            <w:r w:rsidRPr="00E62C48">
              <w:t>When the net export</w:t>
            </w:r>
            <w:r>
              <w:t xml:space="preserve"> </w:t>
            </w:r>
            <w:r>
              <w:rPr>
                <w:i/>
              </w:rPr>
              <w:t>E</w:t>
            </w:r>
            <w:r>
              <w:t xml:space="preserve"> </w:t>
            </w:r>
            <w:r w:rsidRPr="00E62C48">
              <w:t xml:space="preserve">is zero or negative (import), the net export allocation constraint is not binding and all allocations </w:t>
            </w:r>
            <w:r>
              <w:rPr>
                <w:i/>
              </w:rPr>
              <w:t>E</w:t>
            </w:r>
            <w:r>
              <w:rPr>
                <w:i/>
                <w:vertAlign w:val="subscript"/>
              </w:rPr>
              <w:t>j</w:t>
            </w:r>
            <w:r>
              <w:t xml:space="preserve"> </w:t>
            </w:r>
            <w:r w:rsidRPr="00D769E5">
              <w:t>are zero.</w:t>
            </w:r>
          </w:p>
          <w:p w14:paraId="27460988" w14:textId="77777777" w:rsidR="00DB39CD" w:rsidRPr="00D769E5" w:rsidRDefault="00DB39CD" w:rsidP="00877DDB">
            <w:pPr>
              <w:pStyle w:val="BPM"/>
            </w:pPr>
            <w:r w:rsidRPr="00D769E5">
              <w:t>The LMPs are determined as follows:</w:t>
            </w:r>
          </w:p>
          <w:p w14:paraId="44E86AD1" w14:textId="77777777" w:rsidR="00DB39CD" w:rsidRDefault="00AE7E55"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=λ+</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S</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e>
                </m:nary>
                <m:r>
                  <w:rPr>
                    <w:rFonts w:ascii="Cambria Math" w:hAnsi="Cambria Math"/>
                  </w:rPr>
                  <m:t>, ∀i</m:t>
                </m:r>
              </m:oMath>
            </m:oMathPara>
          </w:p>
          <w:p w14:paraId="2356A78C" w14:textId="77777777" w:rsidR="00DB39CD" w:rsidRDefault="00AE7E55"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LMP</m:t>
                    </m:r>
                  </m:e>
                  <m:sub>
                    <m:r>
                      <w:rPr>
                        <w:rFonts w:ascii="Cambria Math" w:hAnsi="Cambria Math"/>
                      </w:rPr>
                      <m:t>j</m:t>
                    </m:r>
                  </m:sub>
                </m:sSub>
                <m:r>
                  <w:rPr>
                    <w:rFonts w:ascii="Cambria Math" w:hAnsi="Cambria Math"/>
                  </w:rPr>
                  <m:t>=λ+</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m:t>
                        </m:r>
                      </m:e>
                      <m:sub>
                        <m:r>
                          <w:rPr>
                            <w:rFonts w:ascii="Cambria Math" w:hAnsi="Cambria Math"/>
                          </w:rPr>
                          <m:t>j,k</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e>
                </m:nary>
                <m:r>
                  <w:rPr>
                    <w:rFonts w:ascii="Cambria Math" w:hAnsi="Cambria Math"/>
                  </w:rPr>
                  <m:t>+η, ∀j</m:t>
                </m:r>
              </m:oMath>
            </m:oMathPara>
          </w:p>
          <w:p w14:paraId="4E66749C" w14:textId="77777777" w:rsidR="00DB39CD" w:rsidRPr="00D769E5" w:rsidRDefault="00DB39CD" w:rsidP="00877DDB">
            <w:pPr>
              <w:pStyle w:val="BPM"/>
            </w:pPr>
            <w:r w:rsidRPr="00D769E5">
              <w:t>Where the marginal loss component is missing because transmission losses are ignored.</w:t>
            </w:r>
          </w:p>
          <w:p w14:paraId="4B945AD7" w14:textId="77777777" w:rsidR="00DB39CD" w:rsidRPr="00D769E5" w:rsidRDefault="00DB39CD" w:rsidP="00877DDB">
            <w:pPr>
              <w:pStyle w:val="BPM"/>
            </w:pPr>
            <w:r w:rsidRPr="00D769E5">
              <w:t>The greenhouse gas allowance revenue is calculated as follows:</w:t>
            </w:r>
          </w:p>
          <w:p w14:paraId="156DBF9A" w14:textId="77777777" w:rsidR="00DB39CD" w:rsidRDefault="00AE7E55"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=-η E</m:t>
                </m:r>
              </m:oMath>
            </m:oMathPara>
          </w:p>
          <w:p w14:paraId="2E5C3417" w14:textId="77777777" w:rsidR="00DB39CD" w:rsidRPr="00D769E5" w:rsidRDefault="00DB39CD" w:rsidP="00877DDB">
            <w:pPr>
              <w:pStyle w:val="BPM"/>
            </w:pPr>
            <w:r w:rsidRPr="00D769E5">
              <w:lastRenderedPageBreak/>
              <w:t>This revenue is then distributed to the optimal net imbalance energy export allocations as follows:</w:t>
            </w:r>
          </w:p>
          <w:p w14:paraId="2247123A" w14:textId="77777777" w:rsidR="00DB39CD" w:rsidRDefault="00AE7E55" w:rsidP="00DB39CD">
            <w:pPr>
              <w:pStyle w:val="Paragraph"/>
            </w:pPr>
            <m:oMathPara>
              <m:oMath>
                <m:sSub>
                  <m:sSubPr>
                    <m:ctrlPr>
                      <w:rPr>
                        <w:rFonts w:ascii="Cambria Math" w:hAnsi="Cambria Math"/>
                        <w:i/>
                      </w:rPr>
                    </m:ctrlPr>
                  </m:sSubPr>
                  <m:e>
                    <m:r>
                      <w:rPr>
                        <w:rFonts w:ascii="Cambria Math" w:hAnsi="Cambria Math"/>
                      </w:rPr>
                      <m:t>R</m:t>
                    </m:r>
                  </m:e>
                  <m:sub>
                    <m:r>
                      <w:rPr>
                        <w:rFonts w:ascii="Cambria Math" w:hAnsi="Cambria Math"/>
                      </w:rPr>
                      <m:t>Gj</m:t>
                    </m:r>
                  </m:sub>
                </m:sSub>
                <m:r>
                  <w:rPr>
                    <w:rFonts w:ascii="Cambria Math" w:hAnsi="Cambria Math"/>
                  </w:rPr>
                  <m:t xml:space="preserve">=-η </m:t>
                </m:r>
                <m:sSub>
                  <m:sSubPr>
                    <m:ctrlPr>
                      <w:rPr>
                        <w:rFonts w:ascii="Cambria Math" w:hAnsi="Cambria Math"/>
                        <w:i/>
                      </w:rPr>
                    </m:ctrlPr>
                  </m:sSubPr>
                  <m:e>
                    <m:r>
                      <w:rPr>
                        <w:rFonts w:ascii="Cambria Math" w:hAnsi="Cambria Math"/>
                      </w:rPr>
                      <m:t>E</m:t>
                    </m:r>
                  </m:e>
                  <m:sub>
                    <m:r>
                      <w:rPr>
                        <w:rFonts w:ascii="Cambria Math" w:hAnsi="Cambria Math"/>
                      </w:rPr>
                      <m:t>j</m:t>
                    </m:r>
                  </m:sub>
                </m:sSub>
              </m:oMath>
            </m:oMathPara>
          </w:p>
        </w:tc>
      </w:tr>
    </w:tbl>
    <w:p w14:paraId="6F96D9DD" w14:textId="77777777" w:rsidR="001E7023" w:rsidRDefault="001E7023" w:rsidP="00D769E5">
      <w:pPr>
        <w:spacing w:after="240" w:line="300" w:lineRule="auto"/>
        <w:rPr>
          <w:rFonts w:eastAsia="Calibri"/>
        </w:rPr>
      </w:pPr>
    </w:p>
    <w:p w14:paraId="0930EB79" w14:textId="77777777" w:rsidR="00DB39CD" w:rsidRDefault="00DB39CD" w:rsidP="00C33762">
      <w:pPr>
        <w:pStyle w:val="Heading5"/>
      </w:pPr>
      <w:r>
        <w:t>Implementation Details</w:t>
      </w:r>
    </w:p>
    <w:p w14:paraId="34C641EC" w14:textId="77777777" w:rsidR="00DB39CD" w:rsidRPr="00D769E5" w:rsidRDefault="00DB39CD" w:rsidP="00877DDB">
      <w:pPr>
        <w:pStyle w:val="BPM"/>
      </w:pPr>
      <w:r w:rsidRPr="00D769E5">
        <w:t>With non-EIM BAAs in the FNM, the net export allocation</w:t>
      </w:r>
      <w:r>
        <w:t xml:space="preserve"> </w:t>
      </w:r>
      <w:r>
        <w:rPr>
          <w:i/>
        </w:rPr>
        <w:t>E</w:t>
      </w:r>
      <w:r>
        <w:t xml:space="preserve"> </w:t>
      </w:r>
      <w:r w:rsidRPr="00D769E5">
        <w:t>in the formulation of</w:t>
      </w:r>
      <w:r>
        <w:t xml:space="preserve"> §</w:t>
      </w:r>
      <w:r>
        <w:fldChar w:fldCharType="begin"/>
      </w:r>
      <w:r>
        <w:instrText xml:space="preserve"> REF _Ref397090901 \n \h </w:instrText>
      </w:r>
      <w:r w:rsidR="002852BA">
        <w:instrText xml:space="preserve"> \* MERGEFORMAT </w:instrText>
      </w:r>
      <w:r>
        <w:fldChar w:fldCharType="separate"/>
      </w:r>
      <w:r w:rsidR="00476B3D">
        <w:t>0</w:t>
      </w:r>
      <w:r>
        <w:fldChar w:fldCharType="end"/>
      </w:r>
      <w:r>
        <w:t xml:space="preserve"> </w:t>
      </w:r>
      <w:r w:rsidRPr="00D769E5">
        <w:t>is the net EIM Transfer from all EIM BAAs, i.e., the opposite of the EIM Transfer for the CAISO BAA. When it is negative, i.e., an import to the EIM BAAs from the CAISO BAA, the net export allocation constraint is irrelevant (not binding) and its shadow price is zero. When it is positive, i.e., an export from the EIM BAAs to the CAISO BAA, the net export allocation constraint is binding and its shadow price may be nonzero. In the latter case, the positive EIM Transfer from all EIM BAAs must be allocated to EIM Participating Resources. There should be no allocation to EIM Non-Participating Resources because these resources do not bid in the EIM, thus they do not submit a GHG compliance bid.</w:t>
      </w:r>
    </w:p>
    <w:p w14:paraId="34DBC0B8" w14:textId="77777777" w:rsidR="00DB39CD" w:rsidRPr="00D8261A" w:rsidRDefault="00DB39CD" w:rsidP="00877DDB">
      <w:pPr>
        <w:pStyle w:val="BPM"/>
      </w:pPr>
      <w:r w:rsidRPr="00D769E5">
        <w:t>Specifically, in RTUC, since the net base EIM Transfer from all EIM BAAs is zero, the positive 15</w:t>
      </w:r>
      <w:r w:rsidR="00BA7FCD">
        <w:t>-</w:t>
      </w:r>
      <w:r w:rsidRPr="00D769E5">
        <w:t>min</w:t>
      </w:r>
      <w:r w:rsidR="00BA7FCD">
        <w:t>ute</w:t>
      </w:r>
      <w:r w:rsidRPr="00D769E5">
        <w:t xml:space="preserve"> net EIM Transfer must be allocated to the 15</w:t>
      </w:r>
      <w:r w:rsidR="00BA7FCD">
        <w:t>-</w:t>
      </w:r>
      <w:r w:rsidRPr="00D769E5">
        <w:t>min</w:t>
      </w:r>
      <w:r w:rsidR="00BA7FCD">
        <w:t>ute</w:t>
      </w:r>
      <w:r w:rsidRPr="00D769E5">
        <w:t xml:space="preserve"> schedule of EIM Participating Resources. This allocation considers the </w:t>
      </w:r>
      <w:r w:rsidRPr="00D769E5">
        <w:rPr>
          <w:u w:val="single"/>
        </w:rPr>
        <w:t>entire</w:t>
      </w:r>
      <w:r w:rsidRPr="00D769E5">
        <w:t xml:space="preserve"> 15</w:t>
      </w:r>
      <w:r w:rsidR="00BA7FCD">
        <w:t>-</w:t>
      </w:r>
      <w:r w:rsidRPr="00D8261A">
        <w:t>min</w:t>
      </w:r>
      <w:r w:rsidR="00BA7FCD">
        <w:t>ute</w:t>
      </w:r>
      <w:r w:rsidRPr="00D8261A">
        <w:t xml:space="preserve"> schedule and not only the incremental portion above the base schedule. This is because the energy from these resources is used for meeting imbalance energy requirements in the EIM BAAs as well as supplying energy exports to the CAISO BAA. Therefore, it can be argued that these resources could potentially be decremented below their base schedule absorbing negative imbalance energy to meet imbalance energy requirements in the EIM BAAs, while producing positive imbalance energy to supply exports to the CAISO BAAs. Hence, it is conceivable that the imbalance energy export allocation quantity that receives GHG compliance revenue at the 15</w:t>
      </w:r>
      <w:r w:rsidR="00BA7FCD">
        <w:t>-</w:t>
      </w:r>
      <w:r w:rsidRPr="00D8261A">
        <w:t>min</w:t>
      </w:r>
      <w:r w:rsidR="00BA7FCD">
        <w:t>ute</w:t>
      </w:r>
      <w:r w:rsidRPr="00D8261A">
        <w:t xml:space="preserve"> marginal GHG compliance price could exceed the 15</w:t>
      </w:r>
      <w:r w:rsidR="00BA7FCD">
        <w:t>-</w:t>
      </w:r>
      <w:r w:rsidRPr="00D8261A">
        <w:t>min</w:t>
      </w:r>
      <w:r w:rsidR="00BA7FCD">
        <w:t>ute</w:t>
      </w:r>
      <w:r w:rsidRPr="00D8261A">
        <w:t xml:space="preserve"> incremental imbalance energy that receives a 15</w:t>
      </w:r>
      <w:r w:rsidR="00BA7FCD">
        <w:t>-</w:t>
      </w:r>
      <w:r w:rsidRPr="00D8261A">
        <w:t>min</w:t>
      </w:r>
      <w:r w:rsidR="00BA7FCD">
        <w:t>ute</w:t>
      </w:r>
      <w:r w:rsidRPr="00D8261A">
        <w:t xml:space="preserve"> imbalance energy settlement, both on an EIM Participating Resource level, and overall.</w:t>
      </w:r>
    </w:p>
    <w:p w14:paraId="6D7D1F58" w14:textId="77777777" w:rsidR="00DB39CD" w:rsidRPr="00D8261A" w:rsidRDefault="00DB39CD" w:rsidP="00877DDB">
      <w:pPr>
        <w:pStyle w:val="BPM"/>
      </w:pPr>
      <w:r w:rsidRPr="00D8261A">
        <w:t>In RTD, the mathematical formulation is no different than in RTUC: the positive 5</w:t>
      </w:r>
      <w:r w:rsidR="00BA7FCD">
        <w:t>-</w:t>
      </w:r>
      <w:r w:rsidRPr="00D8261A">
        <w:t>min</w:t>
      </w:r>
      <w:r w:rsidR="00BA7FCD">
        <w:t>ute</w:t>
      </w:r>
      <w:r w:rsidRPr="00D8261A">
        <w:t xml:space="preserve"> net EIM Transfer must be allocated to the 5</w:t>
      </w:r>
      <w:r w:rsidR="00BA7FCD">
        <w:t>-</w:t>
      </w:r>
      <w:r w:rsidRPr="00D8261A">
        <w:t>min</w:t>
      </w:r>
      <w:r w:rsidR="00BA7FCD">
        <w:t>ute</w:t>
      </w:r>
      <w:r w:rsidRPr="00D8261A">
        <w:t xml:space="preserve"> dispatch of EIM Participating Resources. Similarly, to the </w:t>
      </w:r>
      <w:r w:rsidRPr="00D8261A">
        <w:lastRenderedPageBreak/>
        <w:t>RTUC allocation, the 5</w:t>
      </w:r>
      <w:r w:rsidR="00BA7FCD">
        <w:t>-</w:t>
      </w:r>
      <w:r w:rsidRPr="00D8261A">
        <w:t>min</w:t>
      </w:r>
      <w:r w:rsidR="00BA7FCD">
        <w:t>ute</w:t>
      </w:r>
      <w:r w:rsidRPr="00D8261A">
        <w:t xml:space="preserve"> allocation considers the </w:t>
      </w:r>
      <w:r w:rsidRPr="00D8261A">
        <w:rPr>
          <w:u w:val="single"/>
        </w:rPr>
        <w:t>entire</w:t>
      </w:r>
      <w:r w:rsidRPr="00D8261A">
        <w:t xml:space="preserve"> 5</w:t>
      </w:r>
      <w:r w:rsidR="00BA7FCD">
        <w:t>-</w:t>
      </w:r>
      <w:r w:rsidRPr="00D8261A">
        <w:t>min</w:t>
      </w:r>
      <w:r w:rsidR="00BA7FCD">
        <w:t>ute</w:t>
      </w:r>
      <w:r w:rsidRPr="00D8261A">
        <w:t xml:space="preserve"> dispatch and not only the incremental portion above the 15</w:t>
      </w:r>
      <w:r w:rsidR="00BA7FCD">
        <w:t>-</w:t>
      </w:r>
      <w:r w:rsidRPr="00D8261A">
        <w:t>min</w:t>
      </w:r>
      <w:r w:rsidR="00BA7FCD">
        <w:t>ute</w:t>
      </w:r>
      <w:r w:rsidRPr="00D8261A">
        <w:t xml:space="preserve"> schedule or the base schedule. However, the settlement for the 5</w:t>
      </w:r>
      <w:r w:rsidR="00BA7FCD">
        <w:t>-</w:t>
      </w:r>
      <w:r w:rsidRPr="00D8261A">
        <w:t>min</w:t>
      </w:r>
      <w:r w:rsidR="00BA7FCD">
        <w:t>ute</w:t>
      </w:r>
      <w:r w:rsidRPr="00D8261A">
        <w:t xml:space="preserve"> GHG compliance revenue at the 5</w:t>
      </w:r>
      <w:r w:rsidR="00BA7FCD">
        <w:t>-</w:t>
      </w:r>
      <w:r w:rsidRPr="00D8261A">
        <w:t>min</w:t>
      </w:r>
      <w:r w:rsidR="00BA7FCD">
        <w:t>ute</w:t>
      </w:r>
      <w:r w:rsidRPr="00D8261A">
        <w:t xml:space="preserve"> marginal GHG compliance price is for the algebraic deviation of the imbalance energy export allocation between the 5</w:t>
      </w:r>
      <w:r w:rsidR="00BA7FCD">
        <w:t>-</w:t>
      </w:r>
      <w:r w:rsidRPr="00D8261A">
        <w:t>min</w:t>
      </w:r>
      <w:r w:rsidR="00BA7FCD">
        <w:t>ute</w:t>
      </w:r>
      <w:r w:rsidRPr="00D8261A">
        <w:t xml:space="preserve"> and the 15</w:t>
      </w:r>
      <w:r w:rsidR="00BA7FCD">
        <w:t>-</w:t>
      </w:r>
      <w:r w:rsidRPr="00D8261A">
        <w:t>min</w:t>
      </w:r>
      <w:r w:rsidR="00BA7FCD">
        <w:t>ute</w:t>
      </w:r>
      <w:r w:rsidRPr="00D8261A">
        <w:t xml:space="preserve"> quantities. If the 5</w:t>
      </w:r>
      <w:r w:rsidR="00BA7FCD">
        <w:t>-</w:t>
      </w:r>
      <w:r w:rsidRPr="00D8261A">
        <w:t>min</w:t>
      </w:r>
      <w:r w:rsidR="00BA7FCD">
        <w:t>ute</w:t>
      </w:r>
      <w:r w:rsidRPr="00D8261A">
        <w:t xml:space="preserve"> allocation is lower than the 15</w:t>
      </w:r>
      <w:r w:rsidR="009D57CA">
        <w:t>-</w:t>
      </w:r>
      <w:r w:rsidRPr="00831D03">
        <w:t>min</w:t>
      </w:r>
      <w:r w:rsidR="009D57CA">
        <w:t>ute</w:t>
      </w:r>
      <w:r w:rsidRPr="00831D03">
        <w:t xml:space="preserve"> allocation, the participant will buy back the difference at the 5</w:t>
      </w:r>
      <w:r w:rsidR="009D57CA">
        <w:t>-</w:t>
      </w:r>
      <w:r w:rsidRPr="00831D03">
        <w:t>min</w:t>
      </w:r>
      <w:r w:rsidR="009D57CA">
        <w:t>ute</w:t>
      </w:r>
      <w:r w:rsidRPr="00831D03">
        <w:t xml:space="preserve"> marginal GHG compliance price. Nevertheless, since the imbalance energy export allocation is optimally determined in both RTUC and RTD based on the GHG compliance bids, the net settlement will not result in a financial loss. The participant will be required to report to CARB only the 5</w:t>
      </w:r>
      <w:r w:rsidR="009D57CA">
        <w:t>-</w:t>
      </w:r>
      <w:r w:rsidRPr="00831D03">
        <w:t>min</w:t>
      </w:r>
      <w:r w:rsidR="009D57CA">
        <w:t>ute</w:t>
      </w:r>
      <w:r w:rsidRPr="00831D03">
        <w:t xml:space="preserve"> imbalance energy export allocations from RTD, for which they may need to acquire emission credits.</w:t>
      </w:r>
    </w:p>
    <w:p w14:paraId="74285E43" w14:textId="77777777" w:rsidR="00DB39CD" w:rsidRDefault="00DB39CD" w:rsidP="00C33762">
      <w:pPr>
        <w:pStyle w:val="Heading5"/>
      </w:pPr>
      <w:r>
        <w:t>Examples</w:t>
      </w:r>
    </w:p>
    <w:p w14:paraId="4BB534BD" w14:textId="77777777" w:rsidR="009D57CA" w:rsidRDefault="00DB39CD" w:rsidP="00877DDB">
      <w:pPr>
        <w:pStyle w:val="BPM"/>
      </w:pPr>
      <w:r w:rsidRPr="00D8261A">
        <w:t>The following examples show the application of this method</w:t>
      </w:r>
      <w:r w:rsidR="00FC6F91">
        <w:t>:</w:t>
      </w:r>
    </w:p>
    <w:p w14:paraId="01B50F01" w14:textId="77777777" w:rsidR="00DB39CD" w:rsidRDefault="00DB39CD" w:rsidP="00DB39CD">
      <w:pPr>
        <w:pStyle w:val="Paragraph"/>
        <w:rPr>
          <w:rFonts w:ascii="Arial" w:hAnsi="Arial" w:cs="Arial"/>
        </w:rPr>
      </w:pPr>
    </w:p>
    <w:p w14:paraId="1A0D52C3" w14:textId="77777777" w:rsidR="00FC6F91" w:rsidRPr="00877DDB" w:rsidRDefault="00FC6F91" w:rsidP="00877DDB">
      <w:pPr>
        <w:pStyle w:val="Heading5"/>
        <w:numPr>
          <w:ilvl w:val="0"/>
          <w:numId w:val="0"/>
        </w:numPr>
        <w:ind w:left="1080" w:hanging="1080"/>
        <w:rPr>
          <w:rFonts w:ascii="Arial" w:hAnsi="Arial" w:cs="Arial"/>
        </w:rPr>
      </w:pPr>
      <w:r w:rsidRPr="00877DDB">
        <w:rPr>
          <w:rFonts w:ascii="Arial" w:hAnsi="Arial" w:cs="Arial"/>
        </w:rPr>
        <w:t>Example 1</w:t>
      </w:r>
    </w:p>
    <w:p w14:paraId="0C2CBB91" w14:textId="77777777" w:rsidR="00FC6F91" w:rsidRDefault="00DB39CD" w:rsidP="00877DDB">
      <w:pPr>
        <w:pStyle w:val="BPM"/>
      </w:pPr>
      <w:r w:rsidRPr="00FC6F91">
        <w:t>One generator and a load are in the CAISO, and two generators and a load are in the EIM Entity BAA, as shown in the figure below.</w:t>
      </w:r>
    </w:p>
    <w:p w14:paraId="2B24610D" w14:textId="77777777" w:rsidR="00DB39CD" w:rsidRPr="00FC6F91" w:rsidRDefault="00DB39CD" w:rsidP="00D8261A">
      <w:r w:rsidRPr="00FC6F91">
        <w:t xml:space="preserve"> </w:t>
      </w:r>
    </w:p>
    <w:p w14:paraId="2DABEC1E" w14:textId="77777777" w:rsidR="00DB39CD" w:rsidRDefault="00DB39CD" w:rsidP="00DB39CD">
      <w:pPr>
        <w:pStyle w:val="Figure"/>
      </w:pPr>
      <w:r>
        <w:rPr>
          <w:noProof/>
        </w:rPr>
        <w:lastRenderedPageBreak/>
        <mc:AlternateContent>
          <mc:Choice Requires="wpc">
            <w:drawing>
              <wp:inline distT="0" distB="0" distL="0" distR="0" wp14:anchorId="1E609993" wp14:editId="7AF05831">
                <wp:extent cx="5943600" cy="2707640"/>
                <wp:effectExtent l="9525"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2"/>
                        <wps:cNvSpPr>
                          <a:spLocks noChangeArrowheads="1"/>
                        </wps:cNvSpPr>
                        <wps:spPr bwMode="auto">
                          <a:xfrm>
                            <a:off x="0" y="24100"/>
                            <a:ext cx="2629200" cy="2628639"/>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9888D02" w14:textId="77777777" w:rsidR="005C71E4" w:rsidRDefault="005C71E4" w:rsidP="00DB39CD">
                              <w:pPr>
                                <w:jc w:val="center"/>
                                <w:rPr>
                                  <w:color w:val="000000" w:themeColor="text1"/>
                                </w:rPr>
                              </w:pPr>
                              <w:r>
                                <w:rPr>
                                  <w:color w:val="000000" w:themeColor="text1"/>
                                </w:rPr>
                                <w:t>CAISO</w:t>
                              </w:r>
                            </w:p>
                          </w:txbxContent>
                        </wps:txbx>
                        <wps:bodyPr rot="0" vert="horz" wrap="square" lIns="91440" tIns="45720" rIns="91440" bIns="45720" anchor="ctr" anchorCtr="0" upright="1">
                          <a:noAutofit/>
                        </wps:bodyPr>
                      </wps:wsp>
                      <wps:wsp>
                        <wps:cNvPr id="4" name="Oval 3"/>
                        <wps:cNvSpPr>
                          <a:spLocks noChangeArrowheads="1"/>
                        </wps:cNvSpPr>
                        <wps:spPr bwMode="auto">
                          <a:xfrm>
                            <a:off x="3306400" y="24100"/>
                            <a:ext cx="2629200" cy="2628939"/>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0FA9A8B3" w14:textId="77777777" w:rsidR="005C71E4" w:rsidRDefault="005C71E4" w:rsidP="00DB39CD">
                              <w:pPr>
                                <w:jc w:val="center"/>
                                <w:rPr>
                                  <w:vanish/>
                                  <w:color w:val="000000" w:themeColor="text1"/>
                                </w:rPr>
                              </w:pPr>
                              <w:r>
                                <w:rPr>
                                  <w:vanish/>
                                  <w:color w:val="000000" w:themeColor="text1"/>
                                </w:rPr>
                                <w:t>Gree)ationl solution is as follows:</w:t>
                              </w:r>
                            </w:p>
                            <w:p w14:paraId="7AB99026" w14:textId="77777777" w:rsidR="005C71E4" w:rsidRDefault="005C71E4" w:rsidP="00DB39CD">
                              <w:pPr>
                                <w:jc w:val="center"/>
                                <w:rPr>
                                  <w:color w:val="000000" w:themeColor="text1"/>
                                </w:rPr>
                              </w:pPr>
                              <w:r>
                                <w:rPr>
                                  <w:vanish/>
                                  <w:color w:val="000000" w:themeColor="text1"/>
                                </w:rPr>
                                <w:t xml:space="preserve"> EIM Entity BAAa</w:t>
                              </w:r>
                              <w:r>
                                <w:rPr>
                                  <w:color w:val="000000" w:themeColor="text1"/>
                                </w:rPr>
                                <w:t>EIM Entity BAA</w:t>
                              </w:r>
                            </w:p>
                          </w:txbxContent>
                        </wps:txbx>
                        <wps:bodyPr rot="0" vert="horz" wrap="square" lIns="91440" tIns="45720" rIns="91440" bIns="45720" anchor="ctr" anchorCtr="0" upright="1">
                          <a:noAutofit/>
                        </wps:bodyPr>
                      </wps:wsp>
                      <wps:wsp>
                        <wps:cNvPr id="5" name="Straight Connector 4"/>
                        <wps:cNvCnPr/>
                        <wps:spPr bwMode="auto">
                          <a:xfrm flipH="1">
                            <a:off x="2451700" y="1316519"/>
                            <a:ext cx="10287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Straight Connector 5"/>
                        <wps:cNvCnPr/>
                        <wps:spPr bwMode="auto">
                          <a:xfrm flipH="1">
                            <a:off x="1994500" y="387406"/>
                            <a:ext cx="19431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6"/>
                        <wps:cNvCnPr/>
                        <wps:spPr bwMode="auto">
                          <a:xfrm flipH="1">
                            <a:off x="1994500" y="2245733"/>
                            <a:ext cx="19431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cNvPr id="8" name="Group 22"/>
                        <wpg:cNvGrpSpPr>
                          <a:grpSpLocks/>
                        </wpg:cNvGrpSpPr>
                        <wpg:grpSpPr bwMode="auto">
                          <a:xfrm>
                            <a:off x="508600" y="574008"/>
                            <a:ext cx="689600" cy="457207"/>
                            <a:chOff x="5086" y="3876"/>
                            <a:chExt cx="6896" cy="4572"/>
                          </a:xfrm>
                        </wpg:grpSpPr>
                        <wps:wsp>
                          <wps:cNvPr id="9" name="Oval 7"/>
                          <wps:cNvSpPr>
                            <a:spLocks noChangeArrowheads="1"/>
                          </wps:cNvSpPr>
                          <wps:spPr bwMode="auto">
                            <a:xfrm>
                              <a:off x="5086" y="3876"/>
                              <a:ext cx="4572" cy="4572"/>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0106C6C2" w14:textId="77777777" w:rsidR="005C71E4" w:rsidRDefault="005C71E4" w:rsidP="00DB39CD">
                                <w:pPr>
                                  <w:jc w:val="center"/>
                                  <w:rPr>
                                    <w:color w:val="000000" w:themeColor="text1"/>
                                    <w:vertAlign w:val="subscript"/>
                                  </w:rPr>
                                </w:pPr>
                                <w:r>
                                  <w:rPr>
                                    <w:color w:val="000000" w:themeColor="text1"/>
                                  </w:rPr>
                                  <w:t>G</w:t>
                                </w:r>
                                <w:r>
                                  <w:rPr>
                                    <w:color w:val="000000" w:themeColor="text1"/>
                                    <w:vertAlign w:val="subscript"/>
                                  </w:rPr>
                                  <w:t>1</w:t>
                                </w:r>
                              </w:p>
                            </w:txbxContent>
                          </wps:txbx>
                          <wps:bodyPr rot="0" vert="horz" wrap="square" lIns="0" tIns="45720" rIns="0" bIns="45720" anchor="ctr" anchorCtr="0" upright="1">
                            <a:noAutofit/>
                          </wps:bodyPr>
                        </wps:wsp>
                        <wps:wsp>
                          <wps:cNvPr id="10" name="Straight Connector 8"/>
                          <wps:cNvCnPr/>
                          <wps:spPr bwMode="auto">
                            <a:xfrm flipV="1">
                              <a:off x="9658" y="6161"/>
                              <a:ext cx="2286" cy="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Straight Connector 9"/>
                          <wps:cNvCnPr/>
                          <wps:spPr bwMode="auto">
                            <a:xfrm>
                              <a:off x="11982" y="3876"/>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wgp>
                        <wpg:cNvPr id="12" name="Group 35"/>
                        <wpg:cNvGrpSpPr>
                          <a:grpSpLocks/>
                        </wpg:cNvGrpSpPr>
                        <wpg:grpSpPr bwMode="auto">
                          <a:xfrm>
                            <a:off x="4846300" y="574008"/>
                            <a:ext cx="691500" cy="457207"/>
                            <a:chOff x="48463" y="5740"/>
                            <a:chExt cx="6915" cy="4572"/>
                          </a:xfrm>
                        </wpg:grpSpPr>
                        <wps:wsp>
                          <wps:cNvPr id="13" name="Oval 10"/>
                          <wps:cNvSpPr>
                            <a:spLocks noChangeArrowheads="1"/>
                          </wps:cNvSpPr>
                          <wps:spPr bwMode="auto">
                            <a:xfrm>
                              <a:off x="50806" y="5740"/>
                              <a:ext cx="4572" cy="4572"/>
                            </a:xfrm>
                            <a:prstGeom prst="ellipse">
                              <a:avLst/>
                            </a:pr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txbx>
                            <w:txbxContent>
                              <w:p w14:paraId="349A0F22" w14:textId="77777777" w:rsidR="005C71E4" w:rsidRDefault="005C71E4" w:rsidP="00DB39CD">
                                <w:pPr>
                                  <w:jc w:val="center"/>
                                  <w:rPr>
                                    <w:color w:val="008000"/>
                                    <w:vertAlign w:val="subscript"/>
                                  </w:rPr>
                                </w:pPr>
                                <w:r>
                                  <w:rPr>
                                    <w:color w:val="008000"/>
                                  </w:rPr>
                                  <w:t>G</w:t>
                                </w:r>
                                <w:r>
                                  <w:rPr>
                                    <w:color w:val="008000"/>
                                    <w:vertAlign w:val="subscript"/>
                                  </w:rPr>
                                  <w:t>2</w:t>
                                </w:r>
                              </w:p>
                            </w:txbxContent>
                          </wps:txbx>
                          <wps:bodyPr rot="0" vert="horz" wrap="square" lIns="0" tIns="45720" rIns="0" bIns="45720" anchor="ctr" anchorCtr="0" upright="1">
                            <a:noAutofit/>
                          </wps:bodyPr>
                        </wps:wsp>
                        <wps:wsp>
                          <wps:cNvPr id="14" name="Straight Connector 11"/>
                          <wps:cNvCnPr/>
                          <wps:spPr bwMode="auto">
                            <a:xfrm flipV="1">
                              <a:off x="48463" y="8049"/>
                              <a:ext cx="2286" cy="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12"/>
                          <wps:cNvCnPr/>
                          <wps:spPr bwMode="auto">
                            <a:xfrm>
                              <a:off x="48463" y="5740"/>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16" name="Oval 13"/>
                        <wps:cNvSpPr>
                          <a:spLocks noChangeArrowheads="1"/>
                        </wps:cNvSpPr>
                        <wps:spPr bwMode="auto">
                          <a:xfrm>
                            <a:off x="5086300" y="1602724"/>
                            <a:ext cx="457200" cy="457207"/>
                          </a:xfrm>
                          <a:prstGeom prst="ellipse">
                            <a:avLst/>
                          </a:prstGeom>
                          <a:noFill/>
                          <a:ln w="12700">
                            <a:solidFill>
                              <a:srgbClr val="663300"/>
                            </a:solidFill>
                            <a:round/>
                            <a:headEnd/>
                            <a:tailEnd/>
                          </a:ln>
                          <a:extLst>
                            <a:ext uri="{909E8E84-426E-40DD-AFC4-6F175D3DCCD1}">
                              <a14:hiddenFill xmlns:a14="http://schemas.microsoft.com/office/drawing/2010/main">
                                <a:solidFill>
                                  <a:srgbClr val="FFFFFF"/>
                                </a:solidFill>
                              </a14:hiddenFill>
                            </a:ext>
                          </a:extLst>
                        </wps:spPr>
                        <wps:txbx>
                          <w:txbxContent>
                            <w:p w14:paraId="5645D232" w14:textId="77777777" w:rsidR="005C71E4" w:rsidRDefault="005C71E4" w:rsidP="00DB39CD">
                              <w:pPr>
                                <w:jc w:val="center"/>
                                <w:rPr>
                                  <w:color w:val="663300"/>
                                  <w:vertAlign w:val="subscript"/>
                                </w:rPr>
                              </w:pPr>
                              <w:r>
                                <w:rPr>
                                  <w:color w:val="663300"/>
                                </w:rPr>
                                <w:t>G</w:t>
                              </w:r>
                              <w:r>
                                <w:rPr>
                                  <w:color w:val="663300"/>
                                  <w:vertAlign w:val="subscript"/>
                                </w:rPr>
                                <w:t>3</w:t>
                              </w:r>
                            </w:p>
                          </w:txbxContent>
                        </wps:txbx>
                        <wps:bodyPr rot="0" vert="horz" wrap="square" lIns="0" tIns="45720" rIns="0" bIns="45720" anchor="ctr" anchorCtr="0" upright="1">
                          <a:noAutofit/>
                        </wps:bodyPr>
                      </wps:wsp>
                      <wps:wsp>
                        <wps:cNvPr id="17" name="Straight Connector 14"/>
                        <wps:cNvCnPr/>
                        <wps:spPr bwMode="auto">
                          <a:xfrm flipV="1">
                            <a:off x="4852000" y="1831227"/>
                            <a:ext cx="2286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15"/>
                        <wps:cNvCnPr/>
                        <wps:spPr bwMode="auto">
                          <a:xfrm>
                            <a:off x="4852000" y="1602724"/>
                            <a:ext cx="0" cy="457207"/>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cNvPr id="19" name="Group 24"/>
                        <wpg:cNvGrpSpPr>
                          <a:grpSpLocks/>
                        </wpg:cNvGrpSpPr>
                        <wpg:grpSpPr bwMode="auto">
                          <a:xfrm>
                            <a:off x="622900" y="1510322"/>
                            <a:ext cx="457200" cy="549608"/>
                            <a:chOff x="13087" y="14722"/>
                            <a:chExt cx="4572" cy="5496"/>
                          </a:xfrm>
                        </wpg:grpSpPr>
                        <wps:wsp>
                          <wps:cNvPr id="20" name="Straight Connector 16"/>
                          <wps:cNvCnPr/>
                          <wps:spPr bwMode="auto">
                            <a:xfrm>
                              <a:off x="13087" y="15646"/>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Straight Arrow Connector 17"/>
                          <wps:cNvCnPr>
                            <a:cxnSpLocks noChangeShapeType="1"/>
                          </wps:cNvCnPr>
                          <wps:spPr bwMode="auto">
                            <a:xfrm>
                              <a:off x="13087" y="17954"/>
                              <a:ext cx="3429"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Text Box 18"/>
                          <wps:cNvSpPr txBox="1">
                            <a:spLocks noChangeArrowheads="1"/>
                          </wps:cNvSpPr>
                          <wps:spPr bwMode="auto">
                            <a:xfrm>
                              <a:off x="13087" y="14722"/>
                              <a:ext cx="4572"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38A88" w14:textId="77777777" w:rsidR="005C71E4" w:rsidRDefault="005C71E4" w:rsidP="00DB39CD">
                                <w:pPr>
                                  <w:rPr>
                                    <w:vertAlign w:val="subscript"/>
                                  </w:rPr>
                                </w:pPr>
                                <w:r>
                                  <w:t>L</w:t>
                                </w:r>
                                <w:r>
                                  <w:rPr>
                                    <w:vertAlign w:val="subscript"/>
                                  </w:rPr>
                                  <w:t>1</w:t>
                                </w:r>
                              </w:p>
                            </w:txbxContent>
                          </wps:txbx>
                          <wps:bodyPr rot="0" vert="horz" wrap="square" lIns="91440" tIns="45720" rIns="91440" bIns="45720" anchor="t" anchorCtr="0" upright="1">
                            <a:noAutofit/>
                          </wps:bodyPr>
                        </wps:wsp>
                      </wpg:wgp>
                      <wpg:wgp>
                        <wpg:cNvPr id="23" name="Group 25"/>
                        <wpg:cNvGrpSpPr>
                          <a:grpSpLocks/>
                        </wpg:cNvGrpSpPr>
                        <wpg:grpSpPr bwMode="auto">
                          <a:xfrm>
                            <a:off x="3823300" y="1510322"/>
                            <a:ext cx="457200" cy="549608"/>
                            <a:chOff x="14230" y="24340"/>
                            <a:chExt cx="4572" cy="5496"/>
                          </a:xfrm>
                        </wpg:grpSpPr>
                        <wps:wsp>
                          <wps:cNvPr id="24" name="Straight Connector 19"/>
                          <wps:cNvCnPr/>
                          <wps:spPr bwMode="auto">
                            <a:xfrm>
                              <a:off x="14230" y="25265"/>
                              <a:ext cx="0" cy="4571"/>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Straight Arrow Connector 20"/>
                          <wps:cNvCnPr>
                            <a:cxnSpLocks noChangeShapeType="1"/>
                          </wps:cNvCnPr>
                          <wps:spPr bwMode="auto">
                            <a:xfrm>
                              <a:off x="14230" y="27572"/>
                              <a:ext cx="3429"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4230" y="24340"/>
                              <a:ext cx="4572"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F5974" w14:textId="77777777" w:rsidR="005C71E4" w:rsidRDefault="005C71E4" w:rsidP="00DB39CD">
                                <w:pPr>
                                  <w:rPr>
                                    <w:vertAlign w:val="subscript"/>
                                  </w:rPr>
                                </w:pPr>
                                <w:r>
                                  <w:t>L</w:t>
                                </w:r>
                                <w:r>
                                  <w:rPr>
                                    <w:vertAlign w:val="subscript"/>
                                  </w:rPr>
                                  <w:t>2</w:t>
                                </w:r>
                              </w:p>
                            </w:txbxContent>
                          </wps:txbx>
                          <wps:bodyPr rot="0" vert="horz" wrap="square" lIns="91440" tIns="45720" rIns="91440" bIns="45720" anchor="t" anchorCtr="0" upright="1">
                            <a:noAutofit/>
                          </wps:bodyPr>
                        </wps:wsp>
                      </wpg:wgp>
                      <wps:wsp>
                        <wps:cNvPr id="27" name="Arc 27"/>
                        <wps:cNvSpPr>
                          <a:spLocks/>
                        </wps:cNvSpPr>
                        <wps:spPr bwMode="auto">
                          <a:xfrm flipH="1" flipV="1">
                            <a:off x="3023200" y="2600"/>
                            <a:ext cx="1485900" cy="2628539"/>
                          </a:xfrm>
                          <a:custGeom>
                            <a:avLst/>
                            <a:gdLst>
                              <a:gd name="T0" fmla="*/ 1060983 w 1485900"/>
                              <a:gd name="T1" fmla="*/ 126502 h 2628519"/>
                              <a:gd name="T2" fmla="*/ 1485873 w 1485900"/>
                              <a:gd name="T3" fmla="*/ 1302937 h 2628519"/>
                              <a:gd name="T4" fmla="*/ 1091861 w 1485900"/>
                              <a:gd name="T5" fmla="*/ 2474573 h 2628519"/>
                              <a:gd name="T6" fmla="*/ 0 60000 65536"/>
                              <a:gd name="T7" fmla="*/ 0 60000 65536"/>
                              <a:gd name="T8" fmla="*/ 0 60000 65536"/>
                            </a:gdLst>
                            <a:ahLst/>
                            <a:cxnLst>
                              <a:cxn ang="T6">
                                <a:pos x="T0" y="T1"/>
                              </a:cxn>
                              <a:cxn ang="T7">
                                <a:pos x="T2" y="T3"/>
                              </a:cxn>
                              <a:cxn ang="T8">
                                <a:pos x="T4" y="T5"/>
                              </a:cxn>
                            </a:cxnLst>
                            <a:rect l="0" t="0" r="r" b="b"/>
                            <a:pathLst>
                              <a:path w="1485900" h="2628519" stroke="0">
                                <a:moveTo>
                                  <a:pt x="1060983" y="126502"/>
                                </a:moveTo>
                                <a:cubicBezTo>
                                  <a:pt x="1318375" y="342168"/>
                                  <a:pt x="1483419" y="799143"/>
                                  <a:pt x="1485873" y="1302937"/>
                                </a:cubicBezTo>
                                <a:cubicBezTo>
                                  <a:pt x="1488259" y="1792871"/>
                                  <a:pt x="1336388" y="2244478"/>
                                  <a:pt x="1091861" y="2474573"/>
                                </a:cubicBezTo>
                                <a:lnTo>
                                  <a:pt x="742950" y="1314260"/>
                                </a:lnTo>
                                <a:lnTo>
                                  <a:pt x="1060983" y="126502"/>
                                </a:lnTo>
                                <a:close/>
                              </a:path>
                              <a:path w="1485900" h="2628519" fill="none">
                                <a:moveTo>
                                  <a:pt x="1060983" y="126502"/>
                                </a:moveTo>
                                <a:cubicBezTo>
                                  <a:pt x="1318375" y="342168"/>
                                  <a:pt x="1483419" y="799143"/>
                                  <a:pt x="1485873" y="1302937"/>
                                </a:cubicBezTo>
                                <a:cubicBezTo>
                                  <a:pt x="1488259" y="1792871"/>
                                  <a:pt x="1336388" y="2244478"/>
                                  <a:pt x="1091861" y="2474573"/>
                                </a:cubicBezTo>
                              </a:path>
                            </a:pathLst>
                          </a:custGeom>
                          <a:noFill/>
                          <a:ln w="9525">
                            <a:solidFill>
                              <a:schemeClr val="tx1">
                                <a:lumMod val="100000"/>
                                <a:lumOff val="0"/>
                              </a:schemeClr>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Text Box 21"/>
                        <wps:cNvSpPr txBox="1">
                          <a:spLocks noChangeArrowheads="1"/>
                        </wps:cNvSpPr>
                        <wps:spPr bwMode="auto">
                          <a:xfrm>
                            <a:off x="2579300" y="503107"/>
                            <a:ext cx="457200" cy="32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633E66" w14:textId="77777777" w:rsidR="005C71E4" w:rsidRDefault="005C71E4" w:rsidP="00DB39CD">
                              <w:pPr>
                                <w:pStyle w:val="NormalWeb"/>
                                <w:spacing w:before="0" w:beforeAutospacing="0" w:after="0" w:afterAutospacing="0"/>
                                <w:jc w:val="right"/>
                                <w:rPr>
                                  <w:i/>
                                </w:rPr>
                              </w:pPr>
                              <w:r>
                                <w:rPr>
                                  <w:rFonts w:eastAsia="Times New Roman"/>
                                  <w:i/>
                                  <w:kern w:val="16"/>
                                </w:rPr>
                                <w:t>E</w:t>
                              </w:r>
                            </w:p>
                          </w:txbxContent>
                        </wps:txbx>
                        <wps:bodyPr rot="0" vert="horz" wrap="square" lIns="91440" tIns="45720" rIns="91440" bIns="45720" anchor="t" anchorCtr="0" upright="1">
                          <a:noAutofit/>
                        </wps:bodyPr>
                      </wps:wsp>
                      <wps:wsp>
                        <wps:cNvPr id="29" name="Straight Arrow Connector 29"/>
                        <wps:cNvCnPr>
                          <a:cxnSpLocks noChangeShapeType="1"/>
                        </wps:cNvCnPr>
                        <wps:spPr bwMode="auto">
                          <a:xfrm flipH="1">
                            <a:off x="2680300" y="819312"/>
                            <a:ext cx="571500" cy="0"/>
                          </a:xfrm>
                          <a:prstGeom prst="straightConnector1">
                            <a:avLst/>
                          </a:prstGeom>
                          <a:noFill/>
                          <a:ln w="12700" cmpd="dbl">
                            <a:solidFill>
                              <a:schemeClr val="tx1">
                                <a:lumMod val="100000"/>
                                <a:lumOff val="0"/>
                              </a:schemeClr>
                            </a:solidFill>
                            <a:round/>
                            <a:headEnd/>
                            <a:tailEnd type="stealth"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1E609993" id="Canvas 30" o:spid="_x0000_s1026" editas="canvas" style="width:468pt;height:213.2pt;mso-position-horizontal-relative:char;mso-position-vertical-relative:line" coordsize="59436,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">
                <v:shape id="_x0000_s1027" type="#_x0000_t75" style="position:absolute;width:59436;height:27076;visibility:visible;mso-wrap-style:square">
                  <v:fill o:detectmouseclick="t"/>
                  <v:path o:connecttype="none"/>
                </v:shape>
                <v:oval id="Oval 2" o:spid="_x0000_s1028" style="position:absolute;top:241;width:26292;height:2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Ec8EA&#10;AADaAAAADwAAAGRycy9kb3ducmV2LnhtbESP3YrCMBSE74V9h3AWvJFtooJI1yiy4K5e+vMAh+bY&#10;ljYnpcn25+2NIHg5zMw3zGY32Fp01PrSsYZ5okAQZ86UnGu4XQ9faxA+IBusHZOGkTzsth+TDabG&#10;9Xym7hJyESHsU9RQhNCkUvqsIIs+cQ1x9O6utRiibHNpWuwj3NZyodRKWiw5LhTY0E9BWXX5txq6&#10;38WRZiOOfb5uRnWe/Z0qtdR6+jnsv0EEGsI7/GofjYYlPK/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gBHPBAAAA2gAAAA8AAAAAAAAAAAAAAAAAmAIAAGRycy9kb3du&#10;cmV2LnhtbFBLBQYAAAAABAAEAPUAAACGAwAAAAA=&#10;" filled="f" strokecolor="black [3213]" strokeweight="1pt">
                  <v:textbox>
                    <w:txbxContent>
                      <w:p w14:paraId="39888D02" w14:textId="77777777" w:rsidR="005C71E4" w:rsidRDefault="005C71E4" w:rsidP="00DB39CD">
                        <w:pPr>
                          <w:jc w:val="center"/>
                          <w:rPr>
                            <w:color w:val="000000" w:themeColor="text1"/>
                          </w:rPr>
                        </w:pPr>
                        <w:r>
                          <w:rPr>
                            <w:color w:val="000000" w:themeColor="text1"/>
                          </w:rPr>
                          <w:t>CAISO</w:t>
                        </w:r>
                      </w:p>
                    </w:txbxContent>
                  </v:textbox>
                </v:oval>
                <v:oval id="Oval 3" o:spid="_x0000_s1029" style="position:absolute;left:33064;top:241;width:26292;height:2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cB8EA&#10;AADaAAAADwAAAGRycy9kb3ducmV2LnhtbESP3YrCMBSE74V9h3AWvJE18QeRapRlYVe9tO4DHJpj&#10;W2xOShP78/ZGELwcZuYbZrvvbSVaanzpWMNsqkAQZ86UnGv4v/x+rUH4gGywckwaBvKw332MtpgY&#10;1/GZ2jTkIkLYJ6ihCKFOpPRZQRb91NXE0bu6xmKIssmlabCLcFvJuVIrabHkuFBgTT8FZbf0bjW0&#10;f/MjTQYcunxdD+o8OZxuaqH1+LP/3oAI1Id3+NU+Gg1LeF6JN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nAfBAAAA2gAAAA8AAAAAAAAAAAAAAAAAmAIAAGRycy9kb3du&#10;cmV2LnhtbFBLBQYAAAAABAAEAPUAAACGAwAAAAA=&#10;" filled="f" strokecolor="black [3213]" strokeweight="1pt">
                  <v:textbox>
                    <w:txbxContent>
                      <w:p w14:paraId="0FA9A8B3" w14:textId="77777777" w:rsidR="005C71E4" w:rsidRDefault="005C71E4" w:rsidP="00DB39CD">
                        <w:pPr>
                          <w:jc w:val="center"/>
                          <w:rPr>
                            <w:vanish/>
                            <w:color w:val="000000" w:themeColor="text1"/>
                          </w:rPr>
                        </w:pPr>
                        <w:r>
                          <w:rPr>
                            <w:vanish/>
                            <w:color w:val="000000" w:themeColor="text1"/>
                          </w:rPr>
                          <w:t>Gree)ationl solution is as follows:</w:t>
                        </w:r>
                      </w:p>
                      <w:p w14:paraId="7AB99026" w14:textId="77777777" w:rsidR="005C71E4" w:rsidRDefault="005C71E4" w:rsidP="00DB39CD">
                        <w:pPr>
                          <w:jc w:val="center"/>
                          <w:rPr>
                            <w:color w:val="000000" w:themeColor="text1"/>
                          </w:rPr>
                        </w:pPr>
                        <w:r>
                          <w:rPr>
                            <w:vanish/>
                            <w:color w:val="000000" w:themeColor="text1"/>
                          </w:rPr>
                          <w:t xml:space="preserve"> EIM Entity BAAa</w:t>
                        </w:r>
                        <w:r>
                          <w:rPr>
                            <w:color w:val="000000" w:themeColor="text1"/>
                          </w:rPr>
                          <w:t>EIM Entity BAA</w:t>
                        </w:r>
                      </w:p>
                    </w:txbxContent>
                  </v:textbox>
                </v:oval>
                <v:line id="Straight Connector 4" o:spid="_x0000_s1030" style="position:absolute;flip:x;visibility:visible;mso-wrap-style:square" from="24517,13165" to="34804,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aBMUAAADaAAAADwAAAGRycy9kb3ducmV2LnhtbESPT2vCQBTE74V+h+UVvDUbBWubukoR&#10;hBKsYJJLb4/syx/Mvk2zW02+fbcgeBxm5jfMejuaTlxocK1lBfMoBkFcWt1yraDI98+vIJxH1thZ&#10;JgUTOdhuHh/WmGh75RNdMl+LAGGXoILG+z6R0pUNGXSR7YmDV9nBoA9yqKUe8BrgppOLOH6RBlsO&#10;Cw32tGuoPGe/RkGav1W7Q/p1nNzP95GqVXxaZoVSs6fx4x2Ep9Hfw7f2p1awhP8r4Qb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6aBMUAAADaAAAADwAAAAAAAAAA&#10;AAAAAAChAgAAZHJzL2Rvd25yZXYueG1sUEsFBgAAAAAEAAQA+QAAAJMDAAAAAA==&#10;" strokecolor="black [3213]" strokeweight="1pt"/>
                <v:line id="Straight Connector 5" o:spid="_x0000_s1031" style="position:absolute;flip:x;visibility:visible;mso-wrap-style:square" from="19945,3874" to="39376,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wEc8IAAADaAAAADwAAAGRycy9kb3ducmV2LnhtbESPT4vCMBTE7wt+h/AEb2uqoKvVKCII&#10;Iqtg9eLt0bz+wealNlHrt98ICx6HmfkNM1+2phIPalxpWcGgH4EgTq0uOVdwPm2+JyCcR9ZYWSYF&#10;L3KwXHS+5hhr++QjPRKfiwBhF6OCwvs6ltKlBRl0fVsTBy+zjUEfZJNL3eAzwE0lh1E0lgZLDgsF&#10;1rQuKL0md6Ngd5pm69/d/vByt8uBsp/oOErOSvW67WoGwlPrP+H/9lYrGMP7Srg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wEc8IAAADaAAAADwAAAAAAAAAAAAAA&#10;AAChAgAAZHJzL2Rvd25yZXYueG1sUEsFBgAAAAAEAAQA+QAAAJADAAAAAA==&#10;" strokecolor="black [3213]" strokeweight="1pt"/>
                <v:line id="Straight Connector 6" o:spid="_x0000_s1032" style="position:absolute;flip:x;visibility:visible;mso-wrap-style:square" from="19945,22457" to="39376,2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h6MIAAADaAAAADwAAAGRycy9kb3ducmV2LnhtbESPT4vCMBTE7wt+h/AEb2uq4KrVKCII&#10;IruC1Yu3R/P6B5uX2kSt334jCB6HmfkNM1+2phJ3alxpWcGgH4EgTq0uOVdwOm6+JyCcR9ZYWSYF&#10;T3KwXHS+5hhr++AD3ROfiwBhF6OCwvs6ltKlBRl0fVsTBy+zjUEfZJNL3eAjwE0lh1H0Iw2WHBYK&#10;rGldUHpJbkbB7jjN1r+7v/3TXc97ysbRYZSclOp129UMhKfWf8Lv9lYrGMPrSr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h6MIAAADaAAAADwAAAAAAAAAAAAAA&#10;AAChAgAAZHJzL2Rvd25yZXYueG1sUEsFBgAAAAAEAAQA+QAAAJADAAAAAA==&#10;" strokecolor="black [3213]" strokeweight="1pt"/>
                <v:group id="Group 22" o:spid="_x0000_s1033" style="position:absolute;left:5086;top:5740;width:6896;height:4572" coordorigin="5086,3876" coordsize="689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 o:spid="_x0000_s1034" style="position:absolute;left:5086;top:3876;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l8EA&#10;AADaAAAADwAAAGRycy9kb3ducmV2LnhtbESPT4vCMBTE74LfITzBm6aKaLdrlEVY9CT4B/b6aJ5J&#10;2eal22S1fnsjCB6HmfkNs1x3rhZXakPlWcFknIEgLr2u2Cg4n75HOYgQkTXWnknBnQKsV/3eEgvt&#10;b3yg6zEakSAcClRgY2wKKUNpyWEY+4Y4eRffOoxJtkbqFm8J7mo5zbK5dFhxWrDY0MZS+Xv8dwq2&#10;Zidn53xu/8xlP5tg5hY/wSk1HHRfnyAidfEdfrV3WsEHPK+k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P5fBAAAA2gAAAA8AAAAAAAAAAAAAAAAAmAIAAGRycy9kb3du&#10;cmV2LnhtbFBLBQYAAAAABAAEAPUAAACGAwAAAAA=&#10;" filled="f" strokecolor="black [3213]" strokeweight="1pt">
                    <v:textbox inset="0,,0">
                      <w:txbxContent>
                        <w:p w14:paraId="0106C6C2" w14:textId="77777777" w:rsidR="005C71E4" w:rsidRDefault="005C71E4" w:rsidP="00DB39CD">
                          <w:pPr>
                            <w:jc w:val="center"/>
                            <w:rPr>
                              <w:color w:val="000000" w:themeColor="text1"/>
                              <w:vertAlign w:val="subscript"/>
                            </w:rPr>
                          </w:pPr>
                          <w:r>
                            <w:rPr>
                              <w:color w:val="000000" w:themeColor="text1"/>
                            </w:rPr>
                            <w:t>G</w:t>
                          </w:r>
                          <w:r>
                            <w:rPr>
                              <w:color w:val="000000" w:themeColor="text1"/>
                              <w:vertAlign w:val="subscript"/>
                            </w:rPr>
                            <w:t>1</w:t>
                          </w:r>
                        </w:p>
                      </w:txbxContent>
                    </v:textbox>
                  </v:oval>
                  <v:line id="Straight Connector 8" o:spid="_x0000_s1035" style="position:absolute;flip:y;visibility:visible;mso-wrap-style:square" from="9658,6161" to="11944,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KhMUAAADbAAAADwAAAGRycy9kb3ducmV2LnhtbESPT2vCQBDF74LfYZlCb7ppoVXTbESE&#10;QpFWMHrxNmQnf2h2Ns1uNX77zqHgbYb35r3fZOvRdepCQ2g9G3iaJ6CIS29brg2cju+zJagQkS12&#10;nsnAjQKs8+kkw9T6Kx/oUsRaSQiHFA00Mfap1qFsyGGY+55YtMoPDqOsQ63tgFcJd51+TpJX7bBl&#10;aWiwp21D5Xfx6wzsjqtq+7n72t/Cz3lP1SI5vBQnYx4fxs0bqEhjvJv/rz+s4Au9/CID6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GKhMUAAADbAAAADwAAAAAAAAAA&#10;AAAAAAChAgAAZHJzL2Rvd25yZXYueG1sUEsFBgAAAAAEAAQA+QAAAJMDAAAAAA==&#10;" strokecolor="black [3213]" strokeweight="1pt"/>
                  <v:line id="Straight Connector 9" o:spid="_x0000_s1036" style="position:absolute;visibility:visible;mso-wrap-style:square" from="11982,3876" to="11982,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kccAAAADbAAAADwAAAGRycy9kb3ducmV2LnhtbERP24rCMBB9F/Yfwgi+aaqwotUosigr&#10;LApWP2BoxqbaTEoTbffvNwuCb3M411muO1uJJzW+dKxgPEpAEOdOl1wouJx3wxkIH5A1Vo5JwS95&#10;WK8+ektMtWv5RM8sFCKGsE9RgQmhTqX0uSGLfuRq4shdXWMxRNgUUjfYxnBbyUmSTKXFkmODwZq+&#10;DOX37GEVzMPlZrb379lP9nluj1NzKG5XrdSg320WIAJ14S1+ufc6zh/D/y/x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iJHHAAAAA2wAAAA8AAAAAAAAAAAAAAAAA&#10;oQIAAGRycy9kb3ducmV2LnhtbFBLBQYAAAAABAAEAPkAAACOAwAAAAA=&#10;" strokecolor="black [3213]" strokeweight="2pt"/>
                </v:group>
                <v:group id="Group 35" o:spid="_x0000_s1037" style="position:absolute;left:48463;top:5740;width:6915;height:4572" coordorigin="48463,5740" coordsize="6915,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0" o:spid="_x0000_s1038" style="position:absolute;left:50806;top:574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ZMAA&#10;AADbAAAADwAAAGRycy9kb3ducmV2LnhtbERPTWvCQBC9C/0Pywje6kZbSohuQiloLT2osfQ8ZMck&#10;NDsbdteY/vtuQfA2j/c562I0nRjI+daygsU8AUFcWd1yreDrtHlMQfiArLGzTAp+yUORP0zWmGl7&#10;5SMNZahFDGGfoYImhD6T0lcNGfRz2xNH7mydwRChq6V2eI3hppPLJHmRBluODQ329NZQ9VNejIIP&#10;79L35PD9XMqhbsP2k3mvWanZdHxdgQg0hrv45t7pOP8J/n+J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d+ZMAAAADbAAAADwAAAAAAAAAAAAAAAACYAgAAZHJzL2Rvd25y&#10;ZXYueG1sUEsFBgAAAAAEAAQA9QAAAIUDAAAAAA==&#10;" filled="f" strokecolor="green" strokeweight="1pt">
                    <v:textbox inset="0,,0">
                      <w:txbxContent>
                        <w:p w14:paraId="349A0F22" w14:textId="77777777" w:rsidR="005C71E4" w:rsidRDefault="005C71E4" w:rsidP="00DB39CD">
                          <w:pPr>
                            <w:jc w:val="center"/>
                            <w:rPr>
                              <w:color w:val="008000"/>
                              <w:vertAlign w:val="subscript"/>
                            </w:rPr>
                          </w:pPr>
                          <w:r>
                            <w:rPr>
                              <w:color w:val="008000"/>
                            </w:rPr>
                            <w:t>G</w:t>
                          </w:r>
                          <w:r>
                            <w:rPr>
                              <w:color w:val="008000"/>
                              <w:vertAlign w:val="subscript"/>
                            </w:rPr>
                            <w:t>2</w:t>
                          </w:r>
                        </w:p>
                      </w:txbxContent>
                    </v:textbox>
                  </v:oval>
                  <v:line id="Straight Connector 11" o:spid="_x0000_s1039" style="position:absolute;flip:y;visibility:visible;mso-wrap-style:square" from="48463,8049" to="50749,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oyHwQAAANsAAAAPAAAAAAAAAAAAAAAA&#10;AKECAABkcnMvZG93bnJldi54bWxQSwUGAAAAAAQABAD5AAAAjwMAAAAA&#10;" strokecolor="black [3213]" strokeweight="1pt"/>
                  <v:line id="Straight Connector 12" o:spid="_x0000_s1040" style="position:absolute;visibility:visible;mso-wrap-style:square" from="48463,5740" to="48463,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icsIAAADbAAAADwAAAGRycy9kb3ducmV2LnhtbERP22rCQBB9L/Qflin4VjctRDS6hiIW&#10;hdKC0Q8YsmM2l50N2dWkf98tFPo2h3OdTT7ZTtxp8LVjBS/zBARx6XTNlYLL+f15CcIHZI2dY1Lw&#10;TR7y7ePDBjPtRj7RvQiViCHsM1RgQugzKX1pyKKfu544clc3WAwRDpXUA44x3HbyNUkW0mLNscFg&#10;TztDZVvcrIJVuDRm3x6WH0V6Hr8W5rNqrlqp2dP0tgYRaAr/4j/3Ucf5Kfz+E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kicsIAAADbAAAADwAAAAAAAAAAAAAA&#10;AAChAgAAZHJzL2Rvd25yZXYueG1sUEsFBgAAAAAEAAQA+QAAAJADAAAAAA==&#10;" strokecolor="black [3213]" strokeweight="2pt"/>
                </v:group>
                <v:oval id="Oval 13" o:spid="_x0000_s1041" style="position:absolute;left:50863;top:1602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Yp74A&#10;AADbAAAADwAAAGRycy9kb3ducmV2LnhtbERPTYvCMBC9L/gfwgje1lTBrlajiCAseFLrfWjGtNpM&#10;SpO19d8bQdjbPN7nrDa9rcWDWl85VjAZJyCIC6crNgry8/57DsIHZI21Y1LwJA+b9eBrhZl2HR/p&#10;cQpGxBD2GSooQ2gyKX1RkkU/dg1x5K6utRgibI3ULXYx3NZymiSptFhxbCixoV1Jxf30ZxU4Y663&#10;c0i2+Q93ad4d9nYxuyg1GvbbJYhAffgXf9y/Os5P4f1LPE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LmKe+AAAA2wAAAA8AAAAAAAAAAAAAAAAAmAIAAGRycy9kb3ducmV2&#10;LnhtbFBLBQYAAAAABAAEAPUAAACDAwAAAAA=&#10;" filled="f" strokecolor="#630" strokeweight="1pt">
                  <v:textbox inset="0,,0">
                    <w:txbxContent>
                      <w:p w14:paraId="5645D232" w14:textId="77777777" w:rsidR="005C71E4" w:rsidRDefault="005C71E4" w:rsidP="00DB39CD">
                        <w:pPr>
                          <w:jc w:val="center"/>
                          <w:rPr>
                            <w:color w:val="663300"/>
                            <w:vertAlign w:val="subscript"/>
                          </w:rPr>
                        </w:pPr>
                        <w:r>
                          <w:rPr>
                            <w:color w:val="663300"/>
                          </w:rPr>
                          <w:t>G</w:t>
                        </w:r>
                        <w:r>
                          <w:rPr>
                            <w:color w:val="663300"/>
                            <w:vertAlign w:val="subscript"/>
                          </w:rPr>
                          <w:t>3</w:t>
                        </w:r>
                      </w:p>
                    </w:txbxContent>
                  </v:textbox>
                </v:oval>
                <v:line id="Straight Connector 14" o:spid="_x0000_s1042" style="position:absolute;flip:y;visibility:visible;mso-wrap-style:square" from="48520,18312" to="50806,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S8MMAAADbAAAADwAAAGRycy9kb3ducmV2LnhtbERPS2vCQBC+C/0PyxR6042FmjZ1DUUo&#10;FNGAiZfehuzkgdnZNLuN8d+7hYK3+fies04n04mRBtdaVrBcRCCIS6tbrhWcis/5KwjnkTV2lknB&#10;lRykm4fZGhNtL3ykMfe1CCHsElTQeN8nUrqyIYNuYXviwFV2MOgDHGqpB7yEcNPJ5yhaSYMth4YG&#10;e9o2VJ7zX6NgV7xV2/3ukF3dz3dGVRwdX/KTUk+P08c7CE+Tv4v/3V86zI/h75dw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YEvDDAAAA2wAAAA8AAAAAAAAAAAAA&#10;AAAAoQIAAGRycy9kb3ducmV2LnhtbFBLBQYAAAAABAAEAPkAAACRAwAAAAA=&#10;" strokecolor="black [3213]" strokeweight="1pt"/>
                <v:line id="Straight Connector 15" o:spid="_x0000_s1043" style="position:absolute;visibility:visible;mso-wrap-style:square" from="48520,16027" to="48520,2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N7M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Y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I3sxAAAANsAAAAPAAAAAAAAAAAA&#10;AAAAAKECAABkcnMvZG93bnJldi54bWxQSwUGAAAAAAQABAD5AAAAkgMAAAAA&#10;" strokecolor="black [3213]" strokeweight="2pt"/>
                <v:group id="Group 24" o:spid="_x0000_s1044" style="position:absolute;left:6229;top:15103;width:4572;height:5496" coordorigin="13087,14722" coordsize="4572,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16" o:spid="_x0000_s1045" style="position:absolute;visibility:visible;mso-wrap-style:square" from="13087,15646" to="13087,2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LV8EAAADbAAAADwAAAGRycy9kb3ducmV2LnhtbERP3WrCMBS+H/gO4QjezVTB0lVjEdlw&#10;MDZY9QEOzbGpbU5KE2339svFYJcf3/+umGwnHjT4xrGC1TIBQVw53XCt4HJ+e85A+ICssXNMCn7I&#10;Q7GfPe0w127kb3qUoRYxhH2OCkwIfS6lrwxZ9EvXE0fu6gaLIcKhlnrAMYbbTq6TJJUWG44NBns6&#10;Gqra8m4VvITLzby2p+yj3JzHr9R81rerVmoxnw5bEIGm8C/+c79rBeu4P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wktXwQAAANsAAAAPAAAAAAAAAAAAAAAA&#10;AKECAABkcnMvZG93bnJldi54bWxQSwUGAAAAAAQABAD5AAAAjwMAAAAA&#10;" strokecolor="black [3213]" strokeweight="2pt"/>
                  <v:shapetype id="_x0000_t32" coordsize="21600,21600" o:spt="32" o:oned="t" path="m,l21600,21600e" filled="f">
                    <v:path arrowok="t" fillok="f" o:connecttype="none"/>
                    <o:lock v:ext="edit" shapetype="t"/>
                  </v:shapetype>
                  <v:shape id="Straight Arrow Connector 17" o:spid="_x0000_s1046" type="#_x0000_t32" style="position:absolute;left:13087;top:17954;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QMIAAADbAAAADwAAAGRycy9kb3ducmV2LnhtbESPS4vCQBCE7wv+h6EFbzrxLdFRRJFd&#10;0Et83JtMmwQzPSEzatZf7ywIeyyq6itqsWpMKR5Uu8Kygn4vAkGcWl1wpuB82nVnIJxH1lhaJgW/&#10;5GC1bH0tMNb2yQk9jj4TAcIuRgW591UspUtzMuh6tiIO3tXWBn2QdSZ1jc8AN6UcRNFEGiw4LORY&#10;0San9Ha8GwXfGoeX62hs0iTZZdvp/jCavpxSnXaznoPw1Pj/8Kf9oxUM+vD3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L+QMIAAADbAAAADwAAAAAAAAAAAAAA&#10;AAChAgAAZHJzL2Rvd25yZXYueG1sUEsFBgAAAAAEAAQA+QAAAJADAAAAAA==&#10;" strokecolor="black [3213]" strokeweight="1pt">
                    <v:stroke endarrow="block"/>
                  </v:shape>
                  <v:shapetype id="_x0000_t202" coordsize="21600,21600" o:spt="202" path="m,l,21600r21600,l21600,xe">
                    <v:stroke joinstyle="miter"/>
                    <v:path gradientshapeok="t" o:connecttype="rect"/>
                  </v:shapetype>
                  <v:shape id="Text Box 18" o:spid="_x0000_s1047" type="#_x0000_t202" style="position:absolute;left:13087;top:14722;width:4572;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6E038A88" w14:textId="77777777" w:rsidR="005C71E4" w:rsidRDefault="005C71E4" w:rsidP="00DB39CD">
                          <w:pPr>
                            <w:rPr>
                              <w:vertAlign w:val="subscript"/>
                            </w:rPr>
                          </w:pPr>
                          <w:r>
                            <w:t>L</w:t>
                          </w:r>
                          <w:r>
                            <w:rPr>
                              <w:vertAlign w:val="subscript"/>
                            </w:rPr>
                            <w:t>1</w:t>
                          </w:r>
                        </w:p>
                      </w:txbxContent>
                    </v:textbox>
                  </v:shape>
                </v:group>
                <v:group id="Group 25" o:spid="_x0000_s1048" style="position:absolute;left:38233;top:15103;width:4572;height:5496" coordorigin="14230,24340" coordsize="4572,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19" o:spid="_x0000_s1049" style="position:absolute;visibility:visible;mso-wrap-style:square" from="14230,25265" to="14230,2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shape id="Straight Arrow Connector 20" o:spid="_x0000_s1050" type="#_x0000_t32" style="position:absolute;left:14230;top:27572;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4Q8QAAADbAAAADwAAAGRycy9kb3ducmV2LnhtbESPQWvCQBSE7wX/w/IK3ppNrTaSuopY&#10;ggV7SVrvj+wzCc2+DdnVRH99Vyj0OMzMN8xqM5pWXKh3jWUFz1EMgri0uuFKwfdX9rQE4TyyxtYy&#10;KbiSg8168rDCVNuBc7oUvhIBwi5FBbX3XSqlK2sy6CLbEQfvZHuDPsi+krrHIcBNK2dx/CoNNhwW&#10;auxoV1P5U5yNgr3Gl+NpvjBlnmfVe3L4nCc3p9T0cdy+gfA0+v/wX/tDK5gt4P4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fhDxAAAANsAAAAPAAAAAAAAAAAA&#10;AAAAAKECAABkcnMvZG93bnJldi54bWxQSwUGAAAAAAQABAD5AAAAkgMAAAAA&#10;" strokecolor="black [3213]" strokeweight="1pt">
                    <v:stroke endarrow="block"/>
                  </v:shape>
                  <v:shape id="Text Box 21" o:spid="_x0000_s1051" type="#_x0000_t202" style="position:absolute;left:14230;top:24340;width:4572;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5CEF5974" w14:textId="77777777" w:rsidR="005C71E4" w:rsidRDefault="005C71E4" w:rsidP="00DB39CD">
                          <w:pPr>
                            <w:rPr>
                              <w:vertAlign w:val="subscript"/>
                            </w:rPr>
                          </w:pPr>
                          <w:r>
                            <w:t>L</w:t>
                          </w:r>
                          <w:r>
                            <w:rPr>
                              <w:vertAlign w:val="subscript"/>
                            </w:rPr>
                            <w:t>2</w:t>
                          </w:r>
                        </w:p>
                      </w:txbxContent>
                    </v:textbox>
                  </v:shape>
                </v:group>
                <v:shape id="Arc 27" o:spid="_x0000_s1052" style="position:absolute;left:30232;top:26;width:14859;height:26285;flip:x y;visibility:visible;mso-wrap-style:square;v-text-anchor:middle" coordsize="1485900,262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LecEA&#10;AADbAAAADwAAAGRycy9kb3ducmV2LnhtbESPQYvCMBSE74L/ITxhb5rqQaVrFHFXcAWRqnt/NM+2&#10;2LyEJtb6742wsMdhZr5hFqvO1KKlxleWFYxHCQji3OqKCwWX83Y4B+EDssbaMil4kofVst9bYKrt&#10;gzNqT6EQEcI+RQVlCC6V0uclGfQj64ijd7WNwRBlU0jd4CPCTS0nSTKVBiuOCyU62pSU3053o+Bu&#10;vjJpj7gL+kDt75jd/tv9KPUx6NafIAJ14T/8195pBZMZ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y3nBAAAA2wAAAA8AAAAAAAAAAAAAAAAAmAIAAGRycy9kb3du&#10;cmV2LnhtbFBLBQYAAAAABAAEAPUAAACGAwAAAAA=&#10;" path="m1060983,126502nsc1318375,342168,1483419,799143,1485873,1302937v2386,489934,-149485,941541,-394012,1171636l742950,1314260,1060983,126502xem1060983,126502nfc1318375,342168,1483419,799143,1485873,1302937v2386,489934,-149485,941541,-394012,1171636e" filled="f" strokecolor="black [3213]">
                  <v:stroke dashstyle="dashDot"/>
                  <v:path arrowok="t" o:connecttype="custom" o:connectlocs="1060983,126503;1485873,1302947;1091861,2474592" o:connectangles="0,0,0"/>
                </v:shape>
                <v:shape id="Text Box 21" o:spid="_x0000_s1053" type="#_x0000_t202" style="position:absolute;left:25793;top:5031;width:457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08633E66" w14:textId="77777777" w:rsidR="005C71E4" w:rsidRDefault="005C71E4" w:rsidP="00DB39CD">
                        <w:pPr>
                          <w:pStyle w:val="NormalWeb"/>
                          <w:spacing w:before="0" w:beforeAutospacing="0" w:after="0" w:afterAutospacing="0"/>
                          <w:jc w:val="right"/>
                          <w:rPr>
                            <w:i/>
                          </w:rPr>
                        </w:pPr>
                        <w:r>
                          <w:rPr>
                            <w:rFonts w:eastAsia="Times New Roman"/>
                            <w:i/>
                            <w:kern w:val="16"/>
                          </w:rPr>
                          <w:t>E</w:t>
                        </w:r>
                      </w:p>
                    </w:txbxContent>
                  </v:textbox>
                </v:shape>
                <v:shape id="Straight Arrow Connector 29" o:spid="_x0000_s1054" type="#_x0000_t32" style="position:absolute;left:26803;top:8193;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7cMAAADbAAAADwAAAGRycy9kb3ducmV2LnhtbESPQWvCQBSE74L/YXlCb2ZjKGJTVxGl&#10;0B7VUHp8zb4mwezbuLtq6q93BcHjMDPfMPNlb1pxJucbywomSQqCuLS64UpBsf8Yz0D4gKyxtUwK&#10;/snDcjEczDHX9sJbOu9CJSKEfY4K6hC6XEpf1mTQJ7Yjjt6fdQZDlK6S2uElwk0rszSdSoMNx4Ua&#10;O1rXVB52J6PgWnyfVvZ3i13WfP1srq9H54ujUi+jfvUOIlAfnuFH+1MryN7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9/u3DAAAA2wAAAA8AAAAAAAAAAAAA&#10;AAAAoQIAAGRycy9kb3ducmV2LnhtbFBLBQYAAAAABAAEAPkAAACRAwAAAAA=&#10;" strokecolor="black [3213]" strokeweight="1pt">
                  <v:stroke endarrow="classic" endarrowwidth="wide" endarrowlength="long" linestyle="thinThin"/>
                </v:shape>
                <w10:anchorlock/>
              </v:group>
            </w:pict>
          </mc:Fallback>
        </mc:AlternateContent>
      </w:r>
    </w:p>
    <w:p w14:paraId="378DFDCF" w14:textId="77777777" w:rsidR="009D57CA" w:rsidRDefault="009D57CA" w:rsidP="00DB39CD">
      <w:pPr>
        <w:spacing w:before="240"/>
      </w:pPr>
    </w:p>
    <w:p w14:paraId="5D4ECFE7" w14:textId="77777777" w:rsidR="009D57CA" w:rsidRDefault="009D57CA" w:rsidP="00DB39CD">
      <w:pPr>
        <w:spacing w:before="240"/>
      </w:pPr>
    </w:p>
    <w:p w14:paraId="338ACBBA" w14:textId="77777777" w:rsidR="009D57CA" w:rsidRDefault="009D57CA" w:rsidP="00DB39CD">
      <w:pPr>
        <w:spacing w:before="240"/>
      </w:pPr>
    </w:p>
    <w:p w14:paraId="6EB66D3E" w14:textId="77777777" w:rsidR="009D57CA" w:rsidRDefault="009D57CA" w:rsidP="00DB39CD">
      <w:pPr>
        <w:spacing w:before="240"/>
      </w:pPr>
    </w:p>
    <w:p w14:paraId="6789D915" w14:textId="77777777" w:rsidR="009D57CA" w:rsidRDefault="00DB39CD" w:rsidP="00877DDB">
      <w:pPr>
        <w:pStyle w:val="BPM"/>
      </w:pPr>
      <w:r>
        <w:t>The power transfer (</w:t>
      </w:r>
      <w:r>
        <w:rPr>
          <w:i/>
        </w:rPr>
        <w:t>E</w:t>
      </w:r>
      <w:r>
        <w:t>) between the BAAs is limited to 100MW. The resource data is as follows:</w:t>
      </w:r>
    </w:p>
    <w:p w14:paraId="2E59FAAF" w14:textId="77777777" w:rsidR="001177A2" w:rsidRDefault="001177A2" w:rsidP="00DB39CD">
      <w:pPr>
        <w:spacing w:before="240"/>
      </w:pPr>
    </w:p>
    <w:tbl>
      <w:tblPr>
        <w:tblW w:w="0" w:type="auto"/>
        <w:jc w:val="center"/>
        <w:tblLook w:val="04A0" w:firstRow="1" w:lastRow="0" w:firstColumn="1" w:lastColumn="0" w:noHBand="0" w:noVBand="1"/>
      </w:tblPr>
      <w:tblGrid>
        <w:gridCol w:w="654"/>
        <w:gridCol w:w="1781"/>
      </w:tblGrid>
      <w:tr w:rsidR="001177A2" w14:paraId="3CDBE95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F2CF4F" w14:textId="77777777" w:rsidR="001177A2" w:rsidRDefault="001177A2">
            <w:pPr>
              <w:suppressAutoHyphens/>
              <w:jc w:val="center"/>
              <w:rPr>
                <w:b/>
                <w:kern w:val="16"/>
              </w:rPr>
            </w:pPr>
            <w:r>
              <w:rPr>
                <w:b/>
              </w:rPr>
              <w:t>Load</w:t>
            </w:r>
          </w:p>
        </w:tc>
        <w:tc>
          <w:tcPr>
            <w:tcW w:w="17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07EB55" w14:textId="77777777" w:rsidR="001177A2" w:rsidRDefault="001177A2">
            <w:pPr>
              <w:suppressAutoHyphens/>
              <w:jc w:val="center"/>
              <w:rPr>
                <w:b/>
                <w:kern w:val="16"/>
              </w:rPr>
            </w:pPr>
            <w:r>
              <w:rPr>
                <w:b/>
              </w:rPr>
              <w:t>Forecast (MW)</w:t>
            </w:r>
          </w:p>
        </w:tc>
      </w:tr>
      <w:tr w:rsidR="001177A2" w14:paraId="64E916B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B941ADA" w14:textId="77777777" w:rsidR="001177A2" w:rsidRDefault="001177A2">
            <w:pPr>
              <w:suppressAutoHyphens/>
              <w:jc w:val="center"/>
              <w:rPr>
                <w:kern w:val="16"/>
                <w:vertAlign w:val="subscript"/>
              </w:rPr>
            </w:pPr>
            <w:r>
              <w:t>L</w:t>
            </w:r>
            <w:r>
              <w:rPr>
                <w:vertAlign w:val="subscript"/>
              </w:rPr>
              <w:t>1</w:t>
            </w:r>
          </w:p>
        </w:tc>
        <w:tc>
          <w:tcPr>
            <w:tcW w:w="1781" w:type="dxa"/>
            <w:tcBorders>
              <w:top w:val="single" w:sz="4" w:space="0" w:color="auto"/>
              <w:left w:val="single" w:sz="4" w:space="0" w:color="auto"/>
              <w:bottom w:val="single" w:sz="4" w:space="0" w:color="auto"/>
              <w:right w:val="single" w:sz="4" w:space="0" w:color="auto"/>
            </w:tcBorders>
            <w:hideMark/>
          </w:tcPr>
          <w:p w14:paraId="5BD71262" w14:textId="77777777" w:rsidR="001177A2" w:rsidRDefault="001177A2">
            <w:pPr>
              <w:suppressAutoHyphens/>
              <w:jc w:val="center"/>
              <w:rPr>
                <w:kern w:val="16"/>
              </w:rPr>
            </w:pPr>
            <w:r>
              <w:t>200</w:t>
            </w:r>
          </w:p>
        </w:tc>
      </w:tr>
      <w:tr w:rsidR="001177A2" w14:paraId="492BADB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D1A2208" w14:textId="77777777" w:rsidR="001177A2" w:rsidRDefault="001177A2">
            <w:pPr>
              <w:suppressAutoHyphens/>
              <w:jc w:val="center"/>
              <w:rPr>
                <w:kern w:val="16"/>
                <w:vertAlign w:val="subscript"/>
              </w:rPr>
            </w:pPr>
            <w:r>
              <w:t>L</w:t>
            </w:r>
            <w:r>
              <w:rPr>
                <w:vertAlign w:val="subscript"/>
              </w:rPr>
              <w:t>2</w:t>
            </w:r>
          </w:p>
        </w:tc>
        <w:tc>
          <w:tcPr>
            <w:tcW w:w="1781" w:type="dxa"/>
            <w:tcBorders>
              <w:top w:val="single" w:sz="4" w:space="0" w:color="auto"/>
              <w:left w:val="single" w:sz="4" w:space="0" w:color="auto"/>
              <w:bottom w:val="single" w:sz="4" w:space="0" w:color="auto"/>
              <w:right w:val="single" w:sz="4" w:space="0" w:color="auto"/>
            </w:tcBorders>
            <w:hideMark/>
          </w:tcPr>
          <w:p w14:paraId="4E9870C9" w14:textId="77777777" w:rsidR="001177A2" w:rsidRDefault="001177A2">
            <w:pPr>
              <w:suppressAutoHyphens/>
              <w:jc w:val="center"/>
              <w:rPr>
                <w:kern w:val="16"/>
              </w:rPr>
            </w:pPr>
            <w:r>
              <w:t>50</w:t>
            </w:r>
          </w:p>
        </w:tc>
      </w:tr>
    </w:tbl>
    <w:p w14:paraId="2BB4A930" w14:textId="77777777" w:rsidR="001177A2" w:rsidRDefault="001177A2" w:rsidP="001177A2">
      <w:pPr>
        <w:rPr>
          <w:kern w:val="16"/>
        </w:rPr>
      </w:pPr>
    </w:p>
    <w:tbl>
      <w:tblPr>
        <w:tblW w:w="0" w:type="auto"/>
        <w:jc w:val="center"/>
        <w:tblLook w:val="04A0" w:firstRow="1" w:lastRow="0" w:firstColumn="1" w:lastColumn="0" w:noHBand="0" w:noVBand="1"/>
      </w:tblPr>
      <w:tblGrid>
        <w:gridCol w:w="1156"/>
        <w:gridCol w:w="1111"/>
        <w:gridCol w:w="1148"/>
        <w:gridCol w:w="1032"/>
        <w:gridCol w:w="1766"/>
      </w:tblGrid>
      <w:tr w:rsidR="001177A2" w14:paraId="0C9BD37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CB7080" w14:textId="77777777" w:rsidR="001177A2" w:rsidRDefault="001177A2">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A7C514" w14:textId="77777777" w:rsidR="001177A2" w:rsidRDefault="001177A2">
            <w:pPr>
              <w:suppressAutoHyphens/>
              <w:jc w:val="center"/>
              <w:rPr>
                <w:b/>
                <w:kern w:val="16"/>
              </w:rPr>
            </w:pPr>
            <w:r>
              <w:rPr>
                <w:b/>
              </w:rPr>
              <w:t>Minimum</w:t>
            </w:r>
            <w:r>
              <w:rPr>
                <w:b/>
              </w:rPr>
              <w:br/>
              <w:t>(</w:t>
            </w:r>
            <w:r>
              <w:rPr>
                <w:b/>
                <w:sz w:val="20"/>
              </w:rPr>
              <w:t>MW</w:t>
            </w:r>
            <w:r>
              <w:rPr>
                <w:b/>
              </w:rPr>
              <w:t>)</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405D4B" w14:textId="77777777" w:rsidR="001177A2" w:rsidRDefault="001177A2">
            <w:pPr>
              <w:suppressAutoHyphens/>
              <w:jc w:val="center"/>
              <w:rPr>
                <w:b/>
                <w:kern w:val="16"/>
              </w:rPr>
            </w:pPr>
            <w:r>
              <w:rPr>
                <w:b/>
              </w:rPr>
              <w:t>Maximum</w:t>
            </w:r>
            <w:r>
              <w:rPr>
                <w:b/>
              </w:rPr>
              <w:br/>
              <w:t>(</w:t>
            </w:r>
            <w:r>
              <w:rPr>
                <w:b/>
                <w:sz w:val="20"/>
              </w:rPr>
              <w:t>MW</w:t>
            </w:r>
            <w:r>
              <w:rPr>
                <w:b/>
              </w:rPr>
              <w:t>)</w:t>
            </w:r>
          </w:p>
        </w:tc>
        <w:tc>
          <w:tcPr>
            <w:tcW w:w="10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47D599" w14:textId="77777777" w:rsidR="001177A2" w:rsidRDefault="001177A2">
            <w:pPr>
              <w:suppressAutoHyphens/>
              <w:jc w:val="center"/>
              <w:rPr>
                <w:b/>
                <w:kern w:val="16"/>
              </w:rPr>
            </w:pPr>
            <w:r>
              <w:rPr>
                <w:b/>
              </w:rPr>
              <w:t>Energy Bid</w:t>
            </w:r>
            <w:r>
              <w:rPr>
                <w:b/>
              </w:rPr>
              <w:br/>
              <w:t>(</w:t>
            </w:r>
            <w:r>
              <w:rPr>
                <w:b/>
                <w:sz w:val="20"/>
              </w:rPr>
              <w:t>$/MWh</w:t>
            </w:r>
            <w:r>
              <w:rPr>
                <w:b/>
              </w:rPr>
              <w:t>)</w:t>
            </w:r>
          </w:p>
        </w:tc>
        <w:tc>
          <w:tcPr>
            <w:tcW w:w="17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DA0FC6" w14:textId="77777777" w:rsidR="001177A2" w:rsidRDefault="001177A2">
            <w:pPr>
              <w:suppressAutoHyphens/>
              <w:jc w:val="center"/>
              <w:rPr>
                <w:b/>
                <w:kern w:val="16"/>
              </w:rPr>
            </w:pPr>
            <w:r>
              <w:rPr>
                <w:b/>
              </w:rPr>
              <w:t>GHG Compliance Bid Adder</w:t>
            </w:r>
            <w:r>
              <w:rPr>
                <w:b/>
              </w:rPr>
              <w:br/>
              <w:t>(</w:t>
            </w:r>
            <w:r>
              <w:rPr>
                <w:b/>
                <w:sz w:val="20"/>
              </w:rPr>
              <w:t>$/MWh</w:t>
            </w:r>
            <w:r>
              <w:rPr>
                <w:b/>
              </w:rPr>
              <w:t>)</w:t>
            </w:r>
          </w:p>
        </w:tc>
      </w:tr>
      <w:tr w:rsidR="001177A2" w14:paraId="6D29969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10BEFA4"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51F55300"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4B7DFA78" w14:textId="77777777" w:rsidR="001177A2" w:rsidRDefault="001177A2">
            <w:pPr>
              <w:suppressAutoHyphens/>
              <w:jc w:val="center"/>
              <w:rPr>
                <w:kern w:val="16"/>
              </w:rPr>
            </w:pPr>
            <w:r>
              <w:t>300</w:t>
            </w:r>
          </w:p>
        </w:tc>
        <w:tc>
          <w:tcPr>
            <w:tcW w:w="1032" w:type="dxa"/>
            <w:tcBorders>
              <w:top w:val="single" w:sz="4" w:space="0" w:color="auto"/>
              <w:left w:val="single" w:sz="4" w:space="0" w:color="auto"/>
              <w:bottom w:val="single" w:sz="4" w:space="0" w:color="auto"/>
              <w:right w:val="single" w:sz="4" w:space="0" w:color="auto"/>
            </w:tcBorders>
            <w:hideMark/>
          </w:tcPr>
          <w:p w14:paraId="3AFEB4C5" w14:textId="77777777" w:rsidR="001177A2" w:rsidRDefault="001177A2">
            <w:pPr>
              <w:suppressAutoHyphens/>
              <w:jc w:val="center"/>
              <w:rPr>
                <w:kern w:val="16"/>
              </w:rPr>
            </w:pPr>
            <w:r>
              <w:t>50</w:t>
            </w:r>
          </w:p>
        </w:tc>
        <w:tc>
          <w:tcPr>
            <w:tcW w:w="1766" w:type="dxa"/>
            <w:tcBorders>
              <w:top w:val="single" w:sz="4" w:space="0" w:color="auto"/>
              <w:left w:val="single" w:sz="4" w:space="0" w:color="auto"/>
              <w:bottom w:val="single" w:sz="4" w:space="0" w:color="auto"/>
              <w:right w:val="single" w:sz="4" w:space="0" w:color="auto"/>
            </w:tcBorders>
            <w:hideMark/>
          </w:tcPr>
          <w:p w14:paraId="5869C7FA" w14:textId="77777777" w:rsidR="001177A2" w:rsidRDefault="001177A2">
            <w:pPr>
              <w:suppressAutoHyphens/>
              <w:jc w:val="center"/>
              <w:rPr>
                <w:kern w:val="16"/>
              </w:rPr>
            </w:pPr>
            <w:r>
              <w:t>-</w:t>
            </w:r>
          </w:p>
        </w:tc>
      </w:tr>
      <w:tr w:rsidR="001177A2" w14:paraId="0D34803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F81FCDC"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8CE6926"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1A4BFEE" w14:textId="77777777" w:rsidR="001177A2" w:rsidRDefault="001177A2">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3863E13B" w14:textId="77777777" w:rsidR="001177A2" w:rsidRDefault="001177A2">
            <w:pPr>
              <w:suppressAutoHyphens/>
              <w:jc w:val="center"/>
              <w:rPr>
                <w:kern w:val="16"/>
              </w:rPr>
            </w:pPr>
            <w:r>
              <w:t>35</w:t>
            </w:r>
          </w:p>
        </w:tc>
        <w:tc>
          <w:tcPr>
            <w:tcW w:w="1766" w:type="dxa"/>
            <w:tcBorders>
              <w:top w:val="single" w:sz="4" w:space="0" w:color="auto"/>
              <w:left w:val="single" w:sz="4" w:space="0" w:color="auto"/>
              <w:bottom w:val="single" w:sz="4" w:space="0" w:color="auto"/>
              <w:right w:val="single" w:sz="4" w:space="0" w:color="auto"/>
            </w:tcBorders>
            <w:hideMark/>
          </w:tcPr>
          <w:p w14:paraId="6AC4711E" w14:textId="77777777" w:rsidR="001177A2" w:rsidRDefault="001177A2">
            <w:pPr>
              <w:suppressAutoHyphens/>
              <w:jc w:val="center"/>
              <w:rPr>
                <w:kern w:val="16"/>
              </w:rPr>
            </w:pPr>
            <w:r>
              <w:t>0</w:t>
            </w:r>
          </w:p>
        </w:tc>
      </w:tr>
      <w:tr w:rsidR="001177A2" w14:paraId="37687E4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22687AE"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0B2FFAAD"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4AB077DE" w14:textId="77777777" w:rsidR="001177A2" w:rsidRDefault="001177A2">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6EF36240" w14:textId="77777777" w:rsidR="001177A2" w:rsidRDefault="001177A2">
            <w:pPr>
              <w:suppressAutoHyphens/>
              <w:jc w:val="center"/>
              <w:rPr>
                <w:kern w:val="16"/>
              </w:rPr>
            </w:pPr>
            <w:r>
              <w:t>30</w:t>
            </w:r>
          </w:p>
        </w:tc>
        <w:tc>
          <w:tcPr>
            <w:tcW w:w="1766" w:type="dxa"/>
            <w:tcBorders>
              <w:top w:val="single" w:sz="4" w:space="0" w:color="auto"/>
              <w:left w:val="single" w:sz="4" w:space="0" w:color="auto"/>
              <w:bottom w:val="single" w:sz="4" w:space="0" w:color="auto"/>
              <w:right w:val="single" w:sz="4" w:space="0" w:color="auto"/>
            </w:tcBorders>
            <w:hideMark/>
          </w:tcPr>
          <w:p w14:paraId="0A0D32F4" w14:textId="77777777" w:rsidR="001177A2" w:rsidRDefault="001177A2">
            <w:pPr>
              <w:suppressAutoHyphens/>
              <w:jc w:val="center"/>
              <w:rPr>
                <w:kern w:val="16"/>
              </w:rPr>
            </w:pPr>
            <w:r>
              <w:t>6</w:t>
            </w:r>
          </w:p>
        </w:tc>
      </w:tr>
    </w:tbl>
    <w:p w14:paraId="3EC22AA3" w14:textId="77777777" w:rsidR="00FC6F91" w:rsidRDefault="00FC6F91" w:rsidP="00D8261A">
      <w:pPr>
        <w:pStyle w:val="Paragraph"/>
        <w:spacing w:before="0" w:after="240" w:line="300" w:lineRule="auto"/>
        <w:rPr>
          <w:rFonts w:ascii="Arial" w:hAnsi="Arial" w:cs="Arial"/>
        </w:rPr>
      </w:pPr>
    </w:p>
    <w:p w14:paraId="39EA80D0" w14:textId="77777777" w:rsidR="001177A2" w:rsidRPr="00A11346" w:rsidRDefault="001177A2" w:rsidP="00877DDB">
      <w:pPr>
        <w:pStyle w:val="BPM"/>
      </w:pPr>
      <w:r w:rsidRPr="00A11346">
        <w:lastRenderedPageBreak/>
        <w:t>Generator G</w:t>
      </w:r>
      <w:r w:rsidRPr="00A11346">
        <w:rPr>
          <w:vertAlign w:val="subscript"/>
        </w:rPr>
        <w:t>2</w:t>
      </w:r>
      <w:r w:rsidRPr="00A11346">
        <w:t xml:space="preserve"> is a non-emitting resource with a GHG compliance bid adder of zero, whereas G</w:t>
      </w:r>
      <w:r w:rsidRPr="00A11346">
        <w:rPr>
          <w:vertAlign w:val="subscript"/>
        </w:rPr>
        <w:t>3</w:t>
      </w:r>
      <w:r w:rsidRPr="00A11346">
        <w:t xml:space="preserve"> is an emitting resource with a GHG compliance bid adder of $6.00. They are both less expensive than G</w:t>
      </w:r>
      <w:r w:rsidRPr="00A11346">
        <w:rPr>
          <w:vertAlign w:val="subscript"/>
        </w:rPr>
        <w:t>1</w:t>
      </w:r>
      <w:r w:rsidRPr="00A11346">
        <w:t xml:space="preserve">. Therefore, the power export from the EIM Entity BAA to the </w:t>
      </w:r>
      <w:r w:rsidR="0058562B">
        <w:t>CA</w:t>
      </w:r>
      <w:r w:rsidRPr="00A11346">
        <w:t>ISO is binding at the optimal solution at 100MW.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3FFCC926"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5C7DFB"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59FEE5"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9462A4"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992A68" w14:textId="77777777" w:rsidR="001177A2" w:rsidRDefault="001177A2">
            <w:pPr>
              <w:suppressAutoHyphens/>
              <w:jc w:val="center"/>
              <w:rPr>
                <w:b/>
                <w:kern w:val="16"/>
              </w:rPr>
            </w:pPr>
            <w:r>
              <w:rPr>
                <w:b/>
              </w:rPr>
              <w:t>LMP</w:t>
            </w:r>
            <w:r>
              <w:rPr>
                <w:b/>
              </w:rPr>
              <w:br/>
              <w:t>($/MWh)</w:t>
            </w:r>
          </w:p>
        </w:tc>
      </w:tr>
      <w:tr w:rsidR="001177A2" w14:paraId="133D39D4"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FBD89D3" w14:textId="77777777" w:rsidR="001177A2" w:rsidRDefault="001177A2">
            <w:pPr>
              <w:suppressAutoHyphens/>
              <w:jc w:val="center"/>
              <w:rPr>
                <w:kern w:val="16"/>
                <w:vertAlign w:val="subscript"/>
              </w:rPr>
            </w:pPr>
            <w:r>
              <w:t>G1</w:t>
            </w:r>
          </w:p>
        </w:tc>
        <w:tc>
          <w:tcPr>
            <w:tcW w:w="0" w:type="auto"/>
            <w:tcBorders>
              <w:top w:val="single" w:sz="4" w:space="0" w:color="auto"/>
              <w:left w:val="single" w:sz="4" w:space="0" w:color="auto"/>
              <w:bottom w:val="single" w:sz="4" w:space="0" w:color="auto"/>
              <w:right w:val="single" w:sz="4" w:space="0" w:color="auto"/>
            </w:tcBorders>
            <w:hideMark/>
          </w:tcPr>
          <w:p w14:paraId="055D4763"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6884B5F"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15C07460" w14:textId="77777777" w:rsidR="001177A2" w:rsidRDefault="001177A2">
            <w:pPr>
              <w:suppressAutoHyphens/>
              <w:jc w:val="center"/>
              <w:rPr>
                <w:kern w:val="16"/>
              </w:rPr>
            </w:pPr>
            <w:r>
              <w:t>50</w:t>
            </w:r>
          </w:p>
        </w:tc>
      </w:tr>
      <w:tr w:rsidR="001177A2" w14:paraId="2C481DD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EE04146" w14:textId="77777777" w:rsidR="001177A2" w:rsidRDefault="001177A2">
            <w:pPr>
              <w:suppressAutoHyphens/>
              <w:jc w:val="center"/>
              <w:rPr>
                <w:kern w:val="16"/>
                <w:vertAlign w:val="subscript"/>
              </w:rPr>
            </w:pPr>
            <w:r>
              <w:t>G2</w:t>
            </w:r>
          </w:p>
        </w:tc>
        <w:tc>
          <w:tcPr>
            <w:tcW w:w="0" w:type="auto"/>
            <w:tcBorders>
              <w:top w:val="single" w:sz="4" w:space="0" w:color="auto"/>
              <w:left w:val="single" w:sz="4" w:space="0" w:color="auto"/>
              <w:bottom w:val="single" w:sz="4" w:space="0" w:color="auto"/>
              <w:right w:val="single" w:sz="4" w:space="0" w:color="auto"/>
            </w:tcBorders>
            <w:hideMark/>
          </w:tcPr>
          <w:p w14:paraId="6C34EA4D"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450D7DF0"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31A544AB" w14:textId="77777777" w:rsidR="001177A2" w:rsidRDefault="001177A2">
            <w:pPr>
              <w:suppressAutoHyphens/>
              <w:jc w:val="center"/>
              <w:rPr>
                <w:kern w:val="16"/>
              </w:rPr>
            </w:pPr>
            <w:r>
              <w:t>30</w:t>
            </w:r>
          </w:p>
        </w:tc>
      </w:tr>
      <w:tr w:rsidR="001177A2" w14:paraId="4340F8D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5AE03D8" w14:textId="77777777" w:rsidR="001177A2" w:rsidRDefault="001177A2">
            <w:pPr>
              <w:suppressAutoHyphens/>
              <w:jc w:val="center"/>
              <w:rPr>
                <w:kern w:val="16"/>
                <w:vertAlign w:val="subscript"/>
              </w:rPr>
            </w:pPr>
            <w:r>
              <w:t>G3</w:t>
            </w:r>
          </w:p>
        </w:tc>
        <w:tc>
          <w:tcPr>
            <w:tcW w:w="0" w:type="auto"/>
            <w:tcBorders>
              <w:top w:val="single" w:sz="4" w:space="0" w:color="auto"/>
              <w:left w:val="single" w:sz="4" w:space="0" w:color="auto"/>
              <w:bottom w:val="single" w:sz="4" w:space="0" w:color="auto"/>
              <w:right w:val="single" w:sz="4" w:space="0" w:color="auto"/>
            </w:tcBorders>
            <w:hideMark/>
          </w:tcPr>
          <w:p w14:paraId="5FD65287"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C28F5D0"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0A6AEE34" w14:textId="77777777" w:rsidR="001177A2" w:rsidRDefault="001177A2">
            <w:pPr>
              <w:suppressAutoHyphens/>
              <w:jc w:val="center"/>
              <w:rPr>
                <w:kern w:val="16"/>
              </w:rPr>
            </w:pPr>
            <w:r>
              <w:t>30</w:t>
            </w:r>
          </w:p>
        </w:tc>
      </w:tr>
      <w:tr w:rsidR="001177A2" w14:paraId="41CEE67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E980410"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18E0A21F"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7CB83D99"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43201B94" w14:textId="77777777" w:rsidR="001177A2" w:rsidRDefault="001177A2">
            <w:pPr>
              <w:suppressAutoHyphens/>
              <w:jc w:val="center"/>
              <w:rPr>
                <w:kern w:val="16"/>
              </w:rPr>
            </w:pPr>
            <w:r>
              <w:t>50</w:t>
            </w:r>
          </w:p>
        </w:tc>
      </w:tr>
      <w:tr w:rsidR="001177A2" w14:paraId="5C7BDEA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96D2E90"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2CA02C65"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17D3EF9E"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89C3A78" w14:textId="77777777" w:rsidR="001177A2" w:rsidRDefault="001177A2">
            <w:pPr>
              <w:suppressAutoHyphens/>
              <w:jc w:val="center"/>
              <w:rPr>
                <w:kern w:val="16"/>
              </w:rPr>
            </w:pPr>
            <w:r>
              <w:t>30</w:t>
            </w:r>
          </w:p>
        </w:tc>
      </w:tr>
    </w:tbl>
    <w:p w14:paraId="171A0E21" w14:textId="77777777" w:rsidR="001177A2" w:rsidRDefault="001177A2" w:rsidP="001177A2">
      <w:pPr>
        <w:jc w:val="center"/>
      </w:pPr>
      <w:r>
        <w:t xml:space="preserve">Example 1: </w:t>
      </w:r>
      <m:oMath>
        <m:r>
          <m:rPr>
            <m:sty m:val="p"/>
          </m:rPr>
          <w:rPr>
            <w:rFonts w:ascii="Cambria Math" w:hAnsi="Cambria Math"/>
          </w:rPr>
          <m:t>µ</m:t>
        </m:r>
      </m:oMath>
      <w:r>
        <w:t xml:space="preserve"> = –$15/MWh; </w:t>
      </w:r>
      <m:oMath>
        <m:r>
          <m:rPr>
            <m:sty m:val="p"/>
          </m:rPr>
          <w:rPr>
            <w:rFonts w:ascii="Cambria Math" w:hAnsi="Cambria Math"/>
          </w:rPr>
          <m:t>η</m:t>
        </m:r>
      </m:oMath>
      <w:r>
        <w:t xml:space="preserve"> = –$5/MWh</w:t>
      </w:r>
    </w:p>
    <w:p w14:paraId="5D9CD0D1" w14:textId="77777777" w:rsidR="00FC6F91" w:rsidRDefault="00FC6F91" w:rsidP="001177A2">
      <w:pPr>
        <w:jc w:val="center"/>
        <w:rPr>
          <w:kern w:val="16"/>
        </w:rPr>
      </w:pPr>
    </w:p>
    <w:p w14:paraId="6403D10B" w14:textId="77777777" w:rsidR="001177A2" w:rsidRPr="00A11346" w:rsidRDefault="001177A2" w:rsidP="00877DDB">
      <w:pPr>
        <w:pStyle w:val="BPM"/>
      </w:pPr>
      <w:r w:rsidRPr="00A11346">
        <w:t>Generator G</w:t>
      </w:r>
      <w:r w:rsidRPr="00A11346">
        <w:rPr>
          <w:vertAlign w:val="subscript"/>
        </w:rPr>
        <w:t>3</w:t>
      </w:r>
      <w:r w:rsidRPr="00A11346">
        <w:t xml:space="preserve"> is the least expensive resource for serving Load L</w:t>
      </w:r>
      <w:r w:rsidRPr="00A11346">
        <w:rPr>
          <w:vertAlign w:val="subscript"/>
        </w:rPr>
        <w:t>2</w:t>
      </w:r>
      <w:r w:rsidRPr="00A11346">
        <w:t>, and as such it sets the LMP in the EIM Entity Area to $30/MWh. However, for serving Load L</w:t>
      </w:r>
      <w:r w:rsidRPr="00A11346">
        <w:rPr>
          <w:vertAlign w:val="subscript"/>
        </w:rPr>
        <w:t>1</w:t>
      </w:r>
      <w:r w:rsidRPr="00A11346">
        <w:t>, a $6/MWh additional GHG compliance cost would be incurred to G</w:t>
      </w:r>
      <w:r w:rsidRPr="00A11346">
        <w:rPr>
          <w:vertAlign w:val="subscript"/>
        </w:rPr>
        <w:t>3</w:t>
      </w:r>
      <w:r w:rsidRPr="00A11346">
        <w:t>, making G</w:t>
      </w:r>
      <w:r w:rsidRPr="00A11346">
        <w:rPr>
          <w:vertAlign w:val="subscript"/>
        </w:rPr>
        <w:t>2</w:t>
      </w:r>
      <w:r w:rsidRPr="00A11346">
        <w:t xml:space="preserve"> more effective for that purpose. Consequently, G</w:t>
      </w:r>
      <w:r w:rsidRPr="00A11346">
        <w:rPr>
          <w:vertAlign w:val="subscript"/>
        </w:rPr>
        <w:t>2</w:t>
      </w:r>
      <w:r w:rsidRPr="00A11346">
        <w:t xml:space="preserve"> is dispatched with its energy all exported to the </w:t>
      </w:r>
      <w:r w:rsidR="0058562B">
        <w:t>CA</w:t>
      </w:r>
      <w:r w:rsidRPr="00A11346">
        <w:t>ISO at the limit of the power transfer capability. The balance of 100MW of L</w:t>
      </w:r>
      <w:r w:rsidRPr="00A11346">
        <w:rPr>
          <w:vertAlign w:val="subscript"/>
        </w:rPr>
        <w:t>1</w:t>
      </w:r>
      <w:r w:rsidRPr="00A11346">
        <w:t xml:space="preserve"> can only be served by G</w:t>
      </w:r>
      <w:r w:rsidRPr="00A11346">
        <w:rPr>
          <w:vertAlign w:val="subscript"/>
        </w:rPr>
        <w:t>1</w:t>
      </w:r>
      <w:r w:rsidRPr="00A11346">
        <w:t xml:space="preserve">, which sets the LMP in the </w:t>
      </w:r>
      <w:r w:rsidR="0058562B">
        <w:t>CA</w:t>
      </w:r>
      <w:r w:rsidRPr="00A11346">
        <w:t>ISO to $50/MWh.</w:t>
      </w:r>
    </w:p>
    <w:p w14:paraId="01777B27" w14:textId="77777777" w:rsidR="001177A2" w:rsidRPr="00A11346" w:rsidRDefault="001177A2" w:rsidP="00877DDB">
      <w:pPr>
        <w:pStyle w:val="BPM"/>
      </w:pPr>
      <w:r w:rsidRPr="00A11346">
        <w:t>The LMP difference of $20/MWh is made up by the marginal congestion cost of $15/MWh and the marginal GHG compliance cost of $5/MWh. The marginal congestion cost can be easily verified if the power transfer limit is relaxed by 1MW to 101MW, in which case one additional MWh from G</w:t>
      </w:r>
      <w:r w:rsidRPr="00A11346">
        <w:rPr>
          <w:vertAlign w:val="subscript"/>
        </w:rPr>
        <w:t>2</w:t>
      </w:r>
      <w:r w:rsidRPr="00A11346">
        <w:t xml:space="preserve"> will displace 1MWh from G</w:t>
      </w:r>
      <w:r w:rsidRPr="00A11346">
        <w:rPr>
          <w:vertAlign w:val="subscript"/>
        </w:rPr>
        <w:t>1</w:t>
      </w:r>
      <w:r w:rsidRPr="00A11346">
        <w:t xml:space="preserve"> for a net benefit of $15. The marginal GHG compliance cost can be easily verified if the export allocation (which carries the GHG compliance cost) is relaxed by 1 MW to 99MW, in which case one additional MWh from G</w:t>
      </w:r>
      <w:r w:rsidRPr="00A11346">
        <w:rPr>
          <w:vertAlign w:val="subscript"/>
        </w:rPr>
        <w:t>3</w:t>
      </w:r>
      <w:r w:rsidRPr="00A11346">
        <w:t xml:space="preserve"> will displace 1MWh from G</w:t>
      </w:r>
      <w:r w:rsidRPr="00A11346">
        <w:rPr>
          <w:vertAlign w:val="subscript"/>
        </w:rPr>
        <w:t>2</w:t>
      </w:r>
      <w:r w:rsidRPr="00A11346">
        <w:t xml:space="preserve"> for a net benefit of $5. It is interesting to note that there is a non-zero marginal GHG compliance cost in the optimal solution even when all the exported energy is allocated to the non-emitting resource G</w:t>
      </w:r>
      <w:r w:rsidRPr="00A11346">
        <w:rPr>
          <w:vertAlign w:val="subscript"/>
        </w:rPr>
        <w:t>2</w:t>
      </w:r>
      <w:r w:rsidRPr="00A11346">
        <w:t xml:space="preserve"> who bid zero.  This is because the cost of that export to California is $5/MWh higher than otherwise available energy from G3.</w:t>
      </w:r>
    </w:p>
    <w:p w14:paraId="5FBC26B6" w14:textId="77777777" w:rsidR="001177A2" w:rsidRPr="00A11346" w:rsidRDefault="001177A2" w:rsidP="00877DDB">
      <w:pPr>
        <w:pStyle w:val="BPM"/>
      </w:pPr>
      <w:r w:rsidRPr="00A11346">
        <w:lastRenderedPageBreak/>
        <w:t>The marginal congestion cost of $15/MWh and the marginal GHG compliance cost of $5/MWh on a 100MWh energy export result in a congestion revenue of $1,500 and a GHG compliance revenue of $500,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286"/>
        <w:gridCol w:w="1123"/>
        <w:gridCol w:w="1123"/>
        <w:gridCol w:w="1286"/>
        <w:gridCol w:w="1150"/>
      </w:tblGrid>
      <w:tr w:rsidR="001177A2" w:rsidRPr="00093FD3" w14:paraId="1223EFA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260004" w14:textId="77777777" w:rsidR="001177A2" w:rsidRPr="00D8261A" w:rsidRDefault="001177A2">
            <w:pPr>
              <w:suppressAutoHyphens/>
              <w:jc w:val="center"/>
              <w:rPr>
                <w:rFonts w:cs="Arial"/>
                <w:b/>
                <w:kern w:val="16"/>
              </w:rPr>
            </w:pPr>
            <w:r w:rsidRPr="008D74F0">
              <w:rPr>
                <w:rFonts w:cs="Arial"/>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DB6DF9" w14:textId="77777777" w:rsidR="001177A2" w:rsidRPr="00D8261A" w:rsidRDefault="001177A2">
            <w:pPr>
              <w:suppressAutoHyphens/>
              <w:jc w:val="center"/>
              <w:rPr>
                <w:rFonts w:cs="Arial"/>
                <w:b/>
                <w:kern w:val="16"/>
              </w:rPr>
            </w:pPr>
            <w:r w:rsidRPr="00885130">
              <w:rPr>
                <w:b/>
              </w:rPr>
              <w:t>Energy</w:t>
            </w:r>
            <w:r w:rsidRPr="00885130">
              <w:rPr>
                <w:b/>
              </w:rPr>
              <w:br/>
              <w:t>Cost</w:t>
            </w:r>
          </w:p>
        </w:tc>
        <w:tc>
          <w:tcPr>
            <w:tcW w:w="1150"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6916BF19" w14:textId="77777777" w:rsidR="001177A2" w:rsidRPr="00D8261A" w:rsidRDefault="001177A2">
            <w:pPr>
              <w:suppressAutoHyphens/>
              <w:jc w:val="center"/>
              <w:rPr>
                <w:rFonts w:cs="Arial"/>
                <w:b/>
                <w:kern w:val="16"/>
              </w:rPr>
            </w:pPr>
            <w:r w:rsidRPr="008D74F0">
              <w:rPr>
                <w:rFonts w:cs="Arial"/>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28AE1386" w14:textId="77777777" w:rsidR="001177A2" w:rsidRPr="00D8261A" w:rsidRDefault="001177A2">
            <w:pPr>
              <w:suppressAutoHyphens/>
              <w:jc w:val="center"/>
              <w:rPr>
                <w:rFonts w:cs="Arial"/>
                <w:b/>
                <w:kern w:val="16"/>
              </w:rPr>
            </w:pPr>
            <w:r w:rsidRPr="008D74F0">
              <w:rPr>
                <w:rFonts w:cs="Arial"/>
                <w:b/>
              </w:rPr>
              <w:t>Total</w:t>
            </w:r>
            <w:r w:rsidRPr="008D74F0">
              <w:rPr>
                <w:rFonts w:cs="Arial"/>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392FD5AB" w14:textId="77777777" w:rsidR="001177A2" w:rsidRPr="00D8261A" w:rsidRDefault="001177A2">
            <w:pPr>
              <w:suppressAutoHyphens/>
              <w:jc w:val="center"/>
              <w:rPr>
                <w:rFonts w:cs="Arial"/>
                <w:b/>
                <w:kern w:val="16"/>
              </w:rPr>
            </w:pPr>
            <w:r w:rsidRPr="008D74F0">
              <w:rPr>
                <w:rFonts w:cs="Arial"/>
                <w:b/>
              </w:rPr>
              <w:t>Energy</w:t>
            </w:r>
            <w:r w:rsidRPr="008D74F0">
              <w:rPr>
                <w:rFonts w:cs="Arial"/>
                <w:b/>
              </w:rPr>
              <w:br/>
              <w:t>Payment</w:t>
            </w:r>
          </w:p>
        </w:tc>
        <w:tc>
          <w:tcPr>
            <w:tcW w:w="1150"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7B24E0BA" w14:textId="77777777" w:rsidR="001177A2" w:rsidRPr="00D8261A" w:rsidRDefault="001177A2">
            <w:pPr>
              <w:suppressAutoHyphens/>
              <w:jc w:val="center"/>
              <w:rPr>
                <w:rFonts w:cs="Arial"/>
                <w:b/>
                <w:kern w:val="16"/>
              </w:rPr>
            </w:pPr>
            <w:r w:rsidRPr="008D74F0">
              <w:rPr>
                <w:rFonts w:cs="Arial"/>
                <w:b/>
              </w:rPr>
              <w:t>GHG Compliance Payment</w:t>
            </w:r>
          </w:p>
        </w:tc>
        <w:tc>
          <w:tcPr>
            <w:tcW w:w="1150" w:type="dxa"/>
            <w:tcBorders>
              <w:top w:val="single" w:sz="18" w:space="0" w:color="auto"/>
              <w:left w:val="single" w:sz="18" w:space="0" w:color="auto"/>
              <w:bottom w:val="single" w:sz="8" w:space="0" w:color="auto"/>
              <w:right w:val="single" w:sz="18" w:space="0" w:color="auto"/>
            </w:tcBorders>
            <w:shd w:val="clear" w:color="auto" w:fill="C6D9F1" w:themeFill="text2" w:themeFillTint="33"/>
            <w:hideMark/>
          </w:tcPr>
          <w:p w14:paraId="50CE3715" w14:textId="77777777" w:rsidR="001177A2" w:rsidRPr="00D8261A" w:rsidRDefault="001177A2">
            <w:pPr>
              <w:suppressAutoHyphens/>
              <w:jc w:val="center"/>
              <w:rPr>
                <w:rFonts w:cs="Arial"/>
                <w:b/>
                <w:kern w:val="16"/>
              </w:rPr>
            </w:pPr>
            <w:r w:rsidRPr="008D74F0">
              <w:rPr>
                <w:rFonts w:cs="Arial"/>
                <w:b/>
              </w:rPr>
              <w:t>Total Payment</w:t>
            </w:r>
          </w:p>
        </w:tc>
      </w:tr>
      <w:tr w:rsidR="001177A2" w14:paraId="462EAD54"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7AEB1E4"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53EB3CD6" w14:textId="77777777" w:rsidR="001177A2" w:rsidRDefault="001177A2">
            <w:pPr>
              <w:suppressAutoHyphens/>
              <w:jc w:val="center"/>
              <w:rPr>
                <w:kern w:val="16"/>
              </w:rPr>
            </w:pPr>
            <w:r>
              <w:t>$5,000</w:t>
            </w:r>
          </w:p>
        </w:tc>
        <w:tc>
          <w:tcPr>
            <w:tcW w:w="1150" w:type="dxa"/>
            <w:tcBorders>
              <w:top w:val="single" w:sz="4" w:space="0" w:color="auto"/>
              <w:left w:val="single" w:sz="4" w:space="0" w:color="auto"/>
              <w:bottom w:val="single" w:sz="4" w:space="0" w:color="auto"/>
              <w:right w:val="single" w:sz="18" w:space="0" w:color="auto"/>
            </w:tcBorders>
            <w:hideMark/>
          </w:tcPr>
          <w:p w14:paraId="0289C2C0" w14:textId="77777777" w:rsidR="001177A2" w:rsidRDefault="001177A2">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7A00ED87" w14:textId="77777777" w:rsidR="001177A2" w:rsidRDefault="001177A2">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10A55394" w14:textId="77777777" w:rsidR="001177A2" w:rsidRDefault="001177A2">
            <w:pPr>
              <w:suppressAutoHyphens/>
              <w:jc w:val="center"/>
              <w:rPr>
                <w:kern w:val="16"/>
              </w:rPr>
            </w:pPr>
            <w:r>
              <w:t>$5,000</w:t>
            </w:r>
          </w:p>
        </w:tc>
        <w:tc>
          <w:tcPr>
            <w:tcW w:w="1150" w:type="dxa"/>
            <w:tcBorders>
              <w:top w:val="single" w:sz="4" w:space="0" w:color="auto"/>
              <w:left w:val="single" w:sz="4" w:space="0" w:color="auto"/>
              <w:bottom w:val="single" w:sz="4" w:space="0" w:color="auto"/>
              <w:right w:val="single" w:sz="18" w:space="0" w:color="auto"/>
            </w:tcBorders>
            <w:hideMark/>
          </w:tcPr>
          <w:p w14:paraId="3183FECD" w14:textId="77777777" w:rsidR="001177A2" w:rsidRDefault="001177A2">
            <w:pPr>
              <w:suppressAutoHyphens/>
              <w:jc w:val="center"/>
              <w:rPr>
                <w:kern w:val="16"/>
              </w:rPr>
            </w:pPr>
            <w:r>
              <w:t>-</w:t>
            </w:r>
          </w:p>
        </w:tc>
        <w:tc>
          <w:tcPr>
            <w:tcW w:w="1150" w:type="dxa"/>
            <w:tcBorders>
              <w:top w:val="single" w:sz="8" w:space="0" w:color="auto"/>
              <w:left w:val="single" w:sz="18" w:space="0" w:color="auto"/>
              <w:bottom w:val="single" w:sz="8" w:space="0" w:color="auto"/>
              <w:right w:val="single" w:sz="18" w:space="0" w:color="auto"/>
            </w:tcBorders>
            <w:hideMark/>
          </w:tcPr>
          <w:p w14:paraId="2FD2D47E" w14:textId="77777777" w:rsidR="001177A2" w:rsidRDefault="001177A2">
            <w:pPr>
              <w:suppressAutoHyphens/>
              <w:jc w:val="center"/>
              <w:rPr>
                <w:kern w:val="16"/>
              </w:rPr>
            </w:pPr>
            <w:r>
              <w:t>$5,000</w:t>
            </w:r>
          </w:p>
        </w:tc>
      </w:tr>
      <w:tr w:rsidR="001177A2" w14:paraId="6B27B77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7BC5B44"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005FAD2" w14:textId="77777777" w:rsidR="001177A2" w:rsidRDefault="001177A2">
            <w:pPr>
              <w:suppressAutoHyphens/>
              <w:jc w:val="center"/>
              <w:rPr>
                <w:kern w:val="16"/>
              </w:rPr>
            </w:pPr>
            <w:r>
              <w:t>$3,500</w:t>
            </w:r>
          </w:p>
        </w:tc>
        <w:tc>
          <w:tcPr>
            <w:tcW w:w="1150" w:type="dxa"/>
            <w:tcBorders>
              <w:top w:val="single" w:sz="4" w:space="0" w:color="auto"/>
              <w:left w:val="single" w:sz="4" w:space="0" w:color="auto"/>
              <w:bottom w:val="single" w:sz="4" w:space="0" w:color="auto"/>
              <w:right w:val="single" w:sz="18" w:space="0" w:color="auto"/>
            </w:tcBorders>
            <w:hideMark/>
          </w:tcPr>
          <w:p w14:paraId="60743031"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6469A2D6" w14:textId="77777777" w:rsidR="001177A2" w:rsidRDefault="001177A2">
            <w:pPr>
              <w:suppressAutoHyphens/>
              <w:jc w:val="center"/>
              <w:rPr>
                <w:kern w:val="16"/>
              </w:rPr>
            </w:pPr>
            <w:r>
              <w:t>$3,500</w:t>
            </w:r>
          </w:p>
        </w:tc>
        <w:tc>
          <w:tcPr>
            <w:tcW w:w="1123" w:type="dxa"/>
            <w:tcBorders>
              <w:top w:val="single" w:sz="4" w:space="0" w:color="auto"/>
              <w:left w:val="single" w:sz="18" w:space="0" w:color="auto"/>
              <w:bottom w:val="single" w:sz="4" w:space="0" w:color="auto"/>
              <w:right w:val="single" w:sz="4" w:space="0" w:color="auto"/>
            </w:tcBorders>
            <w:hideMark/>
          </w:tcPr>
          <w:p w14:paraId="4398E02E" w14:textId="77777777" w:rsidR="001177A2" w:rsidRDefault="001177A2">
            <w:pPr>
              <w:suppressAutoHyphens/>
              <w:jc w:val="center"/>
              <w:rPr>
                <w:kern w:val="16"/>
              </w:rPr>
            </w:pPr>
            <w:r>
              <w:t>$3,000</w:t>
            </w:r>
          </w:p>
        </w:tc>
        <w:tc>
          <w:tcPr>
            <w:tcW w:w="1150" w:type="dxa"/>
            <w:tcBorders>
              <w:top w:val="single" w:sz="4" w:space="0" w:color="auto"/>
              <w:left w:val="single" w:sz="4" w:space="0" w:color="auto"/>
              <w:bottom w:val="single" w:sz="4" w:space="0" w:color="auto"/>
              <w:right w:val="single" w:sz="18" w:space="0" w:color="auto"/>
            </w:tcBorders>
            <w:hideMark/>
          </w:tcPr>
          <w:p w14:paraId="5ADD28E4" w14:textId="77777777" w:rsidR="001177A2" w:rsidRDefault="001177A2">
            <w:pPr>
              <w:suppressAutoHyphens/>
              <w:jc w:val="center"/>
              <w:rPr>
                <w:kern w:val="16"/>
              </w:rPr>
            </w:pPr>
            <w:r>
              <w:t>$500</w:t>
            </w:r>
          </w:p>
        </w:tc>
        <w:tc>
          <w:tcPr>
            <w:tcW w:w="1150" w:type="dxa"/>
            <w:tcBorders>
              <w:top w:val="single" w:sz="8" w:space="0" w:color="auto"/>
              <w:left w:val="single" w:sz="18" w:space="0" w:color="auto"/>
              <w:bottom w:val="single" w:sz="8" w:space="0" w:color="auto"/>
              <w:right w:val="single" w:sz="18" w:space="0" w:color="auto"/>
            </w:tcBorders>
            <w:hideMark/>
          </w:tcPr>
          <w:p w14:paraId="7176870B" w14:textId="77777777" w:rsidR="001177A2" w:rsidRDefault="001177A2">
            <w:pPr>
              <w:suppressAutoHyphens/>
              <w:jc w:val="center"/>
              <w:rPr>
                <w:kern w:val="16"/>
              </w:rPr>
            </w:pPr>
            <w:r>
              <w:t>$3,500</w:t>
            </w:r>
          </w:p>
        </w:tc>
      </w:tr>
      <w:tr w:rsidR="001177A2" w14:paraId="2445548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DB73869"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28FBF3AE"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hideMark/>
          </w:tcPr>
          <w:p w14:paraId="64C02477"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3A43C34C" w14:textId="77777777" w:rsidR="001177A2" w:rsidRDefault="001177A2">
            <w:pPr>
              <w:suppressAutoHyphens/>
              <w:jc w:val="center"/>
              <w:rPr>
                <w:kern w:val="16"/>
              </w:rPr>
            </w:pPr>
            <w:r>
              <w:t>$1,500</w:t>
            </w:r>
          </w:p>
        </w:tc>
        <w:tc>
          <w:tcPr>
            <w:tcW w:w="1123" w:type="dxa"/>
            <w:tcBorders>
              <w:top w:val="single" w:sz="4" w:space="0" w:color="auto"/>
              <w:left w:val="single" w:sz="18" w:space="0" w:color="auto"/>
              <w:bottom w:val="single" w:sz="4" w:space="0" w:color="auto"/>
              <w:right w:val="single" w:sz="4" w:space="0" w:color="auto"/>
            </w:tcBorders>
            <w:hideMark/>
          </w:tcPr>
          <w:p w14:paraId="54A7FAD2"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hideMark/>
          </w:tcPr>
          <w:p w14:paraId="4B4E3DAE" w14:textId="77777777" w:rsidR="001177A2" w:rsidRDefault="001177A2">
            <w:pPr>
              <w:suppressAutoHyphens/>
              <w:jc w:val="center"/>
              <w:rPr>
                <w:kern w:val="16"/>
              </w:rPr>
            </w:pPr>
            <w:r>
              <w:t>$0</w:t>
            </w:r>
          </w:p>
        </w:tc>
        <w:tc>
          <w:tcPr>
            <w:tcW w:w="1150" w:type="dxa"/>
            <w:tcBorders>
              <w:top w:val="single" w:sz="8" w:space="0" w:color="auto"/>
              <w:left w:val="single" w:sz="18" w:space="0" w:color="auto"/>
              <w:bottom w:val="single" w:sz="8" w:space="0" w:color="auto"/>
              <w:right w:val="single" w:sz="18" w:space="0" w:color="auto"/>
            </w:tcBorders>
            <w:hideMark/>
          </w:tcPr>
          <w:p w14:paraId="13A10B90" w14:textId="77777777" w:rsidR="001177A2" w:rsidRDefault="001177A2">
            <w:pPr>
              <w:suppressAutoHyphens/>
              <w:jc w:val="center"/>
              <w:rPr>
                <w:kern w:val="16"/>
              </w:rPr>
            </w:pPr>
            <w:r>
              <w:t>$1,500</w:t>
            </w:r>
          </w:p>
        </w:tc>
      </w:tr>
      <w:tr w:rsidR="001177A2" w14:paraId="2DF8FE7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2C78D64" w14:textId="77777777" w:rsidR="001177A2" w:rsidRDefault="001177A2">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0C87F578"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56E0C2A7"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07985424"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79E0A9E3" w14:textId="77777777" w:rsidR="001177A2" w:rsidRDefault="001177A2">
            <w:pPr>
              <w:suppressAutoHyphens/>
              <w:jc w:val="center"/>
              <w:rPr>
                <w:kern w:val="16"/>
              </w:rPr>
            </w:pPr>
            <w:r>
              <w:t>–$10,000</w:t>
            </w:r>
          </w:p>
        </w:tc>
        <w:tc>
          <w:tcPr>
            <w:tcW w:w="1150" w:type="dxa"/>
            <w:tcBorders>
              <w:top w:val="single" w:sz="4" w:space="0" w:color="auto"/>
              <w:left w:val="single" w:sz="4" w:space="0" w:color="auto"/>
              <w:bottom w:val="single" w:sz="4" w:space="0" w:color="auto"/>
              <w:right w:val="single" w:sz="18" w:space="0" w:color="auto"/>
            </w:tcBorders>
          </w:tcPr>
          <w:p w14:paraId="3AE26E3D"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1BABEEE8" w14:textId="77777777" w:rsidR="001177A2" w:rsidRDefault="001177A2">
            <w:pPr>
              <w:suppressAutoHyphens/>
              <w:jc w:val="center"/>
              <w:rPr>
                <w:kern w:val="16"/>
              </w:rPr>
            </w:pPr>
          </w:p>
        </w:tc>
      </w:tr>
      <w:tr w:rsidR="001177A2" w14:paraId="4632FFB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4447004F" w14:textId="77777777" w:rsidR="001177A2" w:rsidRDefault="001177A2">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72E3B1CF"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24294D9C"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5F931371"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285DB19D"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tcPr>
          <w:p w14:paraId="2D73AC87"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49AE7E60" w14:textId="77777777" w:rsidR="001177A2" w:rsidRDefault="001177A2">
            <w:pPr>
              <w:suppressAutoHyphens/>
              <w:jc w:val="center"/>
              <w:rPr>
                <w:kern w:val="16"/>
              </w:rPr>
            </w:pPr>
          </w:p>
        </w:tc>
      </w:tr>
      <w:tr w:rsidR="001177A2" w14:paraId="6A84F99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D88FD54" w14:textId="77777777" w:rsidR="001177A2" w:rsidRDefault="001177A2">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7B6B3DED"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5C33B910"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474F8057"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4FFB682A"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tcPr>
          <w:p w14:paraId="7AD7F5EF"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4A02DA7E" w14:textId="77777777" w:rsidR="001177A2" w:rsidRDefault="001177A2">
            <w:pPr>
              <w:suppressAutoHyphens/>
              <w:jc w:val="center"/>
              <w:rPr>
                <w:kern w:val="16"/>
              </w:rPr>
            </w:pPr>
          </w:p>
        </w:tc>
      </w:tr>
      <w:tr w:rsidR="001177A2" w14:paraId="49521F9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A685D05" w14:textId="77777777" w:rsidR="001177A2" w:rsidRDefault="001177A2">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60C534A6"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0881A81D" w14:textId="77777777" w:rsidR="001177A2" w:rsidRDefault="001177A2">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711B11E9"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368B0C62" w14:textId="77777777" w:rsidR="001177A2" w:rsidRDefault="001177A2">
            <w:pPr>
              <w:suppressAutoHyphens/>
              <w:jc w:val="center"/>
              <w:rPr>
                <w:kern w:val="16"/>
              </w:rPr>
            </w:pPr>
            <w:r>
              <w:t>$500</w:t>
            </w:r>
          </w:p>
        </w:tc>
        <w:tc>
          <w:tcPr>
            <w:tcW w:w="1150" w:type="dxa"/>
            <w:tcBorders>
              <w:top w:val="single" w:sz="4" w:space="0" w:color="auto"/>
              <w:left w:val="single" w:sz="4" w:space="0" w:color="auto"/>
              <w:bottom w:val="single" w:sz="4" w:space="0" w:color="auto"/>
              <w:right w:val="single" w:sz="18" w:space="0" w:color="auto"/>
            </w:tcBorders>
          </w:tcPr>
          <w:p w14:paraId="0F66E572" w14:textId="77777777" w:rsidR="001177A2" w:rsidRDefault="001177A2">
            <w:pPr>
              <w:suppressAutoHyphens/>
              <w:jc w:val="center"/>
              <w:rPr>
                <w:kern w:val="16"/>
              </w:rPr>
            </w:pPr>
          </w:p>
        </w:tc>
        <w:tc>
          <w:tcPr>
            <w:tcW w:w="1150" w:type="dxa"/>
            <w:tcBorders>
              <w:top w:val="single" w:sz="8" w:space="0" w:color="auto"/>
              <w:left w:val="single" w:sz="18" w:space="0" w:color="auto"/>
              <w:bottom w:val="single" w:sz="18" w:space="0" w:color="auto"/>
              <w:right w:val="single" w:sz="18" w:space="0" w:color="auto"/>
            </w:tcBorders>
          </w:tcPr>
          <w:p w14:paraId="797CF1B8" w14:textId="77777777" w:rsidR="001177A2" w:rsidRDefault="001177A2">
            <w:pPr>
              <w:suppressAutoHyphens/>
              <w:jc w:val="center"/>
              <w:rPr>
                <w:kern w:val="16"/>
              </w:rPr>
            </w:pPr>
          </w:p>
        </w:tc>
      </w:tr>
    </w:tbl>
    <w:p w14:paraId="6E92FEE1" w14:textId="77777777" w:rsidR="007A2435" w:rsidRDefault="007A2435" w:rsidP="00D8261A">
      <w:pPr>
        <w:pStyle w:val="Paragraph"/>
        <w:spacing w:before="0" w:after="240" w:line="300" w:lineRule="auto"/>
        <w:rPr>
          <w:rFonts w:ascii="Arial" w:hAnsi="Arial" w:cs="Arial"/>
        </w:rPr>
      </w:pPr>
    </w:p>
    <w:p w14:paraId="1848F6D3" w14:textId="77777777" w:rsidR="00447056" w:rsidRPr="00D8261A" w:rsidRDefault="001177A2" w:rsidP="00877DDB">
      <w:pPr>
        <w:pStyle w:val="BPM"/>
      </w:pPr>
      <w:r w:rsidRPr="00D8261A">
        <w:t>Where it is assumed that GHG compliance costs for G</w:t>
      </w:r>
      <w:r w:rsidRPr="00D8261A">
        <w:rPr>
          <w:vertAlign w:val="subscript"/>
        </w:rPr>
        <w:t>1</w:t>
      </w:r>
      <w:r w:rsidRPr="00D8261A">
        <w:t xml:space="preserve"> are included in the energy bid (cost) and recovered through the energy payment, </w:t>
      </w:r>
      <w:r w:rsidR="00D220F2" w:rsidRPr="00A11346">
        <w:t xml:space="preserve">and </w:t>
      </w:r>
      <w:r w:rsidRPr="00D8261A">
        <w:t>as such</w:t>
      </w:r>
      <w:r w:rsidR="00D220F2" w:rsidRPr="00A11346">
        <w:t xml:space="preserve"> </w:t>
      </w:r>
      <w:r w:rsidRPr="00D8261A">
        <w:t>they are not shown explicitly. It can be seen in the settlement results above that the total payment to each generator is sufficient to cover the respective energy and GHG compliance costs.</w:t>
      </w:r>
    </w:p>
    <w:p w14:paraId="4231C482" w14:textId="77777777" w:rsidR="009C4072" w:rsidRPr="00A11346" w:rsidRDefault="009C4072" w:rsidP="00D8261A">
      <w:pPr>
        <w:pStyle w:val="Paragraph"/>
        <w:spacing w:before="0" w:after="240" w:line="300" w:lineRule="auto"/>
        <w:rPr>
          <w:rFonts w:ascii="Arial" w:hAnsi="Arial" w:cs="Arial"/>
        </w:rPr>
      </w:pPr>
    </w:p>
    <w:p w14:paraId="0A4C907D" w14:textId="77777777" w:rsidR="00690C93" w:rsidRDefault="00690C93" w:rsidP="00D8261A">
      <w:pPr>
        <w:pStyle w:val="Paragraph"/>
        <w:spacing w:before="0" w:after="240" w:line="300" w:lineRule="auto"/>
        <w:rPr>
          <w:rFonts w:cs="Arial"/>
        </w:rPr>
      </w:pPr>
    </w:p>
    <w:p w14:paraId="364FB60C" w14:textId="77777777" w:rsidR="009D57CA" w:rsidRPr="00D8261A" w:rsidRDefault="00690C93" w:rsidP="00877DDB">
      <w:pPr>
        <w:pStyle w:val="Paragraph"/>
        <w:spacing w:before="0" w:after="240" w:line="300" w:lineRule="auto"/>
        <w:rPr>
          <w:rFonts w:ascii="Arial" w:hAnsi="Arial" w:cs="Arial"/>
          <w:b/>
        </w:rPr>
      </w:pPr>
      <w:r w:rsidRPr="00D8261A">
        <w:rPr>
          <w:rFonts w:ascii="Arial" w:hAnsi="Arial" w:cs="Arial"/>
          <w:b/>
        </w:rPr>
        <w:t>Example 2</w:t>
      </w:r>
    </w:p>
    <w:p w14:paraId="2B07AB66" w14:textId="77777777" w:rsidR="001177A2" w:rsidRPr="004F3267" w:rsidRDefault="001177A2" w:rsidP="00877DDB">
      <w:pPr>
        <w:pStyle w:val="BPM"/>
      </w:pPr>
      <w:bookmarkStart w:id="1942" w:name="_Toc367722318"/>
      <w:bookmarkStart w:id="1943" w:name="_Toc364148863"/>
      <w:bookmarkStart w:id="1944" w:name="_Toc364147773"/>
      <w:bookmarkStart w:id="1945" w:name="_Toc363813082"/>
      <w:bookmarkStart w:id="1946" w:name="_Toc363802647"/>
      <w:bookmarkStart w:id="1947" w:name="_Toc363747655"/>
      <w:bookmarkStart w:id="1948" w:name="_Toc363747520"/>
      <w:bookmarkStart w:id="1949" w:name="_Toc360527188"/>
      <w:bookmarkStart w:id="1950" w:name="_Toc357770681"/>
      <w:bookmarkStart w:id="1951" w:name="_Toc357700103"/>
      <w:bookmarkStart w:id="1952" w:name="_Toc357692055"/>
      <w:bookmarkEnd w:id="1942"/>
      <w:bookmarkEnd w:id="1943"/>
      <w:bookmarkEnd w:id="1944"/>
      <w:bookmarkEnd w:id="1945"/>
      <w:bookmarkEnd w:id="1946"/>
      <w:bookmarkEnd w:id="1947"/>
      <w:bookmarkEnd w:id="1948"/>
      <w:bookmarkEnd w:id="1949"/>
      <w:bookmarkEnd w:id="1950"/>
      <w:bookmarkEnd w:id="1951"/>
      <w:bookmarkEnd w:id="1952"/>
      <w:r w:rsidRPr="004F3267">
        <w:t xml:space="preserve">This is a variation on the first example where G3 reduces its bid price to $28 to become a more competitive exporter to the </w:t>
      </w:r>
      <w:r w:rsidR="0058562B">
        <w:t>CA</w:t>
      </w:r>
      <w:r w:rsidRPr="004F3267">
        <w:t>ISO compared to G2, taking into account the additional GHG compliance bid of $6/MWh. In this case,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19138A3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473501" w14:textId="77777777" w:rsidR="001177A2" w:rsidRDefault="001177A2">
            <w:pPr>
              <w:suppressAutoHyphens/>
              <w:jc w:val="center"/>
              <w:rPr>
                <w:b/>
                <w:kern w:val="16"/>
              </w:rPr>
            </w:pPr>
            <w:r>
              <w:rPr>
                <w:b/>
              </w:rPr>
              <w:lastRenderedPageBreak/>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C9561C"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F9357C"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858A33" w14:textId="77777777" w:rsidR="001177A2" w:rsidRDefault="001177A2">
            <w:pPr>
              <w:suppressAutoHyphens/>
              <w:jc w:val="center"/>
              <w:rPr>
                <w:b/>
                <w:kern w:val="16"/>
              </w:rPr>
            </w:pPr>
            <w:r>
              <w:rPr>
                <w:b/>
              </w:rPr>
              <w:t>LMP</w:t>
            </w:r>
            <w:r>
              <w:rPr>
                <w:b/>
              </w:rPr>
              <w:br/>
              <w:t>($/MWh)</w:t>
            </w:r>
          </w:p>
        </w:tc>
      </w:tr>
      <w:tr w:rsidR="001177A2" w14:paraId="25F317C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DA92E1A"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E5A6D0A"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E16116A"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FA70837" w14:textId="77777777" w:rsidR="001177A2" w:rsidRDefault="001177A2">
            <w:pPr>
              <w:suppressAutoHyphens/>
              <w:jc w:val="center"/>
              <w:rPr>
                <w:kern w:val="16"/>
              </w:rPr>
            </w:pPr>
            <w:r>
              <w:t>50</w:t>
            </w:r>
          </w:p>
        </w:tc>
      </w:tr>
      <w:tr w:rsidR="001177A2" w14:paraId="14070E6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9E4C393" w14:textId="77777777" w:rsidR="001177A2" w:rsidRDefault="001177A2">
            <w:pPr>
              <w:suppressAutoHyphens/>
              <w:jc w:val="center"/>
              <w:rPr>
                <w:kern w:val="16"/>
                <w:vertAlign w:val="subscript"/>
              </w:rPr>
            </w:pPr>
            <w:r>
              <w:t>G2</w:t>
            </w:r>
          </w:p>
        </w:tc>
        <w:tc>
          <w:tcPr>
            <w:tcW w:w="0" w:type="auto"/>
            <w:tcBorders>
              <w:top w:val="single" w:sz="4" w:space="0" w:color="auto"/>
              <w:left w:val="single" w:sz="4" w:space="0" w:color="auto"/>
              <w:bottom w:val="single" w:sz="4" w:space="0" w:color="auto"/>
              <w:right w:val="single" w:sz="4" w:space="0" w:color="auto"/>
            </w:tcBorders>
            <w:hideMark/>
          </w:tcPr>
          <w:p w14:paraId="582FCFC5"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D428BAA"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CF4BD18" w14:textId="77777777" w:rsidR="001177A2" w:rsidRDefault="001177A2">
            <w:pPr>
              <w:suppressAutoHyphens/>
              <w:jc w:val="center"/>
              <w:rPr>
                <w:kern w:val="16"/>
              </w:rPr>
            </w:pPr>
            <w:r>
              <w:t>28</w:t>
            </w:r>
          </w:p>
        </w:tc>
      </w:tr>
      <w:tr w:rsidR="001177A2" w14:paraId="5257E6BF"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DBF2561"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5909F665" w14:textId="77777777" w:rsidR="001177A2" w:rsidRDefault="001177A2">
            <w:pPr>
              <w:suppressAutoHyphens/>
              <w:jc w:val="center"/>
              <w:rPr>
                <w:kern w:val="16"/>
              </w:rPr>
            </w:pPr>
            <w:r>
              <w:t>150</w:t>
            </w:r>
          </w:p>
        </w:tc>
        <w:tc>
          <w:tcPr>
            <w:tcW w:w="0" w:type="auto"/>
            <w:tcBorders>
              <w:top w:val="single" w:sz="4" w:space="0" w:color="auto"/>
              <w:left w:val="single" w:sz="4" w:space="0" w:color="auto"/>
              <w:bottom w:val="single" w:sz="4" w:space="0" w:color="auto"/>
              <w:right w:val="single" w:sz="4" w:space="0" w:color="auto"/>
            </w:tcBorders>
            <w:hideMark/>
          </w:tcPr>
          <w:p w14:paraId="6E3E59C7"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907265F" w14:textId="77777777" w:rsidR="001177A2" w:rsidRDefault="001177A2">
            <w:pPr>
              <w:suppressAutoHyphens/>
              <w:jc w:val="center"/>
              <w:rPr>
                <w:kern w:val="16"/>
              </w:rPr>
            </w:pPr>
            <w:r>
              <w:t>28</w:t>
            </w:r>
          </w:p>
        </w:tc>
      </w:tr>
      <w:tr w:rsidR="001177A2" w14:paraId="4060D16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13C1E3B"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4A60860A"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740307D8"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350DDFC" w14:textId="77777777" w:rsidR="001177A2" w:rsidRDefault="001177A2">
            <w:pPr>
              <w:suppressAutoHyphens/>
              <w:jc w:val="center"/>
              <w:rPr>
                <w:kern w:val="16"/>
              </w:rPr>
            </w:pPr>
            <w:r>
              <w:t>50</w:t>
            </w:r>
          </w:p>
        </w:tc>
      </w:tr>
      <w:tr w:rsidR="001177A2" w14:paraId="2AB2C4D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D4E59D9"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21D9B639"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8305AC3"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216AB34" w14:textId="77777777" w:rsidR="001177A2" w:rsidRDefault="001177A2">
            <w:pPr>
              <w:suppressAutoHyphens/>
              <w:jc w:val="center"/>
              <w:rPr>
                <w:kern w:val="16"/>
              </w:rPr>
            </w:pPr>
            <w:r>
              <w:t>28</w:t>
            </w:r>
          </w:p>
        </w:tc>
      </w:tr>
    </w:tbl>
    <w:p w14:paraId="2736CCAB" w14:textId="77777777" w:rsidR="001177A2" w:rsidRDefault="001177A2" w:rsidP="001177A2">
      <w:pPr>
        <w:jc w:val="center"/>
      </w:pPr>
      <w:r>
        <w:t xml:space="preserve">Example 2: </w:t>
      </w:r>
      <m:oMath>
        <m:r>
          <m:rPr>
            <m:sty m:val="p"/>
          </m:rPr>
          <w:rPr>
            <w:rFonts w:ascii="Cambria Math" w:hAnsi="Cambria Math"/>
          </w:rPr>
          <m:t>µ</m:t>
        </m:r>
      </m:oMath>
      <w:r>
        <w:t xml:space="preserve"> = –$16/MWh; </w:t>
      </w:r>
      <m:oMath>
        <m:r>
          <m:rPr>
            <m:sty m:val="p"/>
          </m:rPr>
          <w:rPr>
            <w:rFonts w:ascii="Cambria Math" w:hAnsi="Cambria Math"/>
          </w:rPr>
          <m:t>η</m:t>
        </m:r>
      </m:oMath>
      <w:r>
        <w:t xml:space="preserve"> = –$6/MWh</w:t>
      </w:r>
    </w:p>
    <w:p w14:paraId="7C567E0E" w14:textId="77777777" w:rsidR="00FC6F91" w:rsidRDefault="00FC6F91" w:rsidP="001177A2">
      <w:pPr>
        <w:jc w:val="center"/>
        <w:rPr>
          <w:kern w:val="16"/>
        </w:rPr>
      </w:pPr>
    </w:p>
    <w:p w14:paraId="1D2ED94C" w14:textId="77777777" w:rsidR="001177A2" w:rsidRPr="000F299B" w:rsidRDefault="001177A2" w:rsidP="00877DDB">
      <w:pPr>
        <w:pStyle w:val="BPM"/>
      </w:pPr>
      <w:r w:rsidRPr="000F299B">
        <w:t xml:space="preserve">G3 is the least expensive resource for serving L2, and as such it sets the LMP in the EIM Entity Area to $28/MWh. It is also the least expensive resource for serving L1 at $34/MWh (including the $6/MWh GHG compliance cost). Consequently, G3 is dispatched at 150MW with 100MW exported to the </w:t>
      </w:r>
      <w:r w:rsidR="0058562B">
        <w:t>CA</w:t>
      </w:r>
      <w:r w:rsidRPr="000F299B">
        <w:t xml:space="preserve">ISO at the limit of the power transfer capability. The balance of 100MW of L1 can only be served by G1, which sets the LMP in the </w:t>
      </w:r>
      <w:r w:rsidR="0058562B">
        <w:t>CA</w:t>
      </w:r>
      <w:r w:rsidRPr="000F299B">
        <w:t>ISO to $50/MWh.</w:t>
      </w:r>
    </w:p>
    <w:p w14:paraId="2952F5FA" w14:textId="77777777" w:rsidR="001177A2" w:rsidRPr="000F299B" w:rsidRDefault="001177A2" w:rsidP="00877DDB">
      <w:pPr>
        <w:pStyle w:val="BPM"/>
      </w:pPr>
      <w:r w:rsidRPr="000F299B">
        <w:t>The LMP difference of $22/MWh is made up by the marginal congestion cost of $16/MWh and the marginal GHG compliance cost of $6/MWh. The marginal congestion cost can be easily verified if the power transfer limit is relaxed by 1MW to 101MW, in which case one additional MWh from G3 will displace 1MWh from G1 for a net benefit of $16. The marginal GHG compliance cost can be easily verified if the export allocation (which carries the GHYG allowance cost) is relaxed by 1 MW to 99MW, in which case 1MWh from G3 will not incur GHG allowance costs for a benefit of $6.</w:t>
      </w:r>
    </w:p>
    <w:p w14:paraId="6EB34897" w14:textId="77777777" w:rsidR="00970A1B" w:rsidRPr="000F299B" w:rsidRDefault="001177A2" w:rsidP="00877DDB">
      <w:pPr>
        <w:pStyle w:val="BPM"/>
      </w:pPr>
      <w:r w:rsidRPr="000F299B">
        <w:t>The marginal congestion cost of $16/MWh and the marginal GHG compliance cost of $6/MWh on a 100MWh energy export result in a congestion revenue of $1,600 and a GHG compliance revenue of $600,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123"/>
        <w:gridCol w:w="1123"/>
        <w:gridCol w:w="1443"/>
        <w:gridCol w:w="1150"/>
      </w:tblGrid>
      <w:tr w:rsidR="001177A2" w14:paraId="740B1D3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F4C1B6"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B862DF" w14:textId="77777777" w:rsidR="001177A2" w:rsidRDefault="001177A2">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2B5D350" w14:textId="77777777" w:rsidR="001177A2" w:rsidRDefault="001177A2">
            <w:pPr>
              <w:suppressAutoHyphens/>
              <w:jc w:val="center"/>
              <w:rPr>
                <w:b/>
                <w:kern w:val="16"/>
              </w:rPr>
            </w:pPr>
            <w:r>
              <w:rPr>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547876C8" w14:textId="77777777" w:rsidR="001177A2" w:rsidRDefault="001177A2">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2C71C4E1" w14:textId="77777777" w:rsidR="001177A2" w:rsidRDefault="001177A2">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239AA6A2" w14:textId="77777777" w:rsidR="001177A2" w:rsidRDefault="001177A2">
            <w:pPr>
              <w:suppressAutoHyphens/>
              <w:jc w:val="center"/>
              <w:rPr>
                <w:b/>
                <w:kern w:val="16"/>
              </w:rPr>
            </w:pPr>
            <w:r>
              <w:rPr>
                <w:b/>
              </w:rPr>
              <w:t>GHG Compliance Payment</w:t>
            </w:r>
          </w:p>
        </w:tc>
        <w:tc>
          <w:tcPr>
            <w:tcW w:w="1150"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7EF765D8" w14:textId="77777777" w:rsidR="001177A2" w:rsidRDefault="001177A2">
            <w:pPr>
              <w:suppressAutoHyphens/>
              <w:jc w:val="center"/>
              <w:rPr>
                <w:b/>
                <w:kern w:val="16"/>
              </w:rPr>
            </w:pPr>
            <w:r>
              <w:rPr>
                <w:b/>
              </w:rPr>
              <w:t>Total Payment</w:t>
            </w:r>
          </w:p>
        </w:tc>
      </w:tr>
      <w:tr w:rsidR="001177A2" w14:paraId="39CAD907"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96D53BF"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232B535" w14:textId="77777777" w:rsidR="001177A2" w:rsidRDefault="001177A2">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0E5E7E89" w14:textId="77777777" w:rsidR="001177A2" w:rsidRDefault="001177A2">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5A28FDCC" w14:textId="77777777" w:rsidR="001177A2" w:rsidRDefault="001177A2">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719D6581" w14:textId="77777777" w:rsidR="001177A2" w:rsidRDefault="001177A2">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3E4C035E" w14:textId="77777777" w:rsidR="001177A2" w:rsidRDefault="001177A2">
            <w:pPr>
              <w:suppressAutoHyphens/>
              <w:jc w:val="center"/>
              <w:rPr>
                <w:kern w:val="16"/>
              </w:rPr>
            </w:pPr>
            <w:r>
              <w:t>-</w:t>
            </w:r>
          </w:p>
        </w:tc>
        <w:tc>
          <w:tcPr>
            <w:tcW w:w="1150" w:type="dxa"/>
            <w:tcBorders>
              <w:top w:val="single" w:sz="4" w:space="0" w:color="auto"/>
              <w:left w:val="single" w:sz="18" w:space="0" w:color="auto"/>
              <w:bottom w:val="single" w:sz="4" w:space="0" w:color="auto"/>
              <w:right w:val="single" w:sz="18" w:space="0" w:color="auto"/>
            </w:tcBorders>
            <w:hideMark/>
          </w:tcPr>
          <w:p w14:paraId="052A1095" w14:textId="77777777" w:rsidR="001177A2" w:rsidRDefault="001177A2">
            <w:pPr>
              <w:suppressAutoHyphens/>
              <w:jc w:val="center"/>
              <w:rPr>
                <w:kern w:val="16"/>
              </w:rPr>
            </w:pPr>
            <w:r>
              <w:t>$5,000</w:t>
            </w:r>
          </w:p>
        </w:tc>
      </w:tr>
      <w:tr w:rsidR="001177A2" w14:paraId="754F331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5F4C486" w14:textId="77777777" w:rsidR="001177A2" w:rsidRDefault="001177A2">
            <w:pPr>
              <w:suppressAutoHyphens/>
              <w:jc w:val="center"/>
              <w:rPr>
                <w:kern w:val="16"/>
                <w:vertAlign w:val="subscript"/>
              </w:rPr>
            </w:pPr>
            <w:r>
              <w:lastRenderedPageBreak/>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0A242080" w14:textId="77777777" w:rsidR="001177A2" w:rsidRDefault="001177A2">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hideMark/>
          </w:tcPr>
          <w:p w14:paraId="26FF7D7B"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327DAD41"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4" w:space="0" w:color="auto"/>
            </w:tcBorders>
            <w:hideMark/>
          </w:tcPr>
          <w:p w14:paraId="1A6C5ABA" w14:textId="77777777" w:rsidR="001177A2" w:rsidRDefault="001177A2">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hideMark/>
          </w:tcPr>
          <w:p w14:paraId="49E14951" w14:textId="77777777" w:rsidR="001177A2" w:rsidRDefault="001177A2">
            <w:pPr>
              <w:suppressAutoHyphens/>
              <w:jc w:val="center"/>
              <w:rPr>
                <w:kern w:val="16"/>
              </w:rPr>
            </w:pPr>
            <w:r>
              <w:t>$0</w:t>
            </w:r>
          </w:p>
        </w:tc>
        <w:tc>
          <w:tcPr>
            <w:tcW w:w="1150" w:type="dxa"/>
            <w:tcBorders>
              <w:top w:val="single" w:sz="4" w:space="0" w:color="auto"/>
              <w:left w:val="single" w:sz="18" w:space="0" w:color="auto"/>
              <w:bottom w:val="single" w:sz="4" w:space="0" w:color="auto"/>
              <w:right w:val="single" w:sz="18" w:space="0" w:color="auto"/>
            </w:tcBorders>
            <w:hideMark/>
          </w:tcPr>
          <w:p w14:paraId="62C687A8" w14:textId="77777777" w:rsidR="001177A2" w:rsidRDefault="001177A2">
            <w:pPr>
              <w:suppressAutoHyphens/>
              <w:jc w:val="center"/>
              <w:rPr>
                <w:kern w:val="16"/>
              </w:rPr>
            </w:pPr>
            <w:r>
              <w:t>$0</w:t>
            </w:r>
          </w:p>
        </w:tc>
      </w:tr>
      <w:tr w:rsidR="001177A2" w14:paraId="0F9CD52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A66D064"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5555759A" w14:textId="77777777" w:rsidR="001177A2" w:rsidRDefault="001177A2">
            <w:pPr>
              <w:suppressAutoHyphens/>
              <w:jc w:val="center"/>
              <w:rPr>
                <w:kern w:val="16"/>
              </w:rPr>
            </w:pPr>
            <w:r>
              <w:t>$4,200</w:t>
            </w:r>
          </w:p>
        </w:tc>
        <w:tc>
          <w:tcPr>
            <w:tcW w:w="1443" w:type="dxa"/>
            <w:tcBorders>
              <w:top w:val="single" w:sz="4" w:space="0" w:color="auto"/>
              <w:left w:val="single" w:sz="4" w:space="0" w:color="auto"/>
              <w:bottom w:val="single" w:sz="4" w:space="0" w:color="auto"/>
              <w:right w:val="single" w:sz="18" w:space="0" w:color="auto"/>
            </w:tcBorders>
            <w:hideMark/>
          </w:tcPr>
          <w:p w14:paraId="4A8D76BA" w14:textId="77777777" w:rsidR="001177A2" w:rsidRDefault="001177A2">
            <w:pPr>
              <w:suppressAutoHyphens/>
              <w:jc w:val="center"/>
              <w:rPr>
                <w:kern w:val="16"/>
              </w:rPr>
            </w:pPr>
            <w:r>
              <w:t>$600</w:t>
            </w:r>
          </w:p>
        </w:tc>
        <w:tc>
          <w:tcPr>
            <w:tcW w:w="1123" w:type="dxa"/>
            <w:tcBorders>
              <w:top w:val="single" w:sz="4" w:space="0" w:color="auto"/>
              <w:left w:val="single" w:sz="18" w:space="0" w:color="auto"/>
              <w:bottom w:val="single" w:sz="4" w:space="0" w:color="auto"/>
              <w:right w:val="single" w:sz="18" w:space="0" w:color="auto"/>
            </w:tcBorders>
            <w:hideMark/>
          </w:tcPr>
          <w:p w14:paraId="301098FC" w14:textId="77777777" w:rsidR="001177A2" w:rsidRDefault="001177A2">
            <w:pPr>
              <w:suppressAutoHyphens/>
              <w:jc w:val="center"/>
              <w:rPr>
                <w:kern w:val="16"/>
              </w:rPr>
            </w:pPr>
            <w:r>
              <w:t>$4,800</w:t>
            </w:r>
          </w:p>
        </w:tc>
        <w:tc>
          <w:tcPr>
            <w:tcW w:w="1123" w:type="dxa"/>
            <w:tcBorders>
              <w:top w:val="single" w:sz="4" w:space="0" w:color="auto"/>
              <w:left w:val="single" w:sz="18" w:space="0" w:color="auto"/>
              <w:bottom w:val="single" w:sz="4" w:space="0" w:color="auto"/>
              <w:right w:val="single" w:sz="4" w:space="0" w:color="auto"/>
            </w:tcBorders>
            <w:hideMark/>
          </w:tcPr>
          <w:p w14:paraId="07C9C61B" w14:textId="77777777" w:rsidR="001177A2" w:rsidRDefault="001177A2">
            <w:pPr>
              <w:suppressAutoHyphens/>
              <w:jc w:val="center"/>
              <w:rPr>
                <w:kern w:val="16"/>
              </w:rPr>
            </w:pPr>
            <w:r>
              <w:t>$4,200</w:t>
            </w:r>
          </w:p>
        </w:tc>
        <w:tc>
          <w:tcPr>
            <w:tcW w:w="1443" w:type="dxa"/>
            <w:tcBorders>
              <w:top w:val="single" w:sz="4" w:space="0" w:color="auto"/>
              <w:left w:val="single" w:sz="4" w:space="0" w:color="auto"/>
              <w:bottom w:val="single" w:sz="4" w:space="0" w:color="auto"/>
              <w:right w:val="single" w:sz="18" w:space="0" w:color="auto"/>
            </w:tcBorders>
            <w:hideMark/>
          </w:tcPr>
          <w:p w14:paraId="62C1A304" w14:textId="77777777" w:rsidR="001177A2" w:rsidRDefault="001177A2">
            <w:pPr>
              <w:suppressAutoHyphens/>
              <w:jc w:val="center"/>
              <w:rPr>
                <w:kern w:val="16"/>
              </w:rPr>
            </w:pPr>
            <w:r>
              <w:t>$600</w:t>
            </w:r>
          </w:p>
        </w:tc>
        <w:tc>
          <w:tcPr>
            <w:tcW w:w="1150" w:type="dxa"/>
            <w:tcBorders>
              <w:top w:val="single" w:sz="4" w:space="0" w:color="auto"/>
              <w:left w:val="single" w:sz="18" w:space="0" w:color="auto"/>
              <w:bottom w:val="single" w:sz="4" w:space="0" w:color="auto"/>
              <w:right w:val="single" w:sz="18" w:space="0" w:color="auto"/>
            </w:tcBorders>
            <w:hideMark/>
          </w:tcPr>
          <w:p w14:paraId="3997CCE9" w14:textId="77777777" w:rsidR="001177A2" w:rsidRDefault="001177A2">
            <w:pPr>
              <w:suppressAutoHyphens/>
              <w:jc w:val="center"/>
              <w:rPr>
                <w:kern w:val="16"/>
              </w:rPr>
            </w:pPr>
            <w:r>
              <w:t>$4,800</w:t>
            </w:r>
          </w:p>
        </w:tc>
      </w:tr>
      <w:tr w:rsidR="001177A2" w14:paraId="50DF7F3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EAABA40" w14:textId="77777777" w:rsidR="001177A2" w:rsidRDefault="001177A2">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46B7E4BE"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7CF2F6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025A6F3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26960ED" w14:textId="77777777" w:rsidR="001177A2" w:rsidRDefault="001177A2">
            <w:pPr>
              <w:suppressAutoHyphens/>
              <w:jc w:val="center"/>
              <w:rPr>
                <w:kern w:val="16"/>
              </w:rPr>
            </w:pPr>
            <w:r>
              <w:t>–$10,000</w:t>
            </w:r>
          </w:p>
        </w:tc>
        <w:tc>
          <w:tcPr>
            <w:tcW w:w="1443" w:type="dxa"/>
            <w:tcBorders>
              <w:top w:val="single" w:sz="4" w:space="0" w:color="auto"/>
              <w:left w:val="single" w:sz="4" w:space="0" w:color="auto"/>
              <w:bottom w:val="single" w:sz="4" w:space="0" w:color="auto"/>
              <w:right w:val="single" w:sz="18" w:space="0" w:color="auto"/>
            </w:tcBorders>
          </w:tcPr>
          <w:p w14:paraId="7FB85D08"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ED5F331" w14:textId="77777777" w:rsidR="001177A2" w:rsidRDefault="001177A2">
            <w:pPr>
              <w:suppressAutoHyphens/>
              <w:jc w:val="center"/>
              <w:rPr>
                <w:kern w:val="16"/>
              </w:rPr>
            </w:pPr>
          </w:p>
        </w:tc>
      </w:tr>
      <w:tr w:rsidR="001177A2" w14:paraId="055301C7"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920F1DF" w14:textId="77777777" w:rsidR="001177A2" w:rsidRDefault="001177A2">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6FEBC004"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423248A6"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E19D110"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F761499" w14:textId="77777777" w:rsidR="001177A2" w:rsidRDefault="001177A2">
            <w:pPr>
              <w:suppressAutoHyphens/>
              <w:jc w:val="center"/>
              <w:rPr>
                <w:kern w:val="16"/>
              </w:rPr>
            </w:pPr>
            <w:r>
              <w:t>–$1,400</w:t>
            </w:r>
          </w:p>
        </w:tc>
        <w:tc>
          <w:tcPr>
            <w:tcW w:w="1443" w:type="dxa"/>
            <w:tcBorders>
              <w:top w:val="single" w:sz="4" w:space="0" w:color="auto"/>
              <w:left w:val="single" w:sz="4" w:space="0" w:color="auto"/>
              <w:bottom w:val="single" w:sz="4" w:space="0" w:color="auto"/>
              <w:right w:val="single" w:sz="18" w:space="0" w:color="auto"/>
            </w:tcBorders>
          </w:tcPr>
          <w:p w14:paraId="50011DDA"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5E32017" w14:textId="77777777" w:rsidR="001177A2" w:rsidRDefault="001177A2">
            <w:pPr>
              <w:suppressAutoHyphens/>
              <w:jc w:val="center"/>
              <w:rPr>
                <w:kern w:val="16"/>
              </w:rPr>
            </w:pPr>
          </w:p>
        </w:tc>
      </w:tr>
      <w:tr w:rsidR="001177A2" w14:paraId="55AC55D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C77E697" w14:textId="77777777" w:rsidR="001177A2" w:rsidRDefault="001177A2">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7ED60AA4"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746322F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A418BCB"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F9C9C6C" w14:textId="77777777" w:rsidR="001177A2" w:rsidRDefault="001177A2">
            <w:pPr>
              <w:suppressAutoHyphens/>
              <w:jc w:val="center"/>
              <w:rPr>
                <w:kern w:val="16"/>
              </w:rPr>
            </w:pPr>
            <w:r>
              <w:t>$1,600</w:t>
            </w:r>
          </w:p>
        </w:tc>
        <w:tc>
          <w:tcPr>
            <w:tcW w:w="1443" w:type="dxa"/>
            <w:tcBorders>
              <w:top w:val="single" w:sz="4" w:space="0" w:color="auto"/>
              <w:left w:val="single" w:sz="4" w:space="0" w:color="auto"/>
              <w:bottom w:val="single" w:sz="4" w:space="0" w:color="auto"/>
              <w:right w:val="single" w:sz="18" w:space="0" w:color="auto"/>
            </w:tcBorders>
          </w:tcPr>
          <w:p w14:paraId="1629C57C"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B89EF40" w14:textId="77777777" w:rsidR="001177A2" w:rsidRDefault="001177A2">
            <w:pPr>
              <w:suppressAutoHyphens/>
              <w:jc w:val="center"/>
              <w:rPr>
                <w:kern w:val="16"/>
              </w:rPr>
            </w:pPr>
          </w:p>
        </w:tc>
      </w:tr>
      <w:tr w:rsidR="001177A2" w14:paraId="2BD4BCF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4F663960" w14:textId="77777777" w:rsidR="001177A2" w:rsidRDefault="001177A2">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1FB40606"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5857C81B" w14:textId="77777777" w:rsidR="001177A2" w:rsidRDefault="001177A2">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3AA488EE"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525D320" w14:textId="77777777" w:rsidR="001177A2" w:rsidRDefault="001177A2">
            <w:pPr>
              <w:suppressAutoHyphens/>
              <w:jc w:val="center"/>
              <w:rPr>
                <w:kern w:val="16"/>
              </w:rPr>
            </w:pPr>
            <w:r>
              <w:t>$600</w:t>
            </w:r>
          </w:p>
        </w:tc>
        <w:tc>
          <w:tcPr>
            <w:tcW w:w="1443" w:type="dxa"/>
            <w:tcBorders>
              <w:top w:val="single" w:sz="4" w:space="0" w:color="auto"/>
              <w:left w:val="single" w:sz="4" w:space="0" w:color="auto"/>
              <w:bottom w:val="single" w:sz="4" w:space="0" w:color="auto"/>
              <w:right w:val="single" w:sz="18" w:space="0" w:color="auto"/>
            </w:tcBorders>
          </w:tcPr>
          <w:p w14:paraId="2721431A" w14:textId="77777777" w:rsidR="001177A2" w:rsidRDefault="001177A2">
            <w:pPr>
              <w:suppressAutoHyphens/>
              <w:jc w:val="center"/>
              <w:rPr>
                <w:kern w:val="16"/>
              </w:rPr>
            </w:pPr>
          </w:p>
        </w:tc>
        <w:tc>
          <w:tcPr>
            <w:tcW w:w="1150" w:type="dxa"/>
            <w:tcBorders>
              <w:top w:val="single" w:sz="4" w:space="0" w:color="auto"/>
              <w:left w:val="single" w:sz="18" w:space="0" w:color="auto"/>
              <w:bottom w:val="single" w:sz="18" w:space="0" w:color="auto"/>
              <w:right w:val="single" w:sz="18" w:space="0" w:color="auto"/>
            </w:tcBorders>
          </w:tcPr>
          <w:p w14:paraId="4217F311" w14:textId="77777777" w:rsidR="001177A2" w:rsidRDefault="001177A2">
            <w:pPr>
              <w:suppressAutoHyphens/>
              <w:jc w:val="center"/>
              <w:rPr>
                <w:kern w:val="16"/>
              </w:rPr>
            </w:pPr>
          </w:p>
        </w:tc>
      </w:tr>
    </w:tbl>
    <w:p w14:paraId="1B628895" w14:textId="77777777" w:rsidR="00FC6F91" w:rsidRDefault="00FC6F91" w:rsidP="000F299B">
      <w:pPr>
        <w:pStyle w:val="Paragraph"/>
        <w:spacing w:before="0" w:after="240" w:line="300" w:lineRule="auto"/>
        <w:rPr>
          <w:rFonts w:ascii="Arial" w:hAnsi="Arial" w:cs="Arial"/>
        </w:rPr>
      </w:pPr>
    </w:p>
    <w:p w14:paraId="2E1E73BA" w14:textId="77777777" w:rsidR="001177A2" w:rsidRPr="000F299B" w:rsidRDefault="001177A2" w:rsidP="00877DDB">
      <w:pPr>
        <w:pStyle w:val="BPM"/>
      </w:pPr>
      <w:r w:rsidRPr="00831D03">
        <w:t>It can be seen in the settlement results above that the total payment to each generator is sufficient to cover the respective energy and GHG allowance costs.</w:t>
      </w:r>
    </w:p>
    <w:p w14:paraId="614A77DE" w14:textId="77777777" w:rsidR="001177A2" w:rsidRPr="00877DDB" w:rsidRDefault="001177A2" w:rsidP="00877DDB">
      <w:pPr>
        <w:pStyle w:val="Heading5"/>
        <w:numPr>
          <w:ilvl w:val="0"/>
          <w:numId w:val="0"/>
        </w:numPr>
        <w:ind w:left="1080" w:hanging="1080"/>
        <w:rPr>
          <w:rFonts w:ascii="Arial" w:hAnsi="Arial" w:cs="Arial"/>
        </w:rPr>
      </w:pPr>
      <w:bookmarkStart w:id="1953" w:name="_Toc367722319"/>
      <w:bookmarkStart w:id="1954" w:name="_Toc364148864"/>
      <w:bookmarkStart w:id="1955" w:name="_Toc364147774"/>
      <w:bookmarkStart w:id="1956" w:name="_Toc363813083"/>
      <w:bookmarkStart w:id="1957" w:name="_Toc363802648"/>
      <w:bookmarkStart w:id="1958" w:name="_Toc363747656"/>
      <w:bookmarkStart w:id="1959" w:name="_Toc363747521"/>
      <w:bookmarkStart w:id="1960" w:name="_Toc360527189"/>
      <w:bookmarkStart w:id="1961" w:name="_Toc357770682"/>
      <w:bookmarkStart w:id="1962" w:name="_Toc357700104"/>
      <w:bookmarkStart w:id="1963" w:name="_Toc357692056"/>
      <w:r w:rsidRPr="00877DDB">
        <w:rPr>
          <w:rFonts w:ascii="Arial" w:hAnsi="Arial" w:cs="Arial"/>
        </w:rPr>
        <w:t>Example 3</w:t>
      </w:r>
      <w:bookmarkEnd w:id="1953"/>
      <w:bookmarkEnd w:id="1954"/>
      <w:bookmarkEnd w:id="1955"/>
      <w:bookmarkEnd w:id="1956"/>
      <w:bookmarkEnd w:id="1957"/>
      <w:bookmarkEnd w:id="1958"/>
      <w:bookmarkEnd w:id="1959"/>
      <w:bookmarkEnd w:id="1960"/>
      <w:bookmarkEnd w:id="1961"/>
      <w:bookmarkEnd w:id="1962"/>
      <w:bookmarkEnd w:id="1963"/>
    </w:p>
    <w:p w14:paraId="00E55C90" w14:textId="77777777" w:rsidR="001177A2" w:rsidRPr="000F299B" w:rsidRDefault="001177A2" w:rsidP="00877DDB">
      <w:pPr>
        <w:pStyle w:val="BPM"/>
      </w:pPr>
      <w:r w:rsidRPr="000F299B">
        <w:t>This is a variation on the second example where the available maximum capacity of G3 is reduced to 75MW in addition to reduced bid price of $28/MWh as in Example 2. In this case, G2 is dispatched to make up for the remaining 75MW and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1E1A040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1CBCC7"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830E8A"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D186E5"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30D2F6" w14:textId="77777777" w:rsidR="001177A2" w:rsidRDefault="001177A2">
            <w:pPr>
              <w:suppressAutoHyphens/>
              <w:jc w:val="center"/>
              <w:rPr>
                <w:b/>
                <w:kern w:val="16"/>
              </w:rPr>
            </w:pPr>
            <w:r>
              <w:rPr>
                <w:b/>
              </w:rPr>
              <w:t>LMP</w:t>
            </w:r>
            <w:r>
              <w:rPr>
                <w:b/>
              </w:rPr>
              <w:br/>
              <w:t>($/MWh)</w:t>
            </w:r>
          </w:p>
        </w:tc>
      </w:tr>
      <w:tr w:rsidR="001177A2" w14:paraId="5A8BAD4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71A5B02"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9225854"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35A39157"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F0B9623" w14:textId="77777777" w:rsidR="001177A2" w:rsidRDefault="001177A2">
            <w:pPr>
              <w:suppressAutoHyphens/>
              <w:jc w:val="center"/>
              <w:rPr>
                <w:kern w:val="16"/>
              </w:rPr>
            </w:pPr>
            <w:r>
              <w:t>50</w:t>
            </w:r>
          </w:p>
        </w:tc>
      </w:tr>
      <w:tr w:rsidR="001177A2" w14:paraId="46B3CF1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B829013"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1ADDED3D"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4EE309D0"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76FC436E" w14:textId="77777777" w:rsidR="001177A2" w:rsidRDefault="001177A2">
            <w:pPr>
              <w:suppressAutoHyphens/>
              <w:jc w:val="center"/>
              <w:rPr>
                <w:kern w:val="16"/>
              </w:rPr>
            </w:pPr>
            <w:r>
              <w:t>29</w:t>
            </w:r>
          </w:p>
        </w:tc>
      </w:tr>
      <w:tr w:rsidR="001177A2" w14:paraId="5284057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B1D8AFC"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3769E4A0"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7474AA5C" w14:textId="77777777" w:rsidR="001177A2" w:rsidRDefault="001177A2">
            <w:pPr>
              <w:suppressAutoHyphens/>
              <w:jc w:val="center"/>
              <w:rPr>
                <w:kern w:val="16"/>
              </w:rPr>
            </w:pPr>
            <w:r>
              <w:t>25</w:t>
            </w:r>
          </w:p>
        </w:tc>
        <w:tc>
          <w:tcPr>
            <w:tcW w:w="0" w:type="auto"/>
            <w:tcBorders>
              <w:top w:val="single" w:sz="4" w:space="0" w:color="auto"/>
              <w:left w:val="single" w:sz="4" w:space="0" w:color="auto"/>
              <w:bottom w:val="single" w:sz="4" w:space="0" w:color="auto"/>
              <w:right w:val="single" w:sz="4" w:space="0" w:color="auto"/>
            </w:tcBorders>
            <w:hideMark/>
          </w:tcPr>
          <w:p w14:paraId="3AB87C44" w14:textId="77777777" w:rsidR="001177A2" w:rsidRDefault="001177A2">
            <w:pPr>
              <w:suppressAutoHyphens/>
              <w:jc w:val="center"/>
              <w:rPr>
                <w:kern w:val="16"/>
              </w:rPr>
            </w:pPr>
            <w:r>
              <w:t>29</w:t>
            </w:r>
          </w:p>
        </w:tc>
      </w:tr>
      <w:tr w:rsidR="001177A2" w14:paraId="6499510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DD241A8"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762D8FF0"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4CF7D615"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ADCD30C" w14:textId="77777777" w:rsidR="001177A2" w:rsidRDefault="001177A2">
            <w:pPr>
              <w:suppressAutoHyphens/>
              <w:jc w:val="center"/>
              <w:rPr>
                <w:kern w:val="16"/>
              </w:rPr>
            </w:pPr>
            <w:r>
              <w:t>50</w:t>
            </w:r>
          </w:p>
        </w:tc>
      </w:tr>
      <w:tr w:rsidR="001177A2" w14:paraId="6C033572"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8C6089A"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1044E958"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EB88FF0"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4976C227" w14:textId="77777777" w:rsidR="001177A2" w:rsidRDefault="001177A2">
            <w:pPr>
              <w:suppressAutoHyphens/>
              <w:jc w:val="center"/>
              <w:rPr>
                <w:kern w:val="16"/>
              </w:rPr>
            </w:pPr>
            <w:r>
              <w:t>29</w:t>
            </w:r>
          </w:p>
        </w:tc>
      </w:tr>
    </w:tbl>
    <w:p w14:paraId="52264A1A" w14:textId="77777777" w:rsidR="001177A2" w:rsidRDefault="001177A2" w:rsidP="000F299B">
      <w:pPr>
        <w:spacing w:after="240" w:line="300" w:lineRule="auto"/>
        <w:jc w:val="center"/>
        <w:rPr>
          <w:kern w:val="16"/>
        </w:rPr>
      </w:pPr>
      <w:r>
        <w:t xml:space="preserve">Example 3: </w:t>
      </w:r>
      <m:oMath>
        <m:r>
          <m:rPr>
            <m:sty m:val="p"/>
          </m:rPr>
          <w:rPr>
            <w:rFonts w:ascii="Cambria Math" w:hAnsi="Cambria Math"/>
          </w:rPr>
          <m:t>µ</m:t>
        </m:r>
      </m:oMath>
      <w:r>
        <w:t xml:space="preserve"> = –$15/MWh; </w:t>
      </w:r>
      <m:oMath>
        <m:r>
          <m:rPr>
            <m:sty m:val="p"/>
          </m:rPr>
          <w:rPr>
            <w:rFonts w:ascii="Cambria Math" w:hAnsi="Cambria Math"/>
          </w:rPr>
          <m:t>η</m:t>
        </m:r>
      </m:oMath>
      <w:r>
        <w:t xml:space="preserve"> = –$6/MWh</w:t>
      </w:r>
    </w:p>
    <w:p w14:paraId="21F5B2AB" w14:textId="77777777" w:rsidR="001177A2" w:rsidRPr="000F299B" w:rsidRDefault="001177A2" w:rsidP="00877DDB">
      <w:pPr>
        <w:pStyle w:val="BPM"/>
      </w:pPr>
      <w:r w:rsidRPr="000F299B">
        <w:t xml:space="preserve">G3 is the least expensive resource for serving L2; one additional MW of L2 will divert 1MW of G3 export to L2 saving $6/MWh on GHG compliance costs and that export will be made up by one additional MW from G2 at a net cost of $29/MWh, which is the LMP in the EIM Entity BAA. The balance of 100MW of L1 can only be served by G1, which sets the LMP in the </w:t>
      </w:r>
      <w:r w:rsidR="0058562B">
        <w:t>CA</w:t>
      </w:r>
      <w:r w:rsidRPr="000F299B">
        <w:t>ISO to $50/MWh.</w:t>
      </w:r>
    </w:p>
    <w:p w14:paraId="69D4212F" w14:textId="77777777" w:rsidR="003B49C4" w:rsidRPr="000F299B" w:rsidRDefault="001177A2" w:rsidP="00877DDB">
      <w:pPr>
        <w:pStyle w:val="BPM"/>
      </w:pPr>
      <w:r w:rsidRPr="000F299B">
        <w:lastRenderedPageBreak/>
        <w:t>The LMP difference of $21/MWh is made up by the marginal congestion cost of $15/MWh and the marginal GHG compliance cost of $6/MWh. The marginal congestion cost can be easily verified if the power transfer limit is relaxed by 1MW to 101MW, in which case one additional MWh from G2 will displace 1MWh from G1 for a net benefit of $15. The marginal GHG compliance cost can be easily verified if the export allocation (which carries the GHG</w:t>
      </w:r>
      <w:r w:rsidR="00755251">
        <w:t xml:space="preserve"> </w:t>
      </w:r>
      <w:r w:rsidR="003B49C4" w:rsidRPr="000F299B">
        <w:t>compliance cost) is relaxed by 1 MW to 99MW, in which case 1MWh from G3 will not incur GHG compliance costs for a benefit of $6.</w:t>
      </w:r>
    </w:p>
    <w:p w14:paraId="0A0A0AD4" w14:textId="77777777" w:rsidR="003B49C4" w:rsidRPr="000F299B" w:rsidRDefault="003B49C4" w:rsidP="00877DDB">
      <w:pPr>
        <w:pStyle w:val="BPM"/>
      </w:pPr>
      <w:r w:rsidRPr="000F299B">
        <w:t>The marginal congestion cost of $15/MWh and the marginal GHG compliance cost of $6/MWh on a 100MWh energy export result in a congestion revenue of $1,500 and GHG compliance revenue of $600,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123"/>
        <w:gridCol w:w="1123"/>
        <w:gridCol w:w="1443"/>
        <w:gridCol w:w="1150"/>
      </w:tblGrid>
      <w:tr w:rsidR="003B49C4" w14:paraId="6EA7B66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4E1911" w14:textId="77777777" w:rsidR="003B49C4" w:rsidRDefault="003B49C4">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2487E7" w14:textId="77777777" w:rsidR="003B49C4" w:rsidRDefault="003B49C4">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757E83E1" w14:textId="77777777" w:rsidR="003B49C4" w:rsidRDefault="003B49C4">
            <w:pPr>
              <w:suppressAutoHyphens/>
              <w:jc w:val="center"/>
              <w:rPr>
                <w:b/>
                <w:kern w:val="16"/>
              </w:rPr>
            </w:pPr>
            <w:r>
              <w:rPr>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11963C36" w14:textId="77777777" w:rsidR="003B49C4" w:rsidRDefault="003B49C4">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4B90A5A1" w14:textId="77777777" w:rsidR="003B49C4" w:rsidRDefault="003B49C4">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072EEC4E" w14:textId="77777777" w:rsidR="003B49C4" w:rsidRDefault="003B49C4">
            <w:pPr>
              <w:suppressAutoHyphens/>
              <w:jc w:val="center"/>
              <w:rPr>
                <w:b/>
                <w:kern w:val="16"/>
              </w:rPr>
            </w:pPr>
            <w:r>
              <w:rPr>
                <w:b/>
              </w:rPr>
              <w:t>GHG Compliance Payment</w:t>
            </w:r>
          </w:p>
        </w:tc>
        <w:tc>
          <w:tcPr>
            <w:tcW w:w="1150"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2E2C2582" w14:textId="77777777" w:rsidR="003B49C4" w:rsidRDefault="003B49C4">
            <w:pPr>
              <w:suppressAutoHyphens/>
              <w:jc w:val="center"/>
              <w:rPr>
                <w:b/>
                <w:kern w:val="16"/>
              </w:rPr>
            </w:pPr>
            <w:r>
              <w:rPr>
                <w:b/>
              </w:rPr>
              <w:t>Total Payment</w:t>
            </w:r>
          </w:p>
        </w:tc>
      </w:tr>
      <w:tr w:rsidR="003B49C4" w14:paraId="1A1F21BB"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30D86E1"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8FC2A26" w14:textId="77777777" w:rsidR="003B49C4" w:rsidRDefault="003B49C4">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6CE9C76C" w14:textId="77777777" w:rsidR="003B49C4" w:rsidRDefault="003B49C4">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5F946F58" w14:textId="77777777" w:rsidR="003B49C4" w:rsidRDefault="003B49C4">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5C807F93" w14:textId="77777777" w:rsidR="003B49C4" w:rsidRDefault="003B49C4">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48AB06DD" w14:textId="77777777" w:rsidR="003B49C4" w:rsidRDefault="003B49C4">
            <w:pPr>
              <w:suppressAutoHyphens/>
              <w:jc w:val="center"/>
              <w:rPr>
                <w:kern w:val="16"/>
              </w:rPr>
            </w:pPr>
            <w:r>
              <w:t>-</w:t>
            </w:r>
          </w:p>
        </w:tc>
        <w:tc>
          <w:tcPr>
            <w:tcW w:w="1150" w:type="dxa"/>
            <w:tcBorders>
              <w:top w:val="single" w:sz="4" w:space="0" w:color="auto"/>
              <w:left w:val="single" w:sz="18" w:space="0" w:color="auto"/>
              <w:bottom w:val="single" w:sz="4" w:space="0" w:color="auto"/>
              <w:right w:val="single" w:sz="18" w:space="0" w:color="auto"/>
            </w:tcBorders>
            <w:hideMark/>
          </w:tcPr>
          <w:p w14:paraId="64332BAB" w14:textId="77777777" w:rsidR="003B49C4" w:rsidRDefault="003B49C4">
            <w:pPr>
              <w:suppressAutoHyphens/>
              <w:jc w:val="center"/>
              <w:rPr>
                <w:kern w:val="16"/>
              </w:rPr>
            </w:pPr>
            <w:r>
              <w:t>$5,000</w:t>
            </w:r>
          </w:p>
        </w:tc>
      </w:tr>
      <w:tr w:rsidR="003B49C4" w14:paraId="32A40D7B"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75DB7E9"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2165293B" w14:textId="77777777" w:rsidR="003B49C4" w:rsidRDefault="003B49C4">
            <w:pPr>
              <w:suppressAutoHyphens/>
              <w:jc w:val="center"/>
              <w:rPr>
                <w:kern w:val="16"/>
              </w:rPr>
            </w:pPr>
            <w:r>
              <w:t>$2,625</w:t>
            </w:r>
          </w:p>
        </w:tc>
        <w:tc>
          <w:tcPr>
            <w:tcW w:w="1443" w:type="dxa"/>
            <w:tcBorders>
              <w:top w:val="single" w:sz="4" w:space="0" w:color="auto"/>
              <w:left w:val="single" w:sz="4" w:space="0" w:color="auto"/>
              <w:bottom w:val="single" w:sz="4" w:space="0" w:color="auto"/>
              <w:right w:val="single" w:sz="18" w:space="0" w:color="auto"/>
            </w:tcBorders>
            <w:hideMark/>
          </w:tcPr>
          <w:p w14:paraId="40EB9021" w14:textId="77777777" w:rsidR="003B49C4" w:rsidRDefault="003B49C4">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280517B5" w14:textId="77777777" w:rsidR="003B49C4" w:rsidRDefault="003B49C4">
            <w:pPr>
              <w:suppressAutoHyphens/>
              <w:jc w:val="center"/>
              <w:rPr>
                <w:kern w:val="16"/>
              </w:rPr>
            </w:pPr>
            <w:r>
              <w:t>$2,625</w:t>
            </w:r>
          </w:p>
        </w:tc>
        <w:tc>
          <w:tcPr>
            <w:tcW w:w="1123" w:type="dxa"/>
            <w:tcBorders>
              <w:top w:val="single" w:sz="4" w:space="0" w:color="auto"/>
              <w:left w:val="single" w:sz="18" w:space="0" w:color="auto"/>
              <w:bottom w:val="single" w:sz="4" w:space="0" w:color="auto"/>
              <w:right w:val="single" w:sz="4" w:space="0" w:color="auto"/>
            </w:tcBorders>
            <w:hideMark/>
          </w:tcPr>
          <w:p w14:paraId="666B4CCC"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3D6E2A57" w14:textId="77777777" w:rsidR="003B49C4" w:rsidRDefault="003B49C4">
            <w:pPr>
              <w:suppressAutoHyphens/>
              <w:jc w:val="center"/>
              <w:rPr>
                <w:kern w:val="16"/>
              </w:rPr>
            </w:pPr>
            <w:r>
              <w:t>$450</w:t>
            </w:r>
          </w:p>
        </w:tc>
        <w:tc>
          <w:tcPr>
            <w:tcW w:w="1150" w:type="dxa"/>
            <w:tcBorders>
              <w:top w:val="single" w:sz="4" w:space="0" w:color="auto"/>
              <w:left w:val="single" w:sz="18" w:space="0" w:color="auto"/>
              <w:bottom w:val="single" w:sz="4" w:space="0" w:color="auto"/>
              <w:right w:val="single" w:sz="18" w:space="0" w:color="auto"/>
            </w:tcBorders>
            <w:hideMark/>
          </w:tcPr>
          <w:p w14:paraId="465B2B97" w14:textId="77777777" w:rsidR="003B49C4" w:rsidRDefault="003B49C4">
            <w:pPr>
              <w:suppressAutoHyphens/>
              <w:jc w:val="center"/>
              <w:rPr>
                <w:kern w:val="16"/>
              </w:rPr>
            </w:pPr>
            <w:r>
              <w:t>$2,625</w:t>
            </w:r>
          </w:p>
        </w:tc>
      </w:tr>
      <w:tr w:rsidR="003B49C4" w14:paraId="36A8CC53"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5AA6086A"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2E9DB774" w14:textId="77777777" w:rsidR="003B49C4" w:rsidRDefault="003B49C4">
            <w:pPr>
              <w:suppressAutoHyphens/>
              <w:jc w:val="center"/>
              <w:rPr>
                <w:kern w:val="16"/>
              </w:rPr>
            </w:pPr>
            <w:r>
              <w:t>$2,100</w:t>
            </w:r>
          </w:p>
        </w:tc>
        <w:tc>
          <w:tcPr>
            <w:tcW w:w="1443" w:type="dxa"/>
            <w:tcBorders>
              <w:top w:val="single" w:sz="4" w:space="0" w:color="auto"/>
              <w:left w:val="single" w:sz="4" w:space="0" w:color="auto"/>
              <w:bottom w:val="single" w:sz="4" w:space="0" w:color="auto"/>
              <w:right w:val="single" w:sz="18" w:space="0" w:color="auto"/>
            </w:tcBorders>
            <w:hideMark/>
          </w:tcPr>
          <w:p w14:paraId="7393BB06" w14:textId="77777777" w:rsidR="003B49C4" w:rsidRDefault="003B49C4">
            <w:pPr>
              <w:suppressAutoHyphens/>
              <w:jc w:val="center"/>
              <w:rPr>
                <w:kern w:val="16"/>
              </w:rPr>
            </w:pPr>
            <w:r>
              <w:t>$150</w:t>
            </w:r>
          </w:p>
        </w:tc>
        <w:tc>
          <w:tcPr>
            <w:tcW w:w="1123" w:type="dxa"/>
            <w:tcBorders>
              <w:top w:val="single" w:sz="4" w:space="0" w:color="auto"/>
              <w:left w:val="single" w:sz="18" w:space="0" w:color="auto"/>
              <w:bottom w:val="single" w:sz="4" w:space="0" w:color="auto"/>
              <w:right w:val="single" w:sz="18" w:space="0" w:color="auto"/>
            </w:tcBorders>
            <w:hideMark/>
          </w:tcPr>
          <w:p w14:paraId="057AC5E0" w14:textId="77777777" w:rsidR="003B49C4" w:rsidRDefault="003B49C4">
            <w:pPr>
              <w:suppressAutoHyphens/>
              <w:jc w:val="center"/>
              <w:rPr>
                <w:kern w:val="16"/>
              </w:rPr>
            </w:pPr>
            <w:r>
              <w:t>$2,250</w:t>
            </w:r>
          </w:p>
        </w:tc>
        <w:tc>
          <w:tcPr>
            <w:tcW w:w="1123" w:type="dxa"/>
            <w:tcBorders>
              <w:top w:val="single" w:sz="4" w:space="0" w:color="auto"/>
              <w:left w:val="single" w:sz="18" w:space="0" w:color="auto"/>
              <w:bottom w:val="single" w:sz="4" w:space="0" w:color="auto"/>
              <w:right w:val="single" w:sz="4" w:space="0" w:color="auto"/>
            </w:tcBorders>
            <w:hideMark/>
          </w:tcPr>
          <w:p w14:paraId="5205DD0B"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45FDD174" w14:textId="77777777" w:rsidR="003B49C4" w:rsidRDefault="003B49C4">
            <w:pPr>
              <w:suppressAutoHyphens/>
              <w:jc w:val="center"/>
              <w:rPr>
                <w:kern w:val="16"/>
              </w:rPr>
            </w:pPr>
            <w:r>
              <w:t>$150</w:t>
            </w:r>
          </w:p>
        </w:tc>
        <w:tc>
          <w:tcPr>
            <w:tcW w:w="1150" w:type="dxa"/>
            <w:tcBorders>
              <w:top w:val="single" w:sz="4" w:space="0" w:color="auto"/>
              <w:left w:val="single" w:sz="18" w:space="0" w:color="auto"/>
              <w:bottom w:val="single" w:sz="4" w:space="0" w:color="auto"/>
              <w:right w:val="single" w:sz="18" w:space="0" w:color="auto"/>
            </w:tcBorders>
            <w:hideMark/>
          </w:tcPr>
          <w:p w14:paraId="35591C8B" w14:textId="77777777" w:rsidR="003B49C4" w:rsidRDefault="003B49C4">
            <w:pPr>
              <w:suppressAutoHyphens/>
              <w:jc w:val="center"/>
              <w:rPr>
                <w:kern w:val="16"/>
              </w:rPr>
            </w:pPr>
            <w:r>
              <w:t>$2,325</w:t>
            </w:r>
          </w:p>
        </w:tc>
      </w:tr>
      <w:tr w:rsidR="003B49C4" w14:paraId="531F9FAF"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04B35F1A" w14:textId="77777777" w:rsidR="003B49C4" w:rsidRDefault="003B49C4">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70541ED7"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630195C"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5E49D6F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1C93EFD" w14:textId="77777777" w:rsidR="003B49C4" w:rsidRDefault="003B49C4">
            <w:pPr>
              <w:suppressAutoHyphens/>
              <w:jc w:val="center"/>
              <w:rPr>
                <w:kern w:val="16"/>
              </w:rPr>
            </w:pPr>
            <w:r>
              <w:t>–$10,000</w:t>
            </w:r>
          </w:p>
        </w:tc>
        <w:tc>
          <w:tcPr>
            <w:tcW w:w="1443" w:type="dxa"/>
            <w:tcBorders>
              <w:top w:val="single" w:sz="4" w:space="0" w:color="auto"/>
              <w:left w:val="single" w:sz="4" w:space="0" w:color="auto"/>
              <w:bottom w:val="single" w:sz="4" w:space="0" w:color="auto"/>
              <w:right w:val="single" w:sz="18" w:space="0" w:color="auto"/>
            </w:tcBorders>
          </w:tcPr>
          <w:p w14:paraId="308247A7"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1103A00C" w14:textId="77777777" w:rsidR="003B49C4" w:rsidRDefault="003B49C4">
            <w:pPr>
              <w:suppressAutoHyphens/>
              <w:jc w:val="center"/>
              <w:rPr>
                <w:kern w:val="16"/>
              </w:rPr>
            </w:pPr>
          </w:p>
        </w:tc>
      </w:tr>
      <w:tr w:rsidR="003B49C4" w14:paraId="76DD5151"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F3DE6AB" w14:textId="77777777" w:rsidR="003B49C4" w:rsidRDefault="003B49C4">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04C7361F"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973EA72"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EF6178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1F1FA33" w14:textId="77777777" w:rsidR="003B49C4" w:rsidRDefault="003B49C4">
            <w:pPr>
              <w:suppressAutoHyphens/>
              <w:jc w:val="center"/>
              <w:rPr>
                <w:kern w:val="16"/>
              </w:rPr>
            </w:pPr>
            <w:r>
              <w:t>–$1,450</w:t>
            </w:r>
          </w:p>
        </w:tc>
        <w:tc>
          <w:tcPr>
            <w:tcW w:w="1443" w:type="dxa"/>
            <w:tcBorders>
              <w:top w:val="single" w:sz="4" w:space="0" w:color="auto"/>
              <w:left w:val="single" w:sz="4" w:space="0" w:color="auto"/>
              <w:bottom w:val="single" w:sz="4" w:space="0" w:color="auto"/>
              <w:right w:val="single" w:sz="18" w:space="0" w:color="auto"/>
            </w:tcBorders>
          </w:tcPr>
          <w:p w14:paraId="1B18540A"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0F5CD17D" w14:textId="77777777" w:rsidR="003B49C4" w:rsidRDefault="003B49C4">
            <w:pPr>
              <w:suppressAutoHyphens/>
              <w:jc w:val="center"/>
              <w:rPr>
                <w:kern w:val="16"/>
              </w:rPr>
            </w:pPr>
          </w:p>
        </w:tc>
      </w:tr>
      <w:tr w:rsidR="003B49C4" w14:paraId="739E44D8"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3859760" w14:textId="77777777" w:rsidR="003B49C4" w:rsidRDefault="003B49C4">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570CF698"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275D1251"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389472E3"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3208308E" w14:textId="77777777" w:rsidR="003B49C4" w:rsidRDefault="003B49C4">
            <w:pPr>
              <w:suppressAutoHyphens/>
              <w:jc w:val="center"/>
              <w:rPr>
                <w:kern w:val="16"/>
              </w:rPr>
            </w:pPr>
            <w:r>
              <w:t>$1,500</w:t>
            </w:r>
          </w:p>
        </w:tc>
        <w:tc>
          <w:tcPr>
            <w:tcW w:w="1443" w:type="dxa"/>
            <w:tcBorders>
              <w:top w:val="single" w:sz="4" w:space="0" w:color="auto"/>
              <w:left w:val="single" w:sz="4" w:space="0" w:color="auto"/>
              <w:bottom w:val="single" w:sz="4" w:space="0" w:color="auto"/>
              <w:right w:val="single" w:sz="18" w:space="0" w:color="auto"/>
            </w:tcBorders>
          </w:tcPr>
          <w:p w14:paraId="7F3B7300"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26B7C8C7" w14:textId="77777777" w:rsidR="003B49C4" w:rsidRDefault="003B49C4">
            <w:pPr>
              <w:suppressAutoHyphens/>
              <w:jc w:val="center"/>
              <w:rPr>
                <w:kern w:val="16"/>
              </w:rPr>
            </w:pPr>
          </w:p>
        </w:tc>
      </w:tr>
      <w:tr w:rsidR="003B49C4" w14:paraId="258EBF5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19C40869" w14:textId="77777777" w:rsidR="003B49C4" w:rsidRDefault="003B49C4">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10835407"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93B46A5" w14:textId="77777777" w:rsidR="003B49C4" w:rsidRDefault="003B49C4">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1211E0F7"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2F01FF9" w14:textId="77777777" w:rsidR="003B49C4" w:rsidRDefault="003B49C4">
            <w:pPr>
              <w:suppressAutoHyphens/>
              <w:jc w:val="center"/>
              <w:rPr>
                <w:kern w:val="16"/>
              </w:rPr>
            </w:pPr>
            <w:r>
              <w:t>$600</w:t>
            </w:r>
          </w:p>
        </w:tc>
        <w:tc>
          <w:tcPr>
            <w:tcW w:w="1443" w:type="dxa"/>
            <w:tcBorders>
              <w:top w:val="single" w:sz="4" w:space="0" w:color="auto"/>
              <w:left w:val="single" w:sz="4" w:space="0" w:color="auto"/>
              <w:bottom w:val="single" w:sz="4" w:space="0" w:color="auto"/>
              <w:right w:val="single" w:sz="18" w:space="0" w:color="auto"/>
            </w:tcBorders>
          </w:tcPr>
          <w:p w14:paraId="61076ECB" w14:textId="77777777" w:rsidR="003B49C4" w:rsidRDefault="003B49C4">
            <w:pPr>
              <w:suppressAutoHyphens/>
              <w:jc w:val="center"/>
              <w:rPr>
                <w:kern w:val="16"/>
              </w:rPr>
            </w:pPr>
          </w:p>
        </w:tc>
        <w:tc>
          <w:tcPr>
            <w:tcW w:w="1150" w:type="dxa"/>
            <w:tcBorders>
              <w:top w:val="single" w:sz="4" w:space="0" w:color="auto"/>
              <w:left w:val="single" w:sz="18" w:space="0" w:color="auto"/>
              <w:bottom w:val="single" w:sz="18" w:space="0" w:color="auto"/>
              <w:right w:val="single" w:sz="18" w:space="0" w:color="auto"/>
            </w:tcBorders>
          </w:tcPr>
          <w:p w14:paraId="75324BB1" w14:textId="77777777" w:rsidR="003B49C4" w:rsidRDefault="003B49C4">
            <w:pPr>
              <w:suppressAutoHyphens/>
              <w:jc w:val="center"/>
              <w:rPr>
                <w:kern w:val="16"/>
              </w:rPr>
            </w:pPr>
          </w:p>
        </w:tc>
      </w:tr>
    </w:tbl>
    <w:p w14:paraId="70500236" w14:textId="77777777" w:rsidR="00FC6F91" w:rsidRDefault="00FC6F91" w:rsidP="000F299B">
      <w:pPr>
        <w:pStyle w:val="Paragraph"/>
        <w:spacing w:before="0" w:after="240" w:line="300" w:lineRule="auto"/>
        <w:rPr>
          <w:rFonts w:ascii="Arial" w:hAnsi="Arial" w:cs="Arial"/>
        </w:rPr>
      </w:pPr>
    </w:p>
    <w:p w14:paraId="4871D0FF" w14:textId="77777777" w:rsidR="003B49C4" w:rsidRPr="000F299B" w:rsidRDefault="003B49C4" w:rsidP="00877DDB">
      <w:pPr>
        <w:pStyle w:val="BPM"/>
      </w:pPr>
      <w:r w:rsidRPr="000F299B">
        <w:t>It can be seen in the settlement results above that the total payment to each generator is sufficient to cover the respective energy and GHG compliance costs.</w:t>
      </w:r>
    </w:p>
    <w:p w14:paraId="516B9862" w14:textId="77777777" w:rsidR="003B49C4" w:rsidRPr="00877DDB" w:rsidRDefault="003B49C4" w:rsidP="00877DDB">
      <w:pPr>
        <w:rPr>
          <w:rFonts w:ascii="Arial" w:hAnsi="Arial" w:cs="Arial"/>
        </w:rPr>
      </w:pPr>
      <w:bookmarkStart w:id="1964" w:name="_Toc367722320"/>
      <w:bookmarkStart w:id="1965" w:name="_Toc364148865"/>
      <w:bookmarkStart w:id="1966" w:name="_Toc364147775"/>
      <w:bookmarkStart w:id="1967" w:name="_Toc363813084"/>
      <w:bookmarkStart w:id="1968" w:name="_Toc363802649"/>
      <w:bookmarkStart w:id="1969" w:name="_Toc363747657"/>
      <w:bookmarkStart w:id="1970" w:name="_Toc363747522"/>
      <w:bookmarkStart w:id="1971" w:name="_Toc360527190"/>
      <w:bookmarkStart w:id="1972" w:name="_Toc357770683"/>
      <w:bookmarkStart w:id="1973" w:name="_Toc357700105"/>
      <w:bookmarkStart w:id="1974" w:name="_Toc357692057"/>
      <w:r w:rsidRPr="00877DDB">
        <w:rPr>
          <w:rFonts w:ascii="Arial" w:hAnsi="Arial" w:cs="Arial"/>
          <w:b/>
        </w:rPr>
        <w:t>Example 4</w:t>
      </w:r>
      <w:bookmarkEnd w:id="1964"/>
      <w:bookmarkEnd w:id="1965"/>
      <w:bookmarkEnd w:id="1966"/>
      <w:bookmarkEnd w:id="1967"/>
      <w:bookmarkEnd w:id="1968"/>
      <w:bookmarkEnd w:id="1969"/>
      <w:bookmarkEnd w:id="1970"/>
      <w:bookmarkEnd w:id="1971"/>
      <w:bookmarkEnd w:id="1972"/>
      <w:bookmarkEnd w:id="1973"/>
      <w:bookmarkEnd w:id="1974"/>
    </w:p>
    <w:p w14:paraId="27C1C7F6" w14:textId="77777777" w:rsidR="003B49C4" w:rsidRPr="000F299B" w:rsidRDefault="003B49C4" w:rsidP="00877DDB">
      <w:pPr>
        <w:pStyle w:val="BPM"/>
      </w:pPr>
      <w:r w:rsidRPr="000F299B">
        <w:t xml:space="preserve">This is a variation on the third example where a new resource G4 is introduced in the EIM Entity BAA with a generating capacity of 100MW, a GHG compliance bid adder of $3.00/MWh, and an energy </w:t>
      </w:r>
      <w:r w:rsidRPr="000F299B">
        <w:lastRenderedPageBreak/>
        <w:t>bid of $30/MWh, while the power transfer capability is increased to 300MW. Therefore, the resource data is as follows:</w:t>
      </w:r>
    </w:p>
    <w:tbl>
      <w:tblPr>
        <w:tblW w:w="0" w:type="auto"/>
        <w:jc w:val="center"/>
        <w:tblLook w:val="04A0" w:firstRow="1" w:lastRow="0" w:firstColumn="1" w:lastColumn="0" w:noHBand="0" w:noVBand="1"/>
      </w:tblPr>
      <w:tblGrid>
        <w:gridCol w:w="1156"/>
        <w:gridCol w:w="1111"/>
        <w:gridCol w:w="1148"/>
        <w:gridCol w:w="1069"/>
        <w:gridCol w:w="1755"/>
      </w:tblGrid>
      <w:tr w:rsidR="003B49C4" w14:paraId="5AAD09B8"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20F278" w14:textId="77777777" w:rsidR="003B49C4" w:rsidRDefault="003B49C4">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02D816" w14:textId="77777777" w:rsidR="003B49C4" w:rsidRDefault="003B49C4">
            <w:pPr>
              <w:suppressAutoHyphens/>
              <w:jc w:val="center"/>
              <w:rPr>
                <w:b/>
                <w:kern w:val="16"/>
              </w:rPr>
            </w:pPr>
            <w:r>
              <w:rPr>
                <w:b/>
              </w:rPr>
              <w:t>Minimum</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288C72" w14:textId="77777777" w:rsidR="003B49C4" w:rsidRDefault="003B49C4">
            <w:pPr>
              <w:suppressAutoHyphens/>
              <w:jc w:val="center"/>
              <w:rPr>
                <w:b/>
                <w:kern w:val="16"/>
              </w:rPr>
            </w:pPr>
            <w:r>
              <w:rPr>
                <w:b/>
              </w:rPr>
              <w:t>Maximum</w:t>
            </w:r>
            <w:r>
              <w:rPr>
                <w:b/>
              </w:rPr>
              <w:br/>
              <w:t>(MW)</w:t>
            </w:r>
          </w:p>
        </w:tc>
        <w:tc>
          <w:tcPr>
            <w:tcW w:w="10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0E40E" w14:textId="77777777" w:rsidR="003B49C4" w:rsidRDefault="003B49C4">
            <w:pPr>
              <w:suppressAutoHyphens/>
              <w:jc w:val="center"/>
              <w:rPr>
                <w:b/>
                <w:kern w:val="16"/>
              </w:rPr>
            </w:pPr>
            <w:r>
              <w:rPr>
                <w:b/>
              </w:rPr>
              <w:t>Energy Bid</w:t>
            </w:r>
            <w:r>
              <w:rPr>
                <w:b/>
              </w:rPr>
              <w:br/>
              <w:t>($/MWh)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59C37B" w14:textId="77777777" w:rsidR="003B49C4" w:rsidRDefault="003B49C4">
            <w:pPr>
              <w:suppressAutoHyphens/>
              <w:jc w:val="center"/>
              <w:rPr>
                <w:b/>
                <w:kern w:val="16"/>
              </w:rPr>
            </w:pPr>
            <w:r>
              <w:rPr>
                <w:b/>
              </w:rPr>
              <w:t xml:space="preserve">GHG Compliance </w:t>
            </w:r>
            <w:r>
              <w:rPr>
                <w:b/>
              </w:rPr>
              <w:br/>
              <w:t>Bid Adder</w:t>
            </w:r>
            <w:r>
              <w:rPr>
                <w:b/>
              </w:rPr>
              <w:br/>
              <w:t>($/MWh)</w:t>
            </w:r>
          </w:p>
        </w:tc>
      </w:tr>
      <w:tr w:rsidR="003B49C4" w14:paraId="705F8F62"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B5AAEFC"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0F7DCE7"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FE25E36" w14:textId="77777777" w:rsidR="003B49C4" w:rsidRDefault="003B49C4">
            <w:pPr>
              <w:suppressAutoHyphens/>
              <w:jc w:val="center"/>
              <w:rPr>
                <w:kern w:val="16"/>
              </w:rPr>
            </w:pPr>
            <w:r>
              <w:t>300</w:t>
            </w:r>
          </w:p>
        </w:tc>
        <w:tc>
          <w:tcPr>
            <w:tcW w:w="1032" w:type="dxa"/>
            <w:tcBorders>
              <w:top w:val="single" w:sz="4" w:space="0" w:color="auto"/>
              <w:left w:val="single" w:sz="4" w:space="0" w:color="auto"/>
              <w:bottom w:val="single" w:sz="4" w:space="0" w:color="auto"/>
              <w:right w:val="single" w:sz="4" w:space="0" w:color="auto"/>
            </w:tcBorders>
            <w:hideMark/>
          </w:tcPr>
          <w:p w14:paraId="0A4524B9" w14:textId="77777777" w:rsidR="003B49C4" w:rsidRDefault="003B49C4">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199E7E4A" w14:textId="77777777" w:rsidR="003B49C4" w:rsidRDefault="003B49C4">
            <w:pPr>
              <w:suppressAutoHyphens/>
              <w:jc w:val="center"/>
              <w:rPr>
                <w:kern w:val="16"/>
              </w:rPr>
            </w:pPr>
            <w:r>
              <w:t>-</w:t>
            </w:r>
          </w:p>
        </w:tc>
      </w:tr>
      <w:tr w:rsidR="003B49C4" w14:paraId="60D1F69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1D0C8CC7"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0581709C"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1C9BAA2" w14:textId="77777777" w:rsidR="003B49C4" w:rsidRDefault="003B49C4">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4309A7E7" w14:textId="77777777" w:rsidR="003B49C4" w:rsidRDefault="003B49C4">
            <w:pPr>
              <w:suppressAutoHyphens/>
              <w:jc w:val="center"/>
              <w:rPr>
                <w:kern w:val="16"/>
              </w:rPr>
            </w:pPr>
            <w:r>
              <w:t>35</w:t>
            </w:r>
          </w:p>
        </w:tc>
        <w:tc>
          <w:tcPr>
            <w:tcW w:w="0" w:type="auto"/>
            <w:tcBorders>
              <w:top w:val="single" w:sz="4" w:space="0" w:color="auto"/>
              <w:left w:val="single" w:sz="4" w:space="0" w:color="auto"/>
              <w:bottom w:val="single" w:sz="4" w:space="0" w:color="auto"/>
              <w:right w:val="single" w:sz="4" w:space="0" w:color="auto"/>
            </w:tcBorders>
            <w:hideMark/>
          </w:tcPr>
          <w:p w14:paraId="647B1498" w14:textId="77777777" w:rsidR="003B49C4" w:rsidRDefault="003B49C4">
            <w:pPr>
              <w:suppressAutoHyphens/>
              <w:jc w:val="center"/>
              <w:rPr>
                <w:kern w:val="16"/>
              </w:rPr>
            </w:pPr>
            <w:r>
              <w:t>0</w:t>
            </w:r>
          </w:p>
        </w:tc>
      </w:tr>
      <w:tr w:rsidR="003B49C4" w14:paraId="237D8B0F"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1EDE3DB"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4E4B4311"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858BC6B" w14:textId="77777777" w:rsidR="003B49C4" w:rsidRDefault="003B49C4">
            <w:pPr>
              <w:suppressAutoHyphens/>
              <w:jc w:val="center"/>
              <w:rPr>
                <w:kern w:val="16"/>
              </w:rPr>
            </w:pPr>
            <w:r>
              <w:t>75</w:t>
            </w:r>
          </w:p>
        </w:tc>
        <w:tc>
          <w:tcPr>
            <w:tcW w:w="1032" w:type="dxa"/>
            <w:tcBorders>
              <w:top w:val="single" w:sz="4" w:space="0" w:color="auto"/>
              <w:left w:val="single" w:sz="4" w:space="0" w:color="auto"/>
              <w:bottom w:val="single" w:sz="4" w:space="0" w:color="auto"/>
              <w:right w:val="single" w:sz="4" w:space="0" w:color="auto"/>
            </w:tcBorders>
            <w:hideMark/>
          </w:tcPr>
          <w:p w14:paraId="3F411529" w14:textId="77777777" w:rsidR="003B49C4" w:rsidRDefault="003B49C4">
            <w:pPr>
              <w:suppressAutoHyphens/>
              <w:jc w:val="center"/>
              <w:rPr>
                <w:kern w:val="16"/>
              </w:rPr>
            </w:pPr>
            <w:r>
              <w:t>28</w:t>
            </w:r>
          </w:p>
        </w:tc>
        <w:tc>
          <w:tcPr>
            <w:tcW w:w="0" w:type="auto"/>
            <w:tcBorders>
              <w:top w:val="single" w:sz="4" w:space="0" w:color="auto"/>
              <w:left w:val="single" w:sz="4" w:space="0" w:color="auto"/>
              <w:bottom w:val="single" w:sz="4" w:space="0" w:color="auto"/>
              <w:right w:val="single" w:sz="4" w:space="0" w:color="auto"/>
            </w:tcBorders>
            <w:hideMark/>
          </w:tcPr>
          <w:p w14:paraId="3ED599E4" w14:textId="77777777" w:rsidR="003B49C4" w:rsidRDefault="003B49C4">
            <w:pPr>
              <w:suppressAutoHyphens/>
              <w:jc w:val="center"/>
              <w:rPr>
                <w:kern w:val="16"/>
              </w:rPr>
            </w:pPr>
            <w:r>
              <w:t>6</w:t>
            </w:r>
          </w:p>
        </w:tc>
      </w:tr>
      <w:tr w:rsidR="003B49C4" w14:paraId="774105B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24C8003"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6BD7CA74"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07EBC66" w14:textId="77777777" w:rsidR="003B49C4" w:rsidRDefault="003B49C4">
            <w:pPr>
              <w:suppressAutoHyphens/>
              <w:jc w:val="center"/>
              <w:rPr>
                <w:kern w:val="16"/>
              </w:rPr>
            </w:pPr>
            <w:r>
              <w:t>100</w:t>
            </w:r>
          </w:p>
        </w:tc>
        <w:tc>
          <w:tcPr>
            <w:tcW w:w="1032" w:type="dxa"/>
            <w:tcBorders>
              <w:top w:val="single" w:sz="4" w:space="0" w:color="auto"/>
              <w:left w:val="single" w:sz="4" w:space="0" w:color="auto"/>
              <w:bottom w:val="single" w:sz="4" w:space="0" w:color="auto"/>
              <w:right w:val="single" w:sz="4" w:space="0" w:color="auto"/>
            </w:tcBorders>
            <w:hideMark/>
          </w:tcPr>
          <w:p w14:paraId="290E836D" w14:textId="77777777" w:rsidR="003B49C4" w:rsidRDefault="003B49C4">
            <w:pPr>
              <w:suppressAutoHyphens/>
              <w:jc w:val="center"/>
              <w:rPr>
                <w:kern w:val="16"/>
              </w:rPr>
            </w:pPr>
            <w:r>
              <w:t>30</w:t>
            </w:r>
          </w:p>
        </w:tc>
        <w:tc>
          <w:tcPr>
            <w:tcW w:w="0" w:type="auto"/>
            <w:tcBorders>
              <w:top w:val="single" w:sz="4" w:space="0" w:color="auto"/>
              <w:left w:val="single" w:sz="4" w:space="0" w:color="auto"/>
              <w:bottom w:val="single" w:sz="4" w:space="0" w:color="auto"/>
              <w:right w:val="single" w:sz="4" w:space="0" w:color="auto"/>
            </w:tcBorders>
            <w:hideMark/>
          </w:tcPr>
          <w:p w14:paraId="2CD4B56E" w14:textId="77777777" w:rsidR="003B49C4" w:rsidRDefault="003B49C4">
            <w:pPr>
              <w:suppressAutoHyphens/>
              <w:jc w:val="center"/>
              <w:rPr>
                <w:kern w:val="16"/>
              </w:rPr>
            </w:pPr>
            <w:r>
              <w:t>3</w:t>
            </w:r>
          </w:p>
        </w:tc>
      </w:tr>
    </w:tbl>
    <w:p w14:paraId="148525A2" w14:textId="77777777" w:rsidR="00970A1B" w:rsidRDefault="00970A1B" w:rsidP="000F299B">
      <w:pPr>
        <w:pStyle w:val="Paragraph"/>
        <w:spacing w:before="0" w:after="240" w:line="300" w:lineRule="auto"/>
        <w:rPr>
          <w:rFonts w:ascii="Arial" w:hAnsi="Arial" w:cs="Arial"/>
        </w:rPr>
      </w:pPr>
    </w:p>
    <w:p w14:paraId="53017DE9" w14:textId="77777777" w:rsidR="003B49C4" w:rsidRPr="000F299B" w:rsidRDefault="003B49C4" w:rsidP="00877DDB">
      <w:pPr>
        <w:pStyle w:val="BPM"/>
      </w:pPr>
      <w:r w:rsidRPr="000F299B">
        <w:t xml:space="preserve">The purpose of this example is to show that the LMP in the </w:t>
      </w:r>
      <w:r w:rsidR="0058562B">
        <w:t>CA</w:t>
      </w:r>
      <w:r w:rsidRPr="000F299B">
        <w:t xml:space="preserve">ISO would include the GHG compliance costs for imports; this effect was masked in the previous examples because the more expensive resource G1 was setting the LMP in the </w:t>
      </w:r>
      <w:r w:rsidR="0058562B">
        <w:t>CA</w:t>
      </w:r>
      <w:r w:rsidRPr="000F299B">
        <w:t>ISO. In this case, without a binding power transfer limit, G2, G3 and G4 are dispatched to serve both loads L1 and L2. The optimal dispatch and export allocation are as follows:</w:t>
      </w:r>
    </w:p>
    <w:tbl>
      <w:tblPr>
        <w:tblW w:w="0" w:type="auto"/>
        <w:jc w:val="center"/>
        <w:tblLook w:val="04A0" w:firstRow="1" w:lastRow="0" w:firstColumn="1" w:lastColumn="0" w:noHBand="0" w:noVBand="1"/>
      </w:tblPr>
      <w:tblGrid>
        <w:gridCol w:w="1156"/>
        <w:gridCol w:w="1010"/>
        <w:gridCol w:w="1792"/>
        <w:gridCol w:w="1069"/>
      </w:tblGrid>
      <w:tr w:rsidR="003B49C4" w14:paraId="18ED3C76"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48271D" w14:textId="77777777" w:rsidR="003B49C4" w:rsidRDefault="003B49C4">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116AB7" w14:textId="77777777" w:rsidR="003B49C4" w:rsidRDefault="003B49C4">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37A69A" w14:textId="77777777" w:rsidR="003B49C4" w:rsidRDefault="003B49C4">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FF3DA8" w14:textId="77777777" w:rsidR="003B49C4" w:rsidRDefault="003B49C4">
            <w:pPr>
              <w:suppressAutoHyphens/>
              <w:jc w:val="center"/>
              <w:rPr>
                <w:b/>
                <w:kern w:val="16"/>
              </w:rPr>
            </w:pPr>
            <w:r>
              <w:rPr>
                <w:b/>
              </w:rPr>
              <w:t>LMP</w:t>
            </w:r>
            <w:r>
              <w:rPr>
                <w:b/>
              </w:rPr>
              <w:br/>
              <w:t>($/MWh)</w:t>
            </w:r>
          </w:p>
        </w:tc>
      </w:tr>
      <w:tr w:rsidR="003B49C4" w14:paraId="4BC6F2B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03539F5"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4FD4398"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3170505" w14:textId="77777777" w:rsidR="003B49C4" w:rsidRDefault="003B49C4">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152872C0" w14:textId="77777777" w:rsidR="003B49C4" w:rsidRDefault="003B49C4">
            <w:pPr>
              <w:suppressAutoHyphens/>
              <w:jc w:val="center"/>
              <w:rPr>
                <w:kern w:val="16"/>
              </w:rPr>
            </w:pPr>
            <w:r>
              <w:t>35</w:t>
            </w:r>
          </w:p>
        </w:tc>
      </w:tr>
      <w:tr w:rsidR="003B49C4" w14:paraId="4979E334"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A5AFEF9"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7FF466C7"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5E17D5B4"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536E4C81" w14:textId="77777777" w:rsidR="003B49C4" w:rsidRDefault="003B49C4">
            <w:pPr>
              <w:suppressAutoHyphens/>
              <w:jc w:val="center"/>
              <w:rPr>
                <w:kern w:val="16"/>
              </w:rPr>
            </w:pPr>
            <w:r>
              <w:t>29</w:t>
            </w:r>
          </w:p>
        </w:tc>
      </w:tr>
      <w:tr w:rsidR="003B49C4" w14:paraId="48F0440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40E22C5"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0D58DA74"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24C1436C" w14:textId="77777777" w:rsidR="003B49C4" w:rsidRDefault="003B49C4">
            <w:pPr>
              <w:suppressAutoHyphens/>
              <w:jc w:val="center"/>
              <w:rPr>
                <w:kern w:val="16"/>
              </w:rPr>
            </w:pPr>
            <w:r>
              <w:t>25</w:t>
            </w:r>
          </w:p>
        </w:tc>
        <w:tc>
          <w:tcPr>
            <w:tcW w:w="0" w:type="auto"/>
            <w:tcBorders>
              <w:top w:val="single" w:sz="4" w:space="0" w:color="auto"/>
              <w:left w:val="single" w:sz="4" w:space="0" w:color="auto"/>
              <w:bottom w:val="single" w:sz="4" w:space="0" w:color="auto"/>
              <w:right w:val="single" w:sz="4" w:space="0" w:color="auto"/>
            </w:tcBorders>
            <w:hideMark/>
          </w:tcPr>
          <w:p w14:paraId="25445151" w14:textId="77777777" w:rsidR="003B49C4" w:rsidRDefault="003B49C4">
            <w:pPr>
              <w:suppressAutoHyphens/>
              <w:jc w:val="center"/>
              <w:rPr>
                <w:kern w:val="16"/>
              </w:rPr>
            </w:pPr>
            <w:r>
              <w:t>29</w:t>
            </w:r>
          </w:p>
        </w:tc>
      </w:tr>
      <w:tr w:rsidR="003B49C4" w14:paraId="3476FBA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46F8655"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05813C08" w14:textId="77777777" w:rsidR="003B49C4" w:rsidRDefault="003B49C4">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49E8A784" w14:textId="77777777" w:rsidR="003B49C4" w:rsidRDefault="003B49C4">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7D6F5E06" w14:textId="77777777" w:rsidR="003B49C4" w:rsidRDefault="003B49C4">
            <w:pPr>
              <w:suppressAutoHyphens/>
              <w:jc w:val="center"/>
              <w:rPr>
                <w:kern w:val="16"/>
              </w:rPr>
            </w:pPr>
            <w:r>
              <w:t>29</w:t>
            </w:r>
          </w:p>
        </w:tc>
      </w:tr>
    </w:tbl>
    <w:p w14:paraId="53A1DA1D" w14:textId="77777777" w:rsidR="003B49C4" w:rsidRDefault="003B49C4" w:rsidP="003B49C4">
      <w:pPr>
        <w:jc w:val="center"/>
      </w:pPr>
      <w:r>
        <w:t xml:space="preserve">Example 4: </w:t>
      </w:r>
      <m:oMath>
        <m:r>
          <m:rPr>
            <m:sty m:val="p"/>
          </m:rPr>
          <w:rPr>
            <w:rFonts w:ascii="Cambria Math" w:hAnsi="Cambria Math"/>
          </w:rPr>
          <m:t>µ</m:t>
        </m:r>
      </m:oMath>
      <w:r>
        <w:t xml:space="preserve"> = $0/MWh; </w:t>
      </w:r>
      <m:oMath>
        <m:r>
          <m:rPr>
            <m:sty m:val="p"/>
          </m:rPr>
          <w:rPr>
            <w:rFonts w:ascii="Cambria Math" w:hAnsi="Cambria Math"/>
          </w:rPr>
          <m:t>η</m:t>
        </m:r>
      </m:oMath>
      <w:r>
        <w:t xml:space="preserve"> = –$6/MWh</w:t>
      </w:r>
    </w:p>
    <w:p w14:paraId="03396235" w14:textId="77777777" w:rsidR="00FC6F91" w:rsidRDefault="00FC6F91" w:rsidP="003B49C4">
      <w:pPr>
        <w:jc w:val="center"/>
        <w:rPr>
          <w:kern w:val="16"/>
        </w:rPr>
      </w:pPr>
    </w:p>
    <w:p w14:paraId="4B792C4C" w14:textId="77777777" w:rsidR="003B49C4" w:rsidRPr="000F299B" w:rsidRDefault="003B49C4" w:rsidP="00877DDB">
      <w:pPr>
        <w:pStyle w:val="BPM"/>
      </w:pPr>
      <w:r w:rsidRPr="000F299B">
        <w:t xml:space="preserve">G3 is the least expensive resource for serving L2 and G4 is the least expensive resource for serving L1; consequently, both resources are dispatched at their maximum capacity. G2 is marginal for serving L1 and sets the LMP in the </w:t>
      </w:r>
      <w:r w:rsidR="0058562B">
        <w:t>CA</w:t>
      </w:r>
      <w:r w:rsidRPr="000F299B">
        <w:t>ISO to $35/MWh. One additional MW of L2 will divert 1MW of G3 export to L2 saving $6/MWh on GHG compliance costs and that export will be made up by one additional MW from G2 at a net cost of $29/MWh, which is the LMP in the EIM Entity BAA.</w:t>
      </w:r>
    </w:p>
    <w:p w14:paraId="02A53D6D" w14:textId="77777777" w:rsidR="003B49C4" w:rsidRPr="000F299B" w:rsidRDefault="003B49C4" w:rsidP="00877DDB">
      <w:pPr>
        <w:pStyle w:val="BPM"/>
      </w:pPr>
      <w:r w:rsidRPr="000F299B">
        <w:lastRenderedPageBreak/>
        <w:t>Since there is no transmission congestion, the LMP difference of $6/MWh amounts to the marginal GHG compliance cost of $6/MWh. The marginal GHG compliance cost can be easily verified if the export allocation (which carries the GHG compliance cost) is relaxed by 1 MW to 199MW, in which case 1MWh from G3 will not incur GHG compliance costs for a benefit of $6.</w:t>
      </w:r>
    </w:p>
    <w:p w14:paraId="1832329A" w14:textId="77777777" w:rsidR="003B49C4" w:rsidRPr="000F299B" w:rsidRDefault="003B49C4" w:rsidP="00877DDB">
      <w:pPr>
        <w:pStyle w:val="BPM"/>
      </w:pPr>
      <w:r w:rsidRPr="000F299B">
        <w:t>The marginal GHG compliance cost of $6/MWh on a 200MWh energy export results in a GHG compliance revenue of $1,200.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416"/>
        <w:gridCol w:w="1123"/>
        <w:gridCol w:w="1443"/>
        <w:gridCol w:w="1150"/>
      </w:tblGrid>
      <w:tr w:rsidR="003B49C4" w14:paraId="79E6E23E"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CBF3AC" w14:textId="77777777" w:rsidR="003B49C4" w:rsidRDefault="003B49C4">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34FE108" w14:textId="77777777" w:rsidR="003B49C4" w:rsidRDefault="003B49C4">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A78B7B0" w14:textId="77777777" w:rsidR="003B49C4" w:rsidRDefault="003B49C4">
            <w:pPr>
              <w:suppressAutoHyphens/>
              <w:jc w:val="center"/>
              <w:rPr>
                <w:b/>
                <w:kern w:val="16"/>
              </w:rPr>
            </w:pPr>
            <w:r>
              <w:rPr>
                <w:b/>
              </w:rPr>
              <w:t>GHG Compliance Cost</w:t>
            </w:r>
          </w:p>
        </w:tc>
        <w:tc>
          <w:tcPr>
            <w:tcW w:w="1416" w:type="dxa"/>
            <w:tcBorders>
              <w:top w:val="single" w:sz="18" w:space="0" w:color="auto"/>
              <w:left w:val="single" w:sz="18" w:space="0" w:color="auto"/>
              <w:bottom w:val="single" w:sz="6" w:space="0" w:color="auto"/>
              <w:right w:val="single" w:sz="18" w:space="0" w:color="auto"/>
            </w:tcBorders>
            <w:shd w:val="clear" w:color="auto" w:fill="C6D9F1" w:themeFill="text2" w:themeFillTint="33"/>
            <w:hideMark/>
          </w:tcPr>
          <w:p w14:paraId="142BB53B" w14:textId="77777777" w:rsidR="003B49C4" w:rsidRDefault="003B49C4">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6BD44730" w14:textId="77777777" w:rsidR="003B49C4" w:rsidRDefault="003B49C4">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9BBE377" w14:textId="77777777" w:rsidR="003B49C4" w:rsidRDefault="003B49C4">
            <w:pPr>
              <w:suppressAutoHyphens/>
              <w:jc w:val="center"/>
              <w:rPr>
                <w:b/>
                <w:kern w:val="16"/>
              </w:rPr>
            </w:pPr>
            <w:r>
              <w:rPr>
                <w:b/>
              </w:rPr>
              <w:t>GHG Compliance Payment</w:t>
            </w:r>
          </w:p>
        </w:tc>
        <w:tc>
          <w:tcPr>
            <w:tcW w:w="1150" w:type="dxa"/>
            <w:tcBorders>
              <w:top w:val="single" w:sz="18" w:space="0" w:color="auto"/>
              <w:left w:val="single" w:sz="18" w:space="0" w:color="auto"/>
              <w:bottom w:val="single" w:sz="6" w:space="0" w:color="auto"/>
              <w:right w:val="single" w:sz="18" w:space="0" w:color="auto"/>
            </w:tcBorders>
            <w:shd w:val="clear" w:color="auto" w:fill="C6D9F1" w:themeFill="text2" w:themeFillTint="33"/>
            <w:hideMark/>
          </w:tcPr>
          <w:p w14:paraId="48121CC7" w14:textId="77777777" w:rsidR="003B49C4" w:rsidRDefault="003B49C4">
            <w:pPr>
              <w:suppressAutoHyphens/>
              <w:jc w:val="center"/>
              <w:rPr>
                <w:b/>
                <w:kern w:val="16"/>
              </w:rPr>
            </w:pPr>
            <w:r>
              <w:rPr>
                <w:b/>
              </w:rPr>
              <w:t>Total Payment</w:t>
            </w:r>
          </w:p>
        </w:tc>
      </w:tr>
      <w:tr w:rsidR="003B49C4" w14:paraId="747C309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9827091"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0C2530E3"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09D12F83"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hideMark/>
          </w:tcPr>
          <w:p w14:paraId="39186D29" w14:textId="77777777" w:rsidR="003B49C4" w:rsidRDefault="003B49C4">
            <w:pPr>
              <w:suppressAutoHyphens/>
              <w:jc w:val="center"/>
              <w:rPr>
                <w:kern w:val="16"/>
              </w:rPr>
            </w:pPr>
            <w:r>
              <w:t>$0</w:t>
            </w:r>
          </w:p>
        </w:tc>
        <w:tc>
          <w:tcPr>
            <w:tcW w:w="1123" w:type="dxa"/>
            <w:tcBorders>
              <w:top w:val="single" w:sz="4" w:space="0" w:color="auto"/>
              <w:left w:val="single" w:sz="18" w:space="0" w:color="auto"/>
              <w:bottom w:val="single" w:sz="4" w:space="0" w:color="auto"/>
              <w:right w:val="single" w:sz="4" w:space="0" w:color="auto"/>
            </w:tcBorders>
            <w:hideMark/>
          </w:tcPr>
          <w:p w14:paraId="79209D0D"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7335EFC9"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hideMark/>
          </w:tcPr>
          <w:p w14:paraId="773CD9CB" w14:textId="77777777" w:rsidR="003B49C4" w:rsidRDefault="003B49C4">
            <w:pPr>
              <w:suppressAutoHyphens/>
              <w:jc w:val="center"/>
              <w:rPr>
                <w:kern w:val="16"/>
              </w:rPr>
            </w:pPr>
            <w:r>
              <w:t>$0</w:t>
            </w:r>
          </w:p>
        </w:tc>
      </w:tr>
      <w:tr w:rsidR="003B49C4" w14:paraId="0F80626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5B61D837"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53B0A672" w14:textId="77777777" w:rsidR="003B49C4" w:rsidRDefault="003B49C4">
            <w:pPr>
              <w:suppressAutoHyphens/>
              <w:jc w:val="center"/>
              <w:rPr>
                <w:kern w:val="16"/>
              </w:rPr>
            </w:pPr>
            <w:r>
              <w:t>$2,625</w:t>
            </w:r>
          </w:p>
        </w:tc>
        <w:tc>
          <w:tcPr>
            <w:tcW w:w="1443" w:type="dxa"/>
            <w:tcBorders>
              <w:top w:val="single" w:sz="4" w:space="0" w:color="auto"/>
              <w:left w:val="single" w:sz="4" w:space="0" w:color="auto"/>
              <w:bottom w:val="single" w:sz="4" w:space="0" w:color="auto"/>
              <w:right w:val="single" w:sz="18" w:space="0" w:color="auto"/>
            </w:tcBorders>
            <w:hideMark/>
          </w:tcPr>
          <w:p w14:paraId="3AEE55E8" w14:textId="77777777" w:rsidR="003B49C4" w:rsidRDefault="003B49C4">
            <w:pPr>
              <w:suppressAutoHyphens/>
              <w:jc w:val="center"/>
              <w:rPr>
                <w:kern w:val="16"/>
              </w:rPr>
            </w:pPr>
            <w:r>
              <w:t>$0</w:t>
            </w:r>
          </w:p>
        </w:tc>
        <w:tc>
          <w:tcPr>
            <w:tcW w:w="1416" w:type="dxa"/>
            <w:tcBorders>
              <w:top w:val="single" w:sz="6" w:space="0" w:color="auto"/>
              <w:left w:val="single" w:sz="18" w:space="0" w:color="auto"/>
              <w:bottom w:val="single" w:sz="6" w:space="0" w:color="auto"/>
              <w:right w:val="single" w:sz="18" w:space="0" w:color="auto"/>
            </w:tcBorders>
            <w:hideMark/>
          </w:tcPr>
          <w:p w14:paraId="64626DBC" w14:textId="77777777" w:rsidR="003B49C4" w:rsidRDefault="003B49C4">
            <w:pPr>
              <w:suppressAutoHyphens/>
              <w:jc w:val="center"/>
              <w:rPr>
                <w:kern w:val="16"/>
              </w:rPr>
            </w:pPr>
            <w:r>
              <w:t>$2,625</w:t>
            </w:r>
          </w:p>
        </w:tc>
        <w:tc>
          <w:tcPr>
            <w:tcW w:w="1123" w:type="dxa"/>
            <w:tcBorders>
              <w:top w:val="single" w:sz="4" w:space="0" w:color="auto"/>
              <w:left w:val="single" w:sz="18" w:space="0" w:color="auto"/>
              <w:bottom w:val="single" w:sz="4" w:space="0" w:color="auto"/>
              <w:right w:val="single" w:sz="4" w:space="0" w:color="auto"/>
            </w:tcBorders>
            <w:hideMark/>
          </w:tcPr>
          <w:p w14:paraId="2F18B7F0"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62554894" w14:textId="77777777" w:rsidR="003B49C4" w:rsidRDefault="003B49C4">
            <w:pPr>
              <w:suppressAutoHyphens/>
              <w:jc w:val="center"/>
              <w:rPr>
                <w:kern w:val="16"/>
              </w:rPr>
            </w:pPr>
            <w:r>
              <w:t>$450</w:t>
            </w:r>
          </w:p>
        </w:tc>
        <w:tc>
          <w:tcPr>
            <w:tcW w:w="1150" w:type="dxa"/>
            <w:tcBorders>
              <w:top w:val="single" w:sz="6" w:space="0" w:color="auto"/>
              <w:left w:val="single" w:sz="18" w:space="0" w:color="auto"/>
              <w:bottom w:val="single" w:sz="6" w:space="0" w:color="auto"/>
              <w:right w:val="single" w:sz="18" w:space="0" w:color="auto"/>
            </w:tcBorders>
            <w:hideMark/>
          </w:tcPr>
          <w:p w14:paraId="7CCE4029" w14:textId="77777777" w:rsidR="003B49C4" w:rsidRDefault="003B49C4">
            <w:pPr>
              <w:suppressAutoHyphens/>
              <w:jc w:val="center"/>
              <w:rPr>
                <w:kern w:val="16"/>
              </w:rPr>
            </w:pPr>
            <w:r>
              <w:t>$2,625</w:t>
            </w:r>
          </w:p>
        </w:tc>
      </w:tr>
      <w:tr w:rsidR="003B49C4" w14:paraId="0DC7CD6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B4BC67C"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350A5E4F" w14:textId="77777777" w:rsidR="003B49C4" w:rsidRDefault="003B49C4">
            <w:pPr>
              <w:suppressAutoHyphens/>
              <w:jc w:val="center"/>
              <w:rPr>
                <w:kern w:val="16"/>
              </w:rPr>
            </w:pPr>
            <w:r>
              <w:t>$2,100</w:t>
            </w:r>
          </w:p>
        </w:tc>
        <w:tc>
          <w:tcPr>
            <w:tcW w:w="1443" w:type="dxa"/>
            <w:tcBorders>
              <w:top w:val="single" w:sz="4" w:space="0" w:color="auto"/>
              <w:left w:val="single" w:sz="4" w:space="0" w:color="auto"/>
              <w:bottom w:val="single" w:sz="4" w:space="0" w:color="auto"/>
              <w:right w:val="single" w:sz="18" w:space="0" w:color="auto"/>
            </w:tcBorders>
            <w:hideMark/>
          </w:tcPr>
          <w:p w14:paraId="69D0DFAD" w14:textId="77777777" w:rsidR="003B49C4" w:rsidRDefault="003B49C4">
            <w:pPr>
              <w:suppressAutoHyphens/>
              <w:jc w:val="center"/>
              <w:rPr>
                <w:kern w:val="16"/>
              </w:rPr>
            </w:pPr>
            <w:r>
              <w:t>$150</w:t>
            </w:r>
          </w:p>
        </w:tc>
        <w:tc>
          <w:tcPr>
            <w:tcW w:w="1416" w:type="dxa"/>
            <w:tcBorders>
              <w:top w:val="single" w:sz="6" w:space="0" w:color="auto"/>
              <w:left w:val="single" w:sz="18" w:space="0" w:color="auto"/>
              <w:bottom w:val="single" w:sz="6" w:space="0" w:color="auto"/>
              <w:right w:val="single" w:sz="18" w:space="0" w:color="auto"/>
            </w:tcBorders>
            <w:hideMark/>
          </w:tcPr>
          <w:p w14:paraId="0D21EE08" w14:textId="77777777" w:rsidR="003B49C4" w:rsidRDefault="003B49C4">
            <w:pPr>
              <w:suppressAutoHyphens/>
              <w:jc w:val="center"/>
              <w:rPr>
                <w:kern w:val="16"/>
              </w:rPr>
            </w:pPr>
            <w:r>
              <w:t>$2,250</w:t>
            </w:r>
          </w:p>
        </w:tc>
        <w:tc>
          <w:tcPr>
            <w:tcW w:w="1123" w:type="dxa"/>
            <w:tcBorders>
              <w:top w:val="single" w:sz="4" w:space="0" w:color="auto"/>
              <w:left w:val="single" w:sz="18" w:space="0" w:color="auto"/>
              <w:bottom w:val="single" w:sz="4" w:space="0" w:color="auto"/>
              <w:right w:val="single" w:sz="4" w:space="0" w:color="auto"/>
            </w:tcBorders>
            <w:hideMark/>
          </w:tcPr>
          <w:p w14:paraId="69B557E2"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6CF97508" w14:textId="77777777" w:rsidR="003B49C4" w:rsidRDefault="003B49C4">
            <w:pPr>
              <w:suppressAutoHyphens/>
              <w:jc w:val="center"/>
              <w:rPr>
                <w:kern w:val="16"/>
              </w:rPr>
            </w:pPr>
            <w:r>
              <w:t>$150</w:t>
            </w:r>
          </w:p>
        </w:tc>
        <w:tc>
          <w:tcPr>
            <w:tcW w:w="1150" w:type="dxa"/>
            <w:tcBorders>
              <w:top w:val="single" w:sz="6" w:space="0" w:color="auto"/>
              <w:left w:val="single" w:sz="18" w:space="0" w:color="auto"/>
              <w:bottom w:val="single" w:sz="6" w:space="0" w:color="auto"/>
              <w:right w:val="single" w:sz="18" w:space="0" w:color="auto"/>
            </w:tcBorders>
            <w:hideMark/>
          </w:tcPr>
          <w:p w14:paraId="390B9E61" w14:textId="77777777" w:rsidR="003B49C4" w:rsidRDefault="003B49C4">
            <w:pPr>
              <w:suppressAutoHyphens/>
              <w:jc w:val="center"/>
              <w:rPr>
                <w:kern w:val="16"/>
              </w:rPr>
            </w:pPr>
            <w:r>
              <w:t>$2,325</w:t>
            </w:r>
          </w:p>
        </w:tc>
      </w:tr>
      <w:tr w:rsidR="003B49C4" w14:paraId="035C0A2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5208E70"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0D052F3D" w14:textId="77777777" w:rsidR="003B49C4" w:rsidRDefault="003B49C4">
            <w:pPr>
              <w:suppressAutoHyphens/>
              <w:jc w:val="center"/>
              <w:rPr>
                <w:kern w:val="16"/>
              </w:rPr>
            </w:pPr>
            <w:r>
              <w:t>$3,000</w:t>
            </w:r>
          </w:p>
        </w:tc>
        <w:tc>
          <w:tcPr>
            <w:tcW w:w="1443" w:type="dxa"/>
            <w:tcBorders>
              <w:top w:val="single" w:sz="4" w:space="0" w:color="auto"/>
              <w:left w:val="single" w:sz="4" w:space="0" w:color="auto"/>
              <w:bottom w:val="single" w:sz="4" w:space="0" w:color="auto"/>
              <w:right w:val="single" w:sz="18" w:space="0" w:color="auto"/>
            </w:tcBorders>
            <w:hideMark/>
          </w:tcPr>
          <w:p w14:paraId="1AF1F4C1" w14:textId="77777777" w:rsidR="003B49C4" w:rsidRDefault="003B49C4">
            <w:pPr>
              <w:suppressAutoHyphens/>
              <w:jc w:val="center"/>
              <w:rPr>
                <w:kern w:val="16"/>
              </w:rPr>
            </w:pPr>
            <w:r>
              <w:t>$300</w:t>
            </w:r>
          </w:p>
        </w:tc>
        <w:tc>
          <w:tcPr>
            <w:tcW w:w="1416" w:type="dxa"/>
            <w:tcBorders>
              <w:top w:val="single" w:sz="6" w:space="0" w:color="auto"/>
              <w:left w:val="single" w:sz="18" w:space="0" w:color="auto"/>
              <w:bottom w:val="single" w:sz="6" w:space="0" w:color="auto"/>
              <w:right w:val="single" w:sz="18" w:space="0" w:color="auto"/>
            </w:tcBorders>
            <w:hideMark/>
          </w:tcPr>
          <w:p w14:paraId="4F474F6D" w14:textId="77777777" w:rsidR="003B49C4" w:rsidRDefault="003B49C4">
            <w:pPr>
              <w:suppressAutoHyphens/>
              <w:jc w:val="center"/>
              <w:rPr>
                <w:kern w:val="16"/>
              </w:rPr>
            </w:pPr>
            <w:r>
              <w:t>$3,300</w:t>
            </w:r>
          </w:p>
        </w:tc>
        <w:tc>
          <w:tcPr>
            <w:tcW w:w="1123" w:type="dxa"/>
            <w:tcBorders>
              <w:top w:val="single" w:sz="4" w:space="0" w:color="auto"/>
              <w:left w:val="single" w:sz="18" w:space="0" w:color="auto"/>
              <w:bottom w:val="single" w:sz="4" w:space="0" w:color="auto"/>
              <w:right w:val="single" w:sz="4" w:space="0" w:color="auto"/>
            </w:tcBorders>
            <w:hideMark/>
          </w:tcPr>
          <w:p w14:paraId="7DBEF517" w14:textId="77777777" w:rsidR="003B49C4" w:rsidRDefault="003B49C4">
            <w:pPr>
              <w:suppressAutoHyphens/>
              <w:jc w:val="center"/>
              <w:rPr>
                <w:kern w:val="16"/>
              </w:rPr>
            </w:pPr>
            <w:r>
              <w:t>$2,900</w:t>
            </w:r>
          </w:p>
        </w:tc>
        <w:tc>
          <w:tcPr>
            <w:tcW w:w="1443" w:type="dxa"/>
            <w:tcBorders>
              <w:top w:val="single" w:sz="4" w:space="0" w:color="auto"/>
              <w:left w:val="single" w:sz="4" w:space="0" w:color="auto"/>
              <w:bottom w:val="single" w:sz="4" w:space="0" w:color="auto"/>
              <w:right w:val="single" w:sz="18" w:space="0" w:color="auto"/>
            </w:tcBorders>
            <w:hideMark/>
          </w:tcPr>
          <w:p w14:paraId="21CD7429" w14:textId="77777777" w:rsidR="003B49C4" w:rsidRDefault="003B49C4">
            <w:pPr>
              <w:suppressAutoHyphens/>
              <w:jc w:val="center"/>
              <w:rPr>
                <w:kern w:val="16"/>
              </w:rPr>
            </w:pPr>
            <w:r>
              <w:t>$600</w:t>
            </w:r>
          </w:p>
        </w:tc>
        <w:tc>
          <w:tcPr>
            <w:tcW w:w="1150" w:type="dxa"/>
            <w:tcBorders>
              <w:top w:val="single" w:sz="6" w:space="0" w:color="auto"/>
              <w:left w:val="single" w:sz="18" w:space="0" w:color="auto"/>
              <w:bottom w:val="single" w:sz="6" w:space="0" w:color="auto"/>
              <w:right w:val="single" w:sz="18" w:space="0" w:color="auto"/>
            </w:tcBorders>
            <w:hideMark/>
          </w:tcPr>
          <w:p w14:paraId="61EE05A9" w14:textId="77777777" w:rsidR="003B49C4" w:rsidRDefault="003B49C4">
            <w:pPr>
              <w:suppressAutoHyphens/>
              <w:jc w:val="center"/>
              <w:rPr>
                <w:kern w:val="16"/>
              </w:rPr>
            </w:pPr>
            <w:r>
              <w:t>$3,500</w:t>
            </w:r>
          </w:p>
        </w:tc>
      </w:tr>
      <w:tr w:rsidR="003B49C4" w14:paraId="71F70203"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CFE20E7" w14:textId="77777777" w:rsidR="003B49C4" w:rsidRDefault="003B49C4">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3C413A99"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2D71E303"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051EC55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0885F0AE" w14:textId="77777777" w:rsidR="003B49C4" w:rsidRDefault="003B49C4">
            <w:pPr>
              <w:suppressAutoHyphens/>
              <w:jc w:val="center"/>
              <w:rPr>
                <w:kern w:val="16"/>
              </w:rPr>
            </w:pPr>
            <w:r>
              <w:t>–$7,000</w:t>
            </w:r>
          </w:p>
        </w:tc>
        <w:tc>
          <w:tcPr>
            <w:tcW w:w="1443" w:type="dxa"/>
            <w:tcBorders>
              <w:top w:val="single" w:sz="4" w:space="0" w:color="auto"/>
              <w:left w:val="single" w:sz="4" w:space="0" w:color="auto"/>
              <w:bottom w:val="single" w:sz="4" w:space="0" w:color="auto"/>
              <w:right w:val="single" w:sz="18" w:space="0" w:color="auto"/>
            </w:tcBorders>
          </w:tcPr>
          <w:p w14:paraId="156EF4AB"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5CACF31A" w14:textId="77777777" w:rsidR="003B49C4" w:rsidRDefault="003B49C4">
            <w:pPr>
              <w:suppressAutoHyphens/>
              <w:jc w:val="center"/>
              <w:rPr>
                <w:kern w:val="16"/>
              </w:rPr>
            </w:pPr>
          </w:p>
        </w:tc>
      </w:tr>
      <w:tr w:rsidR="003B49C4" w14:paraId="1FCBF5F6"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C151791" w14:textId="77777777" w:rsidR="003B49C4" w:rsidRDefault="003B49C4">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4035CD7F"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B196756"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489E4527"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7ACFCD32" w14:textId="77777777" w:rsidR="003B49C4" w:rsidRDefault="003B49C4">
            <w:pPr>
              <w:suppressAutoHyphens/>
              <w:jc w:val="center"/>
              <w:rPr>
                <w:kern w:val="16"/>
              </w:rPr>
            </w:pPr>
            <w:r>
              <w:t>–$1,450</w:t>
            </w:r>
          </w:p>
        </w:tc>
        <w:tc>
          <w:tcPr>
            <w:tcW w:w="1443" w:type="dxa"/>
            <w:tcBorders>
              <w:top w:val="single" w:sz="4" w:space="0" w:color="auto"/>
              <w:left w:val="single" w:sz="4" w:space="0" w:color="auto"/>
              <w:bottom w:val="single" w:sz="4" w:space="0" w:color="auto"/>
              <w:right w:val="single" w:sz="18" w:space="0" w:color="auto"/>
            </w:tcBorders>
          </w:tcPr>
          <w:p w14:paraId="10FFE3D0"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43D364B9" w14:textId="77777777" w:rsidR="003B49C4" w:rsidRDefault="003B49C4">
            <w:pPr>
              <w:suppressAutoHyphens/>
              <w:jc w:val="center"/>
              <w:rPr>
                <w:kern w:val="16"/>
              </w:rPr>
            </w:pPr>
          </w:p>
        </w:tc>
      </w:tr>
      <w:tr w:rsidR="003B49C4" w14:paraId="2F9BD4BE"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EA78F4B" w14:textId="77777777" w:rsidR="003B49C4" w:rsidRDefault="003B49C4">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2D31218A"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50E0772F"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4E492DED"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873AD7E"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38D3B728"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2D264117" w14:textId="77777777" w:rsidR="003B49C4" w:rsidRDefault="003B49C4">
            <w:pPr>
              <w:suppressAutoHyphens/>
              <w:jc w:val="center"/>
              <w:rPr>
                <w:kern w:val="16"/>
              </w:rPr>
            </w:pPr>
          </w:p>
        </w:tc>
      </w:tr>
      <w:tr w:rsidR="003B49C4" w14:paraId="112B8E11"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083D3825" w14:textId="77777777" w:rsidR="003B49C4" w:rsidRDefault="003B49C4">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2F9FA2FB"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A3C5239" w14:textId="77777777" w:rsidR="003B49C4" w:rsidRDefault="003B49C4">
            <w:pPr>
              <w:suppressAutoHyphens/>
              <w:jc w:val="center"/>
              <w:rPr>
                <w:kern w:val="16"/>
              </w:rPr>
            </w:pPr>
          </w:p>
        </w:tc>
        <w:tc>
          <w:tcPr>
            <w:tcW w:w="1416" w:type="dxa"/>
            <w:tcBorders>
              <w:top w:val="single" w:sz="6" w:space="0" w:color="auto"/>
              <w:left w:val="single" w:sz="18" w:space="0" w:color="auto"/>
              <w:bottom w:val="single" w:sz="18" w:space="0" w:color="auto"/>
              <w:right w:val="single" w:sz="18" w:space="0" w:color="auto"/>
            </w:tcBorders>
          </w:tcPr>
          <w:p w14:paraId="172B22C9"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CE236D5" w14:textId="77777777" w:rsidR="003B49C4" w:rsidRDefault="003B49C4">
            <w:pPr>
              <w:suppressAutoHyphens/>
              <w:jc w:val="center"/>
              <w:rPr>
                <w:kern w:val="16"/>
              </w:rPr>
            </w:pPr>
            <w:r>
              <w:t>$1,200</w:t>
            </w:r>
          </w:p>
        </w:tc>
        <w:tc>
          <w:tcPr>
            <w:tcW w:w="1443" w:type="dxa"/>
            <w:tcBorders>
              <w:top w:val="single" w:sz="4" w:space="0" w:color="auto"/>
              <w:left w:val="single" w:sz="4" w:space="0" w:color="auto"/>
              <w:bottom w:val="single" w:sz="4" w:space="0" w:color="auto"/>
              <w:right w:val="single" w:sz="18" w:space="0" w:color="auto"/>
            </w:tcBorders>
          </w:tcPr>
          <w:p w14:paraId="3D5E83F6" w14:textId="77777777" w:rsidR="003B49C4" w:rsidRDefault="003B49C4">
            <w:pPr>
              <w:suppressAutoHyphens/>
              <w:jc w:val="center"/>
              <w:rPr>
                <w:kern w:val="16"/>
              </w:rPr>
            </w:pPr>
          </w:p>
        </w:tc>
        <w:tc>
          <w:tcPr>
            <w:tcW w:w="1150" w:type="dxa"/>
            <w:tcBorders>
              <w:top w:val="single" w:sz="6" w:space="0" w:color="auto"/>
              <w:left w:val="single" w:sz="18" w:space="0" w:color="auto"/>
              <w:bottom w:val="single" w:sz="18" w:space="0" w:color="auto"/>
              <w:right w:val="single" w:sz="18" w:space="0" w:color="auto"/>
            </w:tcBorders>
          </w:tcPr>
          <w:p w14:paraId="6DF9547F" w14:textId="77777777" w:rsidR="003B49C4" w:rsidRDefault="003B49C4">
            <w:pPr>
              <w:suppressAutoHyphens/>
              <w:jc w:val="center"/>
              <w:rPr>
                <w:kern w:val="16"/>
              </w:rPr>
            </w:pPr>
          </w:p>
        </w:tc>
      </w:tr>
    </w:tbl>
    <w:p w14:paraId="4EF5D474" w14:textId="77777777" w:rsidR="00970A1B" w:rsidRDefault="00970A1B" w:rsidP="000F299B">
      <w:pPr>
        <w:pStyle w:val="Paragraph"/>
        <w:spacing w:before="0" w:after="240" w:line="300" w:lineRule="auto"/>
        <w:rPr>
          <w:rFonts w:ascii="Arial" w:hAnsi="Arial" w:cs="Arial"/>
        </w:rPr>
      </w:pPr>
    </w:p>
    <w:p w14:paraId="47E43B69" w14:textId="77777777" w:rsidR="001E7023" w:rsidRDefault="003B49C4" w:rsidP="00877DDB">
      <w:pPr>
        <w:pStyle w:val="BPM"/>
      </w:pPr>
      <w:r w:rsidRPr="000F299B">
        <w:t>It can be seen in the settlement results above that the total payment to each generator is sufficient to cover the respective energy and GHG compliance costs. Furthermore, all export allocations receive the marginal GHG compliance cost irrespective of the resource’s GHG compliance bid.</w:t>
      </w:r>
    </w:p>
    <w:p w14:paraId="19C7F9BF" w14:textId="77777777" w:rsidR="00BD15CD" w:rsidRDefault="00BD15CD" w:rsidP="00A43B57">
      <w:pPr>
        <w:pStyle w:val="BPM3"/>
      </w:pPr>
      <w:r>
        <w:t xml:space="preserve">Impact </w:t>
      </w:r>
      <w:r w:rsidR="00711B49">
        <w:t>of</w:t>
      </w:r>
      <w:r>
        <w:t xml:space="preserve"> EIM Transfer Cost</w:t>
      </w:r>
      <w:r w:rsidR="00711B49">
        <w:t xml:space="preserve"> on LMPs</w:t>
      </w:r>
    </w:p>
    <w:p w14:paraId="27C4DC9F" w14:textId="77777777" w:rsidR="00211D91" w:rsidRDefault="00417BDC" w:rsidP="00877DDB">
      <w:pPr>
        <w:pStyle w:val="BPM"/>
      </w:pPr>
      <w:r>
        <w:t xml:space="preserve">The impact of EIM Transfer Cost on LMPs </w:t>
      </w:r>
      <w:r w:rsidR="00B96223">
        <w:t>is</w:t>
      </w:r>
      <w:r>
        <w:t xml:space="preserve"> </w:t>
      </w:r>
      <w:r w:rsidR="00A43B57">
        <w:rPr>
          <w:i/>
        </w:rPr>
        <w:t>de minimus</w:t>
      </w:r>
      <w:r>
        <w:rPr>
          <w:rFonts w:cs="Arial"/>
          <w:color w:val="222222"/>
          <w:shd w:val="clear" w:color="auto" w:fill="FFFFFF"/>
        </w:rPr>
        <w:t xml:space="preserve"> since the maximum of EIM Tr</w:t>
      </w:r>
      <w:r w:rsidR="00BD0A9B">
        <w:rPr>
          <w:rFonts w:cs="Arial"/>
          <w:color w:val="222222"/>
          <w:shd w:val="clear" w:color="auto" w:fill="FFFFFF"/>
        </w:rPr>
        <w:t xml:space="preserve">ansfer </w:t>
      </w:r>
      <w:r w:rsidR="00B96223">
        <w:rPr>
          <w:rFonts w:cs="Arial"/>
          <w:color w:val="222222"/>
          <w:shd w:val="clear" w:color="auto" w:fill="FFFFFF"/>
        </w:rPr>
        <w:t>schedule c</w:t>
      </w:r>
      <w:r w:rsidR="00BD0A9B">
        <w:rPr>
          <w:rFonts w:cs="Arial"/>
          <w:color w:val="222222"/>
          <w:shd w:val="clear" w:color="auto" w:fill="FFFFFF"/>
        </w:rPr>
        <w:t xml:space="preserve">ost is </w:t>
      </w:r>
      <w:r w:rsidR="00B96223">
        <w:rPr>
          <w:rFonts w:cs="Arial"/>
          <w:color w:val="222222"/>
          <w:shd w:val="clear" w:color="auto" w:fill="FFFFFF"/>
        </w:rPr>
        <w:t>less than</w:t>
      </w:r>
      <w:r w:rsidR="00BD0A9B">
        <w:rPr>
          <w:rFonts w:cs="Arial"/>
          <w:color w:val="222222"/>
          <w:shd w:val="clear" w:color="auto" w:fill="FFFFFF"/>
        </w:rPr>
        <w:t xml:space="preserve"> $0.01</w:t>
      </w:r>
      <w:r>
        <w:rPr>
          <w:rFonts w:cs="Arial"/>
          <w:color w:val="222222"/>
          <w:shd w:val="clear" w:color="auto" w:fill="FFFFFF"/>
        </w:rPr>
        <w:t>. Thus t</w:t>
      </w:r>
      <w:r w:rsidR="00BD15CD" w:rsidRPr="004B4158">
        <w:t xml:space="preserve">he transfer cost will </w:t>
      </w:r>
      <w:r w:rsidR="00B96223">
        <w:t xml:space="preserve">be included in the Marginal Cost of Congestion and </w:t>
      </w:r>
      <w:r w:rsidR="00BD15CD" w:rsidRPr="004B4158">
        <w:t>not explicitly settled</w:t>
      </w:r>
      <w:r>
        <w:t>.</w:t>
      </w:r>
    </w:p>
    <w:p w14:paraId="4A5CD3ED" w14:textId="77777777" w:rsidR="00B47D9D" w:rsidRDefault="00B47D9D" w:rsidP="00B47D9D">
      <w:pPr>
        <w:pStyle w:val="BPM3"/>
      </w:pPr>
      <w:r w:rsidRPr="00684F4A">
        <w:lastRenderedPageBreak/>
        <w:t>Marginal Cost of Congestion (MCC</w:t>
      </w:r>
      <w:r>
        <w:t xml:space="preserve"> )</w:t>
      </w:r>
    </w:p>
    <w:p w14:paraId="663B0BE7" w14:textId="77777777" w:rsidR="00B47D9D" w:rsidRDefault="00B47D9D" w:rsidP="00B47D9D">
      <w:pPr>
        <w:rPr>
          <w:b/>
        </w:rPr>
      </w:pPr>
    </w:p>
    <w:p w14:paraId="02449C4D" w14:textId="77777777" w:rsidR="00B47D9D" w:rsidRDefault="00B47D9D" w:rsidP="00B47D9D">
      <w:r>
        <w:t xml:space="preserve">MCC is the component of the Locational Marginal Price that reflects the sensitivity of relieving congestion by increasing supply at the location balanced by an equal increase in demand at the reference bus. The impact of the EIM Transfer Cost on the LMP will be included in the MCC calculation to help address the issues concerning allocation of congestion revenues at interties. </w:t>
      </w:r>
    </w:p>
    <w:p w14:paraId="1D2CE15C" w14:textId="77777777" w:rsidR="00B47D9D" w:rsidRDefault="00B47D9D" w:rsidP="00B47D9D"/>
    <w:p w14:paraId="5DCE406B" w14:textId="77777777" w:rsidR="00B47D9D" w:rsidRDefault="00B47D9D" w:rsidP="00B47D9D">
      <w:r>
        <w:t>Notation:</w:t>
      </w:r>
    </w:p>
    <w:p w14:paraId="4C8A29FA" w14:textId="76F3F85C" w:rsidR="00B47D9D" w:rsidRDefault="00B47D9D" w:rsidP="00B47D9D">
      <w:pPr>
        <w:pStyle w:val="Paragraph"/>
      </w:pPr>
      <w:r>
        <w:t xml:space="preserve">The following notation is used in this </w:t>
      </w:r>
      <w:r w:rsidR="001545F7">
        <w:t>section</w:t>
      </w:r>
      <w:r>
        <w:t>:</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810"/>
      </w:tblGrid>
      <w:tr w:rsidR="00B47D9D" w14:paraId="23EA7CFA" w14:textId="77777777" w:rsidTr="005D0E24">
        <w:trPr>
          <w:cantSplit/>
        </w:trPr>
        <w:tc>
          <w:tcPr>
            <w:tcW w:w="900" w:type="dxa"/>
          </w:tcPr>
          <w:p w14:paraId="6B79453E" w14:textId="77777777" w:rsidR="00B47D9D" w:rsidRPr="00267D96" w:rsidRDefault="00B47D9D" w:rsidP="005D0E24">
            <w:pPr>
              <w:pStyle w:val="Paragraph"/>
              <w:spacing w:before="0" w:line="240" w:lineRule="auto"/>
              <w:jc w:val="left"/>
              <w:rPr>
                <w:i/>
              </w:rPr>
            </w:pPr>
            <w:r w:rsidRPr="00267D96">
              <w:rPr>
                <w:i/>
              </w:rPr>
              <w:t>i</w:t>
            </w:r>
          </w:p>
        </w:tc>
        <w:tc>
          <w:tcPr>
            <w:tcW w:w="9810" w:type="dxa"/>
          </w:tcPr>
          <w:p w14:paraId="26624B2B" w14:textId="77777777" w:rsidR="00B47D9D" w:rsidRDefault="00B47D9D" w:rsidP="005D0E24">
            <w:pPr>
              <w:pStyle w:val="Paragraph"/>
              <w:spacing w:before="0" w:line="240" w:lineRule="auto"/>
              <w:jc w:val="left"/>
            </w:pPr>
            <w:r>
              <w:t>Node index.</w:t>
            </w:r>
          </w:p>
        </w:tc>
      </w:tr>
      <w:tr w:rsidR="00B47D9D" w14:paraId="1B87BB7C" w14:textId="77777777" w:rsidTr="005D0E24">
        <w:trPr>
          <w:cantSplit/>
        </w:trPr>
        <w:tc>
          <w:tcPr>
            <w:tcW w:w="900" w:type="dxa"/>
          </w:tcPr>
          <w:p w14:paraId="75C939D1" w14:textId="77777777" w:rsidR="00B47D9D" w:rsidRPr="00267D96" w:rsidRDefault="00B47D9D" w:rsidP="005D0E24">
            <w:pPr>
              <w:pStyle w:val="Paragraph"/>
              <w:spacing w:before="0" w:line="240" w:lineRule="auto"/>
              <w:jc w:val="left"/>
              <w:rPr>
                <w:i/>
              </w:rPr>
            </w:pPr>
            <w:r w:rsidRPr="00267D96">
              <w:rPr>
                <w:i/>
              </w:rPr>
              <w:t>j, k</w:t>
            </w:r>
            <w:r>
              <w:rPr>
                <w:i/>
              </w:rPr>
              <w:t>, r</w:t>
            </w:r>
          </w:p>
        </w:tc>
        <w:tc>
          <w:tcPr>
            <w:tcW w:w="9810" w:type="dxa"/>
          </w:tcPr>
          <w:p w14:paraId="43BBED34" w14:textId="77777777" w:rsidR="00B47D9D" w:rsidRDefault="00B47D9D" w:rsidP="005D0E24">
            <w:pPr>
              <w:pStyle w:val="Paragraph"/>
              <w:spacing w:before="0" w:line="240" w:lineRule="auto"/>
              <w:jc w:val="left"/>
            </w:pPr>
            <w:r>
              <w:t>BAA indexes; zero (0) is used for CISO.</w:t>
            </w:r>
          </w:p>
        </w:tc>
      </w:tr>
      <w:tr w:rsidR="00B47D9D" w14:paraId="2E3DA22C" w14:textId="77777777" w:rsidTr="005D0E24">
        <w:trPr>
          <w:cantSplit/>
        </w:trPr>
        <w:tc>
          <w:tcPr>
            <w:tcW w:w="900" w:type="dxa"/>
          </w:tcPr>
          <w:p w14:paraId="4130447C" w14:textId="77777777" w:rsidR="00B47D9D" w:rsidRPr="00267D96" w:rsidRDefault="00B47D9D" w:rsidP="005D0E24">
            <w:pPr>
              <w:pStyle w:val="Paragraph"/>
              <w:spacing w:before="0" w:line="240" w:lineRule="auto"/>
              <w:jc w:val="left"/>
              <w:rPr>
                <w:i/>
              </w:rPr>
            </w:pPr>
            <w:r w:rsidRPr="00267D96">
              <w:rPr>
                <w:i/>
              </w:rPr>
              <w:t>l</w:t>
            </w:r>
          </w:p>
        </w:tc>
        <w:tc>
          <w:tcPr>
            <w:tcW w:w="9810" w:type="dxa"/>
          </w:tcPr>
          <w:p w14:paraId="73C02AFA" w14:textId="77777777" w:rsidR="00B47D9D" w:rsidRDefault="00B47D9D" w:rsidP="005D0E24">
            <w:pPr>
              <w:pStyle w:val="Paragraph"/>
              <w:spacing w:before="0" w:line="240" w:lineRule="auto"/>
              <w:jc w:val="left"/>
            </w:pPr>
            <w:r>
              <w:t>Intertie or Energy Transfer schedule index; in the latter case, it is the corresponding ETSR index (ETSR pair for Energy Transfers between BAAs in the EIM Area).</w:t>
            </w:r>
          </w:p>
        </w:tc>
      </w:tr>
    </w:tbl>
    <w:tbl>
      <w:tblPr>
        <w:tblStyle w:val="TableGrid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9841"/>
      </w:tblGrid>
      <w:tr w:rsidR="00B47D9D" w14:paraId="2C81CEA8" w14:textId="77777777" w:rsidTr="00024366">
        <w:trPr>
          <w:cantSplit/>
        </w:trPr>
        <w:tc>
          <w:tcPr>
            <w:tcW w:w="0" w:type="auto"/>
          </w:tcPr>
          <w:p w14:paraId="0D833473" w14:textId="77777777" w:rsidR="00B47D9D" w:rsidRPr="00267D96" w:rsidRDefault="00B47D9D" w:rsidP="005D0E24">
            <w:pPr>
              <w:pStyle w:val="Paragraph"/>
              <w:spacing w:before="0" w:line="240" w:lineRule="auto"/>
              <w:rPr>
                <w:i/>
              </w:rPr>
            </w:pPr>
            <w:r w:rsidRPr="00267D96">
              <w:rPr>
                <w:i/>
              </w:rPr>
              <w:t>m</w:t>
            </w:r>
          </w:p>
        </w:tc>
        <w:tc>
          <w:tcPr>
            <w:tcW w:w="0" w:type="auto"/>
          </w:tcPr>
          <w:p w14:paraId="7D7FD7AC" w14:textId="77777777" w:rsidR="00B47D9D" w:rsidRDefault="00B47D9D" w:rsidP="005D0E24">
            <w:pPr>
              <w:pStyle w:val="Paragraph"/>
              <w:spacing w:before="0" w:line="240" w:lineRule="auto"/>
            </w:pPr>
            <w:r>
              <w:t>Transmission constraint index.</w:t>
            </w:r>
          </w:p>
        </w:tc>
      </w:tr>
      <w:tr w:rsidR="00B47D9D" w14:paraId="19A6FA6E" w14:textId="77777777" w:rsidTr="00024366">
        <w:trPr>
          <w:cantSplit/>
        </w:trPr>
        <w:tc>
          <w:tcPr>
            <w:tcW w:w="0" w:type="auto"/>
          </w:tcPr>
          <w:p w14:paraId="0AE1CF89" w14:textId="77777777" w:rsidR="00B47D9D" w:rsidRPr="00267D96" w:rsidRDefault="00B47D9D" w:rsidP="005D0E24">
            <w:pPr>
              <w:pStyle w:val="Paragraph"/>
              <w:spacing w:before="0" w:line="240" w:lineRule="auto"/>
              <w:rPr>
                <w:i/>
              </w:rPr>
            </w:pPr>
            <w:r w:rsidRPr="00267D96">
              <w:rPr>
                <w:i/>
              </w:rPr>
              <w:t>n</w:t>
            </w:r>
          </w:p>
        </w:tc>
        <w:tc>
          <w:tcPr>
            <w:tcW w:w="0" w:type="auto"/>
          </w:tcPr>
          <w:p w14:paraId="13E37FB5" w14:textId="77777777" w:rsidR="00B47D9D" w:rsidRDefault="00B47D9D" w:rsidP="005D0E24">
            <w:pPr>
              <w:pStyle w:val="Paragraph"/>
              <w:spacing w:before="0" w:line="240" w:lineRule="auto"/>
            </w:pPr>
            <w:r>
              <w:t xml:space="preserve">Component index in transmission constraint </w:t>
            </w:r>
            <w:r w:rsidRPr="00245685">
              <w:rPr>
                <w:i/>
              </w:rPr>
              <w:t>m</w:t>
            </w:r>
            <w:r>
              <w:t>.</w:t>
            </w:r>
          </w:p>
        </w:tc>
      </w:tr>
    </w:tbl>
    <w:tbl>
      <w:tblPr>
        <w:tblStyle w:val="TableGrid5"/>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810"/>
      </w:tblGrid>
      <w:tr w:rsidR="00B47D9D" w14:paraId="3620AE1C" w14:textId="77777777" w:rsidTr="005D0E24">
        <w:trPr>
          <w:cantSplit/>
        </w:trPr>
        <w:tc>
          <w:tcPr>
            <w:tcW w:w="900" w:type="dxa"/>
          </w:tcPr>
          <w:p w14:paraId="35E1FFDD" w14:textId="77777777" w:rsidR="00B47D9D" w:rsidRPr="00267D96" w:rsidRDefault="00B47D9D" w:rsidP="005D0E24">
            <w:pPr>
              <w:pStyle w:val="Paragraph"/>
              <w:spacing w:before="0" w:line="240" w:lineRule="auto"/>
            </w:pPr>
            <w:r w:rsidRPr="00267D96">
              <w:sym w:font="Symbol" w:char="F022"/>
            </w:r>
          </w:p>
        </w:tc>
        <w:tc>
          <w:tcPr>
            <w:tcW w:w="9810" w:type="dxa"/>
          </w:tcPr>
          <w:p w14:paraId="3A219A13" w14:textId="77777777" w:rsidR="00B47D9D" w:rsidRDefault="00B47D9D" w:rsidP="005D0E24">
            <w:pPr>
              <w:pStyle w:val="Paragraph"/>
              <w:spacing w:before="0" w:line="240" w:lineRule="auto"/>
            </w:pPr>
            <w:r>
              <w:t>For all…</w:t>
            </w:r>
          </w:p>
        </w:tc>
      </w:tr>
      <w:tr w:rsidR="00B47D9D" w14:paraId="32620CA8" w14:textId="77777777" w:rsidTr="005D0E24">
        <w:trPr>
          <w:cantSplit/>
        </w:trPr>
        <w:tc>
          <w:tcPr>
            <w:tcW w:w="900" w:type="dxa"/>
          </w:tcPr>
          <w:p w14:paraId="1EC42E88" w14:textId="77777777" w:rsidR="00B47D9D" w:rsidRPr="00267D96" w:rsidRDefault="00B47D9D" w:rsidP="005D0E24">
            <w:pPr>
              <w:pStyle w:val="Paragraph"/>
              <w:spacing w:before="0" w:line="240" w:lineRule="auto"/>
            </w:pPr>
            <w:r w:rsidRPr="00267D96">
              <w:sym w:font="Symbol" w:char="F0CE"/>
            </w:r>
          </w:p>
        </w:tc>
        <w:tc>
          <w:tcPr>
            <w:tcW w:w="9810" w:type="dxa"/>
          </w:tcPr>
          <w:p w14:paraId="6739E062" w14:textId="77777777" w:rsidR="00B47D9D" w:rsidRDefault="00B47D9D" w:rsidP="005D0E24">
            <w:pPr>
              <w:pStyle w:val="Paragraph"/>
              <w:spacing w:before="0" w:line="240" w:lineRule="auto"/>
            </w:pPr>
            <w:r>
              <w:t>Member of…</w:t>
            </w:r>
          </w:p>
        </w:tc>
      </w:tr>
      <w:tr w:rsidR="00B47D9D" w14:paraId="12B5522F" w14:textId="77777777" w:rsidTr="005D0E24">
        <w:trPr>
          <w:cantSplit/>
        </w:trPr>
        <w:tc>
          <w:tcPr>
            <w:tcW w:w="900" w:type="dxa"/>
          </w:tcPr>
          <w:p w14:paraId="768C68F0" w14:textId="77777777" w:rsidR="00B47D9D" w:rsidRPr="00267D96" w:rsidRDefault="00B47D9D" w:rsidP="005D0E24">
            <w:pPr>
              <w:pStyle w:val="Paragraph"/>
              <w:spacing w:before="0" w:line="240" w:lineRule="auto"/>
            </w:pPr>
            <w:r w:rsidRPr="00267D96">
              <w:sym w:font="Symbol" w:char="F0D9"/>
            </w:r>
          </w:p>
        </w:tc>
        <w:tc>
          <w:tcPr>
            <w:tcW w:w="9810" w:type="dxa"/>
          </w:tcPr>
          <w:p w14:paraId="03A2AC36" w14:textId="77777777" w:rsidR="00B47D9D" w:rsidRDefault="00B47D9D" w:rsidP="005D0E24">
            <w:pPr>
              <w:pStyle w:val="Paragraph"/>
              <w:spacing w:before="0" w:line="240" w:lineRule="auto"/>
            </w:pPr>
            <w:r>
              <w:t>…and…</w:t>
            </w:r>
          </w:p>
        </w:tc>
      </w:tr>
      <w:tr w:rsidR="00F73536" w14:paraId="3DA9FF26" w14:textId="77777777" w:rsidTr="00F9524E">
        <w:trPr>
          <w:cantSplit/>
        </w:trPr>
        <w:tc>
          <w:tcPr>
            <w:tcW w:w="900" w:type="dxa"/>
          </w:tcPr>
          <w:p w14:paraId="72D7F742" w14:textId="50202FD9" w:rsidR="00F73536" w:rsidRPr="00267D96" w:rsidRDefault="00F73536" w:rsidP="00F73536">
            <w:pPr>
              <w:pStyle w:val="Paragraph"/>
              <w:spacing w:before="0" w:line="240" w:lineRule="auto"/>
            </w:pPr>
            <w:r w:rsidRPr="00267D96">
              <w:rPr>
                <w:i/>
              </w:rPr>
              <w:t>N</w:t>
            </w:r>
            <w:r w:rsidRPr="00267D96">
              <w:rPr>
                <w:i/>
                <w:vertAlign w:val="subscript"/>
              </w:rPr>
              <w:t>m</w:t>
            </w:r>
          </w:p>
        </w:tc>
        <w:tc>
          <w:tcPr>
            <w:tcW w:w="9810" w:type="dxa"/>
          </w:tcPr>
          <w:p w14:paraId="62359BE1" w14:textId="74E75328" w:rsidR="00F73536" w:rsidRDefault="00F73536" w:rsidP="00275EDF">
            <w:pPr>
              <w:pStyle w:val="Paragraph"/>
              <w:spacing w:before="0" w:line="240" w:lineRule="auto"/>
            </w:pPr>
            <w:r>
              <w:t xml:space="preserve">Set of components for transmission constraint </w:t>
            </w:r>
            <w:r w:rsidRPr="00245685">
              <w:rPr>
                <w:i/>
              </w:rPr>
              <w:t>m</w:t>
            </w:r>
            <w:r w:rsidR="00275EDF">
              <w:t xml:space="preserve"> (only one component for simple constraints, but there may be multiple components for nomograms)</w:t>
            </w:r>
            <w:r>
              <w:t>.</w:t>
            </w:r>
          </w:p>
        </w:tc>
      </w:tr>
      <w:tr w:rsidR="00B47D9D" w14:paraId="7428BD13" w14:textId="77777777" w:rsidTr="005D0E24">
        <w:trPr>
          <w:cantSplit/>
        </w:trPr>
        <w:tc>
          <w:tcPr>
            <w:tcW w:w="900" w:type="dxa"/>
          </w:tcPr>
          <w:p w14:paraId="511EA240" w14:textId="77777777" w:rsidR="00B47D9D" w:rsidRPr="00267D96" w:rsidRDefault="00B47D9D" w:rsidP="005D0E24">
            <w:pPr>
              <w:pStyle w:val="Paragraph"/>
              <w:spacing w:before="0" w:line="240" w:lineRule="auto"/>
              <w:rPr>
                <w:i/>
              </w:rPr>
            </w:pPr>
            <w:r w:rsidRPr="00267D96">
              <w:rPr>
                <w:i/>
              </w:rPr>
              <w:t>EIM</w:t>
            </w:r>
          </w:p>
        </w:tc>
        <w:tc>
          <w:tcPr>
            <w:tcW w:w="9810" w:type="dxa"/>
          </w:tcPr>
          <w:p w14:paraId="1F434E8A" w14:textId="77777777" w:rsidR="00B47D9D" w:rsidRDefault="00B47D9D" w:rsidP="005D0E24">
            <w:pPr>
              <w:pStyle w:val="Paragraph"/>
              <w:spacing w:before="0" w:line="240" w:lineRule="auto"/>
            </w:pPr>
            <w:r>
              <w:t>Set of CISO and all EIM BAAs; the EIM Area.</w:t>
            </w:r>
          </w:p>
        </w:tc>
      </w:tr>
      <w:tr w:rsidR="00B47D9D" w14:paraId="00C47053" w14:textId="77777777" w:rsidTr="005D0E24">
        <w:trPr>
          <w:cantSplit/>
        </w:trPr>
        <w:tc>
          <w:tcPr>
            <w:tcW w:w="900" w:type="dxa"/>
          </w:tcPr>
          <w:p w14:paraId="59EA83E7" w14:textId="77777777" w:rsidR="00B47D9D" w:rsidRPr="00267D96" w:rsidRDefault="00B47D9D" w:rsidP="005D0E24">
            <w:pPr>
              <w:pStyle w:val="Paragraph"/>
              <w:spacing w:before="0" w:line="240" w:lineRule="auto"/>
              <w:rPr>
                <w:i/>
                <w:vertAlign w:val="subscript"/>
              </w:rPr>
            </w:pPr>
            <w:r w:rsidRPr="00267D96">
              <w:rPr>
                <w:i/>
              </w:rPr>
              <w:t>BAA</w:t>
            </w:r>
            <w:r w:rsidRPr="00267D96">
              <w:rPr>
                <w:i/>
                <w:vertAlign w:val="subscript"/>
              </w:rPr>
              <w:t>j</w:t>
            </w:r>
          </w:p>
        </w:tc>
        <w:tc>
          <w:tcPr>
            <w:tcW w:w="9810" w:type="dxa"/>
          </w:tcPr>
          <w:p w14:paraId="14D31474" w14:textId="77777777" w:rsidR="00B47D9D" w:rsidRDefault="00B47D9D" w:rsidP="005D0E24">
            <w:pPr>
              <w:pStyle w:val="Paragraph"/>
              <w:spacing w:before="0" w:line="240" w:lineRule="auto"/>
            </w:pPr>
            <w:r>
              <w:t xml:space="preserve">Set of nodes in BAA </w:t>
            </w:r>
            <w:r>
              <w:rPr>
                <w:i/>
              </w:rPr>
              <w:t>j</w:t>
            </w:r>
            <w:r>
              <w:t>.</w:t>
            </w:r>
          </w:p>
        </w:tc>
      </w:tr>
      <w:tr w:rsidR="00571609" w14:paraId="13444529" w14:textId="77777777" w:rsidTr="00F9524E">
        <w:trPr>
          <w:cantSplit/>
        </w:trPr>
        <w:tc>
          <w:tcPr>
            <w:tcW w:w="900" w:type="dxa"/>
          </w:tcPr>
          <w:p w14:paraId="648D9E25" w14:textId="3B54E261" w:rsidR="00571609" w:rsidRPr="00267D96" w:rsidRDefault="00571609" w:rsidP="00571609">
            <w:pPr>
              <w:pStyle w:val="Paragraph"/>
              <w:spacing w:before="0" w:line="240" w:lineRule="auto"/>
              <w:rPr>
                <w:i/>
              </w:rPr>
            </w:pPr>
            <w:r w:rsidRPr="00267D96">
              <w:rPr>
                <w:i/>
              </w:rPr>
              <w:t>L</w:t>
            </w:r>
            <w:r w:rsidRPr="00267D96">
              <w:rPr>
                <w:i/>
                <w:vertAlign w:val="subscript"/>
              </w:rPr>
              <w:t>j,k</w:t>
            </w:r>
          </w:p>
        </w:tc>
        <w:tc>
          <w:tcPr>
            <w:tcW w:w="9810" w:type="dxa"/>
          </w:tcPr>
          <w:p w14:paraId="27F8EA61" w14:textId="427D6566" w:rsidR="00571609" w:rsidRDefault="00571609" w:rsidP="00571609">
            <w:pPr>
              <w:pStyle w:val="Paragraph"/>
              <w:spacing w:before="0" w:line="240" w:lineRule="auto"/>
            </w:pPr>
            <w:r>
              <w:t xml:space="preserve">Set of interties between BAAs </w:t>
            </w:r>
            <w:r w:rsidRPr="00267D96">
              <w:rPr>
                <w:i/>
              </w:rPr>
              <w:t>j</w:t>
            </w:r>
            <w:r>
              <w:t xml:space="preserve"> and </w:t>
            </w:r>
            <w:r w:rsidRPr="00267D96">
              <w:rPr>
                <w:i/>
              </w:rPr>
              <w:t>k</w:t>
            </w:r>
            <w:r>
              <w:t>.</w:t>
            </w:r>
          </w:p>
        </w:tc>
      </w:tr>
    </w:tbl>
    <w:tbl>
      <w:tblPr>
        <w:tblStyle w:val="TableGrid6"/>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9841"/>
      </w:tblGrid>
      <w:tr w:rsidR="00B47D9D" w14:paraId="6C9364A0" w14:textId="77777777" w:rsidTr="00024366">
        <w:trPr>
          <w:cantSplit/>
        </w:trPr>
        <w:tc>
          <w:tcPr>
            <w:tcW w:w="0" w:type="auto"/>
          </w:tcPr>
          <w:p w14:paraId="0B15CCE3" w14:textId="77777777" w:rsidR="00B47D9D" w:rsidRPr="00267D96" w:rsidRDefault="00B47D9D" w:rsidP="005D0E24">
            <w:pPr>
              <w:pStyle w:val="Paragraph"/>
              <w:spacing w:before="0" w:line="240" w:lineRule="auto"/>
              <w:rPr>
                <w:i/>
                <w:vertAlign w:val="subscript"/>
              </w:rPr>
            </w:pPr>
            <w:r w:rsidRPr="00267D96">
              <w:rPr>
                <w:i/>
              </w:rPr>
              <w:t>LPF</w:t>
            </w:r>
            <w:r w:rsidRPr="00267D96">
              <w:rPr>
                <w:i/>
                <w:vertAlign w:val="subscript"/>
              </w:rPr>
              <w:t>i</w:t>
            </w:r>
          </w:p>
        </w:tc>
        <w:tc>
          <w:tcPr>
            <w:tcW w:w="0" w:type="auto"/>
          </w:tcPr>
          <w:p w14:paraId="5E61E4CD" w14:textId="77777777" w:rsidR="00B47D9D" w:rsidRDefault="00B47D9D" w:rsidP="005D0E24">
            <w:pPr>
              <w:pStyle w:val="Paragraph"/>
              <w:spacing w:before="0" w:line="240" w:lineRule="auto"/>
            </w:pPr>
            <w:r>
              <w:t xml:space="preserve">Loss penalty factor at node </w:t>
            </w:r>
            <w:r>
              <w:rPr>
                <w:i/>
              </w:rPr>
              <w:t>i</w:t>
            </w:r>
            <w:r>
              <w:t>.</w:t>
            </w:r>
          </w:p>
        </w:tc>
      </w:tr>
      <w:tr w:rsidR="00B47D9D" w14:paraId="5DE0A35C" w14:textId="77777777" w:rsidTr="00024366">
        <w:trPr>
          <w:cantSplit/>
        </w:trPr>
        <w:tc>
          <w:tcPr>
            <w:tcW w:w="0" w:type="auto"/>
          </w:tcPr>
          <w:p w14:paraId="6D882FAE" w14:textId="77777777" w:rsidR="00B47D9D" w:rsidRPr="00267D96" w:rsidRDefault="00B47D9D" w:rsidP="005D0E24">
            <w:pPr>
              <w:pStyle w:val="Paragraph"/>
              <w:spacing w:before="0" w:line="240" w:lineRule="auto"/>
              <w:rPr>
                <w:i/>
                <w:vertAlign w:val="subscript"/>
              </w:rPr>
            </w:pPr>
            <w:r w:rsidRPr="00267D96">
              <w:rPr>
                <w:i/>
              </w:rPr>
              <w:t>LPF</w:t>
            </w:r>
            <w:r w:rsidRPr="00267D96">
              <w:rPr>
                <w:i/>
                <w:vertAlign w:val="subscript"/>
              </w:rPr>
              <w:t>j,k,l</w:t>
            </w:r>
          </w:p>
        </w:tc>
        <w:tc>
          <w:tcPr>
            <w:tcW w:w="0" w:type="auto"/>
          </w:tcPr>
          <w:p w14:paraId="1C9A133C" w14:textId="77777777" w:rsidR="00B47D9D" w:rsidRDefault="00B47D9D" w:rsidP="005D0E24">
            <w:pPr>
              <w:pStyle w:val="Paragraph"/>
              <w:spacing w:before="0" w:line="240" w:lineRule="auto"/>
            </w:pPr>
            <w:r>
              <w:t xml:space="preserve">Loss penalty factor at the Scheduling Point for import/export schedule </w:t>
            </w:r>
            <w:r w:rsidRPr="00551B0F">
              <w:rPr>
                <w:i/>
              </w:rPr>
              <w:t>l</w:t>
            </w:r>
            <w:r>
              <w:t xml:space="preserve"> to/from BAA </w:t>
            </w:r>
            <w:r>
              <w:rPr>
                <w:i/>
              </w:rPr>
              <w:t>j</w:t>
            </w:r>
            <w:r>
              <w:t xml:space="preserve"> from/to BAA </w:t>
            </w:r>
            <w:r>
              <w:rPr>
                <w:i/>
              </w:rPr>
              <w:t>k</w:t>
            </w:r>
            <w:r>
              <w:t>.</w:t>
            </w:r>
          </w:p>
        </w:tc>
      </w:tr>
      <w:tr w:rsidR="00B47D9D" w14:paraId="545742FA" w14:textId="77777777" w:rsidTr="00024366">
        <w:trPr>
          <w:cantSplit/>
        </w:trPr>
        <w:tc>
          <w:tcPr>
            <w:tcW w:w="0" w:type="auto"/>
          </w:tcPr>
          <w:p w14:paraId="0DE7F3F7" w14:textId="77777777" w:rsidR="00B47D9D" w:rsidRPr="00267D96" w:rsidRDefault="00B47D9D" w:rsidP="005D0E24">
            <w:pPr>
              <w:pStyle w:val="Paragraph"/>
              <w:spacing w:before="0" w:line="240" w:lineRule="auto"/>
              <w:rPr>
                <w:i/>
              </w:rPr>
            </w:pPr>
            <w:r w:rsidRPr="00267D96">
              <w:rPr>
                <w:i/>
              </w:rPr>
              <w:t>a</w:t>
            </w:r>
            <w:r w:rsidRPr="00267D96">
              <w:rPr>
                <w:i/>
                <w:vertAlign w:val="subscript"/>
              </w:rPr>
              <w:t>m,n</w:t>
            </w:r>
          </w:p>
        </w:tc>
        <w:tc>
          <w:tcPr>
            <w:tcW w:w="0" w:type="auto"/>
          </w:tcPr>
          <w:p w14:paraId="168701A8" w14:textId="225BDDDC" w:rsidR="00B47D9D" w:rsidRDefault="00B47D9D" w:rsidP="005D0E24">
            <w:pPr>
              <w:pStyle w:val="Paragraph"/>
              <w:spacing w:before="0" w:line="240" w:lineRule="auto"/>
            </w:pPr>
            <w:r>
              <w:t xml:space="preserve">Coefficient for component </w:t>
            </w:r>
            <w:r w:rsidRPr="00245685">
              <w:rPr>
                <w:i/>
              </w:rPr>
              <w:t>n</w:t>
            </w:r>
            <w:r>
              <w:t xml:space="preserve"> of transmission constraint </w:t>
            </w:r>
            <w:r w:rsidRPr="00245685">
              <w:rPr>
                <w:i/>
              </w:rPr>
              <w:t>m</w:t>
            </w:r>
            <w:r w:rsidR="006D3D8B">
              <w:t xml:space="preserve"> (1.0 for simple constraints with a single component)</w:t>
            </w:r>
            <w:r>
              <w:t>.</w:t>
            </w:r>
          </w:p>
        </w:tc>
      </w:tr>
      <w:tr w:rsidR="00B47D9D" w14:paraId="5ED7DDF1" w14:textId="77777777" w:rsidTr="00024366">
        <w:trPr>
          <w:cantSplit/>
        </w:trPr>
        <w:tc>
          <w:tcPr>
            <w:tcW w:w="0" w:type="auto"/>
          </w:tcPr>
          <w:p w14:paraId="32B14C75" w14:textId="77777777" w:rsidR="00B47D9D" w:rsidRPr="00267D96" w:rsidRDefault="00B47D9D" w:rsidP="005D0E24">
            <w:pPr>
              <w:pStyle w:val="Paragraph"/>
              <w:spacing w:before="0" w:line="240" w:lineRule="auto"/>
              <w:rPr>
                <w:i/>
              </w:rPr>
            </w:pPr>
            <w:r w:rsidRPr="00267D96">
              <w:rPr>
                <w:i/>
              </w:rPr>
              <w:t>SF</w:t>
            </w:r>
            <w:r w:rsidRPr="00267D96">
              <w:rPr>
                <w:i/>
                <w:vertAlign w:val="subscript"/>
              </w:rPr>
              <w:t>m,n,i</w:t>
            </w:r>
          </w:p>
        </w:tc>
        <w:tc>
          <w:tcPr>
            <w:tcW w:w="0" w:type="auto"/>
          </w:tcPr>
          <w:p w14:paraId="56CF03F6" w14:textId="77777777" w:rsidR="00B47D9D" w:rsidRDefault="00B47D9D" w:rsidP="005D0E24">
            <w:pPr>
              <w:pStyle w:val="Paragraph"/>
              <w:spacing w:before="0" w:line="240" w:lineRule="auto"/>
            </w:pPr>
            <w:r>
              <w:t xml:space="preserve">Shift factor for injection at node </w:t>
            </w:r>
            <w:r w:rsidRPr="00245685">
              <w:rPr>
                <w:i/>
              </w:rPr>
              <w:t>i</w:t>
            </w:r>
            <w:r>
              <w:t xml:space="preserve"> on component </w:t>
            </w:r>
            <w:r w:rsidRPr="00245685">
              <w:rPr>
                <w:i/>
              </w:rPr>
              <w:t>n</w:t>
            </w:r>
            <w:r>
              <w:t xml:space="preserve"> of transmission constraint </w:t>
            </w:r>
            <w:r w:rsidRPr="00245685">
              <w:rPr>
                <w:i/>
              </w:rPr>
              <w:t>m</w:t>
            </w:r>
            <w:r>
              <w:t>.</w:t>
            </w:r>
          </w:p>
        </w:tc>
      </w:tr>
      <w:tr w:rsidR="00B47D9D" w14:paraId="6FC67537" w14:textId="77777777" w:rsidTr="00024366">
        <w:trPr>
          <w:cantSplit/>
        </w:trPr>
        <w:tc>
          <w:tcPr>
            <w:tcW w:w="0" w:type="auto"/>
          </w:tcPr>
          <w:p w14:paraId="1A6A3DC5" w14:textId="77777777" w:rsidR="00B47D9D" w:rsidRPr="00267D96" w:rsidRDefault="00B47D9D" w:rsidP="005D0E24">
            <w:pPr>
              <w:pStyle w:val="Paragraph"/>
              <w:spacing w:before="0" w:line="240" w:lineRule="auto"/>
              <w:rPr>
                <w:i/>
              </w:rPr>
            </w:pPr>
            <w:r w:rsidRPr="00267D96">
              <w:rPr>
                <w:i/>
              </w:rPr>
              <w:t>SF</w:t>
            </w:r>
            <w:r w:rsidRPr="00267D96">
              <w:rPr>
                <w:i/>
                <w:vertAlign w:val="subscript"/>
              </w:rPr>
              <w:t>m,n,j,k,l</w:t>
            </w:r>
          </w:p>
        </w:tc>
        <w:tc>
          <w:tcPr>
            <w:tcW w:w="0" w:type="auto"/>
          </w:tcPr>
          <w:p w14:paraId="78D07286" w14:textId="77777777" w:rsidR="00B47D9D" w:rsidRDefault="00B47D9D" w:rsidP="005D0E24">
            <w:pPr>
              <w:pStyle w:val="Paragraph"/>
              <w:spacing w:before="0" w:line="240" w:lineRule="auto"/>
            </w:pPr>
            <w:r>
              <w:t xml:space="preserve">Shift factor for import/export schedule </w:t>
            </w:r>
            <w:r>
              <w:rPr>
                <w:i/>
              </w:rPr>
              <w:t>l</w:t>
            </w:r>
            <w:r>
              <w:t xml:space="preserve"> to/from BAA </w:t>
            </w:r>
            <w:r>
              <w:rPr>
                <w:i/>
              </w:rPr>
              <w:t>j</w:t>
            </w:r>
            <w:r>
              <w:t xml:space="preserve"> from/to BAA </w:t>
            </w:r>
            <w:r>
              <w:rPr>
                <w:i/>
              </w:rPr>
              <w:t>k</w:t>
            </w:r>
            <w:r>
              <w:t xml:space="preserve"> on component </w:t>
            </w:r>
            <w:r w:rsidRPr="00245685">
              <w:rPr>
                <w:i/>
              </w:rPr>
              <w:t>n</w:t>
            </w:r>
            <w:r>
              <w:t xml:space="preserve"> of transmission constraint </w:t>
            </w:r>
            <w:r w:rsidRPr="00245685">
              <w:rPr>
                <w:i/>
              </w:rPr>
              <w:t>m</w:t>
            </w:r>
            <w:r>
              <w:t>.</w:t>
            </w:r>
          </w:p>
        </w:tc>
      </w:tr>
    </w:tbl>
    <w:tbl>
      <w:tblPr>
        <w:tblStyle w:val="TableGrid7"/>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778"/>
      </w:tblGrid>
      <w:tr w:rsidR="00B47D9D" w14:paraId="778F8F82" w14:textId="77777777" w:rsidTr="00024366">
        <w:trPr>
          <w:cantSplit/>
        </w:trPr>
        <w:tc>
          <w:tcPr>
            <w:tcW w:w="0" w:type="auto"/>
          </w:tcPr>
          <w:p w14:paraId="2B8BA69C" w14:textId="77777777" w:rsidR="00B47D9D" w:rsidRPr="00267D96" w:rsidRDefault="00B47D9D" w:rsidP="005D0E24">
            <w:pPr>
              <w:pStyle w:val="Paragraph"/>
              <w:spacing w:before="0" w:line="240" w:lineRule="auto"/>
              <w:rPr>
                <w:i/>
              </w:rPr>
            </w:pPr>
            <w:r>
              <w:rPr>
                <w:i/>
              </w:rPr>
              <w:sym w:font="Symbol" w:char="F06C"/>
            </w:r>
          </w:p>
        </w:tc>
        <w:tc>
          <w:tcPr>
            <w:tcW w:w="0" w:type="auto"/>
          </w:tcPr>
          <w:p w14:paraId="27836A3E" w14:textId="77777777" w:rsidR="00B47D9D" w:rsidRDefault="00B47D9D" w:rsidP="005D0E24">
            <w:pPr>
              <w:pStyle w:val="Paragraph"/>
              <w:spacing w:before="0" w:line="240" w:lineRule="auto"/>
            </w:pPr>
            <w:r>
              <w:t>Shadow price of the system power balance constraint.</w:t>
            </w:r>
          </w:p>
        </w:tc>
      </w:tr>
      <w:tr w:rsidR="00B47D9D" w14:paraId="72B27571" w14:textId="77777777" w:rsidTr="00024366">
        <w:trPr>
          <w:cantSplit/>
        </w:trPr>
        <w:tc>
          <w:tcPr>
            <w:tcW w:w="0" w:type="auto"/>
          </w:tcPr>
          <w:p w14:paraId="598156E6" w14:textId="77777777" w:rsidR="00B47D9D" w:rsidRPr="00267D96" w:rsidRDefault="00B47D9D" w:rsidP="005D0E24">
            <w:pPr>
              <w:pStyle w:val="Paragraph"/>
              <w:spacing w:before="0" w:line="240" w:lineRule="auto"/>
              <w:rPr>
                <w:i/>
              </w:rPr>
            </w:pPr>
            <w:r>
              <w:rPr>
                <w:i/>
              </w:rPr>
              <w:lastRenderedPageBreak/>
              <w:sym w:font="Symbol" w:char="F06C"/>
            </w:r>
            <w:r w:rsidRPr="004C4412">
              <w:rPr>
                <w:i/>
                <w:vertAlign w:val="subscript"/>
              </w:rPr>
              <w:t>j</w:t>
            </w:r>
          </w:p>
        </w:tc>
        <w:tc>
          <w:tcPr>
            <w:tcW w:w="0" w:type="auto"/>
          </w:tcPr>
          <w:p w14:paraId="51EFAC51" w14:textId="77777777" w:rsidR="00B47D9D" w:rsidRDefault="00B47D9D" w:rsidP="005D0E24">
            <w:pPr>
              <w:pStyle w:val="Paragraph"/>
              <w:spacing w:before="0" w:line="240" w:lineRule="auto"/>
            </w:pPr>
            <w:r>
              <w:t xml:space="preserve">Shadow price of the power balance constraint for BAA </w:t>
            </w:r>
            <w:r w:rsidRPr="004C4412">
              <w:rPr>
                <w:i/>
              </w:rPr>
              <w:t>j</w:t>
            </w:r>
            <w:r>
              <w:t>.</w:t>
            </w:r>
          </w:p>
        </w:tc>
      </w:tr>
      <w:tr w:rsidR="00B47D9D" w14:paraId="7D419F74" w14:textId="77777777" w:rsidTr="00024366">
        <w:trPr>
          <w:cantSplit/>
        </w:trPr>
        <w:tc>
          <w:tcPr>
            <w:tcW w:w="0" w:type="auto"/>
          </w:tcPr>
          <w:p w14:paraId="43505DF9" w14:textId="77777777" w:rsidR="00B47D9D" w:rsidRPr="00267D96" w:rsidRDefault="00B47D9D" w:rsidP="005D0E24">
            <w:pPr>
              <w:pStyle w:val="Paragraph"/>
              <w:spacing w:before="0" w:line="240" w:lineRule="auto"/>
              <w:rPr>
                <w:i/>
              </w:rPr>
            </w:pPr>
            <w:r>
              <w:rPr>
                <w:i/>
              </w:rPr>
              <w:sym w:font="Symbol" w:char="F06A"/>
            </w:r>
            <w:r w:rsidRPr="004C4412">
              <w:rPr>
                <w:i/>
                <w:vertAlign w:val="subscript"/>
              </w:rPr>
              <w:t>j</w:t>
            </w:r>
          </w:p>
        </w:tc>
        <w:tc>
          <w:tcPr>
            <w:tcW w:w="0" w:type="auto"/>
          </w:tcPr>
          <w:p w14:paraId="7D31DEEA" w14:textId="77777777" w:rsidR="00B47D9D" w:rsidRDefault="00B47D9D" w:rsidP="005D0E24">
            <w:pPr>
              <w:pStyle w:val="Paragraph"/>
              <w:spacing w:before="0" w:line="240" w:lineRule="auto"/>
            </w:pPr>
            <w:r>
              <w:t xml:space="preserve">Shadow price of the energy transfer distribution constraint for BAA </w:t>
            </w:r>
            <w:r w:rsidRPr="004C4412">
              <w:rPr>
                <w:i/>
              </w:rPr>
              <w:t>j</w:t>
            </w:r>
            <w:r>
              <w:t>.</w:t>
            </w:r>
          </w:p>
        </w:tc>
      </w:tr>
      <w:tr w:rsidR="00B47D9D" w14:paraId="702A6307" w14:textId="77777777" w:rsidTr="00024366">
        <w:trPr>
          <w:cantSplit/>
        </w:trPr>
        <w:tc>
          <w:tcPr>
            <w:tcW w:w="0" w:type="auto"/>
          </w:tcPr>
          <w:p w14:paraId="598F2D6F" w14:textId="77777777" w:rsidR="00B47D9D" w:rsidRPr="00267D96" w:rsidRDefault="00B47D9D" w:rsidP="005D0E24">
            <w:pPr>
              <w:pStyle w:val="Paragraph"/>
              <w:spacing w:before="0" w:line="240" w:lineRule="auto"/>
              <w:rPr>
                <w:i/>
              </w:rPr>
            </w:pPr>
            <w:r>
              <w:rPr>
                <w:i/>
              </w:rPr>
              <w:sym w:font="Symbol" w:char="F06D"/>
            </w:r>
            <w:r>
              <w:rPr>
                <w:i/>
                <w:vertAlign w:val="subscript"/>
              </w:rPr>
              <w:t>m</w:t>
            </w:r>
          </w:p>
        </w:tc>
        <w:tc>
          <w:tcPr>
            <w:tcW w:w="0" w:type="auto"/>
          </w:tcPr>
          <w:p w14:paraId="64CEE4BF" w14:textId="77777777" w:rsidR="00B47D9D" w:rsidRDefault="00B47D9D" w:rsidP="005D0E24">
            <w:pPr>
              <w:pStyle w:val="Paragraph"/>
              <w:spacing w:before="0" w:line="240" w:lineRule="auto"/>
            </w:pPr>
            <w:r>
              <w:t xml:space="preserve">Shadow price of transmission constraint </w:t>
            </w:r>
            <w:r>
              <w:rPr>
                <w:i/>
              </w:rPr>
              <w:t>m</w:t>
            </w:r>
            <w:r>
              <w:t>.</w:t>
            </w:r>
          </w:p>
        </w:tc>
      </w:tr>
      <w:tr w:rsidR="00B47D9D" w14:paraId="31E6189C" w14:textId="77777777" w:rsidTr="00024366">
        <w:trPr>
          <w:cantSplit/>
        </w:trPr>
        <w:tc>
          <w:tcPr>
            <w:tcW w:w="0" w:type="auto"/>
          </w:tcPr>
          <w:p w14:paraId="2525F61C" w14:textId="77777777" w:rsidR="00B47D9D" w:rsidRPr="00267D96" w:rsidRDefault="00B47D9D" w:rsidP="005D0E24">
            <w:pPr>
              <w:pStyle w:val="Paragraph"/>
              <w:spacing w:before="0" w:line="240" w:lineRule="auto"/>
              <w:rPr>
                <w:i/>
              </w:rPr>
            </w:pPr>
            <w:r>
              <w:rPr>
                <w:i/>
              </w:rPr>
              <w:sym w:font="Symbol" w:char="F079"/>
            </w:r>
          </w:p>
        </w:tc>
        <w:tc>
          <w:tcPr>
            <w:tcW w:w="0" w:type="auto"/>
          </w:tcPr>
          <w:p w14:paraId="3C5F5FAC" w14:textId="77777777" w:rsidR="00B47D9D" w:rsidRDefault="00B47D9D" w:rsidP="005D0E24">
            <w:pPr>
              <w:pStyle w:val="Paragraph"/>
              <w:spacing w:before="0" w:line="240" w:lineRule="auto"/>
            </w:pPr>
            <w:r>
              <w:t>Shadow price of GHG regulation export allocation constraint.</w:t>
            </w:r>
          </w:p>
        </w:tc>
      </w:tr>
      <w:tr w:rsidR="00B47D9D" w14:paraId="450CF73A" w14:textId="77777777" w:rsidTr="00024366">
        <w:trPr>
          <w:cantSplit/>
        </w:trPr>
        <w:tc>
          <w:tcPr>
            <w:tcW w:w="0" w:type="auto"/>
          </w:tcPr>
          <w:p w14:paraId="634AEB51" w14:textId="77777777" w:rsidR="00B47D9D" w:rsidRPr="00267D96" w:rsidRDefault="00B47D9D" w:rsidP="005D0E24">
            <w:pPr>
              <w:pStyle w:val="Paragraph"/>
              <w:spacing w:before="0" w:line="240" w:lineRule="auto"/>
              <w:rPr>
                <w:i/>
              </w:rPr>
            </w:pPr>
            <w:r>
              <w:rPr>
                <w:i/>
              </w:rPr>
              <w:sym w:font="Symbol" w:char="F07A"/>
            </w:r>
            <w:r w:rsidRPr="00267D96">
              <w:rPr>
                <w:i/>
                <w:vertAlign w:val="subscript"/>
              </w:rPr>
              <w:t>j,k,l</w:t>
            </w:r>
            <w:r>
              <w:t xml:space="preserve">, </w:t>
            </w:r>
            <w:r>
              <w:rPr>
                <w:i/>
              </w:rPr>
              <w:sym w:font="Symbol" w:char="F068"/>
            </w:r>
            <w:r w:rsidRPr="00267D96">
              <w:rPr>
                <w:i/>
                <w:vertAlign w:val="subscript"/>
              </w:rPr>
              <w:t>j,k,l</w:t>
            </w:r>
          </w:p>
        </w:tc>
        <w:tc>
          <w:tcPr>
            <w:tcW w:w="0" w:type="auto"/>
          </w:tcPr>
          <w:p w14:paraId="4C3269AD" w14:textId="77777777" w:rsidR="00B47D9D" w:rsidRDefault="00B47D9D" w:rsidP="005D0E24">
            <w:pPr>
              <w:pStyle w:val="Paragraph"/>
              <w:spacing w:before="0" w:line="240" w:lineRule="auto"/>
            </w:pPr>
            <w:r>
              <w:t xml:space="preserve">Shadow prices of upper/lower scheduling limits on intertie </w:t>
            </w:r>
            <w:r>
              <w:rPr>
                <w:i/>
              </w:rPr>
              <w:t>l</w:t>
            </w:r>
            <w:r>
              <w:t xml:space="preserve"> to BAA </w:t>
            </w:r>
            <w:r>
              <w:rPr>
                <w:i/>
              </w:rPr>
              <w:t>j</w:t>
            </w:r>
            <w:r>
              <w:t xml:space="preserve"> from BAA </w:t>
            </w:r>
            <w:r>
              <w:rPr>
                <w:i/>
              </w:rPr>
              <w:t>k</w:t>
            </w:r>
            <w:r>
              <w:t>, on interties with energy transfers.</w:t>
            </w:r>
          </w:p>
        </w:tc>
      </w:tr>
    </w:tbl>
    <w:tbl>
      <w:tblPr>
        <w:tblStyle w:val="TableGrid8"/>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9735"/>
      </w:tblGrid>
      <w:tr w:rsidR="00B47D9D" w14:paraId="45879543" w14:textId="77777777" w:rsidTr="00024366">
        <w:trPr>
          <w:cantSplit/>
        </w:trPr>
        <w:tc>
          <w:tcPr>
            <w:tcW w:w="0" w:type="auto"/>
          </w:tcPr>
          <w:p w14:paraId="1D753CB2" w14:textId="77777777" w:rsidR="00B47D9D" w:rsidRDefault="00B47D9D" w:rsidP="005D0E24">
            <w:pPr>
              <w:pStyle w:val="Paragraph"/>
              <w:spacing w:before="0" w:line="240" w:lineRule="auto"/>
              <w:rPr>
                <w:i/>
              </w:rPr>
            </w:pPr>
            <w:r>
              <w:rPr>
                <w:i/>
              </w:rPr>
              <w:sym w:font="Symbol" w:char="F06E"/>
            </w:r>
            <w:r>
              <w:rPr>
                <w:i/>
                <w:vertAlign w:val="subscript"/>
              </w:rPr>
              <w:t>j</w:t>
            </w:r>
            <w:r>
              <w:t xml:space="preserve">, </w:t>
            </w:r>
            <w:r>
              <w:rPr>
                <w:i/>
              </w:rPr>
              <w:sym w:font="Symbol" w:char="F078"/>
            </w:r>
            <w:r>
              <w:rPr>
                <w:i/>
                <w:vertAlign w:val="subscript"/>
              </w:rPr>
              <w:t>j</w:t>
            </w:r>
          </w:p>
        </w:tc>
        <w:tc>
          <w:tcPr>
            <w:tcW w:w="0" w:type="auto"/>
          </w:tcPr>
          <w:p w14:paraId="35A63D39" w14:textId="77777777" w:rsidR="00B47D9D" w:rsidRDefault="00B47D9D" w:rsidP="005D0E24">
            <w:pPr>
              <w:pStyle w:val="Paragraph"/>
              <w:spacing w:before="0" w:line="240" w:lineRule="auto"/>
            </w:pPr>
            <w:r>
              <w:t xml:space="preserve">Shadow prices of upper/lower bound constraints on EIM transfer of EIM BAA </w:t>
            </w:r>
            <w:r>
              <w:rPr>
                <w:i/>
              </w:rPr>
              <w:t>j</w:t>
            </w:r>
            <w:r>
              <w:t>.</w:t>
            </w:r>
          </w:p>
        </w:tc>
      </w:tr>
      <w:tr w:rsidR="00B47D9D" w14:paraId="2680A439" w14:textId="77777777" w:rsidTr="00024366">
        <w:trPr>
          <w:cantSplit/>
        </w:trPr>
        <w:tc>
          <w:tcPr>
            <w:tcW w:w="0" w:type="auto"/>
          </w:tcPr>
          <w:p w14:paraId="7D761835" w14:textId="77777777" w:rsidR="00B47D9D" w:rsidRPr="00267D96" w:rsidRDefault="00B47D9D" w:rsidP="005D0E24">
            <w:pPr>
              <w:pStyle w:val="Paragraph"/>
              <w:spacing w:before="0" w:line="240" w:lineRule="auto"/>
              <w:rPr>
                <w:i/>
              </w:rPr>
            </w:pPr>
            <w:r>
              <w:rPr>
                <w:i/>
              </w:rPr>
              <w:sym w:font="Symbol" w:char="F072"/>
            </w:r>
            <w:r w:rsidRPr="00267D96">
              <w:rPr>
                <w:i/>
                <w:vertAlign w:val="subscript"/>
              </w:rPr>
              <w:t>j,k,l</w:t>
            </w:r>
            <w:r>
              <w:t xml:space="preserve">, </w:t>
            </w:r>
            <w:r>
              <w:rPr>
                <w:i/>
              </w:rPr>
              <w:sym w:font="Symbol" w:char="F073"/>
            </w:r>
            <w:r w:rsidRPr="00267D96">
              <w:rPr>
                <w:i/>
                <w:vertAlign w:val="subscript"/>
              </w:rPr>
              <w:t>j,k,l</w:t>
            </w:r>
          </w:p>
        </w:tc>
        <w:tc>
          <w:tcPr>
            <w:tcW w:w="0" w:type="auto"/>
          </w:tcPr>
          <w:p w14:paraId="368BA689" w14:textId="77777777" w:rsidR="00B47D9D" w:rsidRDefault="00B47D9D" w:rsidP="005D0E24">
            <w:pPr>
              <w:pStyle w:val="Paragraph"/>
              <w:spacing w:before="0" w:line="240" w:lineRule="auto"/>
            </w:pPr>
            <w:r>
              <w:t xml:space="preserve">Shadow prices of upper/lower bound constraints on export energy transfer schedule </w:t>
            </w:r>
            <w:r>
              <w:rPr>
                <w:i/>
              </w:rPr>
              <w:t>l</w:t>
            </w:r>
            <w:r>
              <w:t xml:space="preserve"> from BAA </w:t>
            </w:r>
            <w:r>
              <w:rPr>
                <w:i/>
              </w:rPr>
              <w:t>j</w:t>
            </w:r>
            <w:r>
              <w:t xml:space="preserve"> to BAA </w:t>
            </w:r>
            <w:r>
              <w:rPr>
                <w:i/>
              </w:rPr>
              <w:t>k</w:t>
            </w:r>
            <w:r>
              <w:t>.</w:t>
            </w:r>
          </w:p>
        </w:tc>
      </w:tr>
    </w:tbl>
    <w:tbl>
      <w:tblPr>
        <w:tblStyle w:val="TableGrid9"/>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9709"/>
      </w:tblGrid>
      <w:tr w:rsidR="00B47D9D" w14:paraId="3826EAD4" w14:textId="77777777" w:rsidTr="005D0E24">
        <w:trPr>
          <w:cantSplit/>
        </w:trPr>
        <w:tc>
          <w:tcPr>
            <w:tcW w:w="1001" w:type="dxa"/>
          </w:tcPr>
          <w:p w14:paraId="3028D901" w14:textId="77777777" w:rsidR="00B47D9D" w:rsidRPr="00267D96" w:rsidRDefault="00B47D9D" w:rsidP="005D0E24">
            <w:pPr>
              <w:pStyle w:val="Paragraph"/>
              <w:spacing w:before="0" w:line="240" w:lineRule="auto"/>
              <w:rPr>
                <w:i/>
              </w:rPr>
            </w:pPr>
            <w:r w:rsidRPr="00267D96">
              <w:rPr>
                <w:i/>
              </w:rPr>
              <w:t>LMP</w:t>
            </w:r>
            <w:r w:rsidRPr="00267D96">
              <w:rPr>
                <w:i/>
                <w:vertAlign w:val="subscript"/>
              </w:rPr>
              <w:t>i</w:t>
            </w:r>
          </w:p>
        </w:tc>
        <w:tc>
          <w:tcPr>
            <w:tcW w:w="9709" w:type="dxa"/>
          </w:tcPr>
          <w:p w14:paraId="2A19BAFB" w14:textId="77777777" w:rsidR="00B47D9D" w:rsidRDefault="00B47D9D" w:rsidP="005D0E24">
            <w:pPr>
              <w:pStyle w:val="Paragraph"/>
              <w:spacing w:before="0" w:line="240" w:lineRule="auto"/>
            </w:pPr>
            <w:r>
              <w:t xml:space="preserve">LMP at node </w:t>
            </w:r>
            <w:r w:rsidRPr="002E4F66">
              <w:rPr>
                <w:i/>
              </w:rPr>
              <w:t>i</w:t>
            </w:r>
            <w:r>
              <w:t>.</w:t>
            </w:r>
          </w:p>
        </w:tc>
      </w:tr>
      <w:tr w:rsidR="00B47D9D" w14:paraId="74CCD700" w14:textId="77777777" w:rsidTr="005D0E24">
        <w:trPr>
          <w:cantSplit/>
        </w:trPr>
        <w:tc>
          <w:tcPr>
            <w:tcW w:w="1001" w:type="dxa"/>
          </w:tcPr>
          <w:p w14:paraId="480B90F8" w14:textId="77777777" w:rsidR="00B47D9D" w:rsidRPr="00267D96" w:rsidRDefault="00B47D9D" w:rsidP="005D0E24">
            <w:pPr>
              <w:pStyle w:val="Paragraph"/>
              <w:spacing w:before="0" w:line="240" w:lineRule="auto"/>
              <w:rPr>
                <w:i/>
              </w:rPr>
            </w:pPr>
            <w:r w:rsidRPr="00267D96">
              <w:rPr>
                <w:i/>
              </w:rPr>
              <w:t>LMP</w:t>
            </w:r>
            <w:r w:rsidRPr="00267D96">
              <w:rPr>
                <w:i/>
                <w:vertAlign w:val="subscript"/>
              </w:rPr>
              <w:t>j,k,l</w:t>
            </w:r>
          </w:p>
        </w:tc>
        <w:tc>
          <w:tcPr>
            <w:tcW w:w="9709" w:type="dxa"/>
          </w:tcPr>
          <w:p w14:paraId="7EC55EA5" w14:textId="77777777" w:rsidR="00B47D9D" w:rsidRDefault="00B47D9D" w:rsidP="005D0E24">
            <w:pPr>
              <w:pStyle w:val="Paragraph"/>
              <w:spacing w:before="0" w:line="240" w:lineRule="auto"/>
            </w:pPr>
            <w:r>
              <w:t xml:space="preserve">SP-TIE LMP for import/export schedule </w:t>
            </w:r>
            <w:r>
              <w:rPr>
                <w:i/>
              </w:rPr>
              <w:t>l</w:t>
            </w:r>
            <w:r>
              <w:t xml:space="preserve"> to/from BAA </w:t>
            </w:r>
            <w:r>
              <w:rPr>
                <w:i/>
              </w:rPr>
              <w:t>j</w:t>
            </w:r>
            <w:r>
              <w:t xml:space="preserve"> from/to BAA </w:t>
            </w:r>
            <w:r>
              <w:rPr>
                <w:i/>
              </w:rPr>
              <w:t>k</w:t>
            </w:r>
            <w:r>
              <w:t>.</w:t>
            </w:r>
          </w:p>
        </w:tc>
      </w:tr>
      <w:tr w:rsidR="00B47D9D" w14:paraId="03B4956D" w14:textId="77777777" w:rsidTr="005D0E24">
        <w:trPr>
          <w:cantSplit/>
        </w:trPr>
        <w:tc>
          <w:tcPr>
            <w:tcW w:w="1001" w:type="dxa"/>
          </w:tcPr>
          <w:p w14:paraId="71610CF7" w14:textId="77777777" w:rsidR="00B47D9D" w:rsidRPr="00267D96" w:rsidRDefault="00B47D9D" w:rsidP="005D0E24">
            <w:pPr>
              <w:pStyle w:val="Paragraph"/>
              <w:spacing w:before="0" w:line="240" w:lineRule="auto"/>
              <w:rPr>
                <w:i/>
              </w:rPr>
            </w:pPr>
            <w:r>
              <w:rPr>
                <w:i/>
              </w:rPr>
              <w:t>SMEC</w:t>
            </w:r>
          </w:p>
        </w:tc>
        <w:tc>
          <w:tcPr>
            <w:tcW w:w="9709" w:type="dxa"/>
          </w:tcPr>
          <w:p w14:paraId="333B4436" w14:textId="77777777" w:rsidR="00B47D9D" w:rsidRDefault="00B47D9D" w:rsidP="005D0E24">
            <w:pPr>
              <w:pStyle w:val="Paragraph"/>
              <w:spacing w:before="0" w:line="240" w:lineRule="auto"/>
            </w:pPr>
            <w:r>
              <w:t>System marginal energy cost (SMEC).</w:t>
            </w:r>
          </w:p>
        </w:tc>
      </w:tr>
      <w:tr w:rsidR="00B47D9D" w14:paraId="239BD37F" w14:textId="77777777" w:rsidTr="005D0E24">
        <w:trPr>
          <w:cantSplit/>
        </w:trPr>
        <w:tc>
          <w:tcPr>
            <w:tcW w:w="1001" w:type="dxa"/>
          </w:tcPr>
          <w:p w14:paraId="41D526DA" w14:textId="088BD0EB" w:rsidR="00B47D9D" w:rsidRDefault="00854973" w:rsidP="005D0E24">
            <w:pPr>
              <w:pStyle w:val="Paragraph"/>
              <w:spacing w:before="0" w:line="240" w:lineRule="auto"/>
              <w:rPr>
                <w:i/>
              </w:rPr>
            </w:pPr>
            <w:r>
              <w:rPr>
                <w:i/>
              </w:rPr>
              <w:t>MCL</w:t>
            </w:r>
          </w:p>
        </w:tc>
        <w:tc>
          <w:tcPr>
            <w:tcW w:w="9709" w:type="dxa"/>
          </w:tcPr>
          <w:p w14:paraId="29405223" w14:textId="384595E2" w:rsidR="00B47D9D" w:rsidRDefault="00B47D9D" w:rsidP="005D0E24">
            <w:pPr>
              <w:pStyle w:val="Paragraph"/>
              <w:spacing w:before="0" w:line="240" w:lineRule="auto"/>
            </w:pPr>
            <w:r>
              <w:t xml:space="preserve">Marginal </w:t>
            </w:r>
            <w:r w:rsidR="00854973">
              <w:t>cost</w:t>
            </w:r>
            <w:r w:rsidR="00F9524E">
              <w:t xml:space="preserve"> of</w:t>
            </w:r>
            <w:r w:rsidR="00854973">
              <w:t xml:space="preserve"> losses</w:t>
            </w:r>
            <w:r>
              <w:t xml:space="preserve"> (</w:t>
            </w:r>
            <w:r w:rsidR="00854973">
              <w:t>MCL</w:t>
            </w:r>
            <w:r>
              <w:t>).</w:t>
            </w:r>
          </w:p>
        </w:tc>
      </w:tr>
      <w:tr w:rsidR="00B47D9D" w14:paraId="1D569F9F" w14:textId="77777777" w:rsidTr="005D0E24">
        <w:trPr>
          <w:cantSplit/>
        </w:trPr>
        <w:tc>
          <w:tcPr>
            <w:tcW w:w="1001" w:type="dxa"/>
          </w:tcPr>
          <w:p w14:paraId="2C0D6D41" w14:textId="77777777" w:rsidR="00B47D9D" w:rsidRDefault="00B47D9D" w:rsidP="005D0E24">
            <w:pPr>
              <w:pStyle w:val="Paragraph"/>
              <w:spacing w:before="0" w:line="240" w:lineRule="auto"/>
              <w:rPr>
                <w:i/>
              </w:rPr>
            </w:pPr>
            <w:r>
              <w:rPr>
                <w:i/>
              </w:rPr>
              <w:t>MCC</w:t>
            </w:r>
          </w:p>
        </w:tc>
        <w:tc>
          <w:tcPr>
            <w:tcW w:w="9709" w:type="dxa"/>
          </w:tcPr>
          <w:p w14:paraId="1A252058" w14:textId="77777777" w:rsidR="00B47D9D" w:rsidRDefault="00B47D9D" w:rsidP="005D0E24">
            <w:pPr>
              <w:pStyle w:val="Paragraph"/>
              <w:spacing w:before="0" w:line="240" w:lineRule="auto"/>
            </w:pPr>
            <w:r>
              <w:t>Marginal congestion cost (MCC).</w:t>
            </w:r>
          </w:p>
        </w:tc>
      </w:tr>
      <w:tr w:rsidR="00B47D9D" w14:paraId="069AA912" w14:textId="77777777" w:rsidTr="005D0E24">
        <w:trPr>
          <w:cantSplit/>
        </w:trPr>
        <w:tc>
          <w:tcPr>
            <w:tcW w:w="1001" w:type="dxa"/>
          </w:tcPr>
          <w:p w14:paraId="1F364D76" w14:textId="77777777" w:rsidR="00B47D9D" w:rsidRDefault="00B47D9D" w:rsidP="005D0E24">
            <w:pPr>
              <w:pStyle w:val="Paragraph"/>
              <w:spacing w:before="0" w:line="240" w:lineRule="auto"/>
              <w:rPr>
                <w:i/>
              </w:rPr>
            </w:pPr>
            <w:r>
              <w:rPr>
                <w:i/>
              </w:rPr>
              <w:t>MGC</w:t>
            </w:r>
          </w:p>
        </w:tc>
        <w:tc>
          <w:tcPr>
            <w:tcW w:w="9709" w:type="dxa"/>
          </w:tcPr>
          <w:p w14:paraId="01467246" w14:textId="77777777" w:rsidR="00B47D9D" w:rsidRDefault="00B47D9D" w:rsidP="005D0E24">
            <w:pPr>
              <w:pStyle w:val="Paragraph"/>
              <w:spacing w:before="0" w:line="240" w:lineRule="auto"/>
            </w:pPr>
            <w:r>
              <w:t>Marginal greenhouse gas regulation cost (MGC).</w:t>
            </w:r>
          </w:p>
        </w:tc>
      </w:tr>
      <w:tr w:rsidR="00B47D9D" w:rsidRPr="00D56399" w14:paraId="3E7FC6A2" w14:textId="77777777" w:rsidTr="005D0E24">
        <w:trPr>
          <w:cantSplit/>
        </w:trPr>
        <w:tc>
          <w:tcPr>
            <w:tcW w:w="1001" w:type="dxa"/>
          </w:tcPr>
          <w:p w14:paraId="7654CF82" w14:textId="77777777" w:rsidR="00B47D9D" w:rsidRDefault="00B47D9D" w:rsidP="005D0E24">
            <w:pPr>
              <w:pStyle w:val="Paragraph"/>
              <w:spacing w:before="0" w:line="240" w:lineRule="auto"/>
              <w:rPr>
                <w:i/>
              </w:rPr>
            </w:pPr>
            <w:r>
              <w:rPr>
                <w:i/>
              </w:rPr>
              <w:t>MCC</w:t>
            </w:r>
            <w:r>
              <w:rPr>
                <w:i/>
                <w:vertAlign w:val="subscript"/>
              </w:rPr>
              <w:t>i,r</w:t>
            </w:r>
          </w:p>
        </w:tc>
        <w:tc>
          <w:tcPr>
            <w:tcW w:w="9709" w:type="dxa"/>
          </w:tcPr>
          <w:p w14:paraId="2EA9ADDD" w14:textId="77777777" w:rsidR="00B47D9D" w:rsidRPr="00D56399" w:rsidRDefault="00B47D9D" w:rsidP="005D0E24">
            <w:pPr>
              <w:pStyle w:val="Paragraph"/>
              <w:spacing w:before="0" w:line="240" w:lineRule="auto"/>
            </w:pPr>
            <w:r>
              <w:t xml:space="preserve">MCC component for BAA </w:t>
            </w:r>
            <w:r>
              <w:rPr>
                <w:i/>
              </w:rPr>
              <w:t>r</w:t>
            </w:r>
            <w:r>
              <w:t xml:space="preserve"> at node </w:t>
            </w:r>
            <w:r>
              <w:rPr>
                <w:i/>
              </w:rPr>
              <w:t>i</w:t>
            </w:r>
            <w:r>
              <w:t>.</w:t>
            </w:r>
          </w:p>
        </w:tc>
      </w:tr>
      <w:tr w:rsidR="00B47D9D" w:rsidRPr="00D56399" w14:paraId="79B174D6" w14:textId="77777777" w:rsidTr="005D0E24">
        <w:trPr>
          <w:cantSplit/>
        </w:trPr>
        <w:tc>
          <w:tcPr>
            <w:tcW w:w="1001" w:type="dxa"/>
          </w:tcPr>
          <w:p w14:paraId="46F41C67" w14:textId="77777777" w:rsidR="00B47D9D" w:rsidRDefault="00B47D9D" w:rsidP="005D0E24">
            <w:pPr>
              <w:pStyle w:val="Paragraph"/>
              <w:spacing w:before="0" w:line="240" w:lineRule="auto"/>
              <w:rPr>
                <w:i/>
              </w:rPr>
            </w:pPr>
            <w:r>
              <w:rPr>
                <w:i/>
              </w:rPr>
              <w:t>MCC</w:t>
            </w:r>
            <w:r>
              <w:rPr>
                <w:i/>
                <w:vertAlign w:val="subscript"/>
              </w:rPr>
              <w:t>j,k,l,r</w:t>
            </w:r>
          </w:p>
        </w:tc>
        <w:tc>
          <w:tcPr>
            <w:tcW w:w="9709" w:type="dxa"/>
          </w:tcPr>
          <w:p w14:paraId="1DF2764F" w14:textId="77777777" w:rsidR="00B47D9D" w:rsidRPr="00D56399" w:rsidRDefault="00B47D9D" w:rsidP="005D0E24">
            <w:pPr>
              <w:pStyle w:val="Paragraph"/>
              <w:spacing w:before="0" w:line="240" w:lineRule="auto"/>
            </w:pPr>
            <w:r>
              <w:t xml:space="preserve">MCC component for BAA </w:t>
            </w:r>
            <w:r>
              <w:rPr>
                <w:i/>
              </w:rPr>
              <w:t>r</w:t>
            </w:r>
            <w:r>
              <w:t xml:space="preserve"> for import/export schedule </w:t>
            </w:r>
            <w:r>
              <w:rPr>
                <w:i/>
              </w:rPr>
              <w:t>l</w:t>
            </w:r>
            <w:r>
              <w:t xml:space="preserve"> to/from BAA </w:t>
            </w:r>
            <w:r>
              <w:rPr>
                <w:i/>
              </w:rPr>
              <w:t>j</w:t>
            </w:r>
            <w:r>
              <w:t xml:space="preserve"> from/to BAA </w:t>
            </w:r>
            <w:r>
              <w:rPr>
                <w:i/>
              </w:rPr>
              <w:t>k</w:t>
            </w:r>
            <w:r>
              <w:t>.</w:t>
            </w:r>
          </w:p>
        </w:tc>
      </w:tr>
      <w:tr w:rsidR="00882856" w:rsidRPr="00D56399" w14:paraId="3CD4B85D" w14:textId="77777777" w:rsidTr="00F9524E">
        <w:trPr>
          <w:cantSplit/>
        </w:trPr>
        <w:tc>
          <w:tcPr>
            <w:tcW w:w="1001" w:type="dxa"/>
          </w:tcPr>
          <w:p w14:paraId="3508D246" w14:textId="424D3517" w:rsidR="00882856" w:rsidRDefault="00882856" w:rsidP="00882856">
            <w:pPr>
              <w:pStyle w:val="Paragraph"/>
              <w:spacing w:before="0" w:line="240" w:lineRule="auto"/>
              <w:rPr>
                <w:i/>
              </w:rPr>
            </w:pPr>
            <w:r>
              <w:rPr>
                <w:i/>
              </w:rPr>
              <w:t>b</w:t>
            </w:r>
            <w:r>
              <w:rPr>
                <w:i/>
                <w:vertAlign w:val="subscript"/>
              </w:rPr>
              <w:t>m</w:t>
            </w:r>
          </w:p>
        </w:tc>
        <w:tc>
          <w:tcPr>
            <w:tcW w:w="9709" w:type="dxa"/>
          </w:tcPr>
          <w:p w14:paraId="2E77967B" w14:textId="75C8202B" w:rsidR="00882856" w:rsidRDefault="00882856" w:rsidP="00882856">
            <w:pPr>
              <w:pStyle w:val="Paragraph"/>
              <w:spacing w:before="0" w:line="240" w:lineRule="auto"/>
            </w:pPr>
            <w:r>
              <w:t xml:space="preserve">Power flow limit for transmission constraint </w:t>
            </w:r>
            <w:r>
              <w:rPr>
                <w:i/>
              </w:rPr>
              <w:t>m</w:t>
            </w:r>
            <w:r>
              <w:t>.</w:t>
            </w:r>
          </w:p>
        </w:tc>
      </w:tr>
      <w:tr w:rsidR="007D1E46" w:rsidRPr="00D56399" w14:paraId="70248F6E" w14:textId="77777777" w:rsidTr="00F9524E">
        <w:trPr>
          <w:cantSplit/>
        </w:trPr>
        <w:tc>
          <w:tcPr>
            <w:tcW w:w="1001" w:type="dxa"/>
          </w:tcPr>
          <w:p w14:paraId="16A52CB5" w14:textId="459F5A7C" w:rsidR="007D1E46" w:rsidRDefault="007D1E46" w:rsidP="00882856">
            <w:pPr>
              <w:pStyle w:val="Paragraph"/>
              <w:spacing w:before="0" w:line="240" w:lineRule="auto"/>
              <w:rPr>
                <w:i/>
              </w:rPr>
            </w:pPr>
            <w:r>
              <w:rPr>
                <w:i/>
              </w:rPr>
              <w:t>T</w:t>
            </w:r>
            <w:r w:rsidRPr="005D0E24">
              <w:rPr>
                <w:i/>
                <w:vertAlign w:val="subscript"/>
              </w:rPr>
              <w:t>j</w:t>
            </w:r>
          </w:p>
        </w:tc>
        <w:tc>
          <w:tcPr>
            <w:tcW w:w="9709" w:type="dxa"/>
          </w:tcPr>
          <w:p w14:paraId="59B0D692" w14:textId="02A246F6" w:rsidR="007D1E46" w:rsidRDefault="007D1E46" w:rsidP="00882856">
            <w:pPr>
              <w:pStyle w:val="Paragraph"/>
              <w:spacing w:before="0" w:line="240" w:lineRule="auto"/>
            </w:pPr>
            <w:r>
              <w:t xml:space="preserve">Net EIM Transfer of BAA </w:t>
            </w:r>
            <w:r w:rsidRPr="005D0E24">
              <w:rPr>
                <w:i/>
              </w:rPr>
              <w:t>j</w:t>
            </w:r>
            <w:r w:rsidR="006C3DAF" w:rsidRPr="005D0E24">
              <w:t>; positive for export and negative for import</w:t>
            </w:r>
            <w:r>
              <w:t>.</w:t>
            </w:r>
          </w:p>
        </w:tc>
      </w:tr>
      <w:tr w:rsidR="006C3DAF" w:rsidRPr="00D56399" w14:paraId="7B7E636B" w14:textId="77777777" w:rsidTr="00F9524E">
        <w:trPr>
          <w:cantSplit/>
        </w:trPr>
        <w:tc>
          <w:tcPr>
            <w:tcW w:w="1001" w:type="dxa"/>
          </w:tcPr>
          <w:p w14:paraId="0A8E2C73" w14:textId="0F782B32" w:rsidR="006C3DAF" w:rsidRDefault="006C3DAF" w:rsidP="006C3DAF">
            <w:pPr>
              <w:pStyle w:val="Paragraph"/>
              <w:spacing w:before="0" w:line="240" w:lineRule="auto"/>
              <w:rPr>
                <w:i/>
              </w:rPr>
            </w:pPr>
            <w:r w:rsidRPr="00267D96">
              <w:rPr>
                <w:i/>
              </w:rPr>
              <w:t>ET</w:t>
            </w:r>
            <w:r w:rsidRPr="00267D96">
              <w:rPr>
                <w:i/>
                <w:vertAlign w:val="subscript"/>
              </w:rPr>
              <w:t>j,k,l</w:t>
            </w:r>
          </w:p>
        </w:tc>
        <w:tc>
          <w:tcPr>
            <w:tcW w:w="9709" w:type="dxa"/>
          </w:tcPr>
          <w:p w14:paraId="0B4BF18D" w14:textId="101DE5FF" w:rsidR="006C3DAF" w:rsidRDefault="006C3DAF" w:rsidP="006C3DAF">
            <w:pPr>
              <w:pStyle w:val="Paragraph"/>
              <w:spacing w:before="0" w:line="240" w:lineRule="auto"/>
            </w:pPr>
            <w:r>
              <w:t xml:space="preserve">Export energy transfer (ETSR) schedule </w:t>
            </w:r>
            <w:r>
              <w:rPr>
                <w:i/>
              </w:rPr>
              <w:t>l</w:t>
            </w:r>
            <w:r>
              <w:t xml:space="preserve"> from BAA </w:t>
            </w:r>
            <w:r>
              <w:rPr>
                <w:i/>
              </w:rPr>
              <w:t>j</w:t>
            </w:r>
            <w:r>
              <w:t xml:space="preserve"> to BAA </w:t>
            </w:r>
            <w:r>
              <w:rPr>
                <w:i/>
              </w:rPr>
              <w:t>k</w:t>
            </w:r>
            <w:r>
              <w:t>.</w:t>
            </w:r>
          </w:p>
        </w:tc>
      </w:tr>
    </w:tbl>
    <w:tbl>
      <w:tblPr>
        <w:tblStyle w:val="TableGrid10"/>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720"/>
      </w:tblGrid>
      <w:tr w:rsidR="00B47D9D" w14:paraId="76823E9D" w14:textId="77777777" w:rsidTr="005D0E24">
        <w:trPr>
          <w:cantSplit/>
        </w:trPr>
        <w:tc>
          <w:tcPr>
            <w:tcW w:w="990" w:type="dxa"/>
          </w:tcPr>
          <w:p w14:paraId="27DC222A" w14:textId="77777777" w:rsidR="00B47D9D" w:rsidRPr="00267D96" w:rsidRDefault="00B47D9D" w:rsidP="005D0E24">
            <w:pPr>
              <w:pStyle w:val="Paragraph"/>
              <w:spacing w:before="0" w:line="240" w:lineRule="auto"/>
              <w:rPr>
                <w:i/>
              </w:rPr>
            </w:pPr>
            <w:r w:rsidRPr="00267D96">
              <w:rPr>
                <w:i/>
              </w:rPr>
              <w:t>R</w:t>
            </w:r>
            <w:r>
              <w:rPr>
                <w:i/>
                <w:vertAlign w:val="subscript"/>
              </w:rPr>
              <w:t>m</w:t>
            </w:r>
          </w:p>
        </w:tc>
        <w:tc>
          <w:tcPr>
            <w:tcW w:w="9720" w:type="dxa"/>
          </w:tcPr>
          <w:p w14:paraId="431778CE" w14:textId="77777777" w:rsidR="00B47D9D" w:rsidRDefault="00B47D9D" w:rsidP="005D0E24">
            <w:pPr>
              <w:pStyle w:val="Paragraph"/>
              <w:spacing w:before="0" w:line="240" w:lineRule="auto"/>
            </w:pPr>
            <w:r>
              <w:t xml:space="preserve">Congestion revenue from transmission constraint </w:t>
            </w:r>
            <w:r>
              <w:rPr>
                <w:i/>
              </w:rPr>
              <w:t>m</w:t>
            </w:r>
            <w:r>
              <w:t>.</w:t>
            </w:r>
          </w:p>
        </w:tc>
      </w:tr>
      <w:tr w:rsidR="00B47D9D" w14:paraId="7582560E" w14:textId="77777777" w:rsidTr="005D0E24">
        <w:trPr>
          <w:cantSplit/>
        </w:trPr>
        <w:tc>
          <w:tcPr>
            <w:tcW w:w="990" w:type="dxa"/>
          </w:tcPr>
          <w:p w14:paraId="7DA90DAF" w14:textId="77777777" w:rsidR="00B47D9D" w:rsidRPr="00267D96" w:rsidRDefault="00B47D9D" w:rsidP="005D0E24">
            <w:pPr>
              <w:pStyle w:val="Paragraph"/>
              <w:spacing w:before="0" w:line="240" w:lineRule="auto"/>
              <w:rPr>
                <w:i/>
              </w:rPr>
            </w:pPr>
            <w:r w:rsidRPr="00267D96">
              <w:rPr>
                <w:i/>
              </w:rPr>
              <w:t>R</w:t>
            </w:r>
            <w:r>
              <w:rPr>
                <w:i/>
                <w:vertAlign w:val="subscript"/>
              </w:rPr>
              <w:t>Tj</w:t>
            </w:r>
          </w:p>
        </w:tc>
        <w:tc>
          <w:tcPr>
            <w:tcW w:w="9720" w:type="dxa"/>
          </w:tcPr>
          <w:p w14:paraId="597EEE21" w14:textId="77777777" w:rsidR="00B47D9D" w:rsidRDefault="00B47D9D" w:rsidP="005D0E24">
            <w:pPr>
              <w:pStyle w:val="Paragraph"/>
              <w:spacing w:before="0" w:line="240" w:lineRule="auto"/>
            </w:pPr>
            <w:r>
              <w:t xml:space="preserve">Congestion revenue from EIM transfer scheduling limits for BAA </w:t>
            </w:r>
            <w:r>
              <w:rPr>
                <w:i/>
              </w:rPr>
              <w:t>j</w:t>
            </w:r>
            <w:r>
              <w:t>.</w:t>
            </w:r>
          </w:p>
        </w:tc>
      </w:tr>
      <w:tr w:rsidR="00B47D9D" w14:paraId="115EBB7E" w14:textId="77777777" w:rsidTr="005D0E24">
        <w:trPr>
          <w:cantSplit/>
        </w:trPr>
        <w:tc>
          <w:tcPr>
            <w:tcW w:w="990" w:type="dxa"/>
          </w:tcPr>
          <w:p w14:paraId="242C50C6" w14:textId="77777777" w:rsidR="00B47D9D" w:rsidRPr="00267D96" w:rsidRDefault="00B47D9D" w:rsidP="005D0E24">
            <w:pPr>
              <w:pStyle w:val="Paragraph"/>
              <w:spacing w:before="0" w:line="240" w:lineRule="auto"/>
              <w:rPr>
                <w:i/>
              </w:rPr>
            </w:pPr>
            <w:r w:rsidRPr="00267D96">
              <w:rPr>
                <w:i/>
              </w:rPr>
              <w:t>R</w:t>
            </w:r>
            <w:r w:rsidRPr="00267D96">
              <w:rPr>
                <w:i/>
                <w:vertAlign w:val="subscript"/>
              </w:rPr>
              <w:t>j,k,l</w:t>
            </w:r>
          </w:p>
        </w:tc>
        <w:tc>
          <w:tcPr>
            <w:tcW w:w="9720" w:type="dxa"/>
          </w:tcPr>
          <w:p w14:paraId="53236ECE" w14:textId="77777777" w:rsidR="00B47D9D" w:rsidRDefault="00B47D9D" w:rsidP="005D0E24">
            <w:pPr>
              <w:pStyle w:val="Paragraph"/>
              <w:spacing w:before="0" w:line="240" w:lineRule="auto"/>
            </w:pPr>
            <w:r>
              <w:t xml:space="preserve">Congestion revenue from ETSR </w:t>
            </w:r>
            <w:r w:rsidRPr="00267D96">
              <w:rPr>
                <w:i/>
              </w:rPr>
              <w:t>ET</w:t>
            </w:r>
            <w:r w:rsidRPr="00267D96">
              <w:rPr>
                <w:i/>
                <w:vertAlign w:val="subscript"/>
              </w:rPr>
              <w:t>j,k,l</w:t>
            </w:r>
            <w:r>
              <w:t>.</w:t>
            </w:r>
          </w:p>
        </w:tc>
      </w:tr>
      <w:tr w:rsidR="00B47D9D" w14:paraId="6E0E5FA6" w14:textId="77777777" w:rsidTr="005D0E24">
        <w:trPr>
          <w:cantSplit/>
        </w:trPr>
        <w:tc>
          <w:tcPr>
            <w:tcW w:w="990" w:type="dxa"/>
          </w:tcPr>
          <w:p w14:paraId="7A4B7E67" w14:textId="77777777" w:rsidR="00B47D9D" w:rsidRPr="00267D96" w:rsidRDefault="00B47D9D" w:rsidP="005D0E24">
            <w:pPr>
              <w:pStyle w:val="Paragraph"/>
              <w:spacing w:before="0" w:line="240" w:lineRule="auto"/>
              <w:rPr>
                <w:i/>
              </w:rPr>
            </w:pPr>
            <w:r w:rsidRPr="00267D96">
              <w:rPr>
                <w:i/>
              </w:rPr>
              <w:t>R</w:t>
            </w:r>
            <w:r w:rsidRPr="00942E54">
              <w:rPr>
                <w:i/>
                <w:vertAlign w:val="subscript"/>
              </w:rPr>
              <w:t>D</w:t>
            </w:r>
            <w:r w:rsidRPr="00267D96">
              <w:rPr>
                <w:i/>
                <w:vertAlign w:val="subscript"/>
              </w:rPr>
              <w:t>j</w:t>
            </w:r>
          </w:p>
        </w:tc>
        <w:tc>
          <w:tcPr>
            <w:tcW w:w="9720" w:type="dxa"/>
          </w:tcPr>
          <w:p w14:paraId="3D3D2702" w14:textId="77777777" w:rsidR="00B47D9D" w:rsidRDefault="00B47D9D" w:rsidP="005D0E24">
            <w:pPr>
              <w:pStyle w:val="Paragraph"/>
              <w:spacing w:before="0" w:line="240" w:lineRule="auto"/>
            </w:pPr>
            <w:r>
              <w:t xml:space="preserve">Congestion revenue from the EIM transfer distribution constraint for BAA </w:t>
            </w:r>
            <w:r>
              <w:rPr>
                <w:i/>
              </w:rPr>
              <w:t>j</w:t>
            </w:r>
            <w:r>
              <w:t>.</w:t>
            </w:r>
          </w:p>
        </w:tc>
      </w:tr>
      <w:tr w:rsidR="00B47D9D" w14:paraId="1EC1C14C" w14:textId="77777777" w:rsidTr="005D0E24">
        <w:trPr>
          <w:cantSplit/>
        </w:trPr>
        <w:tc>
          <w:tcPr>
            <w:tcW w:w="990" w:type="dxa"/>
          </w:tcPr>
          <w:p w14:paraId="38786109" w14:textId="77777777" w:rsidR="00B47D9D" w:rsidRPr="00267D96" w:rsidRDefault="00B47D9D" w:rsidP="005D0E24">
            <w:pPr>
              <w:pStyle w:val="Paragraph"/>
              <w:spacing w:before="0" w:line="240" w:lineRule="auto"/>
              <w:rPr>
                <w:i/>
              </w:rPr>
            </w:pPr>
            <w:r w:rsidRPr="00267D96">
              <w:rPr>
                <w:i/>
              </w:rPr>
              <w:t>R</w:t>
            </w:r>
            <w:r w:rsidRPr="00942E54">
              <w:rPr>
                <w:i/>
                <w:vertAlign w:val="subscript"/>
              </w:rPr>
              <w:t>D</w:t>
            </w:r>
          </w:p>
        </w:tc>
        <w:tc>
          <w:tcPr>
            <w:tcW w:w="9720" w:type="dxa"/>
          </w:tcPr>
          <w:p w14:paraId="7D2F6850" w14:textId="77777777" w:rsidR="00B47D9D" w:rsidRDefault="00B47D9D" w:rsidP="005D0E24">
            <w:pPr>
              <w:pStyle w:val="Paragraph"/>
              <w:spacing w:before="0" w:line="240" w:lineRule="auto"/>
            </w:pPr>
            <w:r>
              <w:t>Congestion revenue from all EIM transfer distribution constraints.</w:t>
            </w:r>
          </w:p>
        </w:tc>
      </w:tr>
      <w:tr w:rsidR="00B47D9D" w14:paraId="46DF6EF6" w14:textId="77777777" w:rsidTr="005D0E24">
        <w:trPr>
          <w:cantSplit/>
        </w:trPr>
        <w:tc>
          <w:tcPr>
            <w:tcW w:w="990" w:type="dxa"/>
          </w:tcPr>
          <w:p w14:paraId="0A213A62" w14:textId="77777777" w:rsidR="00B47D9D" w:rsidRPr="00267D96" w:rsidRDefault="00B47D9D" w:rsidP="005D0E24">
            <w:pPr>
              <w:pStyle w:val="Paragraph"/>
              <w:spacing w:before="0" w:line="240" w:lineRule="auto"/>
              <w:rPr>
                <w:i/>
              </w:rPr>
            </w:pPr>
            <w:r w:rsidRPr="00267D96">
              <w:rPr>
                <w:i/>
              </w:rPr>
              <w:t>R</w:t>
            </w:r>
            <w:r>
              <w:rPr>
                <w:i/>
                <w:vertAlign w:val="subscript"/>
              </w:rPr>
              <w:t>CT</w:t>
            </w:r>
            <w:r w:rsidRPr="00267D96">
              <w:rPr>
                <w:i/>
                <w:vertAlign w:val="subscript"/>
              </w:rPr>
              <w:t>j,k,l</w:t>
            </w:r>
          </w:p>
        </w:tc>
        <w:tc>
          <w:tcPr>
            <w:tcW w:w="9720" w:type="dxa"/>
          </w:tcPr>
          <w:p w14:paraId="37C976CD" w14:textId="77777777" w:rsidR="00B47D9D" w:rsidRDefault="00B47D9D" w:rsidP="005D0E24">
            <w:pPr>
              <w:pStyle w:val="Paragraph"/>
              <w:spacing w:before="0" w:line="240" w:lineRule="auto"/>
            </w:pPr>
            <w:r>
              <w:t xml:space="preserve">Congestion revenue from the transmission cost of the energy transfer schedule </w:t>
            </w:r>
            <w:r w:rsidRPr="00F13B3E">
              <w:rPr>
                <w:i/>
              </w:rPr>
              <w:t>l</w:t>
            </w:r>
            <w:r>
              <w:t xml:space="preserve"> between BAAs </w:t>
            </w:r>
            <w:r>
              <w:rPr>
                <w:i/>
              </w:rPr>
              <w:t>j</w:t>
            </w:r>
            <w:r>
              <w:t xml:space="preserve"> and </w:t>
            </w:r>
            <w:r>
              <w:rPr>
                <w:i/>
              </w:rPr>
              <w:t>k</w:t>
            </w:r>
            <w:r>
              <w:t>.</w:t>
            </w:r>
          </w:p>
        </w:tc>
      </w:tr>
      <w:tr w:rsidR="00B47D9D" w14:paraId="5EDB4983" w14:textId="77777777" w:rsidTr="005D0E24">
        <w:trPr>
          <w:cantSplit/>
        </w:trPr>
        <w:tc>
          <w:tcPr>
            <w:tcW w:w="990" w:type="dxa"/>
          </w:tcPr>
          <w:p w14:paraId="04B0C111" w14:textId="77777777" w:rsidR="00B47D9D" w:rsidRPr="00267D96" w:rsidRDefault="00B47D9D" w:rsidP="005D0E24">
            <w:pPr>
              <w:pStyle w:val="Paragraph"/>
              <w:spacing w:before="0" w:line="240" w:lineRule="auto"/>
              <w:rPr>
                <w:i/>
              </w:rPr>
            </w:pPr>
            <w:r w:rsidRPr="00267D96">
              <w:rPr>
                <w:i/>
              </w:rPr>
              <w:t>R</w:t>
            </w:r>
            <w:r>
              <w:rPr>
                <w:i/>
                <w:vertAlign w:val="subscript"/>
              </w:rPr>
              <w:t>ET</w:t>
            </w:r>
            <w:r w:rsidRPr="00267D96">
              <w:rPr>
                <w:i/>
                <w:vertAlign w:val="subscript"/>
              </w:rPr>
              <w:t>j,k,l</w:t>
            </w:r>
          </w:p>
        </w:tc>
        <w:tc>
          <w:tcPr>
            <w:tcW w:w="9720" w:type="dxa"/>
          </w:tcPr>
          <w:p w14:paraId="0BEB59A8" w14:textId="77777777" w:rsidR="00B47D9D" w:rsidRDefault="00B47D9D" w:rsidP="005D0E24">
            <w:pPr>
              <w:pStyle w:val="Paragraph"/>
              <w:spacing w:before="0" w:line="240" w:lineRule="auto"/>
            </w:pPr>
            <w:r>
              <w:t xml:space="preserve">Congestion revenue from the upper/lower bound constraints on ETSR </w:t>
            </w:r>
            <w:r w:rsidRPr="00267D96">
              <w:rPr>
                <w:i/>
              </w:rPr>
              <w:t>ET</w:t>
            </w:r>
            <w:r w:rsidRPr="00267D96">
              <w:rPr>
                <w:i/>
                <w:vertAlign w:val="subscript"/>
              </w:rPr>
              <w:t>j,k,l</w:t>
            </w:r>
            <w:r>
              <w:t>.</w:t>
            </w:r>
          </w:p>
        </w:tc>
      </w:tr>
      <w:tr w:rsidR="00B47D9D" w14:paraId="15007D48" w14:textId="77777777" w:rsidTr="005D0E24">
        <w:trPr>
          <w:cantSplit/>
        </w:trPr>
        <w:tc>
          <w:tcPr>
            <w:tcW w:w="990" w:type="dxa"/>
          </w:tcPr>
          <w:p w14:paraId="1DA00B5F" w14:textId="77777777" w:rsidR="00B47D9D" w:rsidRPr="00267D96" w:rsidRDefault="00B47D9D" w:rsidP="005D0E24">
            <w:pPr>
              <w:pStyle w:val="Paragraph"/>
              <w:spacing w:before="0" w:line="240" w:lineRule="auto"/>
              <w:rPr>
                <w:i/>
              </w:rPr>
            </w:pPr>
            <w:r w:rsidRPr="00267D96">
              <w:rPr>
                <w:i/>
              </w:rPr>
              <w:t>R</w:t>
            </w:r>
            <w:r>
              <w:rPr>
                <w:i/>
                <w:vertAlign w:val="subscript"/>
              </w:rPr>
              <w:t>SL</w:t>
            </w:r>
            <w:r w:rsidRPr="00267D96">
              <w:rPr>
                <w:i/>
                <w:vertAlign w:val="subscript"/>
              </w:rPr>
              <w:t>j,k,l</w:t>
            </w:r>
          </w:p>
        </w:tc>
        <w:tc>
          <w:tcPr>
            <w:tcW w:w="9720" w:type="dxa"/>
          </w:tcPr>
          <w:p w14:paraId="1FE0FAC1" w14:textId="77777777" w:rsidR="00B47D9D" w:rsidRDefault="00B47D9D" w:rsidP="005D0E24">
            <w:pPr>
              <w:pStyle w:val="Paragraph"/>
              <w:spacing w:before="0" w:line="240" w:lineRule="auto"/>
            </w:pPr>
            <w:r>
              <w:t xml:space="preserve">Congestion revenue from the upper/lower scheduling limits on intertie </w:t>
            </w:r>
            <w:r>
              <w:rPr>
                <w:i/>
              </w:rPr>
              <w:t>l</w:t>
            </w:r>
            <w:r>
              <w:t xml:space="preserve"> to BAA </w:t>
            </w:r>
            <w:r>
              <w:rPr>
                <w:i/>
              </w:rPr>
              <w:t>j</w:t>
            </w:r>
            <w:r>
              <w:t xml:space="preserve"> from BAA </w:t>
            </w:r>
            <w:r>
              <w:rPr>
                <w:i/>
              </w:rPr>
              <w:t>k</w:t>
            </w:r>
            <w:r>
              <w:t>, on interties with energy transfers.</w:t>
            </w:r>
          </w:p>
        </w:tc>
      </w:tr>
      <w:tr w:rsidR="00B47D9D" w14:paraId="4DE34B2E" w14:textId="77777777" w:rsidTr="005D0E24">
        <w:trPr>
          <w:cantSplit/>
        </w:trPr>
        <w:tc>
          <w:tcPr>
            <w:tcW w:w="990" w:type="dxa"/>
          </w:tcPr>
          <w:p w14:paraId="4ED2EB5A" w14:textId="77777777" w:rsidR="00B47D9D" w:rsidRPr="00267D96" w:rsidRDefault="00B47D9D" w:rsidP="005D0E24">
            <w:pPr>
              <w:pStyle w:val="Paragraph"/>
              <w:spacing w:before="0" w:line="240" w:lineRule="auto"/>
              <w:rPr>
                <w:i/>
              </w:rPr>
            </w:pPr>
            <w:r>
              <w:rPr>
                <w:i/>
              </w:rPr>
              <w:t>f</w:t>
            </w:r>
            <w:r>
              <w:rPr>
                <w:i/>
                <w:vertAlign w:val="subscript"/>
              </w:rPr>
              <w:t>m,r</w:t>
            </w:r>
          </w:p>
        </w:tc>
        <w:tc>
          <w:tcPr>
            <w:tcW w:w="9720" w:type="dxa"/>
          </w:tcPr>
          <w:p w14:paraId="0C9BBE61" w14:textId="77777777" w:rsidR="00B47D9D" w:rsidRDefault="00B47D9D" w:rsidP="005D0E24">
            <w:pPr>
              <w:pStyle w:val="Paragraph"/>
              <w:spacing w:before="0" w:line="240" w:lineRule="auto"/>
            </w:pPr>
            <w:r>
              <w:t xml:space="preserve">Congestion revenue distribution factor from transmission constraint </w:t>
            </w:r>
            <w:r>
              <w:rPr>
                <w:i/>
              </w:rPr>
              <w:t>m</w:t>
            </w:r>
            <w:r>
              <w:t xml:space="preserve"> on BAA </w:t>
            </w:r>
            <w:r>
              <w:rPr>
                <w:i/>
              </w:rPr>
              <w:t>r</w:t>
            </w:r>
            <w:r>
              <w:t>.</w:t>
            </w:r>
          </w:p>
        </w:tc>
      </w:tr>
      <w:tr w:rsidR="00B47D9D" w14:paraId="6D40E816" w14:textId="77777777" w:rsidTr="005D0E24">
        <w:trPr>
          <w:cantSplit/>
        </w:trPr>
        <w:tc>
          <w:tcPr>
            <w:tcW w:w="990" w:type="dxa"/>
          </w:tcPr>
          <w:p w14:paraId="23C8098A" w14:textId="77777777" w:rsidR="00B47D9D" w:rsidRPr="00267D96" w:rsidRDefault="00B47D9D" w:rsidP="005D0E24">
            <w:pPr>
              <w:pStyle w:val="Paragraph"/>
              <w:spacing w:before="0" w:line="240" w:lineRule="auto"/>
              <w:rPr>
                <w:i/>
              </w:rPr>
            </w:pPr>
            <w:r>
              <w:rPr>
                <w:i/>
              </w:rPr>
              <w:t>f</w:t>
            </w:r>
            <w:r>
              <w:rPr>
                <w:i/>
                <w:vertAlign w:val="subscript"/>
              </w:rPr>
              <w:t>T,j,r</w:t>
            </w:r>
          </w:p>
        </w:tc>
        <w:tc>
          <w:tcPr>
            <w:tcW w:w="9720" w:type="dxa"/>
          </w:tcPr>
          <w:p w14:paraId="4C22C734" w14:textId="77777777" w:rsidR="00B47D9D" w:rsidRDefault="00B47D9D" w:rsidP="005D0E24">
            <w:pPr>
              <w:pStyle w:val="Paragraph"/>
              <w:spacing w:before="0" w:line="240" w:lineRule="auto"/>
            </w:pPr>
            <w:r>
              <w:t xml:space="preserve">Congestion revenue distribution factor from EIM transfer scheduling limits for BAA </w:t>
            </w:r>
            <w:r>
              <w:rPr>
                <w:i/>
              </w:rPr>
              <w:t>j</w:t>
            </w:r>
            <w:r>
              <w:t xml:space="preserve"> on BAA </w:t>
            </w:r>
            <w:r>
              <w:rPr>
                <w:i/>
              </w:rPr>
              <w:t>r</w:t>
            </w:r>
            <w:r>
              <w:t>.</w:t>
            </w:r>
          </w:p>
        </w:tc>
      </w:tr>
      <w:tr w:rsidR="00B47D9D" w14:paraId="3E750DA5" w14:textId="77777777" w:rsidTr="005D0E24">
        <w:trPr>
          <w:cantSplit/>
        </w:trPr>
        <w:tc>
          <w:tcPr>
            <w:tcW w:w="990" w:type="dxa"/>
          </w:tcPr>
          <w:p w14:paraId="6E1477CB" w14:textId="77777777" w:rsidR="00B47D9D" w:rsidRPr="00267D96" w:rsidRDefault="00B47D9D" w:rsidP="005D0E24">
            <w:pPr>
              <w:pStyle w:val="Paragraph"/>
              <w:spacing w:before="0" w:line="240" w:lineRule="auto"/>
              <w:rPr>
                <w:i/>
              </w:rPr>
            </w:pPr>
            <w:r>
              <w:rPr>
                <w:i/>
              </w:rPr>
              <w:lastRenderedPageBreak/>
              <w:t>f</w:t>
            </w:r>
            <w:r>
              <w:rPr>
                <w:i/>
                <w:vertAlign w:val="subscript"/>
              </w:rPr>
              <w:t>CT,j,k,l,r</w:t>
            </w:r>
          </w:p>
        </w:tc>
        <w:tc>
          <w:tcPr>
            <w:tcW w:w="9720" w:type="dxa"/>
          </w:tcPr>
          <w:p w14:paraId="2244A4DA" w14:textId="77777777" w:rsidR="00B47D9D" w:rsidRDefault="00B47D9D" w:rsidP="005D0E24">
            <w:pPr>
              <w:pStyle w:val="Paragraph"/>
              <w:spacing w:before="0" w:line="240" w:lineRule="auto"/>
            </w:pPr>
            <w:r>
              <w:t xml:space="preserve">Congestion revenue distribution factor from transmission cost of the energy transfer schedule </w:t>
            </w:r>
            <w:r w:rsidRPr="00F13B3E">
              <w:rPr>
                <w:i/>
              </w:rPr>
              <w:t>l</w:t>
            </w:r>
            <w:r>
              <w:t xml:space="preserve"> between BAAs </w:t>
            </w:r>
            <w:r>
              <w:rPr>
                <w:i/>
              </w:rPr>
              <w:t>j</w:t>
            </w:r>
            <w:r>
              <w:t xml:space="preserve"> and </w:t>
            </w:r>
            <w:r>
              <w:rPr>
                <w:i/>
              </w:rPr>
              <w:t>k</w:t>
            </w:r>
            <w:r>
              <w:t xml:space="preserve"> on BAA </w:t>
            </w:r>
            <w:r>
              <w:rPr>
                <w:i/>
              </w:rPr>
              <w:t>r</w:t>
            </w:r>
            <w:r>
              <w:t>.</w:t>
            </w:r>
          </w:p>
        </w:tc>
      </w:tr>
      <w:tr w:rsidR="00B47D9D" w14:paraId="232121F5" w14:textId="77777777" w:rsidTr="005D0E24">
        <w:trPr>
          <w:cantSplit/>
        </w:trPr>
        <w:tc>
          <w:tcPr>
            <w:tcW w:w="990" w:type="dxa"/>
          </w:tcPr>
          <w:p w14:paraId="2B99539A" w14:textId="77777777" w:rsidR="00B47D9D" w:rsidRPr="00267D96" w:rsidRDefault="00B47D9D" w:rsidP="005D0E24">
            <w:pPr>
              <w:pStyle w:val="Paragraph"/>
              <w:spacing w:before="0" w:line="240" w:lineRule="auto"/>
              <w:rPr>
                <w:i/>
              </w:rPr>
            </w:pPr>
            <w:r>
              <w:rPr>
                <w:i/>
              </w:rPr>
              <w:t>f</w:t>
            </w:r>
            <w:r>
              <w:rPr>
                <w:i/>
                <w:vertAlign w:val="subscript"/>
              </w:rPr>
              <w:t>ET,j,k,l,r</w:t>
            </w:r>
          </w:p>
        </w:tc>
        <w:tc>
          <w:tcPr>
            <w:tcW w:w="9720" w:type="dxa"/>
          </w:tcPr>
          <w:p w14:paraId="3428FA8F" w14:textId="77777777" w:rsidR="00B47D9D" w:rsidRDefault="00B47D9D" w:rsidP="005D0E24">
            <w:pPr>
              <w:pStyle w:val="Paragraph"/>
              <w:spacing w:before="0" w:line="240" w:lineRule="auto"/>
            </w:pPr>
            <w:r>
              <w:t xml:space="preserve">Congestion revenue distribution factor from upper/lower bound constraints on export energy transfer schedule </w:t>
            </w:r>
            <w:r>
              <w:rPr>
                <w:i/>
              </w:rPr>
              <w:t>l</w:t>
            </w:r>
            <w:r>
              <w:t xml:space="preserve"> from BAA </w:t>
            </w:r>
            <w:r>
              <w:rPr>
                <w:i/>
              </w:rPr>
              <w:t>j</w:t>
            </w:r>
            <w:r>
              <w:t xml:space="preserve"> to BAA </w:t>
            </w:r>
            <w:r>
              <w:rPr>
                <w:i/>
              </w:rPr>
              <w:t>k</w:t>
            </w:r>
            <w:r>
              <w:t xml:space="preserve"> on BAA </w:t>
            </w:r>
            <w:r>
              <w:rPr>
                <w:i/>
              </w:rPr>
              <w:t>r.</w:t>
            </w:r>
          </w:p>
        </w:tc>
      </w:tr>
      <w:tr w:rsidR="00B47D9D" w14:paraId="02F4B2A7" w14:textId="77777777" w:rsidTr="005D0E24">
        <w:trPr>
          <w:cantSplit/>
        </w:trPr>
        <w:tc>
          <w:tcPr>
            <w:tcW w:w="990" w:type="dxa"/>
          </w:tcPr>
          <w:p w14:paraId="49207DF5" w14:textId="77777777" w:rsidR="00B47D9D" w:rsidRPr="00267D96" w:rsidRDefault="00B47D9D" w:rsidP="00B255B1">
            <w:pPr>
              <w:pStyle w:val="Paragraph"/>
              <w:spacing w:before="0" w:line="240" w:lineRule="auto"/>
              <w:rPr>
                <w:i/>
              </w:rPr>
            </w:pPr>
            <w:r>
              <w:rPr>
                <w:i/>
              </w:rPr>
              <w:t>f</w:t>
            </w:r>
            <w:r>
              <w:rPr>
                <w:i/>
                <w:vertAlign w:val="subscript"/>
              </w:rPr>
              <w:t>SL,j,k,l,r</w:t>
            </w:r>
          </w:p>
        </w:tc>
        <w:tc>
          <w:tcPr>
            <w:tcW w:w="9720" w:type="dxa"/>
          </w:tcPr>
          <w:p w14:paraId="7E8D048E" w14:textId="77777777" w:rsidR="00B47D9D" w:rsidRDefault="00B47D9D" w:rsidP="00B255B1">
            <w:pPr>
              <w:pStyle w:val="Paragraph"/>
              <w:spacing w:before="0" w:line="240" w:lineRule="auto"/>
            </w:pPr>
            <w:r>
              <w:t xml:space="preserve">Congestion revenue distribution factor from upper/lower scheduling limits on intertie </w:t>
            </w:r>
            <w:r>
              <w:rPr>
                <w:i/>
              </w:rPr>
              <w:t>l</w:t>
            </w:r>
            <w:r>
              <w:t xml:space="preserve"> to BAA </w:t>
            </w:r>
            <w:r>
              <w:rPr>
                <w:i/>
              </w:rPr>
              <w:t>j</w:t>
            </w:r>
            <w:r>
              <w:t xml:space="preserve"> from BAA </w:t>
            </w:r>
            <w:r>
              <w:rPr>
                <w:i/>
              </w:rPr>
              <w:t>k</w:t>
            </w:r>
            <w:r>
              <w:t xml:space="preserve"> on BAA </w:t>
            </w:r>
            <w:r>
              <w:rPr>
                <w:i/>
              </w:rPr>
              <w:t>r</w:t>
            </w:r>
            <w:r>
              <w:t>.</w:t>
            </w:r>
          </w:p>
        </w:tc>
      </w:tr>
      <w:tr w:rsidR="00B47D9D" w14:paraId="3310FEB2" w14:textId="77777777" w:rsidTr="005D0E24">
        <w:trPr>
          <w:cantSplit/>
        </w:trPr>
        <w:tc>
          <w:tcPr>
            <w:tcW w:w="990" w:type="dxa"/>
          </w:tcPr>
          <w:p w14:paraId="007655E9" w14:textId="77777777" w:rsidR="00B47D9D" w:rsidRPr="00267D96" w:rsidRDefault="00B47D9D" w:rsidP="00B255B1">
            <w:pPr>
              <w:pStyle w:val="Paragraph"/>
              <w:spacing w:before="0" w:line="240" w:lineRule="auto"/>
              <w:rPr>
                <w:i/>
              </w:rPr>
            </w:pPr>
            <w:r>
              <w:rPr>
                <w:i/>
              </w:rPr>
              <w:t>f</w:t>
            </w:r>
            <w:r>
              <w:rPr>
                <w:i/>
                <w:vertAlign w:val="subscript"/>
              </w:rPr>
              <w:t>Dr</w:t>
            </w:r>
          </w:p>
        </w:tc>
        <w:tc>
          <w:tcPr>
            <w:tcW w:w="9720" w:type="dxa"/>
          </w:tcPr>
          <w:p w14:paraId="56CA89B0" w14:textId="77777777" w:rsidR="00B47D9D" w:rsidRDefault="00B47D9D" w:rsidP="00B255B1">
            <w:pPr>
              <w:pStyle w:val="Paragraph"/>
              <w:spacing w:before="0" w:line="240" w:lineRule="auto"/>
            </w:pPr>
            <w:r>
              <w:t xml:space="preserve">Distribution factor for the shadow price of the energy transfer distribution constraint of any BAA in the EIM Area on BAA </w:t>
            </w:r>
            <w:r>
              <w:rPr>
                <w:i/>
              </w:rPr>
              <w:t>r</w:t>
            </w:r>
            <w:r>
              <w:t>.</w:t>
            </w:r>
          </w:p>
        </w:tc>
      </w:tr>
    </w:tbl>
    <w:p w14:paraId="2E07D0A0" w14:textId="77777777" w:rsidR="00B47D9D" w:rsidRDefault="00B47D9D" w:rsidP="00B47D9D"/>
    <w:p w14:paraId="7CDB5B6B" w14:textId="77777777" w:rsidR="00B47D9D" w:rsidRDefault="00B47D9D" w:rsidP="00B47D9D">
      <w:pPr>
        <w:pStyle w:val="Heading5"/>
      </w:pPr>
      <w:r w:rsidRPr="00C71D25">
        <w:t>Congestion Revenue Allocation (MCC Decomposition</w:t>
      </w:r>
      <w:r>
        <w:t>)</w:t>
      </w:r>
    </w:p>
    <w:p w14:paraId="4EB0088D" w14:textId="42D78201" w:rsidR="00CD272F" w:rsidRDefault="00B255B1" w:rsidP="00B255B1">
      <w:r>
        <w:t xml:space="preserve">The LMP decomposition is used in neutrality cost allocation. </w:t>
      </w:r>
      <w:r w:rsidR="001545F7">
        <w:t xml:space="preserve">Before presenting the MCC decomposition, it is useful to present </w:t>
      </w:r>
      <w:r w:rsidR="00CD272F">
        <w:t>all LMP components first. The LMP can be decomposed to the following components:</w:t>
      </w:r>
    </w:p>
    <w:p w14:paraId="5244F7F7" w14:textId="77777777" w:rsidR="00CD272F" w:rsidRDefault="00CD272F" w:rsidP="00CD272F">
      <w:pPr>
        <w:pStyle w:val="Paragraph"/>
        <w:numPr>
          <w:ilvl w:val="0"/>
          <w:numId w:val="255"/>
        </w:numPr>
        <w:spacing w:after="0" w:line="240" w:lineRule="auto"/>
        <w:jc w:val="both"/>
      </w:pPr>
      <w:r>
        <w:t>the System marginal energy cost (SMEC)</w:t>
      </w:r>
      <w:r w:rsidRPr="00DD507C">
        <w:t xml:space="preserve"> </w:t>
      </w:r>
      <w:r>
        <w:t>component;</w:t>
      </w:r>
    </w:p>
    <w:p w14:paraId="3AE9AA67" w14:textId="60C3CA9C" w:rsidR="00CD272F" w:rsidRDefault="00CD272F" w:rsidP="00CD272F">
      <w:pPr>
        <w:pStyle w:val="Paragraph"/>
        <w:numPr>
          <w:ilvl w:val="0"/>
          <w:numId w:val="255"/>
        </w:numPr>
        <w:spacing w:after="0" w:line="240" w:lineRule="auto"/>
        <w:jc w:val="both"/>
      </w:pPr>
      <w:r>
        <w:t>the marginal cost</w:t>
      </w:r>
      <w:r w:rsidR="00F7061B">
        <w:t xml:space="preserve"> of losses (M</w:t>
      </w:r>
      <w:r>
        <w:t>C</w:t>
      </w:r>
      <w:r w:rsidR="00F7061B">
        <w:t>L</w:t>
      </w:r>
      <w:r>
        <w:t>)</w:t>
      </w:r>
      <w:r w:rsidRPr="00DD507C">
        <w:t xml:space="preserve"> </w:t>
      </w:r>
      <w:r>
        <w:t>component;</w:t>
      </w:r>
    </w:p>
    <w:p w14:paraId="313B0BEF" w14:textId="77777777" w:rsidR="00CD272F" w:rsidRDefault="00CD272F" w:rsidP="00CD272F">
      <w:pPr>
        <w:pStyle w:val="Paragraph"/>
        <w:numPr>
          <w:ilvl w:val="0"/>
          <w:numId w:val="255"/>
        </w:numPr>
        <w:spacing w:after="0" w:line="240" w:lineRule="auto"/>
        <w:jc w:val="both"/>
      </w:pPr>
      <w:r>
        <w:t>the marginal congestion cost (MCC) component; and</w:t>
      </w:r>
    </w:p>
    <w:p w14:paraId="4145937C" w14:textId="77777777" w:rsidR="00CD272F" w:rsidRDefault="00CD272F" w:rsidP="00CD272F">
      <w:pPr>
        <w:pStyle w:val="Paragraph"/>
        <w:numPr>
          <w:ilvl w:val="0"/>
          <w:numId w:val="255"/>
        </w:numPr>
        <w:spacing w:after="0" w:line="240" w:lineRule="auto"/>
        <w:jc w:val="both"/>
      </w:pPr>
      <w:r>
        <w:t>the marginal greenhouse gas cost (MGC) component.</w:t>
      </w:r>
    </w:p>
    <w:p w14:paraId="2537D6B6" w14:textId="77777777" w:rsidR="00CD272F" w:rsidRDefault="00CD272F" w:rsidP="00CD272F">
      <w:pPr>
        <w:pStyle w:val="Paragraph"/>
      </w:pPr>
      <w:r>
        <w:t>These LMP components are as follows:</w:t>
      </w:r>
    </w:p>
    <w:p w14:paraId="6A34D5B6" w14:textId="27FFDC29" w:rsidR="00CD272F" w:rsidRPr="0066701D" w:rsidRDefault="00AE7E55" w:rsidP="00CD272F">
      <w:pPr>
        <w:pStyle w:val="Equation"/>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=SMEC+</m:t>
          </m:r>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r>
            <m:rPr>
              <m:sty m:val="p"/>
            </m:rPr>
            <w:br/>
          </m:r>
        </m:oMath>
        <m:oMath>
          <m:sSub>
            <m:sSubPr>
              <m:ctrlPr>
                <w:rPr>
                  <w:rFonts w:ascii="Cambria Math" w:hAnsi="Cambria Math"/>
                  <w:i/>
                </w:rPr>
              </m:ctrlPr>
            </m:sSubPr>
            <m:e>
              <m:r>
                <w:rPr>
                  <w:rFonts w:ascii="Cambria Math" w:hAnsi="Cambria Math"/>
                </w:rPr>
                <m:t>LMP</m:t>
              </m:r>
            </m:e>
            <m:sub>
              <m:r>
                <w:rPr>
                  <w:rFonts w:ascii="Cambria Math" w:hAnsi="Cambria Math"/>
                </w:rPr>
                <m:t>j,k,l</m:t>
              </m:r>
            </m:sub>
          </m:sSub>
          <m:r>
            <w:rPr>
              <w:rFonts w:ascii="Cambria Math" w:hAnsi="Cambria Math"/>
            </w:rPr>
            <m:t>=SMEC+</m:t>
          </m:r>
          <m:sSub>
            <m:sSubPr>
              <m:ctrlPr>
                <w:rPr>
                  <w:rFonts w:ascii="Cambria Math" w:hAnsi="Cambria Math"/>
                  <w:i/>
                </w:rPr>
              </m:ctrlPr>
            </m:sSubPr>
            <m:e>
              <m:r>
                <w:rPr>
                  <w:rFonts w:ascii="Cambria Math" w:hAnsi="Cambria Math"/>
                </w:rPr>
                <m:t>MLC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EIM∧k≠j∧l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r>
            <w:rPr>
              <w:rFonts w:ascii="Cambria Math" w:hAnsi="Cambria Math"/>
            </w:rPr>
            <m:t>SMEC=λ</m:t>
          </m:r>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mr>
                <m:mr>
                  <m:e>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=0</m:t>
                    </m:r>
                  </m:e>
                </m:mr>
              </m:m>
            </m:e>
          </m:d>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mr>
                <m:mr>
                  <m:e>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=-ψ</m:t>
                    </m:r>
                  </m:e>
                </m:mr>
              </m:m>
            </m:e>
          </m:d>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0,k,l</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0,k,l</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0,k,l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m,n,0,k,l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0,k,l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0,k,l</m:t>
                        </m:r>
                      </m:sub>
                    </m:sSub>
                  </m:e>
                </m:mr>
                <m:mr>
                  <m:e>
                    <m:sSub>
                      <m:sSubPr>
                        <m:ctrlPr>
                          <w:rPr>
                            <w:rFonts w:ascii="Cambria Math" w:hAnsi="Cambria Math"/>
                            <w:i/>
                          </w:rPr>
                        </m:ctrlPr>
                      </m:sSubPr>
                      <m:e>
                        <m:r>
                          <w:rPr>
                            <w:rFonts w:ascii="Cambria Math" w:hAnsi="Cambria Math"/>
                          </w:rPr>
                          <m:t>MGC</m:t>
                        </m:r>
                      </m:e>
                      <m:sub>
                        <m:r>
                          <w:rPr>
                            <w:rFonts w:ascii="Cambria Math" w:hAnsi="Cambria Math"/>
                          </w:rPr>
                          <m:t>0,k,l</m:t>
                        </m:r>
                      </m:sub>
                    </m:sSub>
                    <m:r>
                      <w:rPr>
                        <w:rFonts w:ascii="Cambria Math" w:hAnsi="Cambria Math"/>
                      </w:rPr>
                      <m:t>=0</m:t>
                    </m:r>
                  </m:e>
                </m:mr>
              </m:m>
            </m:e>
          </m:d>
          <m:r>
            <w:rPr>
              <w:rFonts w:ascii="Cambria Math" w:hAnsi="Cambria Math"/>
            </w:rPr>
            <m:t xml:space="preserve">,  </m:t>
          </m:r>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j,k,l</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j,k,l</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mr>
                <m:mr>
                  <m:e>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=-ψ</m:t>
                    </m:r>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07F79FE8" w14:textId="6093C6A8" w:rsidR="00CD272F" w:rsidRPr="00A77A19" w:rsidRDefault="00125E03" w:rsidP="00CD272F">
      <w:pPr>
        <w:pStyle w:val="Paragraph"/>
      </w:pPr>
      <w:r>
        <w:t xml:space="preserve">Where the MCC contributions from FRP requirement constraints are not shown for simplicity. </w:t>
      </w:r>
    </w:p>
    <w:p w14:paraId="064F1B26" w14:textId="52A41C6A" w:rsidR="00B47D9D" w:rsidRDefault="00B47D9D" w:rsidP="00B47D9D">
      <w:r>
        <w:t xml:space="preserve">For the MCC Decomposition, the allocation of congestion revenue to corresponding BAAs in the EIM area is based on the </w:t>
      </w:r>
      <w:r w:rsidR="0041523D">
        <w:t>c</w:t>
      </w:r>
      <w:r>
        <w:t xml:space="preserve">ongestion revenue distribution factors set up for each constraint whose shadow price contributes to the MCC. The </w:t>
      </w:r>
      <w:r w:rsidR="0041523D">
        <w:t>c</w:t>
      </w:r>
      <w:r>
        <w:t xml:space="preserve">ongestion revenue distribution factors for BAA constraints of all types are defined in the Master File (MF) and these congestion distribution factors are </w:t>
      </w:r>
      <w:r w:rsidR="0041523D">
        <w:t>used in</w:t>
      </w:r>
      <w:r>
        <w:t xml:space="preserve"> the market. </w:t>
      </w:r>
    </w:p>
    <w:p w14:paraId="23D13D46" w14:textId="77777777" w:rsidR="00B47D9D" w:rsidRDefault="00B47D9D" w:rsidP="00B47D9D">
      <w:r>
        <w:t>Example:</w:t>
      </w:r>
    </w:p>
    <w:tbl>
      <w:tblPr>
        <w:tblStyle w:val="TableGrid"/>
        <w:tblW w:w="0" w:type="auto"/>
        <w:tblLook w:val="04A0" w:firstRow="1" w:lastRow="0" w:firstColumn="1" w:lastColumn="0" w:noHBand="0" w:noVBand="1"/>
      </w:tblPr>
      <w:tblGrid>
        <w:gridCol w:w="3116"/>
        <w:gridCol w:w="3117"/>
        <w:gridCol w:w="3117"/>
      </w:tblGrid>
      <w:tr w:rsidR="00B47D9D" w14:paraId="128DE9C3" w14:textId="77777777" w:rsidTr="00024366">
        <w:tc>
          <w:tcPr>
            <w:tcW w:w="3116" w:type="dxa"/>
          </w:tcPr>
          <w:p w14:paraId="2D28704F" w14:textId="77777777" w:rsidR="00B47D9D" w:rsidRDefault="00B47D9D" w:rsidP="00B255B1">
            <w:pPr>
              <w:spacing w:after="0"/>
              <w:jc w:val="left"/>
            </w:pPr>
            <w:r>
              <w:t>BAA</w:t>
            </w:r>
          </w:p>
        </w:tc>
        <w:tc>
          <w:tcPr>
            <w:tcW w:w="3117" w:type="dxa"/>
          </w:tcPr>
          <w:p w14:paraId="0369644A" w14:textId="58AA3799" w:rsidR="00B47D9D" w:rsidRDefault="00B47D9D" w:rsidP="00B255B1">
            <w:pPr>
              <w:spacing w:after="0"/>
              <w:jc w:val="left"/>
            </w:pPr>
            <w:r>
              <w:t>Intertie Schedule/EIM Transfer/Constraints</w:t>
            </w:r>
          </w:p>
        </w:tc>
        <w:tc>
          <w:tcPr>
            <w:tcW w:w="3117" w:type="dxa"/>
          </w:tcPr>
          <w:p w14:paraId="7D391956" w14:textId="77777777" w:rsidR="00B47D9D" w:rsidRDefault="00B47D9D" w:rsidP="00B255B1">
            <w:pPr>
              <w:spacing w:after="0"/>
              <w:jc w:val="left"/>
            </w:pPr>
            <w:r>
              <w:t>Congestion Revenue Distribution Factor</w:t>
            </w:r>
          </w:p>
        </w:tc>
      </w:tr>
      <w:tr w:rsidR="00B47D9D" w14:paraId="4C996DA6" w14:textId="77777777" w:rsidTr="00024366">
        <w:tc>
          <w:tcPr>
            <w:tcW w:w="3116" w:type="dxa"/>
          </w:tcPr>
          <w:p w14:paraId="694D9882" w14:textId="77777777" w:rsidR="00B47D9D" w:rsidRDefault="00B47D9D" w:rsidP="00B255B1">
            <w:pPr>
              <w:spacing w:after="0"/>
            </w:pPr>
            <w:r>
              <w:t>BAA 1</w:t>
            </w:r>
          </w:p>
        </w:tc>
        <w:tc>
          <w:tcPr>
            <w:tcW w:w="3117" w:type="dxa"/>
          </w:tcPr>
          <w:p w14:paraId="60E095AE" w14:textId="7CE302F1" w:rsidR="00B47D9D" w:rsidRDefault="00B47D9D" w:rsidP="00B255B1">
            <w:pPr>
              <w:spacing w:after="0"/>
            </w:pPr>
            <w:r>
              <w:t>Tie 1-Schedul</w:t>
            </w:r>
            <w:r w:rsidR="002A1EF4">
              <w:t>ing limit</w:t>
            </w:r>
          </w:p>
        </w:tc>
        <w:tc>
          <w:tcPr>
            <w:tcW w:w="3117" w:type="dxa"/>
          </w:tcPr>
          <w:p w14:paraId="22DB27FA" w14:textId="77777777" w:rsidR="00B47D9D" w:rsidRDefault="00B47D9D" w:rsidP="00B255B1">
            <w:pPr>
              <w:spacing w:after="0"/>
            </w:pPr>
            <w:r>
              <w:t>1</w:t>
            </w:r>
          </w:p>
        </w:tc>
      </w:tr>
      <w:tr w:rsidR="00B47D9D" w14:paraId="3485F0AB" w14:textId="77777777" w:rsidTr="00024366">
        <w:tc>
          <w:tcPr>
            <w:tcW w:w="3116" w:type="dxa"/>
          </w:tcPr>
          <w:p w14:paraId="35104C40" w14:textId="77777777" w:rsidR="00B47D9D" w:rsidRDefault="00B47D9D" w:rsidP="00B255B1">
            <w:pPr>
              <w:spacing w:after="0"/>
            </w:pPr>
            <w:r>
              <w:t>BAA 1</w:t>
            </w:r>
          </w:p>
        </w:tc>
        <w:tc>
          <w:tcPr>
            <w:tcW w:w="3117" w:type="dxa"/>
          </w:tcPr>
          <w:p w14:paraId="4D4A1003" w14:textId="77777777" w:rsidR="00B47D9D" w:rsidRDefault="00B47D9D" w:rsidP="00B255B1">
            <w:pPr>
              <w:spacing w:after="0"/>
            </w:pPr>
            <w:r>
              <w:t>Tie 1-EIM transfer: ETSR (BAA 1)</w:t>
            </w:r>
          </w:p>
        </w:tc>
        <w:tc>
          <w:tcPr>
            <w:tcW w:w="3117" w:type="dxa"/>
          </w:tcPr>
          <w:p w14:paraId="2D5517FC" w14:textId="77777777" w:rsidR="00B47D9D" w:rsidRDefault="00B47D9D" w:rsidP="00B255B1">
            <w:pPr>
              <w:spacing w:after="0"/>
            </w:pPr>
            <w:r>
              <w:t>0.5</w:t>
            </w:r>
          </w:p>
        </w:tc>
      </w:tr>
      <w:tr w:rsidR="00B47D9D" w14:paraId="43CD4584" w14:textId="77777777" w:rsidTr="00024366">
        <w:tc>
          <w:tcPr>
            <w:tcW w:w="3116" w:type="dxa"/>
          </w:tcPr>
          <w:p w14:paraId="116EACF6" w14:textId="77777777" w:rsidR="00B47D9D" w:rsidRDefault="00B47D9D" w:rsidP="00B255B1">
            <w:pPr>
              <w:spacing w:after="0"/>
            </w:pPr>
            <w:r>
              <w:t>BAA 2</w:t>
            </w:r>
          </w:p>
        </w:tc>
        <w:tc>
          <w:tcPr>
            <w:tcW w:w="3117" w:type="dxa"/>
          </w:tcPr>
          <w:p w14:paraId="5DEE0EDD" w14:textId="636C2A4B" w:rsidR="00B47D9D" w:rsidRDefault="00B47D9D" w:rsidP="00B255B1">
            <w:pPr>
              <w:spacing w:after="0"/>
            </w:pPr>
            <w:r>
              <w:t>Tie 1- EIM transfer ETSR (BAA</w:t>
            </w:r>
            <w:r w:rsidR="002A1EF4">
              <w:t xml:space="preserve"> </w:t>
            </w:r>
            <w:r>
              <w:t>2)</w:t>
            </w:r>
          </w:p>
        </w:tc>
        <w:tc>
          <w:tcPr>
            <w:tcW w:w="3117" w:type="dxa"/>
          </w:tcPr>
          <w:p w14:paraId="10BD28A7" w14:textId="77777777" w:rsidR="00B47D9D" w:rsidRDefault="00B47D9D" w:rsidP="00B255B1">
            <w:pPr>
              <w:spacing w:after="0"/>
            </w:pPr>
            <w:r>
              <w:t>0.5</w:t>
            </w:r>
          </w:p>
        </w:tc>
      </w:tr>
    </w:tbl>
    <w:p w14:paraId="3E65E2E2" w14:textId="4A0E0890" w:rsidR="009839BA" w:rsidRDefault="009839BA" w:rsidP="009839BA">
      <w:pPr>
        <w:pStyle w:val="Paragraph"/>
      </w:pPr>
      <w:r>
        <w:t xml:space="preserve">For transmission constraints that do not affect </w:t>
      </w:r>
      <w:r w:rsidR="00035DAF">
        <w:t xml:space="preserve">energy </w:t>
      </w:r>
      <w:r>
        <w:t>transfers (</w:t>
      </w:r>
      <w:r w:rsidR="00035DAF">
        <w:t xml:space="preserve">generic transmission constraint </w:t>
      </w:r>
      <w:r w:rsidR="00035DAF" w:rsidRPr="00B255B1">
        <w:rPr>
          <w:i/>
        </w:rPr>
        <w:t>m</w:t>
      </w:r>
      <w:r>
        <w:t>), the congestion revenue is allocated as follows:</w:t>
      </w:r>
    </w:p>
    <w:p w14:paraId="65BDDEFA" w14:textId="77777777" w:rsidR="009839BA" w:rsidRDefault="00AE7E55" w:rsidP="009839BA">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m</m:t>
                  </m:r>
                </m:sub>
              </m:sSub>
            </m:e>
          </m:nary>
          <m:r>
            <w:rPr>
              <w:rFonts w:ascii="Cambria Math" w:hAnsi="Cambria Math"/>
            </w:rPr>
            <m:t>,  ∀m</m:t>
          </m:r>
        </m:oMath>
      </m:oMathPara>
    </w:p>
    <w:p w14:paraId="402005B8" w14:textId="77777777" w:rsidR="009839BA" w:rsidRDefault="009839BA" w:rsidP="009839BA">
      <w:pPr>
        <w:pStyle w:val="Paragraph"/>
      </w:pPr>
      <w:r>
        <w:t>Where:</w:t>
      </w:r>
    </w:p>
    <w:p w14:paraId="27884913" w14:textId="77777777" w:rsidR="009839BA" w:rsidRDefault="00AE7E55" w:rsidP="009839BA">
      <w:pPr>
        <w:pStyle w:val="Equation"/>
      </w:pPr>
      <m:oMathPara>
        <m:oMath>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m,r</m:t>
                  </m:r>
                </m:sub>
              </m:sSub>
            </m:e>
          </m:nary>
          <m:r>
            <w:rPr>
              <w:rFonts w:ascii="Cambria Math" w:hAnsi="Cambria Math"/>
            </w:rPr>
            <m:t>=1,  ∀m</m:t>
          </m:r>
        </m:oMath>
      </m:oMathPara>
    </w:p>
    <w:p w14:paraId="32682097" w14:textId="77777777" w:rsidR="009839BA" w:rsidRDefault="009839BA" w:rsidP="009839BA">
      <w:pPr>
        <w:pStyle w:val="Paragraph"/>
      </w:pPr>
      <w:r>
        <w:t>This is accomplished by decomposing the corresponding MCC contributions using the congestion revenue distribution factors, as follows:</w:t>
      </w:r>
    </w:p>
    <w:p w14:paraId="5FB70DA8" w14:textId="77777777" w:rsidR="009839BA" w:rsidRDefault="009839BA" w:rsidP="009839BA">
      <w:pPr>
        <w:pStyle w:val="Equation"/>
      </w:pPr>
      <m:oMathPara>
        <m:oMath>
          <m:r>
            <w:rPr>
              <w:rFonts w:ascii="Cambria Math" w:hAnsi="Cambria Math"/>
            </w:rPr>
            <w:lastRenderedPageBreak/>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nary>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r>
            <m:rPr>
              <m:sty m:val="p"/>
            </m:rPr>
            <w:br/>
          </m:r>
        </m:oMath>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0C93C6D8" w14:textId="67F98367" w:rsidR="009839BA" w:rsidRDefault="009839BA" w:rsidP="009839BA">
      <w:pPr>
        <w:pStyle w:val="Paragraph"/>
      </w:pPr>
      <w:r>
        <w:t>This is equivalent to distributing the transmission constraint shadow price across BAAs in the EIM Area. Typically, the congestion revenue distribution factors for these constraints allocate the congestion revenue 100% to a single BAA, the one the constraint resides in, or if it is an intertie constraint, the BAA at the sending end of the intertie definition.</w:t>
      </w:r>
      <w:r w:rsidR="009D1307">
        <w:t xml:space="preserve"> If the constraint is </w:t>
      </w:r>
      <w:r w:rsidR="00B255B1">
        <w:t xml:space="preserve">located in </w:t>
      </w:r>
      <w:r w:rsidR="009D1307">
        <w:t xml:space="preserve">a non-EIM BAA (e.g., Rate of Change constraints in BPAT), the </w:t>
      </w:r>
      <w:r w:rsidR="00E17342">
        <w:t xml:space="preserve">congestion revenue distribution factors for these constraints allocate the congestion revenue among the EIM </w:t>
      </w:r>
      <w:r w:rsidR="001D2CD7">
        <w:t xml:space="preserve">Area </w:t>
      </w:r>
      <w:r w:rsidR="00E17342">
        <w:t>BAAs</w:t>
      </w:r>
      <w:r w:rsidR="001D2CD7">
        <w:t xml:space="preserve"> responsible for the limits</w:t>
      </w:r>
      <w:r w:rsidR="00B255B1">
        <w:t>, which are generally BAAs</w:t>
      </w:r>
      <w:r w:rsidR="00E17342">
        <w:t xml:space="preserve"> that have </w:t>
      </w:r>
      <w:r w:rsidR="00B255B1">
        <w:t xml:space="preserve">made </w:t>
      </w:r>
      <w:r w:rsidR="00E17342">
        <w:t>transmission rights through the non-EIM BAA</w:t>
      </w:r>
      <w:r w:rsidR="00B255B1">
        <w:t xml:space="preserve"> available to the EIM model</w:t>
      </w:r>
      <w:r w:rsidR="00E17342">
        <w:t>.</w:t>
      </w:r>
    </w:p>
    <w:p w14:paraId="1C3FF3A9" w14:textId="77777777" w:rsidR="009839BA" w:rsidRDefault="009839BA" w:rsidP="009839BA">
      <w:pPr>
        <w:pStyle w:val="Paragraph"/>
      </w:pPr>
      <w:r>
        <w:t>This methodology can be extended to the shadow prices of the EIM transfer scheduling limits (</w:t>
      </w:r>
      <w:r w:rsidRPr="00E17250">
        <w:rPr>
          <w:i/>
        </w:rPr>
        <w:sym w:font="Symbol" w:char="F06E"/>
      </w:r>
      <w:r>
        <w:t xml:space="preserve"> or </w:t>
      </w:r>
      <w:r w:rsidRPr="00E17250">
        <w:rPr>
          <w:i/>
        </w:rPr>
        <w:sym w:font="Symbol" w:char="F078"/>
      </w:r>
      <w:r>
        <w:t>).</w:t>
      </w:r>
      <w:r w:rsidRPr="000E710B">
        <w:t xml:space="preserve"> </w:t>
      </w:r>
      <w:r>
        <w:t>The congestion revenue from the EIM transfer scheduling limits is allocated as follows:</w:t>
      </w:r>
    </w:p>
    <w:p w14:paraId="5C734DCB" w14:textId="77777777" w:rsidR="009839BA" w:rsidRDefault="00AE7E55" w:rsidP="009839BA">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Tj</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m:t>
          </m:r>
        </m:oMath>
      </m:oMathPara>
    </w:p>
    <w:p w14:paraId="4E7C55D0" w14:textId="77777777" w:rsidR="009839BA" w:rsidRDefault="009839BA" w:rsidP="009839BA">
      <w:pPr>
        <w:pStyle w:val="Paragraph"/>
      </w:pPr>
      <w:r>
        <w:t>Where:</w:t>
      </w:r>
    </w:p>
    <w:p w14:paraId="12F4EA13" w14:textId="77777777" w:rsidR="009839BA" w:rsidRDefault="00AE7E55" w:rsidP="009839BA">
      <w:pPr>
        <w:pStyle w:val="Equation"/>
      </w:pPr>
      <m:oMathPara>
        <m:oMath>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e>
          </m:nary>
          <m:r>
            <w:rPr>
              <w:rFonts w:ascii="Cambria Math" w:hAnsi="Cambria Math"/>
            </w:rPr>
            <m:t>=1,  ∀j</m:t>
          </m:r>
          <m:r>
            <m:rPr>
              <m:sty m:val="p"/>
            </m:rPr>
            <w:rPr>
              <w:rFonts w:ascii="Cambria Math" w:hAnsi="Cambria Math"/>
            </w:rPr>
            <m:t>∈</m:t>
          </m:r>
          <m:r>
            <w:rPr>
              <w:rFonts w:ascii="Cambria Math" w:hAnsi="Cambria Math"/>
            </w:rPr>
            <m:t>EIM∧j&gt;0</m:t>
          </m:r>
        </m:oMath>
      </m:oMathPara>
    </w:p>
    <w:p w14:paraId="58C4A8C0" w14:textId="77777777" w:rsidR="009839BA" w:rsidRDefault="009839BA" w:rsidP="009839BA">
      <w:pPr>
        <w:pStyle w:val="Paragraph"/>
      </w:pPr>
      <w:r>
        <w:t>This is accomplished by decomposing the corresponding MCC contributions using the congestion revenue distribution factors, as follows:</w:t>
      </w:r>
    </w:p>
    <w:p w14:paraId="0B8AC364" w14:textId="77777777" w:rsidR="009839BA" w:rsidRDefault="009839BA" w:rsidP="009839BA">
      <w:pPr>
        <w:pStyle w:val="Equation"/>
      </w:pPr>
      <m:oMathPara>
        <m:oMath>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m:t>
          </m:r>
        </m:oMath>
      </m:oMathPara>
    </w:p>
    <w:p w14:paraId="65768D8C" w14:textId="48DA36B6" w:rsidR="009839BA" w:rsidRDefault="00FD5ED6" w:rsidP="009839BA">
      <w:pPr>
        <w:pStyle w:val="Paragraph"/>
      </w:pPr>
      <w:r>
        <w:t>T</w:t>
      </w:r>
      <w:r w:rsidR="009839BA">
        <w:t>he congestion revenue distribution factors for these constraints allocate the congestion revenue 100% to the BAA for which the constraint is formulated:</w:t>
      </w:r>
    </w:p>
    <w:p w14:paraId="102112DF" w14:textId="77777777" w:rsidR="009839BA" w:rsidRDefault="00AE7E55" w:rsidP="009839BA">
      <w:pPr>
        <w:pStyle w:val="Equation"/>
      </w:pPr>
      <m:oMathPara>
        <m:oMath>
          <m:d>
            <m:dPr>
              <m:begChr m:val=""/>
              <m:endChr m:val="}"/>
              <m:ctrlPr>
                <w:rPr>
                  <w:rFonts w:ascii="Cambria Math" w:hAnsi="Cambria Math"/>
                  <w:i/>
                </w:rPr>
              </m:ctrlPr>
            </m:dPr>
            <m:e>
              <m:m>
                <m:mPr>
                  <m:mcs>
                    <m:mc>
                      <m:mcPr>
                        <m:count m:val="1"/>
                        <m:mcJc m:val="center"/>
                      </m:mcPr>
                    </m:mc>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=1</m:t>
                    </m:r>
                  </m:e>
                  <m:e>
                    <m:r>
                      <w:rPr>
                        <w:rFonts w:ascii="Cambria Math" w:hAnsi="Cambria Math"/>
                      </w:rPr>
                      <m:t>∴r=j</m:t>
                    </m:r>
                  </m:e>
                </m:mr>
                <m:mr>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=0</m:t>
                    </m:r>
                  </m:e>
                  <m:e>
                    <m:r>
                      <w:rPr>
                        <w:rFonts w:ascii="Cambria Math" w:hAnsi="Cambria Math"/>
                      </w:rPr>
                      <m:t>∴r≠j</m:t>
                    </m:r>
                  </m:e>
                </m:mr>
              </m:m>
            </m:e>
          </m:d>
          <m:r>
            <w:rPr>
              <w:rFonts w:ascii="Cambria Math" w:hAnsi="Cambria Math"/>
            </w:rPr>
            <m:t>,  ∀j</m:t>
          </m:r>
          <m:r>
            <m:rPr>
              <m:sty m:val="p"/>
            </m:rPr>
            <w:rPr>
              <w:rFonts w:ascii="Cambria Math" w:hAnsi="Cambria Math"/>
            </w:rPr>
            <m:t>∈</m:t>
          </m:r>
          <m:r>
            <w:rPr>
              <w:rFonts w:ascii="Cambria Math" w:hAnsi="Cambria Math"/>
            </w:rPr>
            <m:t>EIM∧j&gt;0</m:t>
          </m:r>
        </m:oMath>
      </m:oMathPara>
    </w:p>
    <w:p w14:paraId="3547BCCA" w14:textId="49B4D5DC" w:rsidR="00FD5ED6" w:rsidRDefault="00FD5ED6" w:rsidP="009839BA">
      <w:pPr>
        <w:pStyle w:val="Paragraph"/>
      </w:pPr>
      <w:r>
        <w:lastRenderedPageBreak/>
        <w:t>MCC contributions from FRP requirement constraints</w:t>
      </w:r>
      <w:r w:rsidR="00123564">
        <w:t xml:space="preserve"> for specific BAAs (due to the dependency on the available net import/export capability)</w:t>
      </w:r>
      <w:r w:rsidR="000C0DDC">
        <w:t xml:space="preserve"> are similarly distributed 100% to the BAA for which the constraint is formulated.</w:t>
      </w:r>
    </w:p>
    <w:p w14:paraId="5FDDB4C6" w14:textId="0C982DF3" w:rsidR="009839BA" w:rsidRDefault="009839BA" w:rsidP="009839BA">
      <w:pPr>
        <w:pStyle w:val="Paragraph"/>
      </w:pPr>
      <w:r>
        <w:t>The only remaining MCC component after the allocation of the shadow prices of generic transmission constraints (</w:t>
      </w:r>
      <w:r w:rsidRPr="00A65D19">
        <w:rPr>
          <w:i/>
        </w:rPr>
        <w:sym w:font="Symbol" w:char="F06D"/>
      </w:r>
      <w:r>
        <w:t>)</w:t>
      </w:r>
      <w:r w:rsidR="00D06167">
        <w:t xml:space="preserve">, </w:t>
      </w:r>
      <w:r>
        <w:t>EIM transfer scheduling limits (</w:t>
      </w:r>
      <w:r w:rsidRPr="00E17250">
        <w:rPr>
          <w:i/>
        </w:rPr>
        <w:sym w:font="Symbol" w:char="F06E"/>
      </w:r>
      <w:r>
        <w:t xml:space="preserve"> or </w:t>
      </w:r>
      <w:r w:rsidRPr="00E17250">
        <w:rPr>
          <w:i/>
        </w:rPr>
        <w:sym w:font="Symbol" w:char="F078"/>
      </w:r>
      <w:r>
        <w:t>)</w:t>
      </w:r>
      <w:r w:rsidR="00D06167">
        <w:t>, and FRP requirement constraints,</w:t>
      </w:r>
      <w:r>
        <w:t xml:space="preserve"> is the shadow price of the EIM transfer distribution constraint (</w:t>
      </w:r>
      <w:r w:rsidRPr="0000273E">
        <w:rPr>
          <w:i/>
        </w:rPr>
        <w:sym w:font="Symbol" w:char="F06A"/>
      </w:r>
      <w:r>
        <w:t xml:space="preserve">). </w:t>
      </w:r>
      <w:r w:rsidR="00D379A1">
        <w:t>T</w:t>
      </w:r>
      <w:r>
        <w:t>he same allocation process</w:t>
      </w:r>
      <w:r w:rsidR="00D379A1">
        <w:t xml:space="preserve"> is used</w:t>
      </w:r>
      <w:r>
        <w:t xml:space="preserve">, but instead of allocating the congestion revenue at the BAA level, the allocation </w:t>
      </w:r>
      <w:r w:rsidR="00D379A1">
        <w:t xml:space="preserve">is performed </w:t>
      </w:r>
      <w:r>
        <w:t xml:space="preserve">for each BAA intertie instead. The congestion revenue collected at the BAA level through </w:t>
      </w:r>
      <w:r w:rsidRPr="0000273E">
        <w:rPr>
          <w:i/>
        </w:rPr>
        <w:sym w:font="Symbol" w:char="F06A"/>
      </w:r>
      <w:r>
        <w:t xml:space="preserve"> is equal overall to the congestion revenue collected from each intertie with ETSRs due to the ETSR transmission cost (</w:t>
      </w:r>
      <w:r w:rsidRPr="00713CD5">
        <w:rPr>
          <w:i/>
        </w:rPr>
        <w:t>CT</w:t>
      </w:r>
      <w:r>
        <w:t>), the shadow price of the ETSR schedule limit (</w:t>
      </w:r>
      <w:r>
        <w:rPr>
          <w:i/>
        </w:rPr>
        <w:sym w:font="Symbol" w:char="F072"/>
      </w:r>
      <w:r>
        <w:t xml:space="preserve"> or </w:t>
      </w:r>
      <w:r>
        <w:rPr>
          <w:i/>
        </w:rPr>
        <w:sym w:font="Symbol" w:char="F073"/>
      </w:r>
      <w:r>
        <w:t>), and the intertie scheduling limit</w:t>
      </w:r>
      <w:r w:rsidR="00B43647">
        <w:t xml:space="preserve"> (ISL or ITC)</w:t>
      </w:r>
      <w:r>
        <w:t xml:space="preserve"> shadow price (</w:t>
      </w:r>
      <w:r>
        <w:rPr>
          <w:i/>
        </w:rPr>
        <w:sym w:font="Symbol" w:char="F068"/>
      </w:r>
      <w:r>
        <w:t xml:space="preserve"> or </w:t>
      </w:r>
      <w:r>
        <w:rPr>
          <w:i/>
        </w:rPr>
        <w:sym w:font="Symbol" w:char="F07A"/>
      </w:r>
      <w:r>
        <w:t>).</w:t>
      </w:r>
    </w:p>
    <w:p w14:paraId="0D6E0C03" w14:textId="1570A499" w:rsidR="001A4653" w:rsidRDefault="00AE7E55" w:rsidP="009839BA">
      <w:pPr>
        <w:pStyle w:val="Paragraph"/>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sSub>
                    <m:sSubPr>
                      <m:ctrlPr>
                        <w:rPr>
                          <w:rFonts w:ascii="Cambria Math" w:hAnsi="Cambria Math"/>
                          <w:i/>
                        </w:rPr>
                      </m:ctrlPr>
                    </m:sSubPr>
                    <m:e>
                      <m:r>
                        <w:rPr>
                          <w:rFonts w:ascii="Cambria Math" w:hAnsi="Cambria Math"/>
                        </w:rPr>
                        <m:t>R</m:t>
                      </m:r>
                    </m:e>
                    <m:sub>
                      <m:r>
                        <w:rPr>
                          <w:rFonts w:ascii="Cambria Math" w:hAnsi="Cambria Math"/>
                        </w:rPr>
                        <m:t>j,k,l</m:t>
                      </m:r>
                    </m:sub>
                  </m:sSub>
                </m:e>
              </m:nary>
            </m:e>
          </m:nary>
        </m:oMath>
      </m:oMathPara>
    </w:p>
    <w:p w14:paraId="216AEBE2" w14:textId="2BF4E218" w:rsidR="00641A10" w:rsidRDefault="00880DC4" w:rsidP="00641A10">
      <w:pPr>
        <w:pStyle w:val="Paragraph"/>
      </w:pPr>
      <w:r>
        <w:t>T</w:t>
      </w:r>
      <w:r w:rsidR="00641A10">
        <w:t>he congestion revenue from each ETSR (</w:t>
      </w:r>
      <m:oMath>
        <m:sSub>
          <m:sSubPr>
            <m:ctrlPr>
              <w:rPr>
                <w:rFonts w:ascii="Cambria Math" w:hAnsi="Cambria Math"/>
                <w:i/>
              </w:rPr>
            </m:ctrlPr>
          </m:sSubPr>
          <m:e>
            <m:r>
              <w:rPr>
                <w:rFonts w:ascii="Cambria Math" w:hAnsi="Cambria Math"/>
              </w:rPr>
              <m:t>R</m:t>
            </m:r>
          </m:e>
          <m:sub>
            <m:r>
              <w:rPr>
                <w:rFonts w:ascii="Cambria Math" w:hAnsi="Cambria Math"/>
              </w:rPr>
              <m:t>j,k,l</m:t>
            </m:r>
          </m:sub>
        </m:sSub>
      </m:oMath>
      <w:r w:rsidR="00641A10">
        <w:t xml:space="preserve">) </w:t>
      </w:r>
      <w:r>
        <w:t xml:space="preserve">can be separated </w:t>
      </w:r>
      <w:r w:rsidR="00641A10">
        <w:t>to its contributions from the ETSR transmission cost (</w:t>
      </w:r>
      <w:r w:rsidR="00641A10" w:rsidRPr="00713CD5">
        <w:rPr>
          <w:i/>
        </w:rPr>
        <w:t>CT</w:t>
      </w:r>
      <w:r w:rsidR="00641A10">
        <w:t>), the shadow price of the ETSR schedule limit (</w:t>
      </w:r>
      <w:r w:rsidR="00641A10">
        <w:rPr>
          <w:i/>
        </w:rPr>
        <w:sym w:font="Symbol" w:char="F072"/>
      </w:r>
      <w:r w:rsidR="00641A10">
        <w:t xml:space="preserve"> or </w:t>
      </w:r>
      <w:r w:rsidR="00641A10">
        <w:rPr>
          <w:i/>
        </w:rPr>
        <w:sym w:font="Symbol" w:char="F073"/>
      </w:r>
      <w:r w:rsidR="00641A10">
        <w:t>), and the intertie scheduling limit shadow price (</w:t>
      </w:r>
      <w:r w:rsidR="00641A10">
        <w:rPr>
          <w:i/>
        </w:rPr>
        <w:sym w:font="Symbol" w:char="F068"/>
      </w:r>
      <w:r w:rsidR="00641A10">
        <w:t xml:space="preserve"> or </w:t>
      </w:r>
      <w:r w:rsidR="00641A10">
        <w:rPr>
          <w:i/>
        </w:rPr>
        <w:sym w:font="Symbol" w:char="F07A"/>
      </w:r>
      <w:r w:rsidR="00641A10">
        <w:t>) as follows:</w:t>
      </w:r>
    </w:p>
    <w:p w14:paraId="1DE80389" w14:textId="77777777" w:rsidR="00641A10" w:rsidRPr="00176726" w:rsidRDefault="00AE7E55"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SLj,k,l</m:t>
                        </m:r>
                      </m:sub>
                    </m:sSub>
                  </m:e>
                </m:mr>
                <m:m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mr>
                <m:mr>
                  <m:e>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SLj,k,l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68DC6EB7" w14:textId="77777777" w:rsidR="00641A10" w:rsidRDefault="00641A10" w:rsidP="00641A10">
      <w:pPr>
        <w:pStyle w:val="Paragraph"/>
      </w:pPr>
      <w:r>
        <w:t>Each of these contributions can be distributed to BAAs in the EIM Area using configurable distribution factors as follows:</w:t>
      </w:r>
    </w:p>
    <w:p w14:paraId="6B905B6A" w14:textId="77777777" w:rsidR="00641A10" w:rsidRDefault="00AE7E55"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r>
                  <m:e>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r>
                  <m:e>
                    <m:sSub>
                      <m:sSubPr>
                        <m:ctrlPr>
                          <w:rPr>
                            <w:rFonts w:ascii="Cambria Math" w:hAnsi="Cambria Math"/>
                            <w:i/>
                          </w:rPr>
                        </m:ctrlPr>
                      </m:sSubPr>
                      <m:e>
                        <m:r>
                          <w:rPr>
                            <w:rFonts w:ascii="Cambria Math" w:hAnsi="Cambria Math"/>
                          </w:rPr>
                          <m:t>R</m:t>
                        </m:r>
                      </m:e>
                      <m:sub>
                        <m:r>
                          <w:rPr>
                            <w:rFonts w:ascii="Cambria Math" w:hAnsi="Cambria Math"/>
                          </w:rPr>
                          <m:t>SLj,k,l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1C0FD1CB" w14:textId="77777777" w:rsidR="00641A10" w:rsidRDefault="00641A10" w:rsidP="00641A10">
      <w:pPr>
        <w:pStyle w:val="Paragraph"/>
      </w:pPr>
      <w:r>
        <w:t>Where:</w:t>
      </w:r>
    </w:p>
    <w:p w14:paraId="25F01BF5" w14:textId="77777777" w:rsidR="00641A10" w:rsidRDefault="00AE7E55"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CTj,k,l,r</m:t>
                            </m:r>
                          </m:sub>
                        </m:sSub>
                      </m:e>
                    </m:nary>
                    <m:r>
                      <w:rPr>
                        <w:rFonts w:ascii="Cambria Math" w:hAnsi="Cambria Math"/>
                      </w:rPr>
                      <m:t>=1</m:t>
                    </m:r>
                  </m:e>
                </m:m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ETj,k,l,r</m:t>
                            </m:r>
                          </m:sub>
                        </m:sSub>
                      </m:e>
                    </m:nary>
                    <m:r>
                      <w:rPr>
                        <w:rFonts w:ascii="Cambria Math" w:hAnsi="Cambria Math"/>
                      </w:rPr>
                      <m:t>=1</m:t>
                    </m:r>
                  </m:e>
                </m:m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SLj,k,l,r</m:t>
                            </m:r>
                          </m:sub>
                        </m:sSub>
                      </m:e>
                    </m:nary>
                    <m:r>
                      <w:rPr>
                        <w:rFonts w:ascii="Cambria Math" w:hAnsi="Cambria Math"/>
                      </w:rPr>
                      <m:t>=1</m:t>
                    </m:r>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33BDE27E" w14:textId="1CEB6F34" w:rsidR="002A168E" w:rsidRDefault="004E4871" w:rsidP="00912DDD">
      <w:pPr>
        <w:pStyle w:val="Paragraph"/>
      </w:pPr>
      <w:r>
        <w:t>The congestion distribution factors for the ETSR transmission cost (</w:t>
      </w:r>
      <m:oMath>
        <m:sSub>
          <m:sSubPr>
            <m:ctrlPr>
              <w:rPr>
                <w:rFonts w:ascii="Cambria Math" w:hAnsi="Cambria Math"/>
                <w:i/>
              </w:rPr>
            </m:ctrlPr>
          </m:sSubPr>
          <m:e>
            <m:r>
              <w:rPr>
                <w:rFonts w:ascii="Cambria Math" w:hAnsi="Cambria Math"/>
              </w:rPr>
              <m:t>f</m:t>
            </m:r>
          </m:e>
          <m:sub>
            <m:r>
              <w:rPr>
                <w:rFonts w:ascii="Cambria Math" w:hAnsi="Cambria Math"/>
              </w:rPr>
              <m:t>CTj,k,l,r</m:t>
            </m:r>
          </m:sub>
        </m:sSub>
      </m:oMath>
      <w:r>
        <w:t xml:space="preserve">) are </w:t>
      </w:r>
      <w:r w:rsidR="00450CA3">
        <w:t xml:space="preserve">set to 50% for each of the two BAAs </w:t>
      </w:r>
      <w:r w:rsidR="002A3D5D">
        <w:t>of the</w:t>
      </w:r>
      <w:r w:rsidR="00450CA3">
        <w:t xml:space="preserve"> associated </w:t>
      </w:r>
      <w:r w:rsidR="002A3D5D">
        <w:t xml:space="preserve">ETSR. The congestion distribution factors for the ETSR </w:t>
      </w:r>
      <w:r w:rsidR="001B2A2C">
        <w:t>scheduling limits</w:t>
      </w:r>
      <w:r w:rsidR="002A3D5D">
        <w:t xml:space="preserve"> (</w:t>
      </w:r>
      <m:oMath>
        <m:sSub>
          <m:sSubPr>
            <m:ctrlPr>
              <w:rPr>
                <w:rFonts w:ascii="Cambria Math" w:hAnsi="Cambria Math"/>
                <w:i/>
              </w:rPr>
            </m:ctrlPr>
          </m:sSubPr>
          <m:e>
            <m:r>
              <w:rPr>
                <w:rFonts w:ascii="Cambria Math" w:hAnsi="Cambria Math"/>
              </w:rPr>
              <m:t>f</m:t>
            </m:r>
          </m:e>
          <m:sub>
            <m:r>
              <w:rPr>
                <w:rFonts w:ascii="Cambria Math" w:hAnsi="Cambria Math"/>
              </w:rPr>
              <m:t>ETj,k,l,r</m:t>
            </m:r>
          </m:sub>
        </m:sSub>
      </m:oMath>
      <w:r w:rsidR="002A3D5D">
        <w:t>) are set to</w:t>
      </w:r>
      <w:r w:rsidR="008508DA">
        <w:t xml:space="preserve"> 50%</w:t>
      </w:r>
      <w:r w:rsidR="008508DA" w:rsidRPr="008508DA">
        <w:t xml:space="preserve"> </w:t>
      </w:r>
      <w:r w:rsidR="008508DA">
        <w:t xml:space="preserve">for each of the two BAAs of the associated ETSR if they have transmission rights through </w:t>
      </w:r>
      <w:r w:rsidR="000E563F">
        <w:t>the intertie (typical case for ETSRs between EIM BAAs)</w:t>
      </w:r>
      <w:r w:rsidR="00CB6ECE">
        <w:t xml:space="preserve">, or 100% to the BAA that has transmission rights to, but not through, the intertie (typical case for ETSRs between </w:t>
      </w:r>
      <w:r w:rsidR="00A16D58">
        <w:t>an EIM BAA and the CISO).</w:t>
      </w:r>
      <w:r w:rsidR="00A16D58" w:rsidRPr="00A16D58">
        <w:t xml:space="preserve"> </w:t>
      </w:r>
      <w:r w:rsidR="00A16D58">
        <w:t>The congestion distribution factors for the intertie scheduling limit (ISL or ITC) (</w:t>
      </w:r>
      <m:oMath>
        <m:sSub>
          <m:sSubPr>
            <m:ctrlPr>
              <w:rPr>
                <w:rFonts w:ascii="Cambria Math" w:hAnsi="Cambria Math"/>
                <w:i/>
              </w:rPr>
            </m:ctrlPr>
          </m:sSubPr>
          <m:e>
            <m:r>
              <w:rPr>
                <w:rFonts w:ascii="Cambria Math" w:hAnsi="Cambria Math"/>
              </w:rPr>
              <m:t>f</m:t>
            </m:r>
          </m:e>
          <m:sub>
            <m:r>
              <w:rPr>
                <w:rFonts w:ascii="Cambria Math" w:hAnsi="Cambria Math"/>
              </w:rPr>
              <m:t>SLj,k,l,r</m:t>
            </m:r>
          </m:sub>
        </m:sSub>
      </m:oMath>
      <w:r w:rsidR="00A16D58">
        <w:t>) are set to</w:t>
      </w:r>
      <w:r w:rsidR="00CD09B0">
        <w:t xml:space="preserve"> 100% for the BAA that manages the limit.</w:t>
      </w:r>
    </w:p>
    <w:p w14:paraId="7384FE15" w14:textId="66BE2049" w:rsidR="00912DDD" w:rsidRDefault="00CD09B0" w:rsidP="00912DDD">
      <w:pPr>
        <w:pStyle w:val="Paragraph"/>
      </w:pPr>
      <w:r>
        <w:t>T</w:t>
      </w:r>
      <w:r w:rsidR="00912DDD">
        <w:t>he total congestion revenue from all interties can be distributed to the BAAs in the EIM Area as follows:</w:t>
      </w:r>
    </w:p>
    <w:p w14:paraId="50146011" w14:textId="77777777" w:rsidR="00912DDD" w:rsidRDefault="00AE7E55" w:rsidP="00912DDD">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R</m:t>
                  </m:r>
                </m:e>
                <m:sub>
                  <m:r>
                    <w:rPr>
                      <w:rFonts w:ascii="Cambria Math" w:hAnsi="Cambria Math"/>
                    </w:rPr>
                    <m:t>Dr</m:t>
                  </m:r>
                </m:sub>
              </m:sSub>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sSub>
                    <m:sSubPr>
                      <m:ctrlPr>
                        <w:rPr>
                          <w:rFonts w:ascii="Cambria Math" w:hAnsi="Cambria Math"/>
                          <w:i/>
                        </w:rPr>
                      </m:ctrlPr>
                    </m:sSubPr>
                    <m:e>
                      <m:r>
                        <w:rPr>
                          <w:rFonts w:ascii="Cambria Math" w:hAnsi="Cambria Math"/>
                        </w:rPr>
                        <m:t>R</m:t>
                      </m:r>
                    </m:e>
                    <m:sub>
                      <m:r>
                        <w:rPr>
                          <w:rFonts w:ascii="Cambria Math" w:hAnsi="Cambria Math"/>
                        </w:rPr>
                        <m:t>j,k,l</m:t>
                      </m:r>
                    </m:sub>
                  </m:sSub>
                </m:e>
              </m:nary>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SLj,k,l</m:t>
                          </m:r>
                        </m:sub>
                      </m:sSub>
                    </m:e>
                  </m:d>
                </m:e>
              </m:nary>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nary>
                    <m:naryPr>
                      <m:chr m:val="∑"/>
                      <m:limLoc m:val="undOvr"/>
                      <m:supHide m:val="1"/>
                      <m:ctrlPr>
                        <w:rPr>
                          <w:rFonts w:ascii="Cambria Math" w:hAnsi="Cambria Math"/>
                          <w:i/>
                        </w:rPr>
                      </m:ctrlPr>
                    </m:naryPr>
                    <m:sub>
                      <m:r>
                        <w:rPr>
                          <w:rFonts w:ascii="Cambria Math" w:hAnsi="Cambria Math"/>
                        </w:rPr>
                        <m:t>r∈EIM</m:t>
                      </m:r>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e>
          </m:nary>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R</m:t>
              </m:r>
            </m:e>
            <m:sub>
              <m:r>
                <w:rPr>
                  <w:rFonts w:ascii="Cambria Math" w:hAnsi="Cambria Math"/>
                </w:rPr>
                <m:t>Dr</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r>
            <w:rPr>
              <w:rFonts w:ascii="Cambria Math" w:hAnsi="Cambria Math"/>
            </w:rPr>
            <m:t xml:space="preserve">,  </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EIM</m:t>
          </m:r>
        </m:oMath>
      </m:oMathPara>
    </w:p>
    <w:p w14:paraId="38B65081" w14:textId="77777777" w:rsidR="00912DDD" w:rsidRDefault="00912DDD" w:rsidP="00912DDD">
      <w:pPr>
        <w:pStyle w:val="Paragraph"/>
      </w:pPr>
      <w:r>
        <w:lastRenderedPageBreak/>
        <w:t>Therefore, all shadow prices of the EIM Transfer distribution constraints can be decomposed to BAA contributions using a global distribution vector as follows:</w:t>
      </w:r>
    </w:p>
    <w:p w14:paraId="453B4705" w14:textId="77777777" w:rsidR="00912DDD" w:rsidRDefault="00AE7E55" w:rsidP="00912DDD">
      <w:pPr>
        <w:pStyle w:val="Equation"/>
      </w:pPr>
      <m:oMathPara>
        <m:oMath>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m:t>
          </m:r>
        </m:oMath>
      </m:oMathPara>
    </w:p>
    <w:p w14:paraId="0E2062B6" w14:textId="77777777" w:rsidR="00912DDD" w:rsidRDefault="00912DDD" w:rsidP="00912DDD">
      <w:pPr>
        <w:pStyle w:val="Paragraph"/>
      </w:pPr>
      <w:r>
        <w:t>Where:</w:t>
      </w:r>
    </w:p>
    <w:p w14:paraId="0B779612" w14:textId="77777777" w:rsidR="00912DDD" w:rsidRDefault="00AE7E55" w:rsidP="00912DDD">
      <w:pPr>
        <w:pStyle w:val="Equation"/>
      </w:pPr>
      <m:oMathPara>
        <m:oMath>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Dr</m:t>
                  </m:r>
                </m:sub>
              </m:sSub>
            </m:num>
            <m:den>
              <m:sSub>
                <m:sSubPr>
                  <m:ctrlPr>
                    <w:rPr>
                      <w:rFonts w:ascii="Cambria Math" w:hAnsi="Cambria Math"/>
                      <w:i/>
                    </w:rPr>
                  </m:ctrlPr>
                </m:sSubPr>
                <m:e>
                  <m:r>
                    <w:rPr>
                      <w:rFonts w:ascii="Cambria Math" w:hAnsi="Cambria Math"/>
                    </w:rPr>
                    <m:t>R</m:t>
                  </m:r>
                </m:e>
                <m:sub>
                  <m:r>
                    <w:rPr>
                      <w:rFonts w:ascii="Cambria Math" w:hAnsi="Cambria Math"/>
                    </w:rPr>
                    <m:t>D</m:t>
                  </m:r>
                </m:sub>
              </m:sSub>
            </m:den>
          </m:f>
          <m:r>
            <w:rPr>
              <w:rFonts w:ascii="Cambria Math" w:hAnsi="Cambria Math"/>
            </w:rPr>
            <m:t xml:space="preserve">,  </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EIM</m:t>
          </m:r>
        </m:oMath>
      </m:oMathPara>
    </w:p>
    <w:p w14:paraId="05C4DBA0" w14:textId="77777777" w:rsidR="00912DDD" w:rsidRDefault="00912DDD" w:rsidP="00912DDD">
      <w:pPr>
        <w:pStyle w:val="Paragraph"/>
      </w:pPr>
      <w:r>
        <w:t>And:</w:t>
      </w:r>
    </w:p>
    <w:p w14:paraId="6C2A4D9B" w14:textId="77777777" w:rsidR="00912DDD" w:rsidRDefault="00AE7E55" w:rsidP="00912DDD">
      <w:pPr>
        <w:pStyle w:val="Equation"/>
      </w:pPr>
      <m:oMathPara>
        <m:oMath>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f</m:t>
                  </m:r>
                </m:e>
                <m:sub>
                  <m:r>
                    <w:rPr>
                      <w:rFonts w:ascii="Cambria Math" w:hAnsi="Cambria Math"/>
                    </w:rPr>
                    <m:t>Dr</m:t>
                  </m:r>
                </m:sub>
              </m:sSub>
            </m:e>
          </m:nary>
          <m:r>
            <w:rPr>
              <w:rFonts w:ascii="Cambria Math" w:hAnsi="Cambria Math"/>
            </w:rPr>
            <m:t>=1</m:t>
          </m:r>
        </m:oMath>
      </m:oMathPara>
    </w:p>
    <w:p w14:paraId="6029974A" w14:textId="77777777" w:rsidR="00F7494A" w:rsidRDefault="00F7494A" w:rsidP="00F7494A">
      <w:pPr>
        <w:pStyle w:val="Paragraph"/>
      </w:pPr>
      <w:r>
        <w:t>Finally, all BAA MCC contributions can be summed up to yield the MCC decomposition to BAA components:</w:t>
      </w:r>
    </w:p>
    <w:p w14:paraId="369DDB3C" w14:textId="7E0939B5" w:rsidR="00F7494A" w:rsidRPr="00B762F6" w:rsidRDefault="00AE7E55" w:rsidP="00F7494A">
      <w:pPr>
        <w:pStyle w:val="Equation"/>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MCC</m:t>
              </m:r>
            </m:e>
            <m:sub>
              <m:r>
                <w:rPr>
                  <w:rFonts w:ascii="Cambria Math" w:hAnsi="Cambria Math"/>
                </w:rPr>
                <m:t>i,r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i,r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0,k,l,r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m,n,0,k,l</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SL0,k,l,r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0,k,l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0,k,l</m:t>
                  </m:r>
                </m:sub>
              </m:sSub>
            </m:e>
          </m:d>
          <m:r>
            <w:rPr>
              <w:rFonts w:ascii="Cambria Math" w:hAnsi="Cambria Math"/>
            </w:rPr>
            <m:t xml:space="preserve">,  </m:t>
          </m:r>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j,k,l,r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30AA50D4" w14:textId="456D9F3A" w:rsidR="00B47D9D" w:rsidRDefault="002C3088" w:rsidP="00B47D9D">
      <w:pPr>
        <w:pStyle w:val="ListParagraph"/>
        <w:ind w:left="1440"/>
        <w:rPr>
          <w:rFonts w:eastAsiaTheme="minorEastAsia"/>
        </w:rPr>
      </w:pPr>
      <w:r>
        <w:t>Where the contributions from FRP requirement constraints are not shown for simplicity.</w:t>
      </w:r>
    </w:p>
    <w:p w14:paraId="10EB95FB" w14:textId="39BE0524" w:rsidR="00B47D9D" w:rsidRDefault="00B47D9D" w:rsidP="00B47D9D">
      <w:pPr>
        <w:pStyle w:val="BPM3"/>
      </w:pPr>
      <w:r w:rsidRPr="00C71D25">
        <w:rPr>
          <w:rFonts w:eastAsiaTheme="minorEastAsia"/>
        </w:rPr>
        <w:t xml:space="preserve">Marginal </w:t>
      </w:r>
      <w:r w:rsidR="000D3882">
        <w:rPr>
          <w:rFonts w:eastAsiaTheme="minorEastAsia"/>
        </w:rPr>
        <w:t>Cost of Losses</w:t>
      </w:r>
      <w:r w:rsidRPr="00C71D25">
        <w:rPr>
          <w:rFonts w:eastAsiaTheme="minorEastAsia"/>
        </w:rPr>
        <w:t xml:space="preserve"> (</w:t>
      </w:r>
      <w:r w:rsidR="00854973">
        <w:rPr>
          <w:rFonts w:eastAsiaTheme="minorEastAsia"/>
        </w:rPr>
        <w:t>MCL</w:t>
      </w:r>
      <w:r w:rsidRPr="00684F4A">
        <w:t xml:space="preserve"> </w:t>
      </w:r>
      <w:r>
        <w:t>)</w:t>
      </w:r>
    </w:p>
    <w:p w14:paraId="38E5842B" w14:textId="77777777" w:rsidR="00B47D9D" w:rsidRPr="005C423C" w:rsidRDefault="00B47D9D" w:rsidP="00B47D9D">
      <w:pPr>
        <w:rPr>
          <w:b/>
        </w:rPr>
      </w:pPr>
    </w:p>
    <w:p w14:paraId="580C321F" w14:textId="18299004" w:rsidR="00B47D9D" w:rsidRDefault="00B47D9D" w:rsidP="00B47D9D">
      <w:pPr>
        <w:pStyle w:val="ListParagraph"/>
        <w:ind w:left="1440"/>
        <w:rPr>
          <w:rFonts w:eastAsiaTheme="minorEastAsia"/>
        </w:rPr>
      </w:pPr>
      <w:r>
        <w:rPr>
          <w:rFonts w:eastAsiaTheme="minorEastAsia"/>
        </w:rPr>
        <w:t xml:space="preserve">Marginal </w:t>
      </w:r>
      <w:r w:rsidR="000D3882">
        <w:rPr>
          <w:rFonts w:eastAsiaTheme="minorEastAsia"/>
        </w:rPr>
        <w:t>Cost of Losses</w:t>
      </w:r>
      <w:r>
        <w:rPr>
          <w:rFonts w:eastAsiaTheme="minorEastAsia"/>
        </w:rPr>
        <w:t xml:space="preserve"> is a component of the Locational Marginal price that considers the System Marginal Energy Cost (SMEC), and the Loss Penalty Factor (LPF) at the PNode (Physical Node). The </w:t>
      </w:r>
      <w:r w:rsidR="00854973">
        <w:rPr>
          <w:rFonts w:eastAsiaTheme="minorEastAsia"/>
        </w:rPr>
        <w:t>MCL</w:t>
      </w:r>
      <w:r>
        <w:rPr>
          <w:rFonts w:eastAsiaTheme="minorEastAsia"/>
        </w:rPr>
        <w:t xml:space="preserve"> at a particular PNode may be positive or negative, depending on the submitted bids.  At a Particular PNode, the </w:t>
      </w:r>
      <w:r w:rsidR="00854973">
        <w:rPr>
          <w:rFonts w:eastAsiaTheme="minorEastAsia"/>
        </w:rPr>
        <w:t>MCL</w:t>
      </w:r>
      <w:r>
        <w:rPr>
          <w:rFonts w:eastAsiaTheme="minorEastAsia"/>
        </w:rPr>
        <w:t xml:space="preserve"> accounts for the real power marginal losses as measured between a CNode (Connection Node) and the distributed load reference. The LPF is derived by the market optimization software (IFM/RTM).</w:t>
      </w:r>
    </w:p>
    <w:p w14:paraId="66EBBA8F" w14:textId="77777777" w:rsidR="00B47D9D" w:rsidRDefault="00B47D9D" w:rsidP="00B47D9D">
      <w:pPr>
        <w:pStyle w:val="ListParagraph"/>
        <w:ind w:left="1440"/>
        <w:rPr>
          <w:rFonts w:eastAsiaTheme="minorEastAsia"/>
        </w:rPr>
      </w:pPr>
    </w:p>
    <w:p w14:paraId="7C60DDFB" w14:textId="0D86B849" w:rsidR="00B47D9D" w:rsidRDefault="00B47D9D" w:rsidP="00B47D9D">
      <w:pPr>
        <w:pStyle w:val="Heading5"/>
      </w:pPr>
      <w:r w:rsidRPr="00C71D25">
        <w:rPr>
          <w:rFonts w:eastAsiaTheme="minorEastAsia"/>
        </w:rPr>
        <w:t xml:space="preserve">Marginal </w:t>
      </w:r>
      <w:r w:rsidR="000D3882">
        <w:rPr>
          <w:rFonts w:eastAsiaTheme="minorEastAsia"/>
        </w:rPr>
        <w:t>Cost of Losses</w:t>
      </w:r>
      <w:r w:rsidRPr="00C71D25">
        <w:rPr>
          <w:rFonts w:eastAsiaTheme="minorEastAsia"/>
        </w:rPr>
        <w:t xml:space="preserve"> Decomposition as LMP Componen</w:t>
      </w:r>
      <w:r>
        <w:rPr>
          <w:rFonts w:eastAsiaTheme="minorEastAsia"/>
        </w:rPr>
        <w:t>t</w:t>
      </w:r>
    </w:p>
    <w:p w14:paraId="2B30E4D0" w14:textId="77777777" w:rsidR="00B47D9D" w:rsidRDefault="00B47D9D" w:rsidP="00B47D9D">
      <w:pPr>
        <w:pStyle w:val="ListParagraph"/>
        <w:ind w:left="0"/>
        <w:rPr>
          <w:rFonts w:eastAsiaTheme="minorEastAsia"/>
        </w:rPr>
      </w:pPr>
    </w:p>
    <w:p w14:paraId="0DC6D881" w14:textId="04586FF0" w:rsidR="00B47D9D" w:rsidRDefault="00B47D9D" w:rsidP="00B47D9D">
      <w:pPr>
        <w:pStyle w:val="ListParagraph"/>
        <w:ind w:left="1440"/>
        <w:rPr>
          <w:rFonts w:eastAsiaTheme="minorEastAsia"/>
        </w:rPr>
      </w:pPr>
      <w:r>
        <w:rPr>
          <w:rFonts w:eastAsiaTheme="minorEastAsia"/>
        </w:rPr>
        <w:t xml:space="preserve">The </w:t>
      </w:r>
      <w:r w:rsidR="00854973">
        <w:rPr>
          <w:rFonts w:eastAsiaTheme="minorEastAsia"/>
        </w:rPr>
        <w:t>MCL</w:t>
      </w:r>
      <w:r>
        <w:rPr>
          <w:rFonts w:eastAsiaTheme="minorEastAsia"/>
        </w:rPr>
        <w:t xml:space="preserve"> as a component of the LMP is calculated on the Node price and the SP-Tie Price. Mathematically expressed as below:</w:t>
      </w:r>
    </w:p>
    <w:p w14:paraId="206C97A5" w14:textId="77777777" w:rsidR="00B47D9D" w:rsidRDefault="00B47D9D" w:rsidP="00B47D9D">
      <w:pPr>
        <w:pStyle w:val="ListParagraph"/>
        <w:ind w:left="1440"/>
        <w:rPr>
          <w:rFonts w:eastAsiaTheme="minorEastAsia"/>
        </w:rPr>
      </w:pPr>
      <w:r>
        <w:rPr>
          <w:rFonts w:eastAsiaTheme="minorEastAsia"/>
        </w:rPr>
        <w:t>Node Price:</w:t>
      </w:r>
    </w:p>
    <w:p w14:paraId="01025310" w14:textId="4FCAEC21" w:rsidR="00B47D9D" w:rsidRPr="0063510A" w:rsidRDefault="00AE7E55" w:rsidP="00B47D9D">
      <w:pPr>
        <w:pStyle w:val="ListParagraph"/>
        <w:ind w:left="1440"/>
        <w:rPr>
          <w:rFonts w:eastAsiaTheme="minorEastAsia"/>
        </w:rPr>
      </w:pPr>
      <m:oMathPara>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=SMEC+</m:t>
          </m:r>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oMath>
      </m:oMathPara>
    </w:p>
    <w:p w14:paraId="5139302E" w14:textId="77777777" w:rsidR="00B47D9D" w:rsidRDefault="00B47D9D" w:rsidP="00B47D9D">
      <w:pPr>
        <w:pStyle w:val="ListParagraph"/>
        <w:ind w:left="1440"/>
        <w:rPr>
          <w:rFonts w:eastAsiaTheme="minorEastAsia"/>
        </w:rPr>
      </w:pPr>
    </w:p>
    <w:p w14:paraId="19FA245D" w14:textId="77777777" w:rsidR="00B47D9D" w:rsidRDefault="00B47D9D" w:rsidP="00B47D9D">
      <w:pPr>
        <w:pStyle w:val="ListParagraph"/>
        <w:ind w:left="1440"/>
        <w:rPr>
          <w:rFonts w:eastAsiaTheme="minorEastAsia"/>
        </w:rPr>
      </w:pPr>
      <w:r>
        <w:rPr>
          <w:rFonts w:eastAsiaTheme="minorEastAsia"/>
        </w:rPr>
        <w:t>SP-Tie Price:</w:t>
      </w:r>
    </w:p>
    <w:p w14:paraId="2C51C5F3" w14:textId="20F56EF0" w:rsidR="00B47D9D" w:rsidRDefault="00AE7E55" w:rsidP="00B47D9D">
      <w:pPr>
        <w:pStyle w:val="ListParagraph"/>
        <w:ind w:left="1440"/>
        <w:rPr>
          <w:rFonts w:eastAsiaTheme="minorEastAsia"/>
        </w:rPr>
      </w:pPr>
      <m:oMathPara>
        <m:oMathParaPr>
          <m:jc m:val="center"/>
        </m:oMathParaPr>
        <m:oMath>
          <m:sSub>
            <m:sSubPr>
              <m:ctrlPr>
                <w:rPr>
                  <w:rFonts w:ascii="Cambria Math" w:hAnsi="Cambria Math"/>
                  <w:i/>
                </w:rPr>
              </m:ctrlPr>
            </m:sSubPr>
            <m:e>
              <m:r>
                <w:rPr>
                  <w:rFonts w:ascii="Cambria Math" w:hAnsi="Cambria Math"/>
                </w:rPr>
                <m:t>LMP</m:t>
              </m:r>
            </m:e>
            <m:sub>
              <m:r>
                <w:rPr>
                  <w:rFonts w:ascii="Cambria Math" w:hAnsi="Cambria Math"/>
                </w:rPr>
                <m:t>j,k,l</m:t>
              </m:r>
            </m:sub>
          </m:sSub>
          <m:r>
            <w:rPr>
              <w:rFonts w:ascii="Cambria Math" w:hAnsi="Cambria Math"/>
            </w:rPr>
            <m:t>=SMEC+</m:t>
          </m:r>
          <m:sSub>
            <m:sSubPr>
              <m:ctrlPr>
                <w:rPr>
                  <w:rFonts w:ascii="Cambria Math" w:hAnsi="Cambria Math"/>
                  <w:i/>
                </w:rPr>
              </m:ctrlPr>
            </m:sSubPr>
            <m:e>
              <m:r>
                <w:rPr>
                  <w:rFonts w:ascii="Cambria Math" w:hAnsi="Cambria Math"/>
                </w:rPr>
                <m:t>MCL</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EIM∧k≠j∧l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r>
            <w:rPr>
              <w:rFonts w:ascii="Cambria Math" w:hAnsi="Cambria Math"/>
            </w:rPr>
            <m:t>SMEC=λ</m:t>
          </m:r>
          <m:r>
            <m:rPr>
              <m:sty m:val="p"/>
            </m:rPr>
            <w:rPr>
              <w:rFonts w:ascii="Cambria Math" w:hAnsi="Cambria Math"/>
            </w:rPr>
            <w:br/>
          </m:r>
        </m:oMath>
      </m:oMathPara>
    </w:p>
    <w:p w14:paraId="5823BDAA" w14:textId="02ADB07A" w:rsidR="00B47D9D" w:rsidRDefault="0026238F" w:rsidP="00B47D9D">
      <w:pPr>
        <w:pStyle w:val="ListParagraph"/>
        <w:numPr>
          <w:ilvl w:val="0"/>
          <w:numId w:val="254"/>
        </w:numPr>
        <w:contextualSpacing/>
        <w:rPr>
          <w:rFonts w:eastAsiaTheme="minorEastAsia"/>
        </w:rPr>
      </w:pPr>
      <w:r>
        <w:rPr>
          <w:rFonts w:eastAsiaTheme="minorEastAsia"/>
        </w:rPr>
        <w:t>CA</w:t>
      </w:r>
      <w:r w:rsidR="00B47D9D">
        <w:rPr>
          <w:rFonts w:eastAsiaTheme="minorEastAsia"/>
        </w:rPr>
        <w:t xml:space="preserve">ISO Nodal </w:t>
      </w:r>
      <w:r w:rsidR="00854973">
        <w:rPr>
          <w:rFonts w:eastAsiaTheme="minorEastAsia"/>
        </w:rPr>
        <w:t>MCL</w:t>
      </w:r>
      <w:r w:rsidR="00B47D9D">
        <w:rPr>
          <w:rFonts w:eastAsiaTheme="minorEastAsia"/>
        </w:rPr>
        <w:t xml:space="preserve"> Component</w:t>
      </w:r>
    </w:p>
    <w:p w14:paraId="6E2FFA0C" w14:textId="77777777" w:rsidR="00B47D9D" w:rsidRDefault="00B47D9D" w:rsidP="00B47D9D">
      <w:pPr>
        <w:pStyle w:val="ListParagraph"/>
        <w:ind w:left="1800"/>
        <w:rPr>
          <w:rFonts w:eastAsiaTheme="minorEastAsia"/>
        </w:rPr>
      </w:pPr>
    </w:p>
    <w:p w14:paraId="41988FA7" w14:textId="5C57F024" w:rsidR="00B47D9D" w:rsidRDefault="00B47D9D" w:rsidP="00B47D9D">
      <w:pPr>
        <w:pStyle w:val="ListParagraph"/>
        <w:ind w:left="1800"/>
        <w:rPr>
          <w:rFonts w:eastAsiaTheme="minorEastAsia"/>
        </w:rPr>
      </w:pPr>
      <w:r>
        <w:rPr>
          <w:rFonts w:eastAsiaTheme="minorEastAsia"/>
        </w:rPr>
        <w:t xml:space="preserve">The </w:t>
      </w:r>
      <w:r w:rsidR="00854973">
        <w:rPr>
          <w:rFonts w:eastAsiaTheme="minorEastAsia"/>
        </w:rPr>
        <w:t>MCL</w:t>
      </w:r>
      <w:r>
        <w:rPr>
          <w:rFonts w:eastAsiaTheme="minorEastAsia"/>
        </w:rPr>
        <w:t xml:space="preserve"> component of the LMP at any bus </w:t>
      </w:r>
      <w:r>
        <w:rPr>
          <w:rFonts w:eastAsiaTheme="minorEastAsia"/>
          <w:i/>
        </w:rPr>
        <w:t xml:space="preserve">i </w:t>
      </w:r>
      <w:r>
        <w:rPr>
          <w:rFonts w:eastAsiaTheme="minorEastAsia"/>
        </w:rPr>
        <w:t>within the ISO BAA is calculated in the Real-Time Market (RTM) and represented mathematically as below:</w:t>
      </w:r>
    </w:p>
    <w:p w14:paraId="14CBC5B9" w14:textId="77777777" w:rsidR="00B47D9D" w:rsidRDefault="00B47D9D" w:rsidP="00B47D9D">
      <w:pPr>
        <w:pStyle w:val="ListParagraph"/>
        <w:ind w:left="1800"/>
        <w:rPr>
          <w:rFonts w:eastAsiaTheme="minorEastAsia"/>
        </w:rPr>
      </w:pPr>
    </w:p>
    <w:p w14:paraId="686D0BB1" w14:textId="77777777" w:rsidR="00B47D9D" w:rsidRDefault="00B47D9D" w:rsidP="00B47D9D">
      <w:pPr>
        <w:pStyle w:val="Paragraph"/>
      </w:pPr>
      <m:oMathPara>
        <m:oMath>
          <m:r>
            <w:rPr>
              <w:rFonts w:ascii="Cambria Math" w:hAnsi="Cambria Math"/>
            </w:rPr>
            <m:t>SMEC=λ</m:t>
          </m:r>
        </m:oMath>
      </m:oMathPara>
    </w:p>
    <w:p w14:paraId="3A667C10" w14:textId="34A47B49" w:rsidR="00B47D9D" w:rsidRPr="006B52EC" w:rsidRDefault="00AE7E55" w:rsidP="00B47D9D">
      <w:pPr>
        <w:pStyle w:val="ListParagraph"/>
        <w:ind w:left="1800"/>
        <w:rPr>
          <w:rFonts w:eastAsiaTheme="minorEastAsia"/>
        </w:rPr>
      </w:pPr>
      <m:oMathPara>
        <m:oMath>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r>
            <w:rPr>
              <w:rFonts w:ascii="Cambria Math" w:hAnsi="Cambria Math"/>
            </w:rPr>
            <m:t xml:space="preserve">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oMath>
      </m:oMathPara>
    </w:p>
    <w:p w14:paraId="08B247D5" w14:textId="77777777" w:rsidR="00B47D9D" w:rsidRPr="00EA7032" w:rsidRDefault="00B47D9D" w:rsidP="00B47D9D">
      <w:pPr>
        <w:pStyle w:val="ListParagraph"/>
        <w:ind w:left="1800"/>
        <w:rPr>
          <w:rFonts w:eastAsiaTheme="minorEastAsia"/>
        </w:rPr>
      </w:pPr>
    </w:p>
    <w:p w14:paraId="3A7A7DF0" w14:textId="251A60B6" w:rsidR="00B47D9D" w:rsidRDefault="00B47D9D" w:rsidP="00B47D9D">
      <w:pPr>
        <w:pStyle w:val="ListParagraph"/>
        <w:numPr>
          <w:ilvl w:val="0"/>
          <w:numId w:val="254"/>
        </w:numPr>
        <w:contextualSpacing/>
        <w:rPr>
          <w:rFonts w:eastAsiaTheme="minorEastAsia"/>
        </w:rPr>
      </w:pPr>
      <w:r>
        <w:rPr>
          <w:rFonts w:eastAsiaTheme="minorEastAsia"/>
        </w:rPr>
        <w:t xml:space="preserve">EIM Nodal </w:t>
      </w:r>
      <w:r w:rsidR="00854973">
        <w:rPr>
          <w:rFonts w:eastAsiaTheme="minorEastAsia"/>
        </w:rPr>
        <w:t>MCL</w:t>
      </w:r>
      <w:r>
        <w:rPr>
          <w:rFonts w:eastAsiaTheme="minorEastAsia"/>
        </w:rPr>
        <w:t xml:space="preserve"> Component</w:t>
      </w:r>
    </w:p>
    <w:p w14:paraId="083E2593" w14:textId="77777777" w:rsidR="00B47D9D" w:rsidRDefault="00B47D9D" w:rsidP="00B47D9D">
      <w:pPr>
        <w:pStyle w:val="ListParagraph"/>
        <w:ind w:left="1800"/>
        <w:rPr>
          <w:rFonts w:eastAsiaTheme="minorEastAsia"/>
        </w:rPr>
      </w:pPr>
    </w:p>
    <w:p w14:paraId="53343385" w14:textId="7FFCDAA3" w:rsidR="00B47D9D" w:rsidRDefault="00B47D9D" w:rsidP="00B47D9D">
      <w:pPr>
        <w:pStyle w:val="ListParagraph"/>
        <w:ind w:left="1800"/>
        <w:rPr>
          <w:rFonts w:eastAsiaTheme="minorEastAsia"/>
        </w:rPr>
      </w:pPr>
      <w:r>
        <w:rPr>
          <w:rFonts w:eastAsiaTheme="minorEastAsia"/>
        </w:rPr>
        <w:t xml:space="preserve">The Nodal </w:t>
      </w:r>
      <w:r w:rsidR="00854973">
        <w:rPr>
          <w:rFonts w:eastAsiaTheme="minorEastAsia"/>
        </w:rPr>
        <w:t>MCL</w:t>
      </w:r>
      <w:r>
        <w:rPr>
          <w:rFonts w:eastAsiaTheme="minorEastAsia"/>
        </w:rPr>
        <w:t xml:space="preserve"> component of the LMP at any bus </w:t>
      </w:r>
      <w:r w:rsidRPr="006B52EC">
        <w:rPr>
          <w:rFonts w:eastAsiaTheme="minorEastAsia"/>
          <w:i/>
        </w:rPr>
        <w:t>i</w:t>
      </w:r>
      <w:r>
        <w:rPr>
          <w:rFonts w:eastAsiaTheme="minorEastAsia"/>
          <w:i/>
        </w:rPr>
        <w:t xml:space="preserve"> </w:t>
      </w:r>
      <w:r w:rsidRPr="000D0751">
        <w:rPr>
          <w:rFonts w:eastAsiaTheme="minorEastAsia"/>
        </w:rPr>
        <w:t>within</w:t>
      </w:r>
      <w:r>
        <w:rPr>
          <w:rFonts w:eastAsiaTheme="minorEastAsia"/>
        </w:rPr>
        <w:t xml:space="preserve"> an EIM BAA is calculated in the RTM. This component takes the BAA j power balance shadow price </w:t>
      </w:r>
      <m:oMath>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 xml:space="preserve"> </m:t>
        </m:r>
      </m:oMath>
      <w:r>
        <w:rPr>
          <w:rFonts w:eastAsiaTheme="minorEastAsia"/>
        </w:rPr>
        <w:t xml:space="preserve">  and GHG shadow price </w:t>
      </w:r>
      <m:oMath>
        <m:r>
          <w:rPr>
            <w:rFonts w:ascii="Cambria Math" w:hAnsi="Cambria Math"/>
          </w:rPr>
          <m:t>ψ</m:t>
        </m:r>
      </m:oMath>
      <w:r>
        <w:rPr>
          <w:rFonts w:eastAsiaTheme="minorEastAsia"/>
        </w:rPr>
        <w:t xml:space="preserve"> . It is mathematically represented as below:</w:t>
      </w:r>
    </w:p>
    <w:p w14:paraId="14A95B39" w14:textId="77777777" w:rsidR="00B47D9D" w:rsidRDefault="00B47D9D" w:rsidP="00B47D9D">
      <w:pPr>
        <w:pStyle w:val="ListParagraph"/>
        <w:ind w:left="1800"/>
        <w:rPr>
          <w:rFonts w:eastAsiaTheme="minorEastAsia"/>
        </w:rPr>
      </w:pPr>
    </w:p>
    <w:p w14:paraId="401D4E62" w14:textId="77777777" w:rsidR="00B47D9D" w:rsidRDefault="00B47D9D" w:rsidP="00B47D9D">
      <w:pPr>
        <w:pStyle w:val="Paragraph"/>
      </w:pPr>
      <m:oMathPara>
        <m:oMath>
          <m:r>
            <w:rPr>
              <w:rFonts w:ascii="Cambria Math" w:hAnsi="Cambria Math"/>
            </w:rPr>
            <w:lastRenderedPageBreak/>
            <m:t>SMEC=λ</m:t>
          </m:r>
        </m:oMath>
      </m:oMathPara>
    </w:p>
    <w:p w14:paraId="3F54D3AD" w14:textId="225CAC15" w:rsidR="00B47D9D" w:rsidRPr="000D0751" w:rsidRDefault="00AE7E55" w:rsidP="00B47D9D">
      <w:pPr>
        <w:pStyle w:val="ListParagraph"/>
        <w:ind w:left="1800"/>
        <w:rPr>
          <w:rFonts w:eastAsiaTheme="minorEastAsia"/>
        </w:rPr>
      </w:pPr>
      <m:oMathPara>
        <m:oMath>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r>
            <w:rPr>
              <w:rFonts w:ascii="Cambria Math" w:hAnsi="Cambria Math"/>
            </w:rPr>
            <m:t xml:space="preserve">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rPr>
              <w:rFonts w:ascii="Cambria Math" w:hAnsi="Cambria Math"/>
            </w:rPr>
            <w:br/>
          </m:r>
        </m:oMath>
      </m:oMathPara>
    </w:p>
    <w:p w14:paraId="34497807" w14:textId="77777777" w:rsidR="00B47D9D" w:rsidRDefault="00B47D9D" w:rsidP="00B47D9D">
      <w:pPr>
        <w:pStyle w:val="ListParagraph"/>
        <w:ind w:left="1800"/>
        <w:rPr>
          <w:rFonts w:eastAsiaTheme="minorEastAsia"/>
        </w:rPr>
      </w:pPr>
    </w:p>
    <w:p w14:paraId="018E78C4" w14:textId="584267B0" w:rsidR="00B47D9D" w:rsidRDefault="00B47D9D" w:rsidP="00B47D9D">
      <w:pPr>
        <w:pStyle w:val="ListParagraph"/>
        <w:numPr>
          <w:ilvl w:val="0"/>
          <w:numId w:val="254"/>
        </w:numPr>
        <w:contextualSpacing/>
        <w:rPr>
          <w:rFonts w:eastAsiaTheme="minorEastAsia"/>
        </w:rPr>
      </w:pPr>
      <w:r>
        <w:rPr>
          <w:rFonts w:eastAsiaTheme="minorEastAsia"/>
        </w:rPr>
        <w:t xml:space="preserve">ISO SP-Tie </w:t>
      </w:r>
      <w:r w:rsidR="00854973">
        <w:rPr>
          <w:rFonts w:eastAsiaTheme="minorEastAsia"/>
        </w:rPr>
        <w:t>MCL</w:t>
      </w:r>
      <w:r>
        <w:rPr>
          <w:rFonts w:eastAsiaTheme="minorEastAsia"/>
        </w:rPr>
        <w:t xml:space="preserve"> Component</w:t>
      </w:r>
    </w:p>
    <w:p w14:paraId="51BBB0F9" w14:textId="77777777" w:rsidR="00B47D9D" w:rsidRDefault="00B47D9D" w:rsidP="00B47D9D">
      <w:pPr>
        <w:pStyle w:val="ListParagraph"/>
        <w:ind w:left="1800"/>
        <w:rPr>
          <w:rFonts w:eastAsiaTheme="minorEastAsia"/>
        </w:rPr>
      </w:pPr>
    </w:p>
    <w:p w14:paraId="28811C06" w14:textId="77777777" w:rsidR="00B47D9D" w:rsidRDefault="00B47D9D" w:rsidP="00B47D9D">
      <w:pPr>
        <w:pStyle w:val="ListParagraph"/>
        <w:ind w:left="1800"/>
        <w:rPr>
          <w:rFonts w:eastAsiaTheme="minorEastAsia"/>
        </w:rPr>
      </w:pPr>
      <w:r>
        <w:rPr>
          <w:rFonts w:eastAsiaTheme="minorEastAsia"/>
        </w:rPr>
        <w:t xml:space="preserve">This is the MCL component of the LMP at a scheduling point (SP) within the ISO BAA for import/export </w:t>
      </w:r>
      <w:r w:rsidRPr="00215D33">
        <w:rPr>
          <w:rFonts w:eastAsiaTheme="minorEastAsia"/>
          <w:i/>
        </w:rPr>
        <w:t>l</w:t>
      </w:r>
      <w:r>
        <w:rPr>
          <w:rFonts w:eastAsiaTheme="minorEastAsia"/>
        </w:rPr>
        <w:t xml:space="preserve"> to/from ISO BAA from/to BAA </w:t>
      </w:r>
      <w:r w:rsidRPr="00215D33">
        <w:rPr>
          <w:rFonts w:eastAsiaTheme="minorEastAsia"/>
          <w:i/>
        </w:rPr>
        <w:t>k</w:t>
      </w:r>
      <w:r>
        <w:rPr>
          <w:rFonts w:eastAsiaTheme="minorEastAsia"/>
          <w:i/>
        </w:rPr>
        <w:t xml:space="preserve">. </w:t>
      </w:r>
      <w:r>
        <w:rPr>
          <w:rFonts w:eastAsiaTheme="minorEastAsia"/>
        </w:rPr>
        <w:t>It is mathematically represented as below:</w:t>
      </w:r>
    </w:p>
    <w:p w14:paraId="7C1CCFC4" w14:textId="77777777" w:rsidR="00B47D9D" w:rsidRPr="0019548D" w:rsidRDefault="00B47D9D" w:rsidP="00B47D9D">
      <w:pPr>
        <w:pStyle w:val="Paragraph"/>
      </w:pPr>
      <m:oMathPara>
        <m:oMath>
          <m:r>
            <w:rPr>
              <w:rFonts w:ascii="Cambria Math" w:hAnsi="Cambria Math"/>
            </w:rPr>
            <m:t>SMEC=λ</m:t>
          </m:r>
        </m:oMath>
      </m:oMathPara>
    </w:p>
    <w:p w14:paraId="785B9E3E" w14:textId="06909E69" w:rsidR="00B47D9D" w:rsidRPr="00215D33" w:rsidRDefault="00AE7E55" w:rsidP="00B47D9D">
      <w:pPr>
        <w:pStyle w:val="ListParagraph"/>
        <w:ind w:left="1800"/>
        <w:rPr>
          <w:rFonts w:eastAsiaTheme="minorEastAsia"/>
        </w:rPr>
      </w:pPr>
      <m:oMathPara>
        <m:oMath>
          <m:sSub>
            <m:sSubPr>
              <m:ctrlPr>
                <w:rPr>
                  <w:rFonts w:ascii="Cambria Math" w:hAnsi="Cambria Math"/>
                  <w:i/>
                </w:rPr>
              </m:ctrlPr>
            </m:sSubPr>
            <m:e>
              <m:r>
                <w:rPr>
                  <w:rFonts w:ascii="Cambria Math" w:hAnsi="Cambria Math"/>
                </w:rPr>
                <m:t>MCL</m:t>
              </m:r>
            </m:e>
            <m:sub>
              <m:r>
                <w:rPr>
                  <w:rFonts w:ascii="Cambria Math" w:hAnsi="Cambria Math"/>
                </w:rPr>
                <m:t>0,k,l</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0,k,l</m:t>
                      </m:r>
                    </m:sub>
                  </m:sSub>
                </m:den>
              </m:f>
              <m:r>
                <w:rPr>
                  <w:rFonts w:ascii="Cambria Math" w:hAnsi="Cambria Math"/>
                </w:rPr>
                <m:t>-1</m:t>
              </m:r>
            </m:e>
          </m:d>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6DD29D18" w14:textId="77777777" w:rsidR="00B47D9D" w:rsidRDefault="00B47D9D" w:rsidP="00B47D9D">
      <w:pPr>
        <w:pStyle w:val="ListParagraph"/>
        <w:ind w:left="1800"/>
        <w:rPr>
          <w:rFonts w:eastAsiaTheme="minorEastAsia"/>
        </w:rPr>
      </w:pPr>
    </w:p>
    <w:p w14:paraId="43E18333" w14:textId="7519E2F4" w:rsidR="00B47D9D" w:rsidRDefault="00B47D9D" w:rsidP="00B47D9D">
      <w:pPr>
        <w:pStyle w:val="ListParagraph"/>
        <w:numPr>
          <w:ilvl w:val="0"/>
          <w:numId w:val="254"/>
        </w:numPr>
        <w:contextualSpacing/>
        <w:rPr>
          <w:rFonts w:eastAsiaTheme="minorEastAsia"/>
        </w:rPr>
      </w:pPr>
      <w:r>
        <w:rPr>
          <w:rFonts w:eastAsiaTheme="minorEastAsia"/>
        </w:rPr>
        <w:t xml:space="preserve">EIM SP-Tie </w:t>
      </w:r>
      <w:r w:rsidR="00854973">
        <w:rPr>
          <w:rFonts w:eastAsiaTheme="minorEastAsia"/>
        </w:rPr>
        <w:t>MCL</w:t>
      </w:r>
      <w:r>
        <w:rPr>
          <w:rFonts w:eastAsiaTheme="minorEastAsia"/>
        </w:rPr>
        <w:t xml:space="preserve"> Component</w:t>
      </w:r>
    </w:p>
    <w:p w14:paraId="3D732181" w14:textId="77777777" w:rsidR="00B47D9D" w:rsidRDefault="00B47D9D" w:rsidP="00B47D9D">
      <w:pPr>
        <w:pStyle w:val="ListParagraph"/>
        <w:ind w:left="1440"/>
        <w:rPr>
          <w:rFonts w:eastAsiaTheme="minorEastAsia"/>
        </w:rPr>
      </w:pPr>
    </w:p>
    <w:p w14:paraId="04D933E0" w14:textId="77777777" w:rsidR="00B47D9D" w:rsidRDefault="00B47D9D" w:rsidP="00B47D9D">
      <w:pPr>
        <w:pStyle w:val="ListParagraph"/>
        <w:ind w:left="1800"/>
        <w:rPr>
          <w:rFonts w:eastAsiaTheme="minorEastAsia"/>
        </w:rPr>
      </w:pPr>
      <w:r>
        <w:rPr>
          <w:rFonts w:eastAsiaTheme="minorEastAsia"/>
        </w:rPr>
        <w:t xml:space="preserve">This is the MCL component of the LMP at a scheduling point within the EIM BAA </w:t>
      </w:r>
      <w:r w:rsidRPr="00840DFB">
        <w:rPr>
          <w:rFonts w:eastAsiaTheme="minorEastAsia"/>
          <w:i/>
        </w:rPr>
        <w:t xml:space="preserve">j </w:t>
      </w:r>
      <w:r>
        <w:rPr>
          <w:rFonts w:eastAsiaTheme="minorEastAsia"/>
        </w:rPr>
        <w:t>for import/export</w:t>
      </w:r>
      <w:r w:rsidRPr="00840DFB">
        <w:rPr>
          <w:rFonts w:eastAsiaTheme="minorEastAsia"/>
          <w:i/>
        </w:rPr>
        <w:t xml:space="preserve"> l</w:t>
      </w:r>
      <w:r>
        <w:rPr>
          <w:rFonts w:eastAsiaTheme="minorEastAsia"/>
        </w:rPr>
        <w:t xml:space="preserve"> to/from EIM BAA </w:t>
      </w:r>
      <w:r w:rsidRPr="00840DFB">
        <w:rPr>
          <w:rFonts w:eastAsiaTheme="minorEastAsia"/>
          <w:i/>
        </w:rPr>
        <w:t xml:space="preserve">j </w:t>
      </w:r>
      <w:r>
        <w:rPr>
          <w:rFonts w:eastAsiaTheme="minorEastAsia"/>
        </w:rPr>
        <w:t xml:space="preserve">from/to BAA </w:t>
      </w:r>
      <w:r w:rsidRPr="00215D33">
        <w:rPr>
          <w:rFonts w:eastAsiaTheme="minorEastAsia"/>
          <w:i/>
        </w:rPr>
        <w:t>k</w:t>
      </w:r>
      <w:r>
        <w:rPr>
          <w:rFonts w:eastAsiaTheme="minorEastAsia"/>
          <w:i/>
        </w:rPr>
        <w:t>.</w:t>
      </w:r>
      <w:r>
        <w:rPr>
          <w:rFonts w:eastAsiaTheme="minorEastAsia"/>
        </w:rPr>
        <w:t xml:space="preserve"> this is calculated with BAA</w:t>
      </w:r>
      <w:r w:rsidRPr="00840DFB">
        <w:rPr>
          <w:rFonts w:eastAsiaTheme="minorEastAsia"/>
          <w:i/>
        </w:rPr>
        <w:t xml:space="preserve"> j</w:t>
      </w:r>
      <w:r>
        <w:rPr>
          <w:rFonts w:eastAsiaTheme="minorEastAsia"/>
          <w:i/>
        </w:rPr>
        <w:t xml:space="preserve"> </w:t>
      </w:r>
      <w:r>
        <w:rPr>
          <w:rFonts w:eastAsiaTheme="minorEastAsia"/>
        </w:rPr>
        <w:t xml:space="preserve">power balance shadow price </w:t>
      </w:r>
      <m:oMath>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 xml:space="preserve"> </m:t>
        </m:r>
      </m:oMath>
      <w:r>
        <w:rPr>
          <w:rFonts w:eastAsiaTheme="minorEastAsia"/>
        </w:rPr>
        <w:t xml:space="preserve">and GHG shadow price </w:t>
      </w:r>
      <m:oMath>
        <m:r>
          <w:rPr>
            <w:rFonts w:ascii="Cambria Math" w:hAnsi="Cambria Math"/>
          </w:rPr>
          <m:t>ψ</m:t>
        </m:r>
      </m:oMath>
      <w:r>
        <w:rPr>
          <w:rFonts w:eastAsiaTheme="minorEastAsia"/>
          <w:i/>
        </w:rPr>
        <w:t xml:space="preserve"> </w:t>
      </w:r>
      <w:r>
        <w:rPr>
          <w:rFonts w:eastAsiaTheme="minorEastAsia"/>
        </w:rPr>
        <w:t>. It is mathematically represented as below:</w:t>
      </w:r>
    </w:p>
    <w:p w14:paraId="1BA7BBF8" w14:textId="77777777" w:rsidR="00B47D9D" w:rsidRPr="002B2A7E" w:rsidRDefault="00B47D9D" w:rsidP="00B47D9D">
      <w:pPr>
        <w:pStyle w:val="Paragraph"/>
      </w:pPr>
      <m:oMathPara>
        <m:oMath>
          <m:r>
            <w:rPr>
              <w:rFonts w:ascii="Cambria Math" w:hAnsi="Cambria Math"/>
            </w:rPr>
            <m:t>SMEC=λ</m:t>
          </m:r>
        </m:oMath>
      </m:oMathPara>
    </w:p>
    <w:p w14:paraId="0CE2D74A" w14:textId="77777777" w:rsidR="00B47D9D" w:rsidRDefault="00B47D9D" w:rsidP="00B47D9D">
      <w:pPr>
        <w:pStyle w:val="ListParagraph"/>
        <w:ind w:left="1800"/>
        <w:rPr>
          <w:rFonts w:eastAsiaTheme="minorEastAsia"/>
        </w:rPr>
      </w:pPr>
    </w:p>
    <w:p w14:paraId="7569DC37" w14:textId="7D24AF69" w:rsidR="00B47D9D" w:rsidRPr="00840DFB" w:rsidRDefault="00AE7E55" w:rsidP="00B47D9D">
      <w:pPr>
        <w:pStyle w:val="Paragraph"/>
        <w:ind w:left="2160"/>
        <w:rPr>
          <w:rFonts w:eastAsiaTheme="minorEastAsia"/>
        </w:rPr>
      </w:pPr>
      <m:oMathPara>
        <m:oMath>
          <m:sSub>
            <m:sSubPr>
              <m:ctrlPr>
                <w:rPr>
                  <w:rFonts w:ascii="Cambria Math" w:hAnsi="Cambria Math"/>
                  <w:i/>
                </w:rPr>
              </m:ctrlPr>
            </m:sSubPr>
            <m:e>
              <m:r>
                <w:rPr>
                  <w:rFonts w:ascii="Cambria Math" w:hAnsi="Cambria Math"/>
                </w:rPr>
                <m:t>MCL</m:t>
              </m:r>
            </m:e>
            <m:sub>
              <m:r>
                <w:rPr>
                  <w:rFonts w:ascii="Cambria Math" w:hAnsi="Cambria Math"/>
                </w:rPr>
                <m:t>j,k,l</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j,k,l</m:t>
                      </m:r>
                    </m:sub>
                  </m:sSub>
                </m:den>
              </m:f>
              <m:r>
                <w:rPr>
                  <w:rFonts w:ascii="Cambria Math" w:hAnsi="Cambria Math"/>
                </w:rPr>
                <m:t>-1</m:t>
              </m:r>
            </m:e>
          </m:d>
        </m:oMath>
      </m:oMathPara>
    </w:p>
    <w:p w14:paraId="79321BDE" w14:textId="77777777" w:rsidR="00B47D9D" w:rsidRPr="002B2A7E" w:rsidRDefault="00B47D9D" w:rsidP="00B47D9D">
      <w:pPr>
        <w:pStyle w:val="Paragraph"/>
        <w:ind w:left="3600"/>
      </w:pPr>
      <m:oMathPara>
        <m:oMath>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12641773" w14:textId="77777777" w:rsidR="00B47D9D" w:rsidRDefault="00B47D9D" w:rsidP="00B47D9D">
      <w:pPr>
        <w:pStyle w:val="ListParagraph"/>
        <w:ind w:left="1800"/>
        <w:rPr>
          <w:rFonts w:eastAsiaTheme="minorEastAsia"/>
        </w:rPr>
      </w:pPr>
    </w:p>
    <w:p w14:paraId="00DD71A1" w14:textId="77777777" w:rsidR="00B47D9D" w:rsidRDefault="00B47D9D" w:rsidP="00877DDB">
      <w:pPr>
        <w:pStyle w:val="BPM"/>
      </w:pPr>
    </w:p>
    <w:p w14:paraId="46507722" w14:textId="313DD047" w:rsidR="00571BB2" w:rsidRDefault="00571BB2" w:rsidP="00571BB2">
      <w:pPr>
        <w:pStyle w:val="Heading3"/>
      </w:pPr>
      <w:bookmarkStart w:id="1975" w:name="_Ref439164002"/>
      <w:bookmarkStart w:id="1976" w:name="_Toc460320464"/>
      <w:bookmarkStart w:id="1977" w:name="_Toc390946295"/>
      <w:bookmarkStart w:id="1978" w:name="_Toc391969856"/>
      <w:r>
        <w:lastRenderedPageBreak/>
        <w:t xml:space="preserve">Using </w:t>
      </w:r>
      <w:r w:rsidR="006A5B19">
        <w:t>EIM Available Balancing C</w:t>
      </w:r>
      <w:r w:rsidR="00701AB3">
        <w:t>apacity</w:t>
      </w:r>
      <w:r w:rsidR="008D621F">
        <w:t xml:space="preserve"> </w:t>
      </w:r>
      <w:r>
        <w:t xml:space="preserve">to </w:t>
      </w:r>
      <w:r w:rsidRPr="002F6982">
        <w:t xml:space="preserve">Resolve Infeasible Power </w:t>
      </w:r>
      <w:r>
        <w:t>B</w:t>
      </w:r>
      <w:r w:rsidRPr="002F6982">
        <w:t>alance Conditions in EIM BAAs</w:t>
      </w:r>
      <w:bookmarkEnd w:id="1975"/>
      <w:bookmarkEnd w:id="1976"/>
    </w:p>
    <w:p w14:paraId="17F7361C" w14:textId="77777777" w:rsidR="00E02FC4" w:rsidRDefault="00816472" w:rsidP="00877DDB">
      <w:pPr>
        <w:pStyle w:val="BPM"/>
      </w:pPr>
      <w:r>
        <w:t xml:space="preserve">The EIM entity scheduling coordinator </w:t>
      </w:r>
      <w:r w:rsidR="00F64C98">
        <w:t>may</w:t>
      </w:r>
      <w:r>
        <w:t xml:space="preserve"> identify any available balancing capacity that it wishes the Energy Imbalance Market to utilize to address any infeasibility in its balancing authority area in the fields labelled as “regulation up” and “regulation down” of its resource plans</w:t>
      </w:r>
      <w:r w:rsidR="002852BA">
        <w:t>.</w:t>
      </w:r>
    </w:p>
    <w:p w14:paraId="128E6E57" w14:textId="77777777" w:rsidR="00701AB3" w:rsidRDefault="00701AB3" w:rsidP="00571BB2">
      <w:pPr>
        <w:pStyle w:val="ParaText"/>
      </w:pPr>
    </w:p>
    <w:p w14:paraId="7D2BADAF" w14:textId="77777777" w:rsidR="00701AB3" w:rsidRDefault="00701AB3" w:rsidP="001431EC">
      <w:pPr>
        <w:pStyle w:val="Heading4"/>
      </w:pPr>
      <w:r>
        <w:t>Available Capacity Bid Curve</w:t>
      </w:r>
    </w:p>
    <w:p w14:paraId="0FB31E9E" w14:textId="77777777" w:rsidR="00D62321" w:rsidRDefault="00D62321" w:rsidP="00877DDB">
      <w:pPr>
        <w:pStyle w:val="BPM"/>
      </w:pPr>
      <w:r>
        <w:t xml:space="preserve">EIM participating resources and non-participating resources </w:t>
      </w:r>
      <w:r w:rsidR="00F64C98">
        <w:t xml:space="preserve">for which the EIM Entity Scheduling Coordinator has identified </w:t>
      </w:r>
      <w:r>
        <w:t xml:space="preserve">EIM Upward Available Balancing Capacity and/or EIM Downward Available Capacity in the EIM resource plan submission can provide available </w:t>
      </w:r>
      <w:r w:rsidR="00F64C98">
        <w:t xml:space="preserve">balancing </w:t>
      </w:r>
      <w:r>
        <w:t>capacity</w:t>
      </w:r>
      <w:r w:rsidR="00F64C98" w:rsidRPr="00F64C98">
        <w:t xml:space="preserve"> </w:t>
      </w:r>
      <w:r w:rsidR="00F64C98">
        <w:t xml:space="preserve">to designated EIM. </w:t>
      </w:r>
      <w:r>
        <w:t xml:space="preserve"> </w:t>
      </w:r>
    </w:p>
    <w:p w14:paraId="65AA599B" w14:textId="6BE66AED" w:rsidR="00701AB3" w:rsidRPr="0053405B" w:rsidRDefault="00701AB3" w:rsidP="00877DDB">
      <w:pPr>
        <w:pStyle w:val="BPM"/>
        <w:rPr>
          <w:rFonts w:cs="Arial"/>
          <w:kern w:val="16"/>
          <w:sz w:val="20"/>
        </w:rPr>
      </w:pPr>
      <w:r>
        <w:t xml:space="preserve">To be able to dispatch any </w:t>
      </w:r>
      <w:r w:rsidR="00816472">
        <w:rPr>
          <w:rFonts w:cs="Arial"/>
        </w:rPr>
        <w:t>available balancing capacity,</w:t>
      </w:r>
      <w:r w:rsidR="00816472">
        <w:t xml:space="preserve"> </w:t>
      </w:r>
      <w:r>
        <w:t xml:space="preserve">in </w:t>
      </w:r>
      <w:r w:rsidR="00F64C98">
        <w:t xml:space="preserve">applicable </w:t>
      </w:r>
      <w:r>
        <w:t>EIM, the market optimization requires the EIM Base schedule,</w:t>
      </w:r>
      <w:r w:rsidR="00AA468F">
        <w:t xml:space="preserve"> and </w:t>
      </w:r>
      <w:r>
        <w:t xml:space="preserve">an Energy Bid Curve from </w:t>
      </w:r>
      <w:r w:rsidR="00F64C98">
        <w:t xml:space="preserve">the resource identified as available balancing capacity by the EIM Scheduling Coordinator.  In order to make the designated available balancing capacity participate in the applicable EIM area, the </w:t>
      </w:r>
      <w:r>
        <w:t xml:space="preserve">EIM </w:t>
      </w:r>
      <w:r w:rsidR="00F64C98">
        <w:t>p</w:t>
      </w:r>
      <w:r>
        <w:t xml:space="preserve">articipating resources </w:t>
      </w:r>
      <w:r w:rsidR="00F64C98">
        <w:t xml:space="preserve">scheduling coordinator must also submit an economic bid for that resource for the relevant trading hour.  For non-participating resources, the EIM entity scheduling coordinator established Default Energy Bids with the CAISO consistent with the rules in Section 39.7.1 of the CAISO tariff.  The </w:t>
      </w:r>
      <w:r w:rsidR="00503FED">
        <w:t xml:space="preserve">CAISO </w:t>
      </w:r>
      <w:r>
        <w:t xml:space="preserve">creates Energy Bid Curves </w:t>
      </w:r>
      <w:r w:rsidR="00503FED">
        <w:t>based on the</w:t>
      </w:r>
      <w:r>
        <w:t xml:space="preserve"> Default Energy Bids </w:t>
      </w:r>
      <w:r w:rsidR="00F64C98">
        <w:t xml:space="preserve">created </w:t>
      </w:r>
      <w:r>
        <w:t>for non-participating resources</w:t>
      </w:r>
      <w:r w:rsidR="00F64C98">
        <w:t xml:space="preserve">. </w:t>
      </w:r>
      <w:r w:rsidR="00816472">
        <w:rPr>
          <w:rFonts w:cs="Arial"/>
        </w:rPr>
        <w:t xml:space="preserve"> </w:t>
      </w:r>
      <w:r>
        <w:t>T</w:t>
      </w:r>
      <w:r w:rsidRPr="00CC457E">
        <w:t xml:space="preserve">he allocation of the energy bid portions to ancillary services </w:t>
      </w:r>
      <w:r w:rsidR="00F64C98">
        <w:t>and available balancing capacity is described below, and is done differently than</w:t>
      </w:r>
      <w:r w:rsidR="000D17F1">
        <w:t xml:space="preserve"> for CAISO’s resources</w:t>
      </w:r>
      <w:r w:rsidRPr="00CC457E">
        <w:t xml:space="preserve"> (see 4.2.5 in BPM for Market Operations). </w:t>
      </w:r>
    </w:p>
    <w:p w14:paraId="533C70B7" w14:textId="77777777" w:rsidR="00816472" w:rsidRPr="003E31BD" w:rsidRDefault="00816472" w:rsidP="00701AB3">
      <w:pPr>
        <w:pStyle w:val="ParaText"/>
        <w:rPr>
          <w:rFonts w:ascii="Arial,Bold" w:hAnsi="Arial,Bold" w:cs="Arial,Bold"/>
          <w:b/>
          <w:bCs/>
          <w:sz w:val="20"/>
        </w:rPr>
      </w:pPr>
      <w:r w:rsidRPr="003E31BD">
        <w:rPr>
          <w:rFonts w:ascii="Arial,Bold" w:hAnsi="Arial,Bold" w:cs="Arial,Bold"/>
          <w:b/>
          <w:bCs/>
          <w:sz w:val="20"/>
        </w:rPr>
        <w:t>Energy Bid Curves for EIM Available Balancing Capacity</w:t>
      </w:r>
    </w:p>
    <w:p w14:paraId="50BCFB6A" w14:textId="77777777" w:rsidR="00701AB3" w:rsidRDefault="00701AB3" w:rsidP="003E31BD">
      <w:pPr>
        <w:pStyle w:val="BPM"/>
      </w:pPr>
      <w:r>
        <w:t>For each trading hour, CAISO determines the resource’s overall available capacity based on any updated outage information. Then CAISO determines if the submitted Energy Bid Curve for participating resources or the D</w:t>
      </w:r>
      <w:r w:rsidR="00816472">
        <w:t>efault Energy Bid Curve for non-</w:t>
      </w:r>
      <w:r>
        <w:t>participating resources is sufficient to cover all the services identified in the Resource Plan in the following priority:</w:t>
      </w:r>
    </w:p>
    <w:p w14:paraId="7D05F0AA" w14:textId="185A3AF5" w:rsidR="00701AB3" w:rsidRPr="00E65471" w:rsidRDefault="00701AB3">
      <w:pPr>
        <w:pStyle w:val="ListParagraph"/>
        <w:numPr>
          <w:ilvl w:val="0"/>
          <w:numId w:val="233"/>
        </w:numPr>
      </w:pPr>
      <w:r w:rsidRPr="00E65471">
        <w:lastRenderedPageBreak/>
        <w:t xml:space="preserve">If the EIM Resource Plan includes </w:t>
      </w:r>
      <w:r w:rsidR="004E6476">
        <w:t>EIM Reserves to Meet NERC/WECC Contingency Reserves Requirements</w:t>
      </w:r>
      <w:r w:rsidRPr="00E65471">
        <w:t xml:space="preserve">, the Energy Bid portion equal to the base </w:t>
      </w:r>
      <w:r w:rsidR="004E6476">
        <w:t>EIM Reserves to Meet NERC/WECC Contingency Reserves Requirements</w:t>
      </w:r>
      <w:r w:rsidRPr="00E65471">
        <w:t xml:space="preserve"> schedule (MW) just below the URL (if base </w:t>
      </w:r>
      <w:r w:rsidR="004E6476">
        <w:rPr>
          <w:rFonts w:eastAsia="Calibri"/>
        </w:rPr>
        <w:t>EIM Upward or Downward Available Balancing Capacity</w:t>
      </w:r>
      <w:r w:rsidR="004E6476" w:rsidRPr="00E65471">
        <w:t xml:space="preserve"> </w:t>
      </w:r>
      <w:r w:rsidRPr="00E65471">
        <w:t xml:space="preserve">schedules are specified) or the Upper Operating Limit (UOL), whichever lower, and above the base EIM Energy Base Schedule is reserved for </w:t>
      </w:r>
      <w:r w:rsidR="004E6476" w:rsidRPr="004E6476">
        <w:t>EIM Reserves to Meet NERC/WECC Contingency Reserves Requirements</w:t>
      </w:r>
      <w:r w:rsidRPr="00E65471">
        <w:t xml:space="preserve">. </w:t>
      </w:r>
      <w:r>
        <w:t>I</w:t>
      </w:r>
      <w:r w:rsidRPr="00E65471">
        <w:t xml:space="preserve">f there is insufficient capacity to allocate all of the base </w:t>
      </w:r>
      <w:r w:rsidR="004E6476">
        <w:t xml:space="preserve">EIM Reserves to Meet NERC/WECC Contingency Reserves Requirements </w:t>
      </w:r>
      <w:r w:rsidRPr="00E65471">
        <w:t xml:space="preserve">schedule, </w:t>
      </w:r>
      <w:r w:rsidRPr="005C63F6">
        <w:t>the latter</w:t>
      </w:r>
      <w:r w:rsidRPr="00E65471">
        <w:t xml:space="preserve"> shall be reduced accordingly.</w:t>
      </w:r>
    </w:p>
    <w:p w14:paraId="67EE9DD2" w14:textId="77777777" w:rsidR="00701AB3" w:rsidRPr="005C63F6" w:rsidRDefault="00701AB3" w:rsidP="00701AB3">
      <w:pPr>
        <w:pStyle w:val="ListParagraph"/>
        <w:numPr>
          <w:ilvl w:val="0"/>
          <w:numId w:val="233"/>
        </w:numPr>
      </w:pPr>
      <w:r w:rsidRPr="005C63F6">
        <w:t>If the EIM Resource Plan includes Non-Spinning Reserve, the Energy Bid portion equal to the base Non-Spinning Reserve schedule (MW) just below the allocated portion for Spinning Reserve, if any, otherwise below the URL (if base Regulation schedules are specified) or the Upper Operating Limit (UOL), whichever lower, and above the base EIM Energy Base Schedule is reserved for Non-Spinning Reserve. if there is insufficient capacity to allocate all of the base Non-Spinning Reserve schedule, the latter shall be reduced accordingly.</w:t>
      </w:r>
    </w:p>
    <w:p w14:paraId="48296911" w14:textId="5AAA70F8" w:rsidR="00701AB3" w:rsidRPr="005C63F6" w:rsidRDefault="00701AB3" w:rsidP="00701AB3">
      <w:pPr>
        <w:pStyle w:val="ListParagraph"/>
        <w:numPr>
          <w:ilvl w:val="0"/>
          <w:numId w:val="233"/>
        </w:numPr>
      </w:pPr>
      <w:r w:rsidRPr="005C63F6">
        <w:t xml:space="preserve">If the EIM Resource Plan includes </w:t>
      </w:r>
      <w:r w:rsidR="004E6476">
        <w:t>EIM Upward Available Balancing Capacity</w:t>
      </w:r>
      <w:r w:rsidRPr="005C63F6">
        <w:t xml:space="preserve">, the Energy Bid portion equal to the Regulation Up (MW) just below the allocated portion for </w:t>
      </w:r>
      <w:r w:rsidR="004E6476">
        <w:t>EIM Reserves to Meet NERC/WECC Contingency Reserves Requirements</w:t>
      </w:r>
      <w:r w:rsidRPr="005C63F6">
        <w:t xml:space="preserve">, if any, otherwise below the URL (if base </w:t>
      </w:r>
      <w:r w:rsidR="004E6476">
        <w:t xml:space="preserve">EIM Upward or Downward Available Balancing Capacity </w:t>
      </w:r>
      <w:r w:rsidRPr="005C63F6">
        <w:t xml:space="preserve">schedules are specified) or the Upper Operating Limit (UOL), whichever lower, and above the base EIM Energy Base Schedule is reserved for Regulation Up. </w:t>
      </w:r>
      <w:r>
        <w:t>I</w:t>
      </w:r>
      <w:r w:rsidRPr="005C63F6">
        <w:t xml:space="preserve">f there is insufficient energy bid range to allocate all of the base </w:t>
      </w:r>
      <w:r w:rsidR="004E6476">
        <w:t xml:space="preserve">EIM Upward Available Balancing Capacity </w:t>
      </w:r>
      <w:r w:rsidRPr="005C63F6">
        <w:t>schedule, the latter shall be reduced accordingly.</w:t>
      </w:r>
    </w:p>
    <w:p w14:paraId="77B07A9A" w14:textId="19BF4EA3" w:rsidR="004E327C" w:rsidRDefault="00701AB3" w:rsidP="001431EC">
      <w:pPr>
        <w:pStyle w:val="ListParagraph"/>
        <w:numPr>
          <w:ilvl w:val="0"/>
          <w:numId w:val="233"/>
        </w:numPr>
      </w:pPr>
      <w:r w:rsidRPr="005C63F6">
        <w:t>If the EIM Resource Plan includes</w:t>
      </w:r>
      <w:r w:rsidR="004E6476">
        <w:t xml:space="preserve"> EIM Downward Available Balancing Capacity,</w:t>
      </w:r>
      <w:r w:rsidRPr="005C63F6">
        <w:t xml:space="preserve"> the Energy Bid portion equal to the </w:t>
      </w:r>
      <w:r w:rsidR="004E6476">
        <w:t xml:space="preserve">EIM Downward Available Balancing Capacity </w:t>
      </w:r>
      <w:r w:rsidRPr="005C63F6">
        <w:t xml:space="preserve">(MW) just above the Lower Operating Limit (LOL), or the Lower Economic Limit (LEL), whichever higher, and below the base EIM Energy Base Schedule is reserved for Regulation Down. </w:t>
      </w:r>
      <w:r w:rsidR="002852BA">
        <w:t>I</w:t>
      </w:r>
      <w:r w:rsidRPr="005C63F6">
        <w:t>f there is insufficient energy bid range to allocate all of the base</w:t>
      </w:r>
      <w:r w:rsidR="004E6476">
        <w:t xml:space="preserve"> EIM Downward Available Balancing Capacity </w:t>
      </w:r>
      <w:r w:rsidRPr="005C63F6">
        <w:t>schedule, the latter shall be reduced accordingly.</w:t>
      </w:r>
    </w:p>
    <w:p w14:paraId="485C6672" w14:textId="77777777" w:rsidR="004E327C" w:rsidRDefault="00701AB3" w:rsidP="001431EC">
      <w:pPr>
        <w:pStyle w:val="ListParagraph"/>
        <w:numPr>
          <w:ilvl w:val="0"/>
          <w:numId w:val="233"/>
        </w:numPr>
      </w:pPr>
      <w:r w:rsidRPr="004E327C">
        <w:rPr>
          <w:rFonts w:cs="Arial"/>
        </w:rPr>
        <w:t xml:space="preserve">The remaining portion of the Energy Bid, if any, is used for </w:t>
      </w:r>
      <w:r w:rsidRPr="004E327C">
        <w:t xml:space="preserve">Dispatch. </w:t>
      </w:r>
    </w:p>
    <w:p w14:paraId="1BD31109" w14:textId="6519D2DE" w:rsidR="00701AB3" w:rsidRDefault="00701AB3" w:rsidP="001431EC">
      <w:pPr>
        <w:pStyle w:val="ListParagraph"/>
        <w:numPr>
          <w:ilvl w:val="0"/>
          <w:numId w:val="233"/>
        </w:numPr>
      </w:pPr>
      <w:r w:rsidRPr="004E327C">
        <w:t xml:space="preserve">For EIM Non-Participating Resources, the Default Energy Bid (DEB) is used for EIM Resource Plan’s </w:t>
      </w:r>
      <w:r w:rsidR="004E6476">
        <w:t>capacity</w:t>
      </w:r>
      <w:r w:rsidRPr="004E327C">
        <w:t xml:space="preserve"> allocation. The allocation is similar to that for EIM Participating Resources, except that after the allocation, </w:t>
      </w:r>
      <w:r w:rsidR="004E6476">
        <w:t xml:space="preserve">EIM Upward Available Balancing Capacity </w:t>
      </w:r>
      <w:r w:rsidRPr="004E327C">
        <w:t xml:space="preserve">and </w:t>
      </w:r>
      <w:r w:rsidR="004E6476">
        <w:t xml:space="preserve">EIM Reserves to </w:t>
      </w:r>
      <w:r w:rsidR="004E6476">
        <w:lastRenderedPageBreak/>
        <w:t>Meet NERC/WECC Contingency Reserves Requirements</w:t>
      </w:r>
      <w:r w:rsidRPr="003F05BB">
        <w:t xml:space="preserve"> slides down and </w:t>
      </w:r>
      <w:r w:rsidR="004E6476">
        <w:t xml:space="preserve">EIM Downward Available Balancing Capacity </w:t>
      </w:r>
      <w:r w:rsidRPr="003F05BB">
        <w:t>slides up to the base Energy schedule so that there is no remaining energy bid range available for Dispatch.</w:t>
      </w:r>
    </w:p>
    <w:p w14:paraId="0B415626" w14:textId="73B288EC" w:rsidR="004E327C" w:rsidRPr="00287E25" w:rsidRDefault="004E327C" w:rsidP="001431EC">
      <w:pPr>
        <w:pStyle w:val="ListParagraph"/>
        <w:numPr>
          <w:ilvl w:val="0"/>
          <w:numId w:val="233"/>
        </w:numPr>
      </w:pPr>
      <w:r>
        <w:t xml:space="preserve">The energy bid ranges reserved for base </w:t>
      </w:r>
      <w:r w:rsidR="0031695C">
        <w:t xml:space="preserve">EIM Reserves to Meet NERC/WECC Contingency Reserves Requirements </w:t>
      </w:r>
      <w:r>
        <w:t xml:space="preserve">and base </w:t>
      </w:r>
      <w:r w:rsidR="0031695C">
        <w:t>EIM Upward and Downward Available Balancing Capacity</w:t>
      </w:r>
      <w:r>
        <w:t xml:space="preserve"> shall not be considered available in the capacity and flexible ramp sufficiency tests for EIM BAAs.</w:t>
      </w:r>
    </w:p>
    <w:p w14:paraId="6492950B" w14:textId="77777777" w:rsidR="00287E25" w:rsidRPr="004E327C" w:rsidRDefault="00287E25" w:rsidP="001431EC">
      <w:pPr>
        <w:pStyle w:val="ListParagraph"/>
      </w:pPr>
    </w:p>
    <w:p w14:paraId="666CAB66" w14:textId="4684612D" w:rsidR="00571BB2" w:rsidRPr="00D46438" w:rsidRDefault="0040431D" w:rsidP="00571BB2">
      <w:pPr>
        <w:pStyle w:val="Heading4"/>
      </w:pPr>
      <w:r>
        <w:t>Use of</w:t>
      </w:r>
      <w:r w:rsidR="00F87074">
        <w:t xml:space="preserve"> EIM Available Balancing C</w:t>
      </w:r>
      <w:r>
        <w:t>apacity</w:t>
      </w:r>
    </w:p>
    <w:p w14:paraId="71F8512D" w14:textId="77777777" w:rsidR="00571BB2" w:rsidRDefault="00571BB2" w:rsidP="00571BB2">
      <w:pPr>
        <w:pStyle w:val="ParaText"/>
      </w:pPr>
      <w:r w:rsidRPr="00F90F86">
        <w:t>The CAISO’s market clearing software calculates the optimal solution in two passes, referred to as the scheduling and pricing run. The scheduling run is a full optimization run where constraints may be relaxed at a penalty price to avoid infeasibility. The pricing run is a simple economic dispatch, initialized from the scheduling run solution, where penalty prices are replaced by administrative prices and the problem is constrained so that the primal solution does not drift far away from the primal solution of the scheduling run. Both binding schedules and prices are obtained from the pricing run.</w:t>
      </w:r>
    </w:p>
    <w:p w14:paraId="5E4F257B" w14:textId="77777777" w:rsidR="00571BB2" w:rsidRPr="00D64081" w:rsidRDefault="00571BB2" w:rsidP="00877DDB">
      <w:pPr>
        <w:pStyle w:val="ParaText"/>
        <w:keepNext/>
        <w:keepLines/>
        <w:rPr>
          <w:b/>
        </w:rPr>
      </w:pPr>
      <w:r w:rsidRPr="00D64081">
        <w:rPr>
          <w:b/>
        </w:rPr>
        <w:t>Scheduling Run</w:t>
      </w:r>
    </w:p>
    <w:p w14:paraId="1D5DBC86" w14:textId="50C11C37" w:rsidR="00571BB2" w:rsidRPr="005551A2" w:rsidRDefault="00571BB2" w:rsidP="00877DDB">
      <w:pPr>
        <w:pStyle w:val="ParaText"/>
        <w:keepNext/>
        <w:keepLines/>
      </w:pPr>
      <w:r w:rsidRPr="00D64081">
        <w:t xml:space="preserve">To effectively reserve </w:t>
      </w:r>
      <w:r w:rsidR="0031695C">
        <w:t>EIM Reserves to Meet NERC/WECC Contingency Reserves Requirements</w:t>
      </w:r>
      <w:r w:rsidRPr="00D64081">
        <w:t xml:space="preserve"> from Dispatch and dispatch </w:t>
      </w:r>
      <w:r w:rsidR="0031695C">
        <w:t xml:space="preserve">EIM Upward and Downward Available Balancing Capacity </w:t>
      </w:r>
      <w:r>
        <w:t>after the dispatch of all available economic bids and before violating power balance or transmission constraints, the EIM</w:t>
      </w:r>
      <w:r w:rsidRPr="00D64081">
        <w:t xml:space="preserve"> applications make </w:t>
      </w:r>
      <w:r w:rsidR="0031695C">
        <w:t>EIM Upward and Downward Available Balancing Capacity</w:t>
      </w:r>
      <w:r w:rsidRPr="00F2404E">
        <w:t xml:space="preserve"> for dispatch at </w:t>
      </w:r>
      <w:r>
        <w:t>penalty</w:t>
      </w:r>
      <w:r w:rsidRPr="00F2404E">
        <w:t xml:space="preserve"> prices</w:t>
      </w:r>
      <w:r>
        <w:t>. Those penalty prices are economically differentiated for t</w:t>
      </w:r>
      <w:r w:rsidRPr="00F2404E">
        <w:t xml:space="preserve">he energy bid portions </w:t>
      </w:r>
      <w:r>
        <w:t xml:space="preserve">allocated </w:t>
      </w:r>
      <w:r w:rsidRPr="00F2404E">
        <w:t xml:space="preserve">to </w:t>
      </w:r>
      <w:r>
        <w:t xml:space="preserve">base </w:t>
      </w:r>
      <w:r w:rsidR="0031695C">
        <w:t xml:space="preserve">EIM Upward and Downward Available Balancing Capacity </w:t>
      </w:r>
      <w:r>
        <w:t xml:space="preserve">schedules </w:t>
      </w:r>
      <w:r w:rsidRPr="00F2404E">
        <w:t>prices</w:t>
      </w:r>
      <w:r>
        <w:t xml:space="preserve"> to maintain the economic merit order reflected in the energy bid prices of the allocated energy bid portions.</w:t>
      </w:r>
      <w:r w:rsidRPr="00B52BA3">
        <w:t xml:space="preserve"> </w:t>
      </w:r>
      <w:r>
        <w:t>The penalty prices are contained within a configurable penalty price range</w:t>
      </w:r>
      <w:r w:rsidRPr="00F2404E">
        <w:t xml:space="preserve">. </w:t>
      </w:r>
      <w:r>
        <w:t xml:space="preserve">The penalty price range for </w:t>
      </w:r>
      <w:r w:rsidR="0031695C">
        <w:t>EIM Upward and Downward Available Balancing Capacity</w:t>
      </w:r>
      <w:r>
        <w:t xml:space="preserve"> is sufficiently above the bid ceiling and below the self-schedule penalty, the power balance and transmission constraint violation penalties.</w:t>
      </w:r>
    </w:p>
    <w:p w14:paraId="3016162E" w14:textId="1B644A44" w:rsidR="00571BB2" w:rsidRPr="00D64081" w:rsidRDefault="00571BB2" w:rsidP="00571BB2">
      <w:pPr>
        <w:pStyle w:val="ParaText"/>
      </w:pPr>
      <w:r w:rsidRPr="00D64081">
        <w:t xml:space="preserve">The economically differentiated penalty prices for </w:t>
      </w:r>
      <w:r w:rsidR="0031695C">
        <w:t xml:space="preserve">EIM Upward and Downward Available Balancing Capacity </w:t>
      </w:r>
      <w:r w:rsidRPr="00D64081">
        <w:t>are determined by a linear transformation into the relevant configurable penalty price ranges as follows:</w:t>
      </w:r>
    </w:p>
    <w:p w14:paraId="5A5DB0B6" w14:textId="1CF5695B" w:rsidR="00571BB2" w:rsidRPr="00CC457E" w:rsidRDefault="00571BB2" w:rsidP="00571BB2">
      <w:pPr>
        <w:pStyle w:val="ParaText"/>
        <w:numPr>
          <w:ilvl w:val="0"/>
          <w:numId w:val="244"/>
        </w:numPr>
      </w:pPr>
      <w:r w:rsidRPr="00D64081">
        <w:lastRenderedPageBreak/>
        <w:t xml:space="preserve">If the configurable penalty price range for </w:t>
      </w:r>
      <w:r w:rsidR="0031695C">
        <w:t xml:space="preserve">EIM Upward Available Balancing Capacity </w:t>
      </w:r>
      <w:r w:rsidRPr="00D64081">
        <w:t>is sufficiently wide to accommodate the range of economic prices of the energy bid segments allocated to</w:t>
      </w:r>
      <w:r w:rsidRPr="00CC457E">
        <w:t xml:space="preserve"> base </w:t>
      </w:r>
      <w:r w:rsidR="00703DFF">
        <w:t xml:space="preserve">EIM Upward Available Balancing Capacity </w:t>
      </w:r>
      <w:r w:rsidRPr="00CC457E">
        <w:t>schedules among all EIM Resources, these segments are elevated by a positive penalty offset so that the lowest economic price among these segments will be equal to the bottom of the configurable penalty price range.</w:t>
      </w:r>
    </w:p>
    <w:p w14:paraId="57511354" w14:textId="0DD79038" w:rsidR="00571BB2" w:rsidRPr="00551C07" w:rsidRDefault="00571BB2" w:rsidP="00571BB2">
      <w:pPr>
        <w:pStyle w:val="ParaText"/>
        <w:numPr>
          <w:ilvl w:val="0"/>
          <w:numId w:val="244"/>
        </w:numPr>
      </w:pPr>
      <w:r w:rsidRPr="0077590F">
        <w:t xml:space="preserve">Otherwise, each energy bid segment allocated to a base </w:t>
      </w:r>
      <w:r w:rsidR="00703DFF">
        <w:t>EIM Upward Available Balancing Capacity</w:t>
      </w:r>
      <w:r w:rsidRPr="0077590F">
        <w:t xml:space="preserve"> schedule is scaled by an upward scaling factor and then elevated by a positive penalty offset so that the lowest economic price among these segments will be equal to the bottom of the configurable p</w:t>
      </w:r>
      <w:r w:rsidRPr="007E65DD">
        <w:t>enalty price range, while the highest economic price among these segments will be equal to the top of the configurable penalty price range.</w:t>
      </w:r>
    </w:p>
    <w:p w14:paraId="5C5F55DB" w14:textId="0659DA44" w:rsidR="00571BB2" w:rsidRPr="00BD15CD" w:rsidRDefault="00571BB2" w:rsidP="00571BB2">
      <w:pPr>
        <w:pStyle w:val="ParaText"/>
        <w:numPr>
          <w:ilvl w:val="0"/>
          <w:numId w:val="244"/>
        </w:numPr>
      </w:pPr>
      <w:r w:rsidRPr="00551C07">
        <w:t xml:space="preserve">If the configurable penalty price range for </w:t>
      </w:r>
      <w:r w:rsidR="00703DFF">
        <w:t>EIM Downward Available Balancing Capacity</w:t>
      </w:r>
      <w:r w:rsidRPr="00551C07">
        <w:t xml:space="preserve"> is sufficiently wide to accommodate the range of economi</w:t>
      </w:r>
      <w:r w:rsidRPr="00EF242D">
        <w:t xml:space="preserve">c prices </w:t>
      </w:r>
      <w:r w:rsidRPr="00885310">
        <w:t xml:space="preserve">of the energy bid segments allocated to base </w:t>
      </w:r>
      <w:r w:rsidR="00703DFF">
        <w:t xml:space="preserve">EIM Downward Available Balancing Capacity </w:t>
      </w:r>
      <w:r w:rsidRPr="00885310">
        <w:t>schedules among all EIM Resources, these segments are lowered by a negative penalty offset so that the highest economic price among these segments will be equal to the top of the configurable penalty price range.</w:t>
      </w:r>
    </w:p>
    <w:p w14:paraId="506D9251" w14:textId="4017253D" w:rsidR="00571BB2" w:rsidRDefault="00571BB2" w:rsidP="00571BB2">
      <w:pPr>
        <w:pStyle w:val="ParaText"/>
        <w:numPr>
          <w:ilvl w:val="0"/>
          <w:numId w:val="244"/>
        </w:numPr>
      </w:pPr>
      <w:r w:rsidRPr="00BD15CD">
        <w:t xml:space="preserve">Otherwise, each energy bid segment allocated to a base </w:t>
      </w:r>
      <w:r w:rsidR="00703DFF">
        <w:t xml:space="preserve">EIM Downward Available Balancing Capacity </w:t>
      </w:r>
      <w:r w:rsidRPr="00BD15CD">
        <w:t>schedule is scaled by a downward scaling factor and then lowered by a negative penalty offset so that the highest economic price among these segments will</w:t>
      </w:r>
      <w:r w:rsidR="00713C13">
        <w:t xml:space="preserve"> </w:t>
      </w:r>
      <w:r w:rsidRPr="00BD15CD">
        <w:t>be equal to t</w:t>
      </w:r>
      <w:r w:rsidRPr="00711B49">
        <w:t>he top of the configurable penalty price range, while the lowest economic price among these segments will be equal to the bottom of the configurable penalty price range.</w:t>
      </w:r>
    </w:p>
    <w:p w14:paraId="16930C83" w14:textId="26C99342" w:rsidR="009B43A2" w:rsidRPr="00F40388" w:rsidRDefault="009B43A2" w:rsidP="00571BB2">
      <w:pPr>
        <w:pStyle w:val="ParaText"/>
        <w:numPr>
          <w:ilvl w:val="0"/>
          <w:numId w:val="244"/>
        </w:numPr>
      </w:pPr>
      <w:r>
        <w:t>For multi-stage generation units (MSG) if the penalty prices are left in</w:t>
      </w:r>
      <w:r w:rsidR="00AA468F">
        <w:t xml:space="preserve"> place</w:t>
      </w:r>
      <w:r>
        <w:t xml:space="preserve">, it will prevent economical transitions. In order to avoid this problem, the </w:t>
      </w:r>
      <w:r w:rsidR="009C4FC1">
        <w:t>economic</w:t>
      </w:r>
      <w:r>
        <w:t xml:space="preserve"> cost</w:t>
      </w:r>
      <w:r w:rsidR="002C63E7">
        <w:t xml:space="preserve"> instead of the penalty cost</w:t>
      </w:r>
      <w:r>
        <w:t xml:space="preserve"> of regulation</w:t>
      </w:r>
      <w:r w:rsidR="002C63E7">
        <w:t xml:space="preserve"> will be associated </w:t>
      </w:r>
      <w:r>
        <w:t xml:space="preserve"> with the decision variables for transitions such that the optimization can determine optimally economical transitions.</w:t>
      </w:r>
    </w:p>
    <w:p w14:paraId="2253C453" w14:textId="47E08674" w:rsidR="00571BB2" w:rsidRDefault="00571BB2" w:rsidP="00571BB2">
      <w:pPr>
        <w:pStyle w:val="ParaText"/>
      </w:pPr>
      <w:r>
        <w:t xml:space="preserve">To limit </w:t>
      </w:r>
      <w:r w:rsidR="00CF5C33">
        <w:t xml:space="preserve">EIM Upward and Downward Available Balancing Capacity </w:t>
      </w:r>
      <w:r>
        <w:t xml:space="preserve">dispatch only to the amount required to resolve power balance infeasibility in the native EIM BAA, two constraints are included in </w:t>
      </w:r>
      <w:r>
        <w:lastRenderedPageBreak/>
        <w:t xml:space="preserve">the problem formulation for each EIM BAA, one for limiting </w:t>
      </w:r>
      <w:r w:rsidR="00CF5C33">
        <w:t>EIM Upward Available Balancing Capacity</w:t>
      </w:r>
      <w:r>
        <w:t xml:space="preserve"> dispatch and the other for limiting </w:t>
      </w:r>
      <w:r w:rsidR="00CF5C33">
        <w:t>EIM Downward Available Balancing Capacity</w:t>
      </w:r>
      <w:r>
        <w:t xml:space="preserve">. </w:t>
      </w:r>
      <w:r w:rsidR="009C4FC1">
        <w:t xml:space="preserve">The first constraint prevents </w:t>
      </w:r>
      <w:r w:rsidR="00CF5C33">
        <w:t xml:space="preserve">EIM Upward Available Balancing Capacity </w:t>
      </w:r>
      <w:r w:rsidR="009C4FC1">
        <w:t>dispatch when the net optimal transfer is higher than the base net transfer for the EIM BAA (exporting above base). The second constraint prevent</w:t>
      </w:r>
      <w:r w:rsidR="00C62B32">
        <w:t>s</w:t>
      </w:r>
      <w:r w:rsidR="009C4FC1">
        <w:t xml:space="preserve"> </w:t>
      </w:r>
      <w:r w:rsidR="00CF5C33">
        <w:t>EIM Downward</w:t>
      </w:r>
      <w:r w:rsidR="00BA7532">
        <w:t xml:space="preserve"> Available Balancing Capacity </w:t>
      </w:r>
      <w:r w:rsidR="009C4FC1">
        <w:t>dispatch when the net optimal transfer is lower than the base net transfer for the EIM BAA (importing below base).</w:t>
      </w:r>
    </w:p>
    <w:p w14:paraId="029F699D" w14:textId="0B92E87C" w:rsidR="00571BB2" w:rsidRDefault="00571BB2" w:rsidP="00571BB2">
      <w:pPr>
        <w:pStyle w:val="ParaText"/>
      </w:pPr>
      <w:r>
        <w:t xml:space="preserve">These constraints, in conjunction with the economically differentiated penalty prices for Regulation Up and Down, result in an optimal solution where </w:t>
      </w:r>
      <w:r w:rsidR="00BE30C5">
        <w:t xml:space="preserve">EIM Upward or Downward Available Balancing Capacity </w:t>
      </w:r>
      <w:r>
        <w:t xml:space="preserve">in an EIM BAA are dispatched only if that is necessary to remove power balance infeasibility in that BAA, while not violating transmission constraints when doing so. </w:t>
      </w:r>
    </w:p>
    <w:p w14:paraId="38A36E1F" w14:textId="1DED9672" w:rsidR="00571BB2" w:rsidRPr="005551A2" w:rsidRDefault="00571BB2" w:rsidP="00571BB2">
      <w:pPr>
        <w:pStyle w:val="ParaText"/>
      </w:pPr>
      <w:r w:rsidRPr="005551A2">
        <w:t xml:space="preserve">If the available </w:t>
      </w:r>
      <w:r w:rsidR="00BE30C5">
        <w:t xml:space="preserve">EIM Upward or Downward Available Balancing Capacity </w:t>
      </w:r>
      <w:r w:rsidRPr="005551A2">
        <w:t>is fully dispatched in an EIM BAA and infeasibility conditions persist, the relevant surplus variable in that BAA’s power balance constraint will normally take value at the applicable power balance relaxation penalty</w:t>
      </w:r>
      <w:r w:rsidR="00C51D2D">
        <w:t xml:space="preserve"> price.</w:t>
      </w:r>
      <w:r w:rsidRPr="005551A2">
        <w:t xml:space="preserve"> </w:t>
      </w:r>
    </w:p>
    <w:p w14:paraId="70C47D0B" w14:textId="77777777" w:rsidR="00571BB2" w:rsidRPr="00D64081" w:rsidRDefault="00571BB2" w:rsidP="00571BB2">
      <w:pPr>
        <w:pStyle w:val="ParaText"/>
        <w:rPr>
          <w:b/>
        </w:rPr>
      </w:pPr>
      <w:r w:rsidRPr="00D64081">
        <w:rPr>
          <w:b/>
        </w:rPr>
        <w:t>Pricing Run</w:t>
      </w:r>
    </w:p>
    <w:p w14:paraId="3CFE016A" w14:textId="6FB87E3C" w:rsidR="00571BB2" w:rsidRPr="00CC457E" w:rsidRDefault="00571BB2" w:rsidP="00571BB2">
      <w:pPr>
        <w:pStyle w:val="ParaText"/>
      </w:pPr>
      <w:r w:rsidRPr="00D64081">
        <w:t xml:space="preserve">Only energy bid portions allocated to base </w:t>
      </w:r>
      <w:r w:rsidR="00BE30C5">
        <w:t xml:space="preserve">EIM Upward and Downward Available Balancing Capacity </w:t>
      </w:r>
      <w:r w:rsidRPr="00D64081">
        <w:t>schedules that were dispatched in the scheduling run are available</w:t>
      </w:r>
      <w:r>
        <w:t xml:space="preserve"> for dispatch</w:t>
      </w:r>
      <w:r w:rsidRPr="00D64081">
        <w:t xml:space="preserve"> at the corresponding economic energy bid prices at the pricing run. </w:t>
      </w:r>
      <w:r w:rsidR="00BE30C5">
        <w:t>EIM Upward and Downward Available Balancing Capacity</w:t>
      </w:r>
      <w:r w:rsidRPr="00D64081">
        <w:t xml:space="preserve"> schedules that were not dispatched in the Scheduling Run </w:t>
      </w:r>
      <w:r w:rsidRPr="00CC457E">
        <w:t xml:space="preserve">and energy bid portions allocated to base </w:t>
      </w:r>
      <w:r w:rsidR="00BE30C5">
        <w:t xml:space="preserve">EIM Reserves to Meet NERC/WECC Contingency Reserves Requirements </w:t>
      </w:r>
      <w:r w:rsidRPr="00CC457E">
        <w:t>are not available for dispatch in the pricing run.</w:t>
      </w:r>
    </w:p>
    <w:p w14:paraId="77890111" w14:textId="77777777" w:rsidR="00571BB2" w:rsidRPr="0077590F" w:rsidRDefault="00571BB2" w:rsidP="00571BB2">
      <w:pPr>
        <w:pStyle w:val="ParaText"/>
        <w:rPr>
          <w:b/>
        </w:rPr>
      </w:pPr>
      <w:r w:rsidRPr="0077590F">
        <w:rPr>
          <w:b/>
        </w:rPr>
        <w:t xml:space="preserve">LMP </w:t>
      </w:r>
    </w:p>
    <w:p w14:paraId="6B3EAD64" w14:textId="7D3D8FAE" w:rsidR="00BE30C5" w:rsidRPr="005551A2" w:rsidRDefault="00571BB2" w:rsidP="00571BB2">
      <w:pPr>
        <w:pStyle w:val="ParaText"/>
      </w:pPr>
      <w:r w:rsidRPr="005551A2">
        <w:t xml:space="preserve">To calculate an economic optimal solution in an EIM BAA where </w:t>
      </w:r>
      <w:r w:rsidR="00BE30C5">
        <w:t xml:space="preserve">EIM Upward and Downward Available Balancing </w:t>
      </w:r>
      <w:r w:rsidR="000D3882">
        <w:t>Capaciti</w:t>
      </w:r>
      <w:r w:rsidR="000D3882" w:rsidRPr="005551A2">
        <w:t>es</w:t>
      </w:r>
      <w:r w:rsidRPr="005551A2">
        <w:t xml:space="preserve"> dispatched to resolve power balance infeasibility, the demand forecast shall be reduced or increased in the Pricing Run by a small tolerance, respectively, so that the marginal economic bid would set the price.</w:t>
      </w:r>
      <w:r w:rsidRPr="00E13A20">
        <w:t xml:space="preserve"> The marginal</w:t>
      </w:r>
      <w:r>
        <w:t xml:space="preserve"> bid at the pricing run may be from an energy bid allocated to </w:t>
      </w:r>
      <w:r w:rsidR="00BE30C5">
        <w:t>EIM Upward and Downward Available Balancing Capacity</w:t>
      </w:r>
      <w:r>
        <w:t xml:space="preserve"> or to capacity that is normally available for dispatch in EIM, or even an energy bid outside the EIM BAA, in which case the EIM </w:t>
      </w:r>
      <w:r>
        <w:lastRenderedPageBreak/>
        <w:t xml:space="preserve">Transfer would move off its limit. If the dispatched </w:t>
      </w:r>
      <w:r w:rsidR="00BE30C5">
        <w:t>EIM Upward and Downward Available Balancing Capacity</w:t>
      </w:r>
      <w:r>
        <w:t xml:space="preserve"> was insufficient to resolve the power balance infeasibility in an EIM BAA in the Scheduling Run, the relevant surplus variable in that BAA’s power balance constraint will be normally priced at the applicable bid ceiling or floor, respectively, thus setting the administrative price.</w:t>
      </w:r>
    </w:p>
    <w:p w14:paraId="7D792453" w14:textId="77777777" w:rsidR="00571BB2" w:rsidRPr="005551A2" w:rsidRDefault="00571BB2" w:rsidP="00571BB2">
      <w:pPr>
        <w:pStyle w:val="ParaText"/>
        <w:rPr>
          <w:b/>
        </w:rPr>
      </w:pPr>
      <w:r w:rsidRPr="00D64081">
        <w:rPr>
          <w:b/>
        </w:rPr>
        <w:t>Expected Energy Calculation</w:t>
      </w:r>
    </w:p>
    <w:p w14:paraId="2B738063" w14:textId="5D69931A" w:rsidR="00571BB2" w:rsidRDefault="00571BB2" w:rsidP="00571BB2">
      <w:pPr>
        <w:pStyle w:val="Paragraph"/>
      </w:pPr>
      <w:r>
        <w:t xml:space="preserve">RTD passes to MQS the energy bid used for Imbalance Energy and </w:t>
      </w:r>
      <w:r w:rsidR="000A0E68">
        <w:t xml:space="preserve">EIM Upward and Downward Available Balancing Capacity </w:t>
      </w:r>
      <w:r>
        <w:t>dispatch in the Pricing Run for the 5min</w:t>
      </w:r>
      <w:r w:rsidR="000A0E68">
        <w:t xml:space="preserve"> RTD</w:t>
      </w:r>
      <w:r>
        <w:t xml:space="preserve"> binding interval. The applicable DEB shall be passed for EIM Non-Participating Resources.</w:t>
      </w:r>
    </w:p>
    <w:p w14:paraId="09110FBD" w14:textId="1E83F14C" w:rsidR="00571BB2" w:rsidRPr="005551A2" w:rsidRDefault="00571BB2" w:rsidP="00571BB2">
      <w:pPr>
        <w:pStyle w:val="ParaText"/>
        <w:rPr>
          <w:rFonts w:cs="Arial"/>
        </w:rPr>
      </w:pPr>
      <w:r>
        <w:t xml:space="preserve">MQS calculates and allocates Expected Energy using the DOPs and the applicable energy bid. Expected Energy from </w:t>
      </w:r>
      <w:r w:rsidR="00FD5B28">
        <w:t>EIM Upward and Downward Available Balancing Capacity</w:t>
      </w:r>
      <w:r>
        <w:t xml:space="preserve"> dispatch from EIM Participating Resources is accounted as Optimal Energy. EIM Non-Participating Resources are treated similarly to any resource </w:t>
      </w:r>
      <w:r w:rsidR="00FD5B28">
        <w:t xml:space="preserve">and </w:t>
      </w:r>
      <w:r>
        <w:t xml:space="preserve">therefore, Expected Energy from </w:t>
      </w:r>
      <w:r w:rsidR="00FD5B28">
        <w:t>EIM Upward and Downward Available Balancing Capacity</w:t>
      </w:r>
      <w:r>
        <w:t xml:space="preserve"> dispatch from EIM Non-Participating Resources is also accounted as Optimal Energy. </w:t>
      </w:r>
    </w:p>
    <w:p w14:paraId="6E957ADB" w14:textId="46CCABBA" w:rsidR="00571BB2" w:rsidRDefault="00571BB2" w:rsidP="00877DDB">
      <w:pPr>
        <w:pStyle w:val="BPM"/>
      </w:pPr>
      <w:r w:rsidRPr="005551A2">
        <w:t xml:space="preserve">Appendix B presents Mathematical Formulation for using regulation </w:t>
      </w:r>
      <w:r w:rsidR="000D17F1">
        <w:t xml:space="preserve">to </w:t>
      </w:r>
      <w:r w:rsidRPr="005551A2">
        <w:t>resolv</w:t>
      </w:r>
      <w:r w:rsidR="000D17F1">
        <w:t>e</w:t>
      </w:r>
      <w:r w:rsidRPr="005551A2">
        <w:t xml:space="preserve"> infeasible power balance conditions in EIM BAAs.</w:t>
      </w:r>
    </w:p>
    <w:p w14:paraId="77972269" w14:textId="77777777" w:rsidR="00713C13" w:rsidRPr="005551A2" w:rsidRDefault="00713C13" w:rsidP="00571BB2">
      <w:pPr>
        <w:pStyle w:val="Paragraph"/>
        <w:rPr>
          <w:rFonts w:ascii="Arial" w:hAnsi="Arial" w:cs="Arial"/>
        </w:rPr>
      </w:pPr>
    </w:p>
    <w:p w14:paraId="7C1003E9" w14:textId="77777777" w:rsidR="008817D0" w:rsidRDefault="008817D0" w:rsidP="00C33762">
      <w:pPr>
        <w:pStyle w:val="Heading3"/>
        <w:rPr>
          <w:rFonts w:eastAsia="Calibri"/>
        </w:rPr>
      </w:pPr>
      <w:bookmarkStart w:id="1979" w:name="_Toc460320465"/>
      <w:r w:rsidRPr="008817D0">
        <w:rPr>
          <w:rFonts w:eastAsia="Calibri"/>
        </w:rPr>
        <w:t>EIM Market Power Mitigation</w:t>
      </w:r>
      <w:bookmarkEnd w:id="1977"/>
      <w:bookmarkEnd w:id="1978"/>
      <w:bookmarkEnd w:id="1979"/>
      <w:r w:rsidRPr="008817D0">
        <w:rPr>
          <w:rFonts w:eastAsia="Calibri"/>
        </w:rPr>
        <w:t xml:space="preserve"> </w:t>
      </w:r>
    </w:p>
    <w:p w14:paraId="0D7305E5" w14:textId="77777777" w:rsidR="004C48E8" w:rsidRPr="00AD0DB1" w:rsidRDefault="004C48E8" w:rsidP="004C48E8">
      <w:pPr>
        <w:spacing w:after="240" w:line="300" w:lineRule="auto"/>
        <w:rPr>
          <w:rFonts w:eastAsia="Calibri"/>
        </w:rPr>
      </w:pPr>
      <w:r>
        <w:rPr>
          <w:rFonts w:eastAsia="Calibri"/>
        </w:rPr>
        <w:t xml:space="preserve">CAISO is authorized to adjust a resource’s submitted energy bid downward to the level of the resource’s cost based bid, or Default Energy Bid, when the resource has been determined to wield Local Market Power.  The Local Market Power Mitigation procedure is administrated by an automated process integrated into the Day-Ahead and Real-Time Market systems.  This section describes the Local Market Power Mitigation procedure as it is applied to the EIM market.  Applicable portions of Sections 6 and 7 of the </w:t>
      </w:r>
      <w:hyperlink r:id="rId186" w:history="1">
        <w:r w:rsidRPr="00B406F1">
          <w:rPr>
            <w:rStyle w:val="Hyperlink"/>
            <w:rFonts w:eastAsia="Calibri"/>
            <w:b/>
          </w:rPr>
          <w:t>BPM for Market Operations</w:t>
        </w:r>
      </w:hyperlink>
      <w:r>
        <w:rPr>
          <w:rFonts w:eastAsia="Calibri"/>
        </w:rPr>
        <w:t xml:space="preserve"> describe the general operation and timeline of the Local Market Power Mitigation process for the Day-Ahead and Real-Time Markets, respectively.</w:t>
      </w:r>
    </w:p>
    <w:p w14:paraId="10B5EC99" w14:textId="77777777" w:rsidR="004C48E8" w:rsidRDefault="004C48E8" w:rsidP="004C48E8">
      <w:pPr>
        <w:spacing w:after="240" w:line="300" w:lineRule="auto"/>
        <w:rPr>
          <w:rFonts w:eastAsia="Calibri"/>
        </w:rPr>
      </w:pPr>
      <w:r>
        <w:rPr>
          <w:rFonts w:eastAsia="Calibri"/>
        </w:rPr>
        <w:lastRenderedPageBreak/>
        <w:t>As mentioned in the previous section, the Default Energy Bid is a resource’s cost-based bid that may be used in the event that the CAISO markets determine that the resource wields Local Market Power.  See also the</w:t>
      </w:r>
      <w:r w:rsidRPr="00A746D3">
        <w:rPr>
          <w:rFonts w:eastAsia="Calibri"/>
          <w:b/>
        </w:rPr>
        <w:t xml:space="preserve"> </w:t>
      </w:r>
      <w:hyperlink r:id="rId187" w:history="1">
        <w:r w:rsidRPr="00A746D3">
          <w:rPr>
            <w:rStyle w:val="Hyperlink"/>
            <w:rFonts w:eastAsia="Calibri"/>
            <w:b/>
          </w:rPr>
          <w:t>BPM for Market Instruments</w:t>
        </w:r>
      </w:hyperlink>
      <w:r>
        <w:rPr>
          <w:rFonts w:eastAsia="Calibri"/>
        </w:rPr>
        <w:t xml:space="preserve"> Appendix Attachment D for additional details.  </w:t>
      </w:r>
    </w:p>
    <w:p w14:paraId="2E426B38" w14:textId="77777777" w:rsidR="004C48E8" w:rsidRPr="004C48E8" w:rsidRDefault="004C48E8" w:rsidP="00831D03">
      <w:pPr>
        <w:pStyle w:val="ParaText"/>
        <w:rPr>
          <w:rFonts w:eastAsia="Calibri"/>
        </w:rPr>
      </w:pPr>
    </w:p>
    <w:p w14:paraId="451821AE" w14:textId="77777777" w:rsidR="008817D0" w:rsidRPr="008817D0" w:rsidRDefault="008817D0" w:rsidP="00C33762">
      <w:pPr>
        <w:pStyle w:val="Heading4"/>
        <w:spacing w:after="120" w:line="300" w:lineRule="auto"/>
        <w:rPr>
          <w:rFonts w:eastAsia="Calibri"/>
        </w:rPr>
      </w:pPr>
      <w:r w:rsidRPr="008817D0">
        <w:rPr>
          <w:rFonts w:eastAsia="Calibri"/>
        </w:rPr>
        <w:t xml:space="preserve">EIM Market Power Mitigation Procedure </w:t>
      </w:r>
    </w:p>
    <w:p w14:paraId="49D0DDFC" w14:textId="77777777" w:rsidR="008817D0" w:rsidRPr="00FC6F91" w:rsidRDefault="00E4613C" w:rsidP="00FC6F91">
      <w:pPr>
        <w:numPr>
          <w:ilvl w:val="0"/>
          <w:numId w:val="16"/>
        </w:numPr>
        <w:spacing w:line="300" w:lineRule="auto"/>
        <w:rPr>
          <w:rFonts w:eastAsia="Calibri"/>
        </w:rPr>
      </w:pPr>
      <w:r>
        <w:rPr>
          <w:rFonts w:eastAsia="Calibri"/>
        </w:rPr>
        <w:t>CA</w:t>
      </w:r>
      <w:r w:rsidR="008817D0" w:rsidRPr="008817D0">
        <w:rPr>
          <w:rFonts w:eastAsia="Calibri"/>
        </w:rPr>
        <w:t xml:space="preserve">ISO will use the same </w:t>
      </w:r>
      <w:r w:rsidR="002B55FD">
        <w:rPr>
          <w:rFonts w:eastAsia="Calibri"/>
        </w:rPr>
        <w:t>dynamic competitive path assessment (</w:t>
      </w:r>
      <w:r w:rsidR="008817D0" w:rsidRPr="008817D0">
        <w:rPr>
          <w:rFonts w:eastAsia="Calibri"/>
        </w:rPr>
        <w:t>DCPA</w:t>
      </w:r>
      <w:r w:rsidR="002B55FD">
        <w:rPr>
          <w:rFonts w:eastAsia="Calibri"/>
        </w:rPr>
        <w:t>)</w:t>
      </w:r>
      <w:r w:rsidR="008817D0" w:rsidRPr="008817D0">
        <w:rPr>
          <w:rFonts w:eastAsia="Calibri"/>
        </w:rPr>
        <w:t xml:space="preserve"> and LMPM methodology to mitigate energy bids from EIM Participating Resources in the RTM. DCPA will be conducted for each transmission constraint separately in each EIM Entity BAA, and LMPM may mitigate EIM Participating Resource bids for binding congestion separately in each EIM Entity BAA. Interties between BAAs are </w:t>
      </w:r>
      <w:r w:rsidR="005116F7">
        <w:rPr>
          <w:rFonts w:eastAsia="Calibri"/>
        </w:rPr>
        <w:t xml:space="preserve">not </w:t>
      </w:r>
      <w:r w:rsidR="00ED42BC">
        <w:rPr>
          <w:rFonts w:eastAsia="Calibri"/>
        </w:rPr>
        <w:t>subject to market power mitigation</w:t>
      </w:r>
      <w:r w:rsidR="005116F7">
        <w:rPr>
          <w:rFonts w:eastAsia="Calibri"/>
        </w:rPr>
        <w:t xml:space="preserve">, except for groups of interties which make up an EIM Transfer constraint, as explained further in </w:t>
      </w:r>
      <w:hyperlink w:anchor="_Locational_Marginal_Price" w:history="1">
        <w:r w:rsidR="005116F7" w:rsidRPr="004F3267">
          <w:rPr>
            <w:rStyle w:val="Hyperlink"/>
            <w:rFonts w:eastAsia="Calibri"/>
          </w:rPr>
          <w:t>section 10.3.4.3</w:t>
        </w:r>
      </w:hyperlink>
      <w:r w:rsidR="00ED42BC">
        <w:rPr>
          <w:rFonts w:eastAsia="Calibri"/>
        </w:rPr>
        <w:t>.</w:t>
      </w:r>
      <w:r w:rsidR="005116F7" w:rsidRPr="00FC6F91">
        <w:rPr>
          <w:rFonts w:eastAsia="Calibri"/>
        </w:rPr>
        <w:t xml:space="preserve"> </w:t>
      </w:r>
    </w:p>
    <w:p w14:paraId="6CE0FB37" w14:textId="77777777" w:rsidR="008817D0" w:rsidRPr="008817D0" w:rsidRDefault="008817D0" w:rsidP="00C33762">
      <w:pPr>
        <w:pStyle w:val="Heading4"/>
        <w:rPr>
          <w:rFonts w:eastAsia="Calibri"/>
        </w:rPr>
      </w:pPr>
      <w:r w:rsidRPr="008817D0">
        <w:rPr>
          <w:rFonts w:eastAsia="Calibri"/>
        </w:rPr>
        <w:t>Dynamic Competitive Path Assessment</w:t>
      </w:r>
    </w:p>
    <w:p w14:paraId="0E1251B0" w14:textId="77777777" w:rsidR="008817D0" w:rsidRPr="008817D0" w:rsidRDefault="008817D0" w:rsidP="008817D0">
      <w:pPr>
        <w:spacing w:after="240" w:line="300" w:lineRule="auto"/>
        <w:rPr>
          <w:rFonts w:eastAsia="Calibri"/>
        </w:rPr>
      </w:pPr>
      <w:r w:rsidRPr="008817D0">
        <w:rPr>
          <w:rFonts w:eastAsia="Calibri"/>
        </w:rPr>
        <w:t xml:space="preserve">CAISO shall conduct the dynamic competitive path assessment to determine for each EIM Entity Balancing Authority Area whether a path is competitive or non-competitive, consistent with </w:t>
      </w:r>
      <w:r w:rsidR="000D44E7">
        <w:rPr>
          <w:rFonts w:eastAsia="Calibri"/>
        </w:rPr>
        <w:t xml:space="preserve">Tariff </w:t>
      </w:r>
      <w:r w:rsidRPr="008817D0">
        <w:rPr>
          <w:rFonts w:eastAsia="Calibri"/>
        </w:rPr>
        <w:t>Section 39.7.2, except that:</w:t>
      </w:r>
    </w:p>
    <w:p w14:paraId="6FD48535" w14:textId="77777777" w:rsidR="008817D0" w:rsidRPr="008817D0" w:rsidRDefault="008817D0" w:rsidP="008817D0">
      <w:pPr>
        <w:numPr>
          <w:ilvl w:val="0"/>
          <w:numId w:val="106"/>
        </w:numPr>
        <w:spacing w:after="240" w:line="300" w:lineRule="auto"/>
        <w:rPr>
          <w:rFonts w:eastAsia="Calibri"/>
        </w:rPr>
      </w:pPr>
      <w:r w:rsidRPr="008817D0">
        <w:rPr>
          <w:rFonts w:eastAsia="Calibri"/>
        </w:rPr>
        <w:t>EIM Participating Resource Scheduling Coordinators shall sub</w:t>
      </w:r>
      <w:r w:rsidR="009D507A">
        <w:rPr>
          <w:rFonts w:eastAsia="Calibri"/>
        </w:rPr>
        <w:t xml:space="preserve">mit information required by </w:t>
      </w:r>
      <w:r w:rsidRPr="008817D0">
        <w:rPr>
          <w:rFonts w:eastAsia="Calibri"/>
        </w:rPr>
        <w:t>CAISO to perform dynamic competitive path assessment.</w:t>
      </w:r>
    </w:p>
    <w:p w14:paraId="47072BE7" w14:textId="77777777" w:rsidR="008817D0" w:rsidRPr="008817D0" w:rsidRDefault="008817D0" w:rsidP="008817D0">
      <w:pPr>
        <w:numPr>
          <w:ilvl w:val="0"/>
          <w:numId w:val="106"/>
        </w:numPr>
        <w:spacing w:after="240" w:line="300" w:lineRule="auto"/>
        <w:rPr>
          <w:rFonts w:eastAsia="Calibri"/>
        </w:rPr>
      </w:pPr>
      <w:r w:rsidRPr="008817D0">
        <w:rPr>
          <w:rFonts w:eastAsia="Calibri"/>
        </w:rPr>
        <w:t xml:space="preserve">The dynamic competitive path assessment shall not exclude EIM Participating Resources from the test used to determine the competitiveness of Transmission Constraints on the basis that they may be net buyers of energy in the </w:t>
      </w:r>
      <w:r w:rsidR="00FC30E3">
        <w:rPr>
          <w:rFonts w:eastAsia="Calibri"/>
        </w:rPr>
        <w:t>Real-Time</w:t>
      </w:r>
      <w:r w:rsidRPr="008817D0">
        <w:rPr>
          <w:rFonts w:eastAsia="Calibri"/>
        </w:rPr>
        <w:t xml:space="preserve"> Market. </w:t>
      </w:r>
    </w:p>
    <w:p w14:paraId="792C1B40" w14:textId="77777777" w:rsidR="008817D0" w:rsidRDefault="008817D0" w:rsidP="008817D0">
      <w:pPr>
        <w:numPr>
          <w:ilvl w:val="0"/>
          <w:numId w:val="106"/>
        </w:numPr>
        <w:spacing w:after="240" w:line="300" w:lineRule="auto"/>
        <w:rPr>
          <w:rFonts w:eastAsia="Calibri"/>
        </w:rPr>
      </w:pPr>
      <w:r w:rsidRPr="008817D0">
        <w:rPr>
          <w:rFonts w:eastAsia="Calibri"/>
        </w:rPr>
        <w:t>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r w:rsidR="005116F7">
        <w:rPr>
          <w:rFonts w:eastAsia="Calibri"/>
        </w:rPr>
        <w:t xml:space="preserve">  With that said, CAISO will </w:t>
      </w:r>
      <w:r w:rsidR="005116F7">
        <w:rPr>
          <w:rFonts w:eastAsia="Calibri"/>
        </w:rPr>
        <w:lastRenderedPageBreak/>
        <w:t xml:space="preserve">use a common Reference Bus for both the EIM and CAISO areas upon commencement of EIM operations.  See the </w:t>
      </w:r>
      <w:hyperlink r:id="rId188" w:history="1">
        <w:r w:rsidR="001E40B2" w:rsidRPr="00B406F1">
          <w:rPr>
            <w:rStyle w:val="Hyperlink"/>
            <w:rFonts w:eastAsia="Calibri"/>
            <w:b/>
          </w:rPr>
          <w:t>BPM for Market Operations</w:t>
        </w:r>
      </w:hyperlink>
      <w:r w:rsidR="005116F7">
        <w:rPr>
          <w:rFonts w:eastAsia="Calibri"/>
        </w:rPr>
        <w:t>, Section 6.5.1, for more information</w:t>
      </w:r>
      <w:r w:rsidR="007668BC">
        <w:rPr>
          <w:rFonts w:eastAsia="Calibri"/>
        </w:rPr>
        <w:t xml:space="preserve"> on Reference Bus selection</w:t>
      </w:r>
      <w:r w:rsidR="005116F7">
        <w:rPr>
          <w:rFonts w:eastAsia="Calibri"/>
        </w:rPr>
        <w:t>.</w:t>
      </w:r>
    </w:p>
    <w:p w14:paraId="237E76C9" w14:textId="489B535E" w:rsidR="00211D91" w:rsidRPr="006951C4" w:rsidRDefault="00F42CAB">
      <w:pPr>
        <w:numPr>
          <w:ilvl w:val="0"/>
          <w:numId w:val="106"/>
        </w:numPr>
        <w:spacing w:after="240" w:line="300" w:lineRule="auto"/>
        <w:rPr>
          <w:rFonts w:eastAsia="Calibri"/>
        </w:rPr>
      </w:pPr>
      <w:r>
        <w:rPr>
          <w:rFonts w:eastAsia="Calibri"/>
        </w:rPr>
        <w:t>I</w:t>
      </w:r>
      <w:r w:rsidR="00D323B6" w:rsidRPr="00211D91">
        <w:rPr>
          <w:rFonts w:eastAsia="Calibri"/>
        </w:rPr>
        <w:t>n case</w:t>
      </w:r>
      <w:r w:rsidR="00D323B6" w:rsidRPr="0053405B">
        <w:rPr>
          <w:rFonts w:eastAsia="Calibri"/>
        </w:rPr>
        <w:t xml:space="preserve"> </w:t>
      </w:r>
      <w:r>
        <w:t xml:space="preserve">EIM Upward and Downward Available Balancing Capacity </w:t>
      </w:r>
      <w:r w:rsidR="00D323B6" w:rsidRPr="0053405B">
        <w:rPr>
          <w:rFonts w:eastAsia="Calibri"/>
        </w:rPr>
        <w:t>is dispatched in an EIM BAA to resolve power balance infeasibility in that BAA, the EIM Transfer for that EIM BAA will be constrained in the import direction. If this constraint is assessed to be non-competitive, the energy bids of all EIM Participating Resources in that EIM BAA would be subject to Market Power Mitigation (MPM)</w:t>
      </w:r>
      <w:r>
        <w:rPr>
          <w:rFonts w:eastAsia="Calibri"/>
        </w:rPr>
        <w:t>.  Therefore</w:t>
      </w:r>
      <w:r w:rsidR="00D323B6" w:rsidRPr="0053405B">
        <w:rPr>
          <w:rFonts w:eastAsia="Calibri"/>
        </w:rPr>
        <w:t xml:space="preserve"> the energy bids used for </w:t>
      </w:r>
      <w:r>
        <w:t>EIM Upward Available Balancing Capacity</w:t>
      </w:r>
      <w:r w:rsidR="00D323B6" w:rsidRPr="0053405B">
        <w:rPr>
          <w:rFonts w:eastAsia="Calibri"/>
        </w:rPr>
        <w:t xml:space="preserve"> dispatch would be mitigated. Note that according to existing MPM rules, the entire energy bid would be mitigated for the entire Trading Hour irrespective of the amount of </w:t>
      </w:r>
      <w:r>
        <w:t>EIM Available Balancing Capacity</w:t>
      </w:r>
      <w:r w:rsidR="00D323B6" w:rsidRPr="0053405B">
        <w:rPr>
          <w:rFonts w:eastAsia="Calibri"/>
        </w:rPr>
        <w:t xml:space="preserve"> dispatch. </w:t>
      </w:r>
    </w:p>
    <w:p w14:paraId="459FC94C" w14:textId="77777777" w:rsidR="008817D0" w:rsidRPr="008817D0" w:rsidRDefault="008817D0" w:rsidP="00C33762">
      <w:pPr>
        <w:pStyle w:val="Heading4"/>
        <w:rPr>
          <w:rFonts w:eastAsia="Calibri"/>
        </w:rPr>
      </w:pPr>
      <w:bookmarkStart w:id="1980" w:name="_Locational_Marginal_Price"/>
      <w:bookmarkEnd w:id="1980"/>
      <w:r w:rsidRPr="008817D0">
        <w:rPr>
          <w:rFonts w:eastAsia="Calibri"/>
        </w:rPr>
        <w:t xml:space="preserve">Locational Marginal Price Decomposition  </w:t>
      </w:r>
    </w:p>
    <w:p w14:paraId="1DFA3F01" w14:textId="77777777" w:rsidR="008817D0" w:rsidRPr="008817D0" w:rsidRDefault="008817D0" w:rsidP="008817D0">
      <w:pPr>
        <w:spacing w:after="240" w:line="300" w:lineRule="auto"/>
        <w:rPr>
          <w:rFonts w:eastAsia="Calibri"/>
        </w:rPr>
      </w:pPr>
      <w:r w:rsidRPr="008817D0">
        <w:rPr>
          <w:rFonts w:eastAsia="Calibri"/>
        </w:rPr>
        <w:t xml:space="preserve">CAISO shall perform the Locational Marginal Price decomposition for each EIM Entity Balancing Authority Area using the results of the dynamic competitive path assessment and the Congestion pricing results of the pre-market run to determine which resources may have local market power due to Congestion on a non-competitive Transmission Constraint, consistent with </w:t>
      </w:r>
      <w:r w:rsidR="00BD6784">
        <w:rPr>
          <w:rFonts w:eastAsia="Calibri"/>
        </w:rPr>
        <w:t xml:space="preserve">CAISO Tariff </w:t>
      </w:r>
      <w:r w:rsidRPr="008817D0">
        <w:rPr>
          <w:rFonts w:eastAsia="Calibri"/>
        </w:rPr>
        <w:t>Sections 34.2.3 and 39.7, except that:</w:t>
      </w:r>
    </w:p>
    <w:p w14:paraId="244FCD66" w14:textId="77777777" w:rsidR="008817D0" w:rsidRPr="008817D0" w:rsidRDefault="008817D0" w:rsidP="008817D0">
      <w:pPr>
        <w:numPr>
          <w:ilvl w:val="0"/>
          <w:numId w:val="27"/>
        </w:numPr>
        <w:spacing w:after="240" w:line="300" w:lineRule="auto"/>
        <w:rPr>
          <w:rFonts w:eastAsia="Calibri"/>
        </w:rPr>
      </w:pPr>
      <w:r w:rsidRPr="008817D0">
        <w:rPr>
          <w:rFonts w:eastAsia="Calibri"/>
        </w:rPr>
        <w:t xml:space="preserve">CAISO will not mitigate resource bids for scheduling limit constraints with Balancing Authority Areas that do not participate in the EIM;  </w:t>
      </w:r>
    </w:p>
    <w:p w14:paraId="24879933" w14:textId="77777777" w:rsidR="008817D0" w:rsidRPr="008817D0" w:rsidRDefault="008817D0" w:rsidP="008817D0">
      <w:pPr>
        <w:numPr>
          <w:ilvl w:val="0"/>
          <w:numId w:val="27"/>
        </w:numPr>
        <w:spacing w:after="240" w:line="300" w:lineRule="auto"/>
        <w:rPr>
          <w:rFonts w:eastAsia="Calibri"/>
        </w:rPr>
      </w:pPr>
      <w:r w:rsidRPr="008817D0">
        <w:rPr>
          <w:rFonts w:eastAsia="Calibri"/>
        </w:rPr>
        <w:t>The Locational Marginal Price decomposition shall only be triggered if the resource is effective at relieving an uncompetitive constraint within the same Balancing Authority Area in which the resource is l</w:t>
      </w:r>
      <w:r w:rsidR="007970DF">
        <w:rPr>
          <w:rFonts w:eastAsia="Calibri"/>
        </w:rPr>
        <w:t xml:space="preserve">ocated, except as described in </w:t>
      </w:r>
      <w:r w:rsidR="000D44E7">
        <w:rPr>
          <w:rFonts w:eastAsia="Calibri"/>
        </w:rPr>
        <w:t xml:space="preserve">Tariff </w:t>
      </w:r>
      <w:r w:rsidR="007970DF">
        <w:rPr>
          <w:rFonts w:eastAsia="Calibri"/>
        </w:rPr>
        <w:t>S</w:t>
      </w:r>
      <w:r w:rsidRPr="008817D0">
        <w:rPr>
          <w:rFonts w:eastAsia="Calibri"/>
        </w:rPr>
        <w:t xml:space="preserve">ection 29.39(c)(4); </w:t>
      </w:r>
    </w:p>
    <w:p w14:paraId="010CF686" w14:textId="77777777" w:rsidR="008817D0" w:rsidRPr="008817D0" w:rsidRDefault="008817D0" w:rsidP="008817D0">
      <w:pPr>
        <w:numPr>
          <w:ilvl w:val="0"/>
          <w:numId w:val="27"/>
        </w:numPr>
        <w:spacing w:after="240" w:line="300" w:lineRule="auto"/>
        <w:rPr>
          <w:rFonts w:eastAsia="Calibri"/>
        </w:rPr>
      </w:pPr>
      <w:r w:rsidRPr="008817D0">
        <w:rPr>
          <w:rFonts w:eastAsia="Calibri"/>
        </w:rPr>
        <w:t xml:space="preserve">EIM Resources shall be mitigated to relieve congestion on uncompetitive constraints within the same Balancing Authority Area in which the EIM Resources are located except as described in </w:t>
      </w:r>
      <w:r w:rsidR="000D44E7">
        <w:rPr>
          <w:rFonts w:eastAsia="Calibri"/>
        </w:rPr>
        <w:t xml:space="preserve">Tariff </w:t>
      </w:r>
      <w:r w:rsidRPr="008817D0">
        <w:rPr>
          <w:rFonts w:eastAsia="Calibri"/>
        </w:rPr>
        <w:t>Section 29.39(c)(4); and</w:t>
      </w:r>
    </w:p>
    <w:p w14:paraId="695A209C" w14:textId="77777777" w:rsidR="008817D0" w:rsidRPr="008817D0" w:rsidRDefault="008817D0" w:rsidP="008817D0">
      <w:pPr>
        <w:numPr>
          <w:ilvl w:val="0"/>
          <w:numId w:val="27"/>
        </w:numPr>
        <w:spacing w:after="240" w:line="300" w:lineRule="auto"/>
        <w:rPr>
          <w:rFonts w:eastAsia="Calibri"/>
        </w:rPr>
      </w:pPr>
      <w:r w:rsidRPr="008817D0">
        <w:rPr>
          <w:rFonts w:eastAsia="Calibri"/>
        </w:rPr>
        <w:lastRenderedPageBreak/>
        <w:t>EIM Transfer constraints into an EIM Entity Balancing Authority Area on an EIM Internal Intertie shall be included in the Market Pow</w:t>
      </w:r>
      <w:r w:rsidR="000C19F0">
        <w:rPr>
          <w:rFonts w:eastAsia="Calibri"/>
        </w:rPr>
        <w:t xml:space="preserve">er Mitigation procedures if </w:t>
      </w:r>
      <w:r w:rsidRPr="008817D0">
        <w:rPr>
          <w:rFonts w:eastAsia="Calibri"/>
        </w:rPr>
        <w:t>CAISO determines that EIM Entity Balancing Authority Area market power exists based on a structural competitiveness assessment of an individual or group of EIM Balancing Authority Areas in the EIM Area, provided such authority has been granted by the CAISO Governing Board based on the assessment of structural competiveness.</w:t>
      </w:r>
    </w:p>
    <w:p w14:paraId="41A1E7C6" w14:textId="77777777" w:rsidR="001555AC" w:rsidRPr="004B5C2B" w:rsidRDefault="001555AC" w:rsidP="008817D0">
      <w:pPr>
        <w:numPr>
          <w:ilvl w:val="0"/>
          <w:numId w:val="27"/>
        </w:numPr>
        <w:spacing w:after="240" w:line="300" w:lineRule="auto"/>
        <w:rPr>
          <w:rFonts w:eastAsia="Calibri"/>
          <w:color w:val="000000" w:themeColor="text1"/>
        </w:rPr>
      </w:pPr>
      <w:bookmarkStart w:id="1981" w:name="_Toc390946296"/>
      <w:bookmarkStart w:id="1982" w:name="_Toc391969857"/>
      <w:r w:rsidRPr="004B5C2B">
        <w:rPr>
          <w:color w:val="000000" w:themeColor="text1"/>
        </w:rPr>
        <w:t>EIM Transfer constraints that are included in the market power mitigation procedures are represented in the LMP decomposition by the EIM BAA specific power balance constraints. The shadow price of the BAA specific power balance constraint is equal to the sum of the shadow prices of the relevant set of EIM transfer constraints.  The shadow price on the EIM BAA specific power balance constraint will be included in the LMP decomposition as either competitive congestion costs or non-competitive congestion costs depending on whether the constraint is deemed competitive or non-competitive.</w:t>
      </w:r>
    </w:p>
    <w:p w14:paraId="7B4579D5" w14:textId="77777777" w:rsidR="008817D0" w:rsidRPr="008817D0" w:rsidRDefault="008817D0" w:rsidP="00C33762">
      <w:pPr>
        <w:pStyle w:val="Heading3"/>
        <w:rPr>
          <w:rFonts w:eastAsia="Calibri"/>
        </w:rPr>
      </w:pPr>
      <w:bookmarkStart w:id="1983" w:name="_Toc460320466"/>
      <w:r w:rsidRPr="008817D0">
        <w:rPr>
          <w:rFonts w:eastAsia="Calibri"/>
        </w:rPr>
        <w:t>Default Energy Bids</w:t>
      </w:r>
      <w:bookmarkEnd w:id="1981"/>
      <w:bookmarkEnd w:id="1982"/>
      <w:bookmarkEnd w:id="1983"/>
    </w:p>
    <w:p w14:paraId="335FD797" w14:textId="09DA15A4" w:rsidR="00EB114F" w:rsidRDefault="008817D0" w:rsidP="005C74BF">
      <w:pPr>
        <w:spacing w:after="240" w:line="300" w:lineRule="auto"/>
        <w:rPr>
          <w:rFonts w:eastAsia="Calibri"/>
        </w:rPr>
      </w:pPr>
      <w:r w:rsidRPr="008817D0">
        <w:rPr>
          <w:rFonts w:eastAsia="Calibri"/>
        </w:rPr>
        <w:t xml:space="preserve">CAISO shall use the methods and standards set forth in Section 39.7 of the </w:t>
      </w:r>
      <w:r w:rsidR="00D41801">
        <w:rPr>
          <w:rFonts w:eastAsia="Calibri"/>
        </w:rPr>
        <w:t>CA</w:t>
      </w:r>
      <w:r w:rsidRPr="008817D0">
        <w:rPr>
          <w:rFonts w:eastAsia="Calibri"/>
        </w:rPr>
        <w:t>ISO Tariff to determine Default Energy Bids for EIM Participating Resources.</w:t>
      </w:r>
      <w:r w:rsidR="00211D91" w:rsidRPr="00211D91">
        <w:rPr>
          <w:rFonts w:eastAsia="Calibri"/>
        </w:rPr>
        <w:t xml:space="preserve"> </w:t>
      </w:r>
      <w:r w:rsidR="00211D91">
        <w:rPr>
          <w:rFonts w:eastAsia="Calibri"/>
        </w:rPr>
        <w:t xml:space="preserve">Please note that default energy bids are also used for EIM Non Participating Resources </w:t>
      </w:r>
      <w:r w:rsidR="004B5C2B">
        <w:rPr>
          <w:rFonts w:eastAsia="Calibri"/>
        </w:rPr>
        <w:t>that the EIM Entity Scheduling Coordinator has identified as</w:t>
      </w:r>
      <w:r w:rsidR="004B5C2B" w:rsidDel="004B5C2B">
        <w:rPr>
          <w:rFonts w:eastAsia="Calibri"/>
        </w:rPr>
        <w:t xml:space="preserve"> </w:t>
      </w:r>
      <w:r w:rsidR="005A0611">
        <w:rPr>
          <w:rFonts w:eastAsia="Calibri"/>
        </w:rPr>
        <w:t>available balancing</w:t>
      </w:r>
      <w:r w:rsidR="00211D91">
        <w:rPr>
          <w:rFonts w:eastAsia="Calibri"/>
        </w:rPr>
        <w:t>.</w:t>
      </w:r>
    </w:p>
    <w:p w14:paraId="7EDE9564" w14:textId="77777777" w:rsidR="008817D0" w:rsidRPr="008817D0" w:rsidRDefault="008817D0" w:rsidP="00C33762">
      <w:pPr>
        <w:pStyle w:val="Heading3"/>
        <w:rPr>
          <w:rFonts w:eastAsia="Calibri"/>
        </w:rPr>
      </w:pPr>
      <w:bookmarkStart w:id="1984" w:name="_Toc390946297"/>
      <w:bookmarkStart w:id="1985" w:name="_Toc391969858"/>
      <w:bookmarkStart w:id="1986" w:name="_Toc460320467"/>
      <w:r w:rsidRPr="008817D0">
        <w:rPr>
          <w:rFonts w:eastAsia="Calibri"/>
        </w:rPr>
        <w:t>Compensating Injections in the RTM</w:t>
      </w:r>
      <w:bookmarkEnd w:id="1984"/>
      <w:bookmarkEnd w:id="1985"/>
      <w:bookmarkEnd w:id="1986"/>
    </w:p>
    <w:p w14:paraId="3C161FDB" w14:textId="77777777" w:rsidR="008817D0" w:rsidRDefault="008817D0" w:rsidP="008817D0">
      <w:pPr>
        <w:spacing w:after="240" w:line="300" w:lineRule="auto"/>
        <w:rPr>
          <w:rFonts w:eastAsia="Calibri"/>
        </w:rPr>
      </w:pPr>
      <w:r w:rsidRPr="008817D0">
        <w:rPr>
          <w:rFonts w:eastAsia="Calibri"/>
        </w:rPr>
        <w:t xml:space="preserve">Compensating Injections will be modeled at applicable points defined at the Full Network Model (FNM) boundary in the </w:t>
      </w:r>
      <w:r w:rsidR="00FC30E3">
        <w:rPr>
          <w:rFonts w:eastAsia="Calibri"/>
        </w:rPr>
        <w:t>Real-Time</w:t>
      </w:r>
      <w:r w:rsidRPr="008817D0">
        <w:rPr>
          <w:rFonts w:eastAsia="Calibri"/>
        </w:rPr>
        <w:t xml:space="preserve"> Market (RTM). These Compensating Injections would be calculated by a methodology that would adjust </w:t>
      </w:r>
      <w:r w:rsidR="00FC30E3">
        <w:rPr>
          <w:rFonts w:eastAsia="Calibri"/>
        </w:rPr>
        <w:t>the Compensating Injections in Real-Time</w:t>
      </w:r>
      <w:r w:rsidRPr="008817D0">
        <w:rPr>
          <w:rFonts w:eastAsia="Calibri"/>
        </w:rPr>
        <w:t xml:space="preserve"> so that the net schedule contributions on interties match the corresponding intertie measurements.</w:t>
      </w:r>
      <w:r w:rsidR="008F1740">
        <w:rPr>
          <w:rFonts w:eastAsia="Calibri"/>
        </w:rPr>
        <w:t xml:space="preserve">  See the </w:t>
      </w:r>
      <w:hyperlink r:id="rId189" w:history="1">
        <w:r w:rsidR="001E40B2" w:rsidRPr="00877DDB">
          <w:rPr>
            <w:rStyle w:val="Hyperlink"/>
            <w:rFonts w:eastAsia="Calibri"/>
            <w:color w:val="000000" w:themeColor="text1"/>
          </w:rPr>
          <w:t>BPM for Market Operations</w:t>
        </w:r>
      </w:hyperlink>
      <w:r w:rsidR="008F1740" w:rsidRPr="00877DDB">
        <w:rPr>
          <w:rFonts w:eastAsia="Calibri"/>
          <w:color w:val="000000" w:themeColor="text1"/>
        </w:rPr>
        <w:t xml:space="preserve">, </w:t>
      </w:r>
      <w:r w:rsidR="000D44E7">
        <w:rPr>
          <w:rFonts w:eastAsia="Calibri"/>
        </w:rPr>
        <w:t>S</w:t>
      </w:r>
      <w:r w:rsidR="008F1740">
        <w:rPr>
          <w:rFonts w:eastAsia="Calibri"/>
        </w:rPr>
        <w:t>ection 7.5.1.1 for a description of how compensating injections are used in the market.</w:t>
      </w:r>
    </w:p>
    <w:p w14:paraId="37D0D838" w14:textId="77777777" w:rsidR="008817D0" w:rsidRPr="008817D0" w:rsidRDefault="008817D0" w:rsidP="00C33762">
      <w:pPr>
        <w:pStyle w:val="Heading3"/>
        <w:rPr>
          <w:rFonts w:eastAsia="Calibri"/>
        </w:rPr>
      </w:pPr>
      <w:bookmarkStart w:id="1987" w:name="_Toc390946298"/>
      <w:bookmarkStart w:id="1988" w:name="_Toc391969859"/>
      <w:bookmarkStart w:id="1989" w:name="_Toc460320468"/>
      <w:r w:rsidRPr="008817D0">
        <w:rPr>
          <w:rFonts w:eastAsia="Calibri"/>
        </w:rPr>
        <w:lastRenderedPageBreak/>
        <w:t>Manual Dispatch</w:t>
      </w:r>
      <w:bookmarkEnd w:id="1940"/>
      <w:bookmarkEnd w:id="1987"/>
      <w:bookmarkEnd w:id="1988"/>
      <w:bookmarkEnd w:id="1989"/>
      <w:r w:rsidRPr="008817D0">
        <w:rPr>
          <w:rFonts w:eastAsia="Calibri"/>
        </w:rPr>
        <w:tab/>
      </w:r>
    </w:p>
    <w:p w14:paraId="6203B701" w14:textId="77777777" w:rsidR="002C20D4" w:rsidRDefault="00673349" w:rsidP="008817D0">
      <w:pPr>
        <w:spacing w:after="240" w:line="300" w:lineRule="auto"/>
        <w:rPr>
          <w:rFonts w:eastAsia="Calibri"/>
        </w:rPr>
      </w:pPr>
      <w:r>
        <w:rPr>
          <w:rFonts w:eastAsia="Calibri"/>
        </w:rPr>
        <w:t>Manual d</w:t>
      </w:r>
      <w:r w:rsidR="002C20D4">
        <w:rPr>
          <w:rFonts w:eastAsia="Calibri"/>
        </w:rPr>
        <w:t xml:space="preserve">ispatches refer to a manual override of an EIM market dispatch in cases where the EIM Entity BAA recognizes a need to adjust the dispatch.  Reasons for a manual dispatch include, but are not limited to: congestion management not otherwise handled by the EIM market systems, response to contingency events, implementation of unscheduled loop flow procedures, </w:t>
      </w:r>
      <w:r>
        <w:rPr>
          <w:rFonts w:eastAsia="Calibri"/>
        </w:rPr>
        <w:t xml:space="preserve">or to comply with orders from a reliability coordinator.  </w:t>
      </w:r>
    </w:p>
    <w:p w14:paraId="43909953" w14:textId="77777777" w:rsidR="008817D0" w:rsidRPr="008817D0" w:rsidRDefault="008817D0" w:rsidP="008817D0">
      <w:pPr>
        <w:spacing w:after="240" w:line="300" w:lineRule="auto"/>
        <w:rPr>
          <w:rFonts w:eastAsia="Calibri"/>
        </w:rPr>
      </w:pPr>
      <w:r w:rsidRPr="008817D0">
        <w:rPr>
          <w:rFonts w:eastAsia="Calibri"/>
        </w:rPr>
        <w:t>EIM Entity BAA must inform CAISO RTM of any manual dispatch within its area</w:t>
      </w:r>
      <w:r w:rsidR="00F22DBD">
        <w:rPr>
          <w:rFonts w:eastAsia="Calibri"/>
        </w:rPr>
        <w:t xml:space="preserve"> which includes both participating and non-participating resources in the EIM BAA</w:t>
      </w:r>
      <w:r w:rsidRPr="008817D0">
        <w:rPr>
          <w:rFonts w:eastAsia="Calibri"/>
        </w:rPr>
        <w:t>. The market will reflect the dispatch in the next RTD run whenever possible.  CAISO will provide a software tool that will</w:t>
      </w:r>
      <w:r w:rsidR="004F6C0A">
        <w:rPr>
          <w:rFonts w:eastAsia="Calibri"/>
        </w:rPr>
        <w:t xml:space="preserve"> allow the EIM Entity operator</w:t>
      </w:r>
      <w:r w:rsidRPr="008817D0">
        <w:rPr>
          <w:rFonts w:eastAsia="Calibri"/>
        </w:rPr>
        <w:t xml:space="preserve"> to enter a Manual Dispatch.  The manual dispatch will include information such as resource name, start and end time, and megawatt constraint values.  </w:t>
      </w:r>
      <w:r w:rsidR="009D4FFA" w:rsidRPr="008817D0">
        <w:rPr>
          <w:rFonts w:eastAsia="Calibri"/>
        </w:rPr>
        <w:t xml:space="preserve">The EIM Entity </w:t>
      </w:r>
      <w:r w:rsidR="009D4FFA">
        <w:rPr>
          <w:rFonts w:eastAsia="Calibri"/>
        </w:rPr>
        <w:t>operator</w:t>
      </w:r>
      <w:r w:rsidR="009D4FFA" w:rsidRPr="008817D0">
        <w:rPr>
          <w:rFonts w:eastAsia="Calibri"/>
        </w:rPr>
        <w:t xml:space="preserve"> shall enter this information as soon as possible.</w:t>
      </w:r>
      <w:r w:rsidR="009D4FFA">
        <w:rPr>
          <w:rFonts w:eastAsia="Calibri"/>
        </w:rPr>
        <w:t xml:space="preserve">  Once entered, t</w:t>
      </w:r>
      <w:r w:rsidRPr="008817D0">
        <w:rPr>
          <w:rFonts w:eastAsia="Calibri"/>
        </w:rPr>
        <w:t>he EIM Entity operator has the ability to modify the instruction while it is still active</w:t>
      </w:r>
      <w:r w:rsidR="004F6C0A">
        <w:rPr>
          <w:rFonts w:eastAsia="Calibri"/>
        </w:rPr>
        <w:t>;</w:t>
      </w:r>
      <w:r w:rsidR="009D4FFA">
        <w:rPr>
          <w:rFonts w:eastAsia="Calibri"/>
        </w:rPr>
        <w:t xml:space="preserve"> for example</w:t>
      </w:r>
      <w:r w:rsidR="004F6C0A">
        <w:rPr>
          <w:rFonts w:eastAsia="Calibri"/>
        </w:rPr>
        <w:t>,</w:t>
      </w:r>
      <w:r w:rsidR="009D4FFA">
        <w:rPr>
          <w:rFonts w:eastAsia="Calibri"/>
        </w:rPr>
        <w:t xml:space="preserve"> extending the time of the dispatch</w:t>
      </w:r>
      <w:r w:rsidRPr="008817D0">
        <w:rPr>
          <w:rFonts w:eastAsia="Calibri"/>
        </w:rPr>
        <w:t xml:space="preserve">.  </w:t>
      </w:r>
    </w:p>
    <w:p w14:paraId="1D56D793" w14:textId="77777777" w:rsidR="008817D0" w:rsidRPr="008817D0" w:rsidRDefault="001B06BF" w:rsidP="008817D0">
      <w:pPr>
        <w:spacing w:after="240" w:line="300" w:lineRule="auto"/>
        <w:rPr>
          <w:rFonts w:eastAsia="Calibri"/>
        </w:rPr>
      </w:pPr>
      <w:r>
        <w:rPr>
          <w:rFonts w:eastAsia="Calibri"/>
        </w:rPr>
        <w:t xml:space="preserve">Once received by CAISO, </w:t>
      </w:r>
      <w:r w:rsidR="008817D0" w:rsidRPr="008817D0">
        <w:rPr>
          <w:rFonts w:eastAsia="Calibri"/>
        </w:rPr>
        <w:t>CAISO will dispatch the resource in the next applicable market interval in accordance with the manual dispatch</w:t>
      </w:r>
      <w:r w:rsidR="00673349">
        <w:rPr>
          <w:rFonts w:eastAsia="Calibri"/>
        </w:rPr>
        <w:t>.  Note that the market systems</w:t>
      </w:r>
      <w:r w:rsidR="008817D0" w:rsidRPr="008817D0">
        <w:rPr>
          <w:rFonts w:eastAsia="Calibri"/>
        </w:rPr>
        <w:t xml:space="preserve"> </w:t>
      </w:r>
      <w:r w:rsidR="00673349">
        <w:rPr>
          <w:rFonts w:eastAsia="Calibri"/>
        </w:rPr>
        <w:t>will</w:t>
      </w:r>
      <w:r w:rsidR="00673349" w:rsidRPr="008817D0">
        <w:rPr>
          <w:rFonts w:eastAsia="Calibri"/>
        </w:rPr>
        <w:t xml:space="preserve"> </w:t>
      </w:r>
      <w:r w:rsidR="008817D0" w:rsidRPr="008817D0">
        <w:rPr>
          <w:rFonts w:eastAsia="Calibri"/>
        </w:rPr>
        <w:t>still honor resource constraints.</w:t>
      </w:r>
      <w:r w:rsidR="00673349">
        <w:rPr>
          <w:rFonts w:eastAsia="Calibri"/>
        </w:rPr>
        <w:t xml:space="preserve">  For example, the market systems may take several intervals to dispatch a resource to </w:t>
      </w:r>
      <w:r w:rsidR="007668BC">
        <w:rPr>
          <w:rFonts w:eastAsia="Calibri"/>
        </w:rPr>
        <w:t xml:space="preserve">be within </w:t>
      </w:r>
      <w:r w:rsidR="00673349">
        <w:rPr>
          <w:rFonts w:eastAsia="Calibri"/>
        </w:rPr>
        <w:t xml:space="preserve">the manual dispatch </w:t>
      </w:r>
      <w:r w:rsidR="007668BC">
        <w:rPr>
          <w:rFonts w:eastAsia="Calibri"/>
        </w:rPr>
        <w:t>constraint range if</w:t>
      </w:r>
      <w:r w:rsidR="00673349">
        <w:rPr>
          <w:rFonts w:eastAsia="Calibri"/>
        </w:rPr>
        <w:t xml:space="preserve"> the resource is limited by ramp rate capability.  </w:t>
      </w:r>
    </w:p>
    <w:p w14:paraId="2798F4C0" w14:textId="6FAD011D" w:rsidR="006F6776" w:rsidRDefault="00F42CAB" w:rsidP="006F6776">
      <w:pPr>
        <w:pStyle w:val="Heading3"/>
        <w:rPr>
          <w:rFonts w:eastAsia="Calibri"/>
        </w:rPr>
      </w:pPr>
      <w:bookmarkStart w:id="1990" w:name="_Toc460320469"/>
      <w:bookmarkStart w:id="1991" w:name="_Toc390869270"/>
      <w:bookmarkStart w:id="1992" w:name="_Toc390946299"/>
      <w:bookmarkStart w:id="1993" w:name="_Toc391969860"/>
      <w:r>
        <w:rPr>
          <w:rFonts w:eastAsia="Calibri"/>
        </w:rPr>
        <w:t>Load Forecast Operator Adjustments</w:t>
      </w:r>
      <w:bookmarkEnd w:id="1990"/>
    </w:p>
    <w:p w14:paraId="31F23521" w14:textId="76ECEEE1" w:rsidR="006F6776" w:rsidRDefault="00F42CAB" w:rsidP="00877DDB">
      <w:pPr>
        <w:autoSpaceDE w:val="0"/>
        <w:autoSpaceDN w:val="0"/>
        <w:adjustRightInd w:val="0"/>
        <w:spacing w:after="240" w:line="300" w:lineRule="auto"/>
        <w:rPr>
          <w:rFonts w:eastAsia="Calibri"/>
        </w:rPr>
      </w:pPr>
      <w:r>
        <w:rPr>
          <w:rFonts w:eastAsia="Calibri"/>
        </w:rPr>
        <w:t>The EIM BAA operators, like the CAISO operators may</w:t>
      </w:r>
      <w:r w:rsidR="006F6776">
        <w:rPr>
          <w:rFonts w:eastAsia="Calibri"/>
        </w:rPr>
        <w:t xml:space="preserve"> adjust –upwards or downwards- the load forecast of either the fifteen- and five-minute market used in the market clearing process to reflect the system needs and conditions.  </w:t>
      </w:r>
      <w:r w:rsidR="006F6776" w:rsidRPr="006F6776">
        <w:rPr>
          <w:rFonts w:eastAsia="Calibri"/>
        </w:rPr>
        <w:t>However, the operator adjustments to load forecasts tend to be coarse adjustments</w:t>
      </w:r>
      <w:r>
        <w:rPr>
          <w:rFonts w:eastAsia="Calibri"/>
        </w:rPr>
        <w:t xml:space="preserve"> and the </w:t>
      </w:r>
      <w:r w:rsidR="006F6776" w:rsidRPr="006F6776">
        <w:rPr>
          <w:rFonts w:eastAsia="Calibri"/>
        </w:rPr>
        <w:t xml:space="preserve">the operator cannot know at </w:t>
      </w:r>
      <w:r>
        <w:rPr>
          <w:rFonts w:eastAsia="Calibri"/>
        </w:rPr>
        <w:t xml:space="preserve">the time the adjustment is made </w:t>
      </w:r>
      <w:r w:rsidR="006F6776" w:rsidRPr="006F6776">
        <w:rPr>
          <w:rFonts w:eastAsia="Calibri"/>
        </w:rPr>
        <w:t xml:space="preserve"> exactly what </w:t>
      </w:r>
      <w:r>
        <w:rPr>
          <w:rFonts w:eastAsia="Calibri"/>
        </w:rPr>
        <w:t xml:space="preserve">will be </w:t>
      </w:r>
      <w:r w:rsidR="006F6776" w:rsidRPr="006F6776">
        <w:rPr>
          <w:rFonts w:eastAsia="Calibri"/>
        </w:rPr>
        <w:t>the system ramp</w:t>
      </w:r>
      <w:r>
        <w:rPr>
          <w:rFonts w:eastAsia="Calibri"/>
        </w:rPr>
        <w:t xml:space="preserve">.  Therefore, </w:t>
      </w:r>
      <w:r w:rsidR="006F6776" w:rsidRPr="006F6776">
        <w:rPr>
          <w:rFonts w:eastAsia="Calibri"/>
        </w:rPr>
        <w:t xml:space="preserve">in making the adjustment, </w:t>
      </w:r>
      <w:r>
        <w:rPr>
          <w:rFonts w:eastAsia="Calibri"/>
        </w:rPr>
        <w:t xml:space="preserve">the operator could cause the load forecast to </w:t>
      </w:r>
      <w:r w:rsidR="006F6776" w:rsidRPr="006F6776">
        <w:rPr>
          <w:rFonts w:eastAsia="Calibri"/>
        </w:rPr>
        <w:t xml:space="preserve">exceed the system’s ability to respond. Such coarse adjustments, if more than necessary, can produce </w:t>
      </w:r>
      <w:r>
        <w:rPr>
          <w:rFonts w:eastAsia="Calibri"/>
        </w:rPr>
        <w:t>unnecessary</w:t>
      </w:r>
      <w:r w:rsidR="006F6776" w:rsidRPr="006F6776">
        <w:rPr>
          <w:rFonts w:eastAsia="Calibri"/>
        </w:rPr>
        <w:t xml:space="preserve"> infeasible market solutions. To prevent such over-adjustment</w:t>
      </w:r>
      <w:r>
        <w:rPr>
          <w:rFonts w:eastAsia="Calibri"/>
        </w:rPr>
        <w:t>s</w:t>
      </w:r>
      <w:r w:rsidR="006F6776" w:rsidRPr="006F6776">
        <w:rPr>
          <w:rFonts w:eastAsia="Calibri"/>
        </w:rPr>
        <w:t xml:space="preserve">, the CAISO employs a </w:t>
      </w:r>
      <w:r>
        <w:rPr>
          <w:rFonts w:eastAsia="Calibri"/>
        </w:rPr>
        <w:t xml:space="preserve">feature that limits the load forecast adjustment </w:t>
      </w:r>
      <w:r w:rsidR="006F6776" w:rsidRPr="006F6776">
        <w:rPr>
          <w:rFonts w:eastAsia="Calibri"/>
        </w:rPr>
        <w:t>in the CAISO</w:t>
      </w:r>
      <w:r>
        <w:rPr>
          <w:rFonts w:eastAsia="Calibri"/>
        </w:rPr>
        <w:t xml:space="preserve"> and EIM</w:t>
      </w:r>
      <w:r w:rsidR="006F6776" w:rsidRPr="006F6776">
        <w:rPr>
          <w:rFonts w:eastAsia="Calibri"/>
        </w:rPr>
        <w:t xml:space="preserve"> balancing authority area</w:t>
      </w:r>
      <w:r>
        <w:rPr>
          <w:rFonts w:eastAsia="Calibri"/>
        </w:rPr>
        <w:t>s</w:t>
      </w:r>
      <w:r w:rsidR="006F6776" w:rsidRPr="006F6776">
        <w:rPr>
          <w:rFonts w:eastAsia="Calibri"/>
        </w:rPr>
        <w:t xml:space="preserve">, which automatically limits the course operator adjustment to what is feasible as long </w:t>
      </w:r>
      <w:r w:rsidR="006F6776" w:rsidRPr="006F6776">
        <w:rPr>
          <w:rFonts w:eastAsia="Calibri"/>
        </w:rPr>
        <w:lastRenderedPageBreak/>
        <w:t>as the quanti</w:t>
      </w:r>
      <w:r>
        <w:rPr>
          <w:rFonts w:eastAsia="Calibri"/>
        </w:rPr>
        <w:t>t</w:t>
      </w:r>
      <w:r w:rsidR="006F6776" w:rsidRPr="006F6776">
        <w:rPr>
          <w:rFonts w:eastAsia="Calibri"/>
        </w:rPr>
        <w:t>y of the infeasibility is less than the operator adjustment and is in the same direction as the operator adjustment</w:t>
      </w:r>
      <w:r w:rsidR="006F6776">
        <w:rPr>
          <w:rFonts w:eastAsia="Calibri"/>
        </w:rPr>
        <w:t>.</w:t>
      </w:r>
    </w:p>
    <w:p w14:paraId="33ED027D" w14:textId="77777777" w:rsidR="006F6776" w:rsidRDefault="006F6776" w:rsidP="00877DDB">
      <w:pPr>
        <w:autoSpaceDE w:val="0"/>
        <w:autoSpaceDN w:val="0"/>
        <w:adjustRightInd w:val="0"/>
        <w:spacing w:after="240" w:line="300" w:lineRule="auto"/>
        <w:rPr>
          <w:rFonts w:eastAsia="Calibri"/>
        </w:rPr>
      </w:pPr>
    </w:p>
    <w:p w14:paraId="26854489" w14:textId="2BEA7FFF" w:rsidR="006F6776" w:rsidRPr="006F6776" w:rsidRDefault="00FB14F1" w:rsidP="00877DDB">
      <w:pPr>
        <w:autoSpaceDE w:val="0"/>
        <w:autoSpaceDN w:val="0"/>
        <w:adjustRightInd w:val="0"/>
        <w:spacing w:after="240" w:line="300" w:lineRule="auto"/>
        <w:rPr>
          <w:rFonts w:eastAsia="Calibri"/>
        </w:rPr>
      </w:pPr>
      <w:r>
        <w:rPr>
          <w:rFonts w:eastAsia="Calibri"/>
        </w:rPr>
        <w:t>The collect</w:t>
      </w:r>
      <w:r w:rsidR="00F42CAB">
        <w:rPr>
          <w:rFonts w:eastAsia="Calibri"/>
        </w:rPr>
        <w:t>s</w:t>
      </w:r>
      <w:r>
        <w:rPr>
          <w:rFonts w:eastAsia="Calibri"/>
        </w:rPr>
        <w:t xml:space="preserve">  </w:t>
      </w:r>
      <w:r w:rsidR="00DD0CB4">
        <w:rPr>
          <w:rFonts w:eastAsia="Calibri"/>
        </w:rPr>
        <w:t xml:space="preserve">from each EIM BAA entity </w:t>
      </w:r>
      <w:r>
        <w:rPr>
          <w:rFonts w:eastAsia="Calibri"/>
        </w:rPr>
        <w:t xml:space="preserve">relevant data about load bias, including the frequency, volume and reasons for load bias in the fifteen- and five-minute markets, </w:t>
      </w:r>
      <w:r w:rsidRPr="00DD0CB4">
        <w:rPr>
          <w:rFonts w:eastAsia="Calibri"/>
        </w:rPr>
        <w:t>as well as any alternatives considered (e.g., use of manual dispatch</w:t>
      </w:r>
      <w:r w:rsidR="00F42CAB">
        <w:rPr>
          <w:rFonts w:eastAsia="Calibri"/>
        </w:rPr>
        <w:t>)</w:t>
      </w:r>
      <w:r w:rsidRPr="00DD0CB4">
        <w:rPr>
          <w:rFonts w:eastAsia="Calibri"/>
        </w:rPr>
        <w:t>.</w:t>
      </w:r>
    </w:p>
    <w:p w14:paraId="61A30E6A" w14:textId="77777777" w:rsidR="006F6776" w:rsidRPr="006F6776" w:rsidRDefault="006F6776" w:rsidP="006F6776">
      <w:pPr>
        <w:autoSpaceDE w:val="0"/>
        <w:autoSpaceDN w:val="0"/>
        <w:adjustRightInd w:val="0"/>
        <w:rPr>
          <w:rFonts w:eastAsia="Calibri"/>
        </w:rPr>
      </w:pPr>
    </w:p>
    <w:p w14:paraId="476CDFC2" w14:textId="77777777" w:rsidR="008817D0" w:rsidRPr="008817D0" w:rsidRDefault="008817D0" w:rsidP="00C33762">
      <w:pPr>
        <w:pStyle w:val="Heading3"/>
        <w:rPr>
          <w:rFonts w:eastAsia="Calibri"/>
        </w:rPr>
      </w:pPr>
      <w:bookmarkStart w:id="1994" w:name="_Toc460320470"/>
      <w:r w:rsidRPr="008817D0">
        <w:rPr>
          <w:rFonts w:eastAsia="Calibri"/>
        </w:rPr>
        <w:t>Contingency Dispatch</w:t>
      </w:r>
      <w:bookmarkEnd w:id="1991"/>
      <w:bookmarkEnd w:id="1992"/>
      <w:bookmarkEnd w:id="1993"/>
      <w:bookmarkEnd w:id="1994"/>
    </w:p>
    <w:p w14:paraId="36D0FADB" w14:textId="77777777" w:rsidR="008817D0" w:rsidRPr="00C81814" w:rsidRDefault="008817D0">
      <w:pPr>
        <w:spacing w:after="240" w:line="300" w:lineRule="auto"/>
        <w:rPr>
          <w:rFonts w:eastAsia="Calibri"/>
          <w:b/>
        </w:rPr>
      </w:pPr>
      <w:r w:rsidRPr="008817D0">
        <w:rPr>
          <w:rFonts w:eastAsia="Calibri"/>
        </w:rPr>
        <w:t xml:space="preserve">The </w:t>
      </w:r>
      <w:r w:rsidR="00FC30E3">
        <w:rPr>
          <w:rFonts w:eastAsia="Calibri"/>
        </w:rPr>
        <w:t>Real-Time</w:t>
      </w:r>
      <w:r w:rsidRPr="008817D0">
        <w:rPr>
          <w:rFonts w:eastAsia="Calibri"/>
        </w:rPr>
        <w:t xml:space="preserve"> Contingency Dispatch (RTCD) mode of operation is run in response to a significant Contingency event, such that waiting until the next normal </w:t>
      </w:r>
      <w:r w:rsidR="00FC30E3">
        <w:rPr>
          <w:rFonts w:eastAsia="Calibri"/>
        </w:rPr>
        <w:t>Real-Time</w:t>
      </w:r>
      <w:r w:rsidR="00047681">
        <w:rPr>
          <w:rFonts w:eastAsia="Calibri"/>
        </w:rPr>
        <w:t xml:space="preserve"> Economic Dispatch (</w:t>
      </w:r>
      <w:r w:rsidRPr="008817D0">
        <w:rPr>
          <w:rFonts w:eastAsia="Calibri"/>
        </w:rPr>
        <w:t>RTED</w:t>
      </w:r>
      <w:r w:rsidR="00047681">
        <w:rPr>
          <w:rFonts w:eastAsia="Calibri"/>
        </w:rPr>
        <w:t>)</w:t>
      </w:r>
      <w:r w:rsidRPr="008817D0">
        <w:rPr>
          <w:rFonts w:eastAsia="Calibri"/>
        </w:rPr>
        <w:t xml:space="preserve"> run is not adequate.</w:t>
      </w:r>
    </w:p>
    <w:p w14:paraId="0A34742F" w14:textId="77777777" w:rsidR="008817D0" w:rsidRPr="008817D0" w:rsidRDefault="008817D0">
      <w:pPr>
        <w:spacing w:after="240" w:line="300" w:lineRule="auto"/>
        <w:rPr>
          <w:rFonts w:eastAsia="Calibri"/>
        </w:rPr>
      </w:pPr>
      <w:r w:rsidRPr="008817D0">
        <w:rPr>
          <w:rFonts w:eastAsia="Calibri"/>
        </w:rPr>
        <w:t>RTCD produces an optimized set of Disp</w:t>
      </w:r>
      <w:r w:rsidR="00C81814">
        <w:rPr>
          <w:rFonts w:eastAsia="Calibri"/>
        </w:rPr>
        <w:t>atch Instructions for a single five</w:t>
      </w:r>
      <w:r w:rsidRPr="008817D0">
        <w:rPr>
          <w:rFonts w:eastAsia="Calibri"/>
        </w:rPr>
        <w:t>-minute Dispatch Interval for EIM Entity BAA. It is possible that Dispatch Instructions are iss</w:t>
      </w:r>
      <w:r w:rsidR="00C81814">
        <w:rPr>
          <w:rFonts w:eastAsia="Calibri"/>
        </w:rPr>
        <w:t>ued more than once in the same five</w:t>
      </w:r>
      <w:r w:rsidRPr="008817D0">
        <w:rPr>
          <w:rFonts w:eastAsia="Calibri"/>
        </w:rPr>
        <w:t>-minute I</w:t>
      </w:r>
      <w:r w:rsidR="004F6C0A">
        <w:rPr>
          <w:rFonts w:eastAsia="Calibri"/>
        </w:rPr>
        <w:t>nterval, once from RTED and</w:t>
      </w:r>
      <w:r w:rsidRPr="008817D0">
        <w:rPr>
          <w:rFonts w:eastAsia="Calibri"/>
        </w:rPr>
        <w:t xml:space="preserve"> later from RTCD. Resources must respond to RTCD Dispatch Instructions as soon as possible.  The Dispatch Instructions from RTCD override any previously issued Dispatch Instructions from RTED.</w:t>
      </w:r>
    </w:p>
    <w:p w14:paraId="1959F3A3" w14:textId="77777777" w:rsidR="008817D0" w:rsidRPr="008817D0" w:rsidRDefault="008817D0" w:rsidP="00C33762">
      <w:pPr>
        <w:pStyle w:val="Heading4"/>
        <w:rPr>
          <w:rFonts w:eastAsia="Calibri"/>
        </w:rPr>
      </w:pPr>
      <w:r w:rsidRPr="008817D0">
        <w:rPr>
          <w:rFonts w:eastAsia="Calibri"/>
        </w:rPr>
        <w:t>In the Event of a Contingency in CAISO</w:t>
      </w:r>
    </w:p>
    <w:p w14:paraId="2AE46F69" w14:textId="77777777" w:rsidR="008817D0" w:rsidRPr="008817D0" w:rsidRDefault="008817D0" w:rsidP="00877DDB">
      <w:pPr>
        <w:numPr>
          <w:ilvl w:val="0"/>
          <w:numId w:val="78"/>
        </w:numPr>
        <w:rPr>
          <w:rFonts w:eastAsia="Calibri"/>
        </w:rPr>
      </w:pPr>
      <w:r w:rsidRPr="008817D0">
        <w:rPr>
          <w:rFonts w:eastAsia="Calibri"/>
        </w:rPr>
        <w:t>RTUC shall isolate the CAISO BAA from the rest of the EIM Area by</w:t>
      </w:r>
      <w:r w:rsidR="00C81814">
        <w:rPr>
          <w:rFonts w:eastAsia="Calibri"/>
        </w:rPr>
        <w:t xml:space="preserve"> </w:t>
      </w:r>
      <w:r w:rsidR="0028240E">
        <w:rPr>
          <w:rFonts w:eastAsia="Calibri"/>
        </w:rPr>
        <w:t xml:space="preserve">fixing </w:t>
      </w:r>
      <w:r w:rsidRPr="008817D0">
        <w:rPr>
          <w:rFonts w:eastAsia="Calibri"/>
        </w:rPr>
        <w:t>the EIM Transfer between the CAISO BAA and the EIM Entity BAAs at</w:t>
      </w:r>
      <w:r w:rsidR="00C81814">
        <w:rPr>
          <w:rFonts w:eastAsia="Calibri"/>
        </w:rPr>
        <w:t xml:space="preserve"> the</w:t>
      </w:r>
      <w:r w:rsidRPr="008817D0">
        <w:rPr>
          <w:rFonts w:eastAsia="Calibri"/>
        </w:rPr>
        <w:t xml:space="preserve"> last</w:t>
      </w:r>
      <w:r w:rsidR="00345FC4">
        <w:rPr>
          <w:rFonts w:eastAsia="Calibri"/>
        </w:rPr>
        <w:t xml:space="preserve"> non-contingency market solution for</w:t>
      </w:r>
      <w:r w:rsidRPr="008817D0">
        <w:rPr>
          <w:rFonts w:eastAsia="Calibri"/>
        </w:rPr>
        <w:t xml:space="preserve"> binding</w:t>
      </w:r>
      <w:r w:rsidR="00345FC4">
        <w:rPr>
          <w:rFonts w:eastAsia="Calibri"/>
        </w:rPr>
        <w:t xml:space="preserve"> and advisory intervals. </w:t>
      </w:r>
    </w:p>
    <w:p w14:paraId="1892D5A8" w14:textId="77777777" w:rsidR="008817D0" w:rsidRPr="00B94F9D" w:rsidRDefault="008817D0" w:rsidP="00877DDB">
      <w:pPr>
        <w:numPr>
          <w:ilvl w:val="0"/>
          <w:numId w:val="78"/>
        </w:numPr>
        <w:rPr>
          <w:rFonts w:eastAsia="Calibri"/>
        </w:rPr>
      </w:pPr>
      <w:r w:rsidRPr="008817D0">
        <w:rPr>
          <w:rFonts w:eastAsia="Calibri"/>
        </w:rPr>
        <w:t>RTD shall use prior advisory interval results for EIM Participating Resources while RTCD or RTDD is invoked for CAISO</w:t>
      </w:r>
      <w:r w:rsidR="00B81BC1" w:rsidRPr="00FA595A">
        <w:rPr>
          <w:rFonts w:cs="Arial"/>
        </w:rPr>
        <w:t>, unless curtailments of the EIM Transfer have occurred. In this case, the EIM Transfer will be capped at the minimum of the curtailed limit or the advisory dispatch from the last non-contingency market solution for the duration of the contingency status</w:t>
      </w:r>
      <w:r w:rsidRPr="00B94F9D">
        <w:rPr>
          <w:rFonts w:eastAsia="Calibri"/>
        </w:rPr>
        <w:t xml:space="preserve">. </w:t>
      </w:r>
      <w:r w:rsidR="00B81BC1" w:rsidRPr="00B94F9D">
        <w:rPr>
          <w:rFonts w:eastAsia="Calibri"/>
        </w:rPr>
        <w:t xml:space="preserve">The </w:t>
      </w:r>
      <w:r w:rsidRPr="00B94F9D">
        <w:rPr>
          <w:rFonts w:eastAsia="Calibri"/>
        </w:rPr>
        <w:t>advisory results come from the last R</w:t>
      </w:r>
      <w:r w:rsidR="00C81814" w:rsidRPr="00B94F9D">
        <w:rPr>
          <w:rFonts w:eastAsia="Calibri"/>
        </w:rPr>
        <w:t xml:space="preserve">TD before the contingency event, </w:t>
      </w:r>
      <w:r w:rsidRPr="00B94F9D">
        <w:rPr>
          <w:rFonts w:eastAsia="Calibri"/>
        </w:rPr>
        <w:t xml:space="preserve">and shall be sent through </w:t>
      </w:r>
      <w:r w:rsidR="00545056" w:rsidRPr="00B94F9D">
        <w:rPr>
          <w:rFonts w:eastAsia="Calibri"/>
        </w:rPr>
        <w:t>the Automatic Dispatching System (</w:t>
      </w:r>
      <w:r w:rsidRPr="00B94F9D">
        <w:rPr>
          <w:rFonts w:eastAsia="Calibri"/>
        </w:rPr>
        <w:t>ADS</w:t>
      </w:r>
      <w:r w:rsidR="00545056" w:rsidRPr="00B94F9D">
        <w:rPr>
          <w:rFonts w:eastAsia="Calibri"/>
        </w:rPr>
        <w:t>)</w:t>
      </w:r>
      <w:r w:rsidRPr="00B94F9D">
        <w:rPr>
          <w:rFonts w:eastAsia="Calibri"/>
        </w:rPr>
        <w:t>.</w:t>
      </w:r>
    </w:p>
    <w:p w14:paraId="541B3E95" w14:textId="77777777" w:rsidR="008817D0" w:rsidRPr="008817D0" w:rsidRDefault="008817D0" w:rsidP="00877DDB">
      <w:pPr>
        <w:numPr>
          <w:ilvl w:val="0"/>
          <w:numId w:val="78"/>
        </w:numPr>
        <w:rPr>
          <w:rFonts w:eastAsia="Calibri"/>
        </w:rPr>
      </w:pPr>
      <w:r w:rsidRPr="008817D0">
        <w:rPr>
          <w:rFonts w:eastAsia="Calibri"/>
        </w:rPr>
        <w:lastRenderedPageBreak/>
        <w:t>This process will persist for the duration of the contingency status until RTD runs are reinstated.</w:t>
      </w:r>
    </w:p>
    <w:p w14:paraId="343CCEF1" w14:textId="77777777" w:rsidR="008817D0" w:rsidRPr="008817D0" w:rsidRDefault="00C81814" w:rsidP="00877DDB">
      <w:pPr>
        <w:numPr>
          <w:ilvl w:val="0"/>
          <w:numId w:val="78"/>
        </w:numPr>
        <w:rPr>
          <w:rFonts w:eastAsia="Calibri"/>
        </w:rPr>
      </w:pPr>
      <w:r>
        <w:rPr>
          <w:rFonts w:eastAsia="Calibri"/>
        </w:rPr>
        <w:t xml:space="preserve">The contingency </w:t>
      </w:r>
      <w:r w:rsidR="008817D0" w:rsidRPr="008817D0">
        <w:rPr>
          <w:rFonts w:eastAsia="Calibri"/>
        </w:rPr>
        <w:t>dispatch instructions for CAISO internal or CAISO dynamic resources shall be sent through ADS normally.</w:t>
      </w:r>
    </w:p>
    <w:p w14:paraId="1BDBD436" w14:textId="77777777" w:rsidR="008817D0" w:rsidRPr="005860DE" w:rsidRDefault="008817D0" w:rsidP="00877DDB">
      <w:pPr>
        <w:numPr>
          <w:ilvl w:val="0"/>
          <w:numId w:val="78"/>
        </w:numPr>
        <w:rPr>
          <w:rFonts w:eastAsia="Calibri"/>
        </w:rPr>
      </w:pPr>
      <w:r w:rsidRPr="008817D0">
        <w:rPr>
          <w:rFonts w:eastAsia="Calibri"/>
        </w:rPr>
        <w:t>Any contingency reserves dispatched in RTCD/RTDD from Intertie Resources shall be included in the CAISO BAA N</w:t>
      </w:r>
      <w:r w:rsidR="00C51A2E">
        <w:rPr>
          <w:rFonts w:eastAsia="Calibri"/>
        </w:rPr>
        <w:t>et Scheduled Interchange</w:t>
      </w:r>
      <w:r w:rsidRPr="008817D0">
        <w:rPr>
          <w:rFonts w:eastAsia="Calibri"/>
        </w:rPr>
        <w:t>.</w:t>
      </w:r>
    </w:p>
    <w:p w14:paraId="5B68DB3B" w14:textId="77777777" w:rsidR="008817D0" w:rsidRPr="008817D0" w:rsidRDefault="008817D0" w:rsidP="00C33762">
      <w:pPr>
        <w:pStyle w:val="Heading4"/>
        <w:rPr>
          <w:rFonts w:eastAsia="Calibri"/>
        </w:rPr>
      </w:pPr>
      <w:r w:rsidRPr="008817D0">
        <w:rPr>
          <w:rFonts w:eastAsia="Calibri"/>
        </w:rPr>
        <w:t xml:space="preserve">In the Event of a Contingency in an EIM Entity Area </w:t>
      </w:r>
    </w:p>
    <w:p w14:paraId="60AF4870" w14:textId="77777777" w:rsidR="008817D0" w:rsidRPr="008817D0" w:rsidRDefault="008817D0" w:rsidP="008817D0">
      <w:pPr>
        <w:spacing w:after="240" w:line="300" w:lineRule="auto"/>
        <w:rPr>
          <w:rFonts w:eastAsia="Calibri"/>
        </w:rPr>
      </w:pPr>
      <w:r w:rsidRPr="008817D0">
        <w:rPr>
          <w:rFonts w:eastAsia="Calibri"/>
        </w:rPr>
        <w:t xml:space="preserve">Contingencies in an EIM </w:t>
      </w:r>
      <w:r w:rsidR="004A54C4">
        <w:rPr>
          <w:rFonts w:eastAsia="Calibri"/>
        </w:rPr>
        <w:t>E</w:t>
      </w:r>
      <w:r w:rsidR="00AB2354" w:rsidRPr="008817D0">
        <w:rPr>
          <w:rFonts w:eastAsia="Calibri"/>
        </w:rPr>
        <w:t>ntity</w:t>
      </w:r>
      <w:r w:rsidRPr="008817D0">
        <w:rPr>
          <w:rFonts w:eastAsia="Calibri"/>
        </w:rPr>
        <w:t xml:space="preserve"> area are gene</w:t>
      </w:r>
      <w:r w:rsidR="004A54C4">
        <w:rPr>
          <w:rFonts w:eastAsia="Calibri"/>
        </w:rPr>
        <w:t>rally handled by that EIM E</w:t>
      </w:r>
      <w:r w:rsidR="00C81814">
        <w:rPr>
          <w:rFonts w:eastAsia="Calibri"/>
        </w:rPr>
        <w:t>ntit</w:t>
      </w:r>
      <w:r w:rsidRPr="008817D0">
        <w:rPr>
          <w:rFonts w:eastAsia="Calibri"/>
        </w:rPr>
        <w:t>y</w:t>
      </w:r>
      <w:r w:rsidR="004A54C4">
        <w:rPr>
          <w:rFonts w:eastAsia="Calibri"/>
        </w:rPr>
        <w:t>, since the EIM E</w:t>
      </w:r>
      <w:r w:rsidRPr="008817D0">
        <w:rPr>
          <w:rFonts w:eastAsia="Calibri"/>
        </w:rPr>
        <w:t>ntity manages their own operating reserves.  Thus RTCD will not be used in this case.  However</w:t>
      </w:r>
      <w:r w:rsidR="00F06452">
        <w:rPr>
          <w:rFonts w:eastAsia="Calibri"/>
        </w:rPr>
        <w:t>, the regular market systems, RTUC and RTD,</w:t>
      </w:r>
      <w:r w:rsidRPr="008817D0">
        <w:rPr>
          <w:rFonts w:eastAsia="Calibri"/>
        </w:rPr>
        <w:t xml:space="preserve"> will adjust available resources within the affected area to help manage the contingency situation.</w:t>
      </w:r>
    </w:p>
    <w:p w14:paraId="6816C7EA" w14:textId="32FEA325" w:rsidR="00A57C6B" w:rsidRPr="008817D0" w:rsidRDefault="008817D0" w:rsidP="008817D0">
      <w:pPr>
        <w:numPr>
          <w:ilvl w:val="0"/>
          <w:numId w:val="79"/>
        </w:numPr>
        <w:spacing w:after="240" w:line="300" w:lineRule="auto"/>
        <w:rPr>
          <w:rFonts w:eastAsia="Calibri"/>
        </w:rPr>
      </w:pPr>
      <w:r w:rsidRPr="008817D0">
        <w:rPr>
          <w:rFonts w:eastAsia="Calibri"/>
        </w:rPr>
        <w:t xml:space="preserve">In the event of a contingency, the EIM Entity Operator will electronically communicate the </w:t>
      </w:r>
      <w:r w:rsidR="00AB2354" w:rsidRPr="008817D0">
        <w:rPr>
          <w:rFonts w:eastAsia="Calibri"/>
        </w:rPr>
        <w:t>contingency</w:t>
      </w:r>
      <w:r w:rsidR="00B539B0">
        <w:rPr>
          <w:rFonts w:eastAsia="Calibri"/>
        </w:rPr>
        <w:t xml:space="preserve"> status to RTM.</w:t>
      </w:r>
    </w:p>
    <w:p w14:paraId="4D005312" w14:textId="77777777" w:rsidR="008817D0" w:rsidRPr="006951C4" w:rsidRDefault="008817D0" w:rsidP="00877DDB">
      <w:pPr>
        <w:numPr>
          <w:ilvl w:val="0"/>
          <w:numId w:val="79"/>
        </w:numPr>
        <w:spacing w:after="240" w:line="300" w:lineRule="auto"/>
        <w:rPr>
          <w:rFonts w:eastAsia="Calibri"/>
        </w:rPr>
      </w:pPr>
      <w:r w:rsidRPr="006951C4">
        <w:rPr>
          <w:rFonts w:eastAsia="Calibri"/>
        </w:rPr>
        <w:t xml:space="preserve">RTUC and RTD shall isolate that EIM Entity Area from the rest of the EIM Area </w:t>
      </w:r>
      <w:r w:rsidR="00345FC4" w:rsidRPr="006951C4">
        <w:rPr>
          <w:rFonts w:eastAsia="Calibri"/>
        </w:rPr>
        <w:t xml:space="preserve">by fixing the EIM Transfer between the CAISO BAA and the EIM Entity BAAs at the last non-contingency market solution for binding and advisory intervals. </w:t>
      </w:r>
    </w:p>
    <w:p w14:paraId="207FA512" w14:textId="77777777" w:rsidR="008817D0" w:rsidRPr="008817D0" w:rsidRDefault="008817D0" w:rsidP="008817D0">
      <w:pPr>
        <w:numPr>
          <w:ilvl w:val="0"/>
          <w:numId w:val="79"/>
        </w:numPr>
        <w:spacing w:after="240" w:line="300" w:lineRule="auto"/>
        <w:rPr>
          <w:rFonts w:eastAsia="Calibri"/>
        </w:rPr>
      </w:pPr>
      <w:r w:rsidRPr="008817D0">
        <w:rPr>
          <w:rFonts w:eastAsia="Calibri"/>
        </w:rPr>
        <w:t>The contingency flag of the EIM Entity BAA shall be published through ADS.</w:t>
      </w:r>
    </w:p>
    <w:p w14:paraId="5BEC5A9C" w14:textId="77777777" w:rsidR="008817D0" w:rsidRPr="008817D0" w:rsidRDefault="008817D0" w:rsidP="008817D0">
      <w:pPr>
        <w:numPr>
          <w:ilvl w:val="0"/>
          <w:numId w:val="79"/>
        </w:numPr>
        <w:spacing w:after="240" w:line="300" w:lineRule="auto"/>
        <w:rPr>
          <w:rFonts w:eastAsia="Calibri"/>
        </w:rPr>
      </w:pPr>
      <w:r w:rsidRPr="008817D0">
        <w:rPr>
          <w:rFonts w:eastAsia="Calibri"/>
        </w:rPr>
        <w:t>The EIM Entity Operator for the EIM Entity BAA that is under contingency may dispatch manually contingency reserves from resources (participating or not) in the BAA or Interchanges through interties with other BAAs outside the EIM Area; these manual dispatch in</w:t>
      </w:r>
      <w:r w:rsidR="00B406F1">
        <w:rPr>
          <w:rFonts w:eastAsia="Calibri"/>
        </w:rPr>
        <w:t xml:space="preserve">structions must be sent to RTM.  </w:t>
      </w:r>
      <w:r w:rsidRPr="008817D0">
        <w:rPr>
          <w:rFonts w:eastAsia="Calibri"/>
        </w:rPr>
        <w:t>Any interchange schedules changes shall be included in the EIM Entity BAA NSI.</w:t>
      </w:r>
    </w:p>
    <w:p w14:paraId="155CFFEC" w14:textId="77777777" w:rsidR="008817D0" w:rsidRPr="008817D0" w:rsidRDefault="008817D0" w:rsidP="008817D0">
      <w:pPr>
        <w:numPr>
          <w:ilvl w:val="0"/>
          <w:numId w:val="79"/>
        </w:numPr>
        <w:spacing w:after="240" w:line="300" w:lineRule="auto"/>
        <w:rPr>
          <w:rFonts w:eastAsia="Calibri"/>
        </w:rPr>
      </w:pPr>
      <w:r w:rsidRPr="008817D0">
        <w:rPr>
          <w:rFonts w:eastAsia="Calibri"/>
        </w:rPr>
        <w:t>RTD shall be run with the latest operating conditions and any manual dispatch instruct</w:t>
      </w:r>
      <w:r w:rsidR="004A54C4">
        <w:rPr>
          <w:rFonts w:eastAsia="Calibri"/>
        </w:rPr>
        <w:t>ions.  Within the affected EIM E</w:t>
      </w:r>
      <w:r w:rsidRPr="008817D0">
        <w:rPr>
          <w:rFonts w:eastAsia="Calibri"/>
        </w:rPr>
        <w:t xml:space="preserve">ntity area, RTD will adjust available resources and manually dispatched resources in order to help manage the contingency event. </w:t>
      </w:r>
    </w:p>
    <w:p w14:paraId="2BD2ADC5" w14:textId="77777777" w:rsidR="008817D0" w:rsidRPr="008817D0" w:rsidRDefault="008817D0">
      <w:pPr>
        <w:spacing w:after="240" w:line="300" w:lineRule="auto"/>
        <w:rPr>
          <w:rFonts w:eastAsia="Calibri"/>
        </w:rPr>
      </w:pPr>
      <w:r w:rsidRPr="008817D0">
        <w:rPr>
          <w:rFonts w:eastAsia="Calibri"/>
        </w:rPr>
        <w:lastRenderedPageBreak/>
        <w:t xml:space="preserve">For EIM Entities that represent multiple EIM Entity BAAs, the functionality described above </w:t>
      </w:r>
      <w:r w:rsidR="00AB2354">
        <w:rPr>
          <w:rFonts w:eastAsia="Calibri"/>
        </w:rPr>
        <w:t>is</w:t>
      </w:r>
      <w:r w:rsidRPr="008817D0">
        <w:rPr>
          <w:rFonts w:eastAsia="Calibri"/>
        </w:rPr>
        <w:t xml:space="preserve"> also supported at the </w:t>
      </w:r>
      <w:r w:rsidR="00C57135">
        <w:rPr>
          <w:rFonts w:eastAsia="Calibri"/>
        </w:rPr>
        <w:t xml:space="preserve">each </w:t>
      </w:r>
      <w:r w:rsidRPr="008817D0">
        <w:rPr>
          <w:rFonts w:eastAsia="Calibri"/>
        </w:rPr>
        <w:t xml:space="preserve">BAA; therefore, the contingency signal </w:t>
      </w:r>
      <w:r w:rsidR="00AB2354">
        <w:rPr>
          <w:rFonts w:eastAsia="Calibri"/>
        </w:rPr>
        <w:t>will</w:t>
      </w:r>
      <w:r w:rsidRPr="008817D0">
        <w:rPr>
          <w:rFonts w:eastAsia="Calibri"/>
        </w:rPr>
        <w:t xml:space="preserve"> specify either the EIM Entity BAA or the EIM Entity BAA group.</w:t>
      </w:r>
    </w:p>
    <w:p w14:paraId="4C611869" w14:textId="77777777" w:rsidR="008817D0" w:rsidRPr="008817D0" w:rsidRDefault="008817D0" w:rsidP="00C33762">
      <w:pPr>
        <w:pStyle w:val="Heading2"/>
        <w:rPr>
          <w:rFonts w:eastAsia="Calibri"/>
        </w:rPr>
      </w:pPr>
      <w:bookmarkStart w:id="1995" w:name="_Toc390869287"/>
      <w:bookmarkStart w:id="1996" w:name="_Toc390946300"/>
      <w:bookmarkStart w:id="1997" w:name="_Toc391969861"/>
      <w:bookmarkStart w:id="1998" w:name="_Toc460320471"/>
      <w:r w:rsidRPr="008817D0">
        <w:rPr>
          <w:rFonts w:eastAsia="Calibri"/>
        </w:rPr>
        <w:t>Contingencies and Corrective Actions</w:t>
      </w:r>
      <w:bookmarkEnd w:id="1995"/>
      <w:bookmarkEnd w:id="1996"/>
      <w:bookmarkEnd w:id="1997"/>
      <w:bookmarkEnd w:id="1998"/>
    </w:p>
    <w:p w14:paraId="43F256AD" w14:textId="515CA414" w:rsidR="008817D0" w:rsidRPr="00B94F9D" w:rsidRDefault="008817D0">
      <w:pPr>
        <w:spacing w:after="240" w:line="300" w:lineRule="auto"/>
        <w:rPr>
          <w:rFonts w:eastAsia="Calibri"/>
          <w:iCs/>
        </w:rPr>
      </w:pPr>
      <w:r w:rsidRPr="00B94F9D">
        <w:rPr>
          <w:rFonts w:eastAsia="Calibri"/>
          <w:iCs/>
        </w:rPr>
        <w:t xml:space="preserve">With the implementation of the EIM, measures must be in place to ensure a smooth transition from the current CAISO markets to include the co-optimization with EIM </w:t>
      </w:r>
      <w:r w:rsidR="00AB2354" w:rsidRPr="00B94F9D">
        <w:rPr>
          <w:rFonts w:eastAsia="Calibri"/>
          <w:iCs/>
        </w:rPr>
        <w:t>Entities</w:t>
      </w:r>
      <w:r w:rsidRPr="00B94F9D">
        <w:rPr>
          <w:rFonts w:eastAsia="Calibri"/>
          <w:iCs/>
        </w:rPr>
        <w:t>.  These measures must consider grid reliability, market stability, and other system conditions for all mar</w:t>
      </w:r>
      <w:r w:rsidR="001B06BF" w:rsidRPr="00B94F9D">
        <w:rPr>
          <w:rFonts w:eastAsia="Calibri"/>
          <w:iCs/>
        </w:rPr>
        <w:t xml:space="preserve">ket participants.  Although </w:t>
      </w:r>
      <w:r w:rsidR="006276DD" w:rsidRPr="00B94F9D">
        <w:rPr>
          <w:rFonts w:eastAsia="Calibri"/>
          <w:iCs/>
        </w:rPr>
        <w:t>CA</w:t>
      </w:r>
      <w:r w:rsidRPr="00B94F9D">
        <w:rPr>
          <w:rFonts w:eastAsia="Calibri"/>
          <w:iCs/>
        </w:rPr>
        <w:t>ISO will do everything possible to assure a successful transition and operation of the EIM, problems may arise which would require the EIM Entity to be suspended and potentially revert back to a previous state.</w:t>
      </w:r>
    </w:p>
    <w:p w14:paraId="42F3FF38" w14:textId="77777777" w:rsidR="008817D0" w:rsidRPr="00B94F9D" w:rsidRDefault="008817D0">
      <w:pPr>
        <w:spacing w:after="240" w:line="300" w:lineRule="auto"/>
        <w:rPr>
          <w:rFonts w:eastAsia="Calibri"/>
          <w:iCs/>
        </w:rPr>
      </w:pPr>
      <w:r w:rsidRPr="00B94F9D">
        <w:rPr>
          <w:rFonts w:eastAsia="Calibri"/>
          <w:iCs/>
        </w:rPr>
        <w:t>A monitoring strategy is necessary to evaluate whether or not the EIM is performing according to market design and system requirements.  In the event that either the market design or the software systems are not performing as expected, a series of pre-defined steps will need to be followed to address the situation and all resulting impacts.</w:t>
      </w:r>
    </w:p>
    <w:p w14:paraId="2592CF0D" w14:textId="77777777" w:rsidR="008817D0" w:rsidRPr="00B94F9D" w:rsidRDefault="008817D0">
      <w:pPr>
        <w:spacing w:after="240" w:line="300" w:lineRule="auto"/>
        <w:rPr>
          <w:rFonts w:eastAsia="Calibri"/>
        </w:rPr>
      </w:pPr>
      <w:r w:rsidRPr="00B94F9D">
        <w:rPr>
          <w:rFonts w:eastAsia="Calibri"/>
          <w:iCs/>
        </w:rPr>
        <w:t xml:space="preserve">This </w:t>
      </w:r>
      <w:r w:rsidR="00AB2354" w:rsidRPr="00B94F9D">
        <w:rPr>
          <w:rFonts w:eastAsia="Calibri"/>
          <w:iCs/>
        </w:rPr>
        <w:t>section of the EIM BPM</w:t>
      </w:r>
      <w:r w:rsidRPr="00B94F9D">
        <w:rPr>
          <w:rFonts w:eastAsia="Calibri"/>
          <w:iCs/>
        </w:rPr>
        <w:t xml:space="preserve"> covers the overview of the criteria used to arrive at the decision to revert back and to provide a high level plan to ensure a reliable and orderly termination.  </w:t>
      </w:r>
    </w:p>
    <w:p w14:paraId="0C1DF90C" w14:textId="77777777" w:rsidR="008817D0" w:rsidRPr="008817D0" w:rsidRDefault="008817D0" w:rsidP="00C33762">
      <w:pPr>
        <w:pStyle w:val="Heading3"/>
        <w:rPr>
          <w:rFonts w:eastAsia="Calibri"/>
        </w:rPr>
      </w:pPr>
      <w:bookmarkStart w:id="1999" w:name="_Toc390869288"/>
      <w:bookmarkStart w:id="2000" w:name="_Toc390946301"/>
      <w:bookmarkStart w:id="2001" w:name="_Toc391969862"/>
      <w:bookmarkStart w:id="2002" w:name="_Toc460320472"/>
      <w:r w:rsidRPr="008817D0">
        <w:rPr>
          <w:rFonts w:eastAsia="Calibri"/>
        </w:rPr>
        <w:t>Recovery Approach</w:t>
      </w:r>
      <w:bookmarkEnd w:id="1999"/>
      <w:bookmarkEnd w:id="2000"/>
      <w:bookmarkEnd w:id="2001"/>
      <w:bookmarkEnd w:id="2002"/>
    </w:p>
    <w:p w14:paraId="74E7F43C" w14:textId="77777777" w:rsidR="008817D0" w:rsidRPr="008817D0" w:rsidRDefault="008817D0" w:rsidP="008817D0">
      <w:pPr>
        <w:spacing w:after="240" w:line="300" w:lineRule="auto"/>
        <w:rPr>
          <w:rFonts w:eastAsia="Calibri"/>
        </w:rPr>
      </w:pPr>
      <w:r w:rsidRPr="008817D0">
        <w:rPr>
          <w:rFonts w:eastAsia="Calibri"/>
        </w:rPr>
        <w:t>In the event that data exchange a</w:t>
      </w:r>
      <w:r w:rsidR="001B06BF">
        <w:rPr>
          <w:rFonts w:eastAsia="Calibri"/>
        </w:rPr>
        <w:t xml:space="preserve">nd/or communication between </w:t>
      </w:r>
      <w:r w:rsidR="006276DD">
        <w:rPr>
          <w:rFonts w:eastAsia="Calibri"/>
        </w:rPr>
        <w:t>CA</w:t>
      </w:r>
      <w:r w:rsidRPr="008817D0">
        <w:rPr>
          <w:rFonts w:eastAsia="Calibri"/>
        </w:rPr>
        <w:t>ISO and the EIM Entity BAA are disrupted, the following steps may be implemented to handle such disruptions:</w:t>
      </w:r>
    </w:p>
    <w:p w14:paraId="01918874" w14:textId="77777777" w:rsidR="008817D0" w:rsidRPr="008817D0" w:rsidRDefault="008817D0" w:rsidP="00877DDB">
      <w:pPr>
        <w:numPr>
          <w:ilvl w:val="0"/>
          <w:numId w:val="110"/>
        </w:numPr>
        <w:rPr>
          <w:rFonts w:eastAsia="Calibri"/>
        </w:rPr>
      </w:pPr>
      <w:r w:rsidRPr="008817D0">
        <w:rPr>
          <w:rFonts w:eastAsia="Calibri"/>
        </w:rPr>
        <w:t xml:space="preserve">When certain input data becomes unavailable and there is a recent history that can be used by the market applications, the latter can continue to function producing approximate, acceptable market results. For example, if demand forecast becomes unavailable, the last available demand forecast for that period could be used for the market horizon and for several market runs. Similarly, if telemetry becomes unavailable, the last SE solution can be used in the next market run. This recovery approach can be used until the data is considered too old to produce reasonable market results. The time cutoff depends on the nature and importance of the data and </w:t>
      </w:r>
      <w:r w:rsidR="00BF3D50">
        <w:rPr>
          <w:rFonts w:eastAsia="Calibri"/>
        </w:rPr>
        <w:t>will</w:t>
      </w:r>
      <w:r w:rsidRPr="008817D0">
        <w:rPr>
          <w:rFonts w:eastAsia="Calibri"/>
        </w:rPr>
        <w:t xml:space="preserve"> be determined separately for each data stream.</w:t>
      </w:r>
    </w:p>
    <w:p w14:paraId="472C77EC" w14:textId="77777777" w:rsidR="008817D0" w:rsidRPr="008817D0" w:rsidRDefault="008817D0" w:rsidP="00877DDB">
      <w:pPr>
        <w:numPr>
          <w:ilvl w:val="0"/>
          <w:numId w:val="110"/>
        </w:numPr>
        <w:rPr>
          <w:rFonts w:eastAsia="Calibri"/>
        </w:rPr>
      </w:pPr>
      <w:r w:rsidRPr="008817D0">
        <w:rPr>
          <w:rFonts w:eastAsia="Calibri"/>
        </w:rPr>
        <w:lastRenderedPageBreak/>
        <w:t xml:space="preserve">When a market run fails, advisory market results from the last successful market run can be used. This recovery approach can be used until all advisory intervals run out. </w:t>
      </w:r>
    </w:p>
    <w:p w14:paraId="100171E7" w14:textId="77777777" w:rsidR="008817D0" w:rsidRPr="008817D0" w:rsidRDefault="008817D0" w:rsidP="00877DDB">
      <w:pPr>
        <w:numPr>
          <w:ilvl w:val="0"/>
          <w:numId w:val="110"/>
        </w:numPr>
        <w:rPr>
          <w:rFonts w:eastAsia="Calibri"/>
        </w:rPr>
      </w:pPr>
      <w:r w:rsidRPr="008817D0">
        <w:rPr>
          <w:rFonts w:eastAsia="Calibri"/>
        </w:rPr>
        <w:t>When certain input data becomes unavailable, the affected BAA can be isolated from the EIM by freezing the N</w:t>
      </w:r>
      <w:r w:rsidR="00BF3D50">
        <w:rPr>
          <w:rFonts w:eastAsia="Calibri"/>
        </w:rPr>
        <w:t>et Scheduled Interchange</w:t>
      </w:r>
      <w:r w:rsidRPr="008817D0">
        <w:rPr>
          <w:rFonts w:eastAsia="Calibri"/>
        </w:rPr>
        <w:t xml:space="preserve">, the demand, and the dispatch at the last market solution within the hour, and at the base for future hours, and also by ignoring bids in that BAA. The market applications </w:t>
      </w:r>
      <w:r w:rsidR="00BF3D50">
        <w:rPr>
          <w:rFonts w:eastAsia="Calibri"/>
        </w:rPr>
        <w:t>will</w:t>
      </w:r>
      <w:r w:rsidRPr="008817D0">
        <w:rPr>
          <w:rFonts w:eastAsia="Calibri"/>
        </w:rPr>
        <w:t xml:space="preserve"> still produce market results for the remaining BAAs in EIM. The affected BAA operator must balance the BAA outside EIM through regulation and dispatch instructions issued directly to resources, following pre-EIM protocols. LMPs will be calculated for that BAA and will be used to settle Uninstructed Imbalance Energy. This disruption </w:t>
      </w:r>
      <w:r w:rsidR="00201C6B">
        <w:rPr>
          <w:rFonts w:eastAsia="Calibri"/>
        </w:rPr>
        <w:t>is not expected to last more than one trading day.</w:t>
      </w:r>
    </w:p>
    <w:p w14:paraId="227B6FB4" w14:textId="77777777" w:rsidR="008817D0" w:rsidRPr="008817D0" w:rsidRDefault="008817D0" w:rsidP="00877DDB">
      <w:pPr>
        <w:numPr>
          <w:ilvl w:val="0"/>
          <w:numId w:val="110"/>
        </w:numPr>
        <w:rPr>
          <w:rFonts w:eastAsia="Calibri"/>
        </w:rPr>
      </w:pPr>
      <w:r w:rsidRPr="008817D0">
        <w:rPr>
          <w:rFonts w:eastAsia="Calibri"/>
        </w:rPr>
        <w:t>If disruption is prolonged, an additional option can be enabled to suppress settlement statements for the affected BAA.</w:t>
      </w:r>
    </w:p>
    <w:p w14:paraId="74791C7C" w14:textId="77777777" w:rsidR="008817D0" w:rsidRPr="008817D0" w:rsidRDefault="008817D0" w:rsidP="00877DDB">
      <w:pPr>
        <w:numPr>
          <w:ilvl w:val="0"/>
          <w:numId w:val="110"/>
        </w:numPr>
        <w:rPr>
          <w:rFonts w:eastAsia="Calibri"/>
        </w:rPr>
      </w:pPr>
      <w:r w:rsidRPr="008817D0">
        <w:rPr>
          <w:rFonts w:eastAsia="Calibri"/>
        </w:rPr>
        <w:t>When market runs continuously fail and the above disruptions are no longer applicable because the advisory dispatches are exhausted and the market application c</w:t>
      </w:r>
      <w:r w:rsidR="00303EEF">
        <w:rPr>
          <w:rFonts w:eastAsia="Calibri"/>
        </w:rPr>
        <w:t>annot run, the fallback is the Day-A</w:t>
      </w:r>
      <w:r w:rsidRPr="008817D0">
        <w:rPr>
          <w:rFonts w:eastAsia="Calibri"/>
        </w:rPr>
        <w:t>head sched</w:t>
      </w:r>
      <w:r w:rsidR="000B6D3C">
        <w:rPr>
          <w:rFonts w:eastAsia="Calibri"/>
        </w:rPr>
        <w:t>ules for the CAISO BAA and the Base S</w:t>
      </w:r>
      <w:r w:rsidRPr="008817D0">
        <w:rPr>
          <w:rFonts w:eastAsia="Calibri"/>
        </w:rPr>
        <w:t>chedules for the EIM Entity BAAs; each BAA operator will balance the BAA through regulation and dispatch instructions issued directly to resources. Administrative prices will be used to settle imbalance energy.</w:t>
      </w:r>
      <w:r w:rsidR="007D256F">
        <w:rPr>
          <w:rFonts w:eastAsia="Calibri"/>
        </w:rPr>
        <w:t xml:space="preserve"> </w:t>
      </w:r>
      <w:r w:rsidR="007D256F">
        <w:t xml:space="preserve">The </w:t>
      </w:r>
      <w:r w:rsidR="0058562B">
        <w:t>CA</w:t>
      </w:r>
      <w:r w:rsidR="007D256F">
        <w:t xml:space="preserve">ISO will use the </w:t>
      </w:r>
      <w:r w:rsidR="008F4700">
        <w:t>Open Access Transmission Tariff (</w:t>
      </w:r>
      <w:r w:rsidR="007D256F">
        <w:t>OATT</w:t>
      </w:r>
      <w:r w:rsidR="008F4700">
        <w:t>)</w:t>
      </w:r>
      <w:r w:rsidR="007D256F">
        <w:t xml:space="preserve"> approved price used by the EIM Entity during a market suspension to settle imbalance within the EIM Entity BAA</w:t>
      </w:r>
      <w:r w:rsidR="00A57C6B">
        <w:t>.</w:t>
      </w:r>
    </w:p>
    <w:p w14:paraId="6546C7EA" w14:textId="77777777" w:rsidR="008817D0" w:rsidRPr="00F446C9" w:rsidRDefault="008817D0" w:rsidP="00F446C9">
      <w:pPr>
        <w:rPr>
          <w:rFonts w:eastAsia="Calibri"/>
          <w:b/>
        </w:rPr>
      </w:pPr>
      <w:bookmarkStart w:id="2003" w:name="_Toc390869289"/>
      <w:r w:rsidRPr="00F446C9">
        <w:rPr>
          <w:rFonts w:eastAsia="Calibri"/>
          <w:b/>
        </w:rPr>
        <w:t>Corrective Actions</w:t>
      </w:r>
      <w:bookmarkEnd w:id="2003"/>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937"/>
      </w:tblGrid>
      <w:tr w:rsidR="00F446C9" w:rsidRPr="008817D0" w14:paraId="5C495864" w14:textId="77777777" w:rsidTr="00F041A9">
        <w:trPr>
          <w:trHeight w:val="20"/>
          <w:tblHeader/>
        </w:trPr>
        <w:tc>
          <w:tcPr>
            <w:tcW w:w="8658" w:type="dxa"/>
            <w:gridSpan w:val="2"/>
            <w:tcBorders>
              <w:top w:val="single" w:sz="4" w:space="0" w:color="auto"/>
              <w:left w:val="single" w:sz="4" w:space="0" w:color="auto"/>
              <w:bottom w:val="single" w:sz="4" w:space="0" w:color="auto"/>
              <w:right w:val="single" w:sz="4" w:space="0" w:color="auto"/>
            </w:tcBorders>
            <w:shd w:val="clear" w:color="auto" w:fill="D9D9D9"/>
          </w:tcPr>
          <w:p w14:paraId="67705A69" w14:textId="77777777" w:rsidR="00F446C9" w:rsidRPr="008817D0" w:rsidRDefault="00F446C9" w:rsidP="00F446C9">
            <w:pPr>
              <w:spacing w:after="240" w:line="300" w:lineRule="auto"/>
              <w:jc w:val="center"/>
              <w:rPr>
                <w:rFonts w:eastAsia="Calibri"/>
              </w:rPr>
            </w:pPr>
            <w:r>
              <w:rPr>
                <w:rFonts w:eastAsia="Calibri"/>
              </w:rPr>
              <w:t>Summary of Authority to Address Contingencies</w:t>
            </w:r>
          </w:p>
        </w:tc>
      </w:tr>
      <w:tr w:rsidR="008817D0" w:rsidRPr="008817D0" w14:paraId="5AD51FED" w14:textId="77777777" w:rsidTr="00F041A9">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04D0E3E6" w14:textId="77777777" w:rsidR="008817D0" w:rsidRPr="008817D0" w:rsidRDefault="008817D0" w:rsidP="008817D0">
            <w:pPr>
              <w:spacing w:after="240" w:line="300" w:lineRule="auto"/>
              <w:rPr>
                <w:rFonts w:eastAsia="Calibri"/>
              </w:rPr>
            </w:pPr>
            <w:r w:rsidRPr="008817D0">
              <w:rPr>
                <w:rFonts w:eastAsia="Calibri"/>
              </w:rPr>
              <w:t>Period</w:t>
            </w:r>
          </w:p>
        </w:tc>
        <w:tc>
          <w:tcPr>
            <w:tcW w:w="6937" w:type="dxa"/>
            <w:tcBorders>
              <w:top w:val="single" w:sz="4" w:space="0" w:color="auto"/>
              <w:left w:val="single" w:sz="4" w:space="0" w:color="auto"/>
              <w:bottom w:val="single" w:sz="4" w:space="0" w:color="auto"/>
              <w:right w:val="single" w:sz="4" w:space="0" w:color="auto"/>
            </w:tcBorders>
            <w:shd w:val="clear" w:color="auto" w:fill="auto"/>
            <w:hideMark/>
          </w:tcPr>
          <w:p w14:paraId="5CC3B3C9" w14:textId="77777777" w:rsidR="008817D0" w:rsidRPr="008817D0" w:rsidRDefault="008817D0" w:rsidP="008817D0">
            <w:pPr>
              <w:spacing w:after="240" w:line="300" w:lineRule="auto"/>
              <w:rPr>
                <w:rFonts w:eastAsia="Calibri"/>
              </w:rPr>
            </w:pPr>
            <w:r w:rsidRPr="008817D0">
              <w:rPr>
                <w:rFonts w:eastAsia="Calibri"/>
              </w:rPr>
              <w:t>CAISO Corrective Action(s)</w:t>
            </w:r>
          </w:p>
        </w:tc>
      </w:tr>
      <w:tr w:rsidR="008817D0" w:rsidRPr="008817D0" w14:paraId="1E8006D7" w14:textId="77777777" w:rsidTr="00F041A9">
        <w:trPr>
          <w:trHeight w:val="585"/>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6B53E" w14:textId="77777777" w:rsidR="008817D0" w:rsidRPr="008817D0" w:rsidRDefault="008817D0" w:rsidP="008817D0">
            <w:pPr>
              <w:spacing w:after="240" w:line="300" w:lineRule="auto"/>
              <w:rPr>
                <w:rFonts w:eastAsia="Calibri"/>
              </w:rPr>
            </w:pPr>
            <w:r w:rsidRPr="008817D0">
              <w:rPr>
                <w:rFonts w:eastAsia="Calibri"/>
              </w:rPr>
              <w:t>Initial 60 days from Implementation Date</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3E5CF" w14:textId="77777777" w:rsidR="008817D0" w:rsidRPr="008817D0" w:rsidRDefault="008817D0" w:rsidP="008817D0">
            <w:pPr>
              <w:spacing w:after="240" w:line="300" w:lineRule="auto"/>
              <w:rPr>
                <w:rFonts w:eastAsia="Calibri"/>
              </w:rPr>
            </w:pPr>
            <w:r w:rsidRPr="008817D0">
              <w:rPr>
                <w:rFonts w:eastAsia="Calibri"/>
              </w:rPr>
              <w:t>Discontinuation: pe</w:t>
            </w:r>
            <w:r w:rsidR="00A40D5F">
              <w:rPr>
                <w:rFonts w:eastAsia="Calibri"/>
              </w:rPr>
              <w:t>r Tariff S</w:t>
            </w:r>
            <w:r w:rsidRPr="008817D0">
              <w:rPr>
                <w:rFonts w:eastAsia="Calibri"/>
              </w:rPr>
              <w:t>ection 29.1(d)(1):</w:t>
            </w:r>
          </w:p>
          <w:p w14:paraId="3A2431AF" w14:textId="77777777" w:rsidR="008817D0" w:rsidRPr="008817D0" w:rsidRDefault="008817D0" w:rsidP="008817D0">
            <w:pPr>
              <w:numPr>
                <w:ilvl w:val="0"/>
                <w:numId w:val="80"/>
              </w:numPr>
              <w:spacing w:after="240" w:line="300" w:lineRule="auto"/>
              <w:rPr>
                <w:rFonts w:eastAsia="Calibri"/>
              </w:rPr>
            </w:pPr>
            <w:r w:rsidRPr="008817D0">
              <w:rPr>
                <w:rFonts w:eastAsia="Calibri"/>
              </w:rPr>
              <w:t xml:space="preserve">Prevent EIM Transfers </w:t>
            </w:r>
          </w:p>
          <w:p w14:paraId="1992C73D" w14:textId="77777777" w:rsidR="008817D0" w:rsidRPr="008817D0" w:rsidRDefault="008817D0" w:rsidP="008817D0">
            <w:pPr>
              <w:numPr>
                <w:ilvl w:val="0"/>
                <w:numId w:val="80"/>
              </w:numPr>
              <w:spacing w:after="240" w:line="300" w:lineRule="auto"/>
              <w:rPr>
                <w:rFonts w:eastAsia="Calibri"/>
              </w:rPr>
            </w:pPr>
            <w:r w:rsidRPr="008817D0">
              <w:rPr>
                <w:rFonts w:eastAsia="Calibri"/>
              </w:rPr>
              <w:t>Suspend EIM settlements</w:t>
            </w:r>
          </w:p>
          <w:p w14:paraId="2EF23FA2" w14:textId="77777777" w:rsidR="008817D0" w:rsidRPr="008817D0" w:rsidRDefault="008817D0" w:rsidP="008817D0">
            <w:pPr>
              <w:numPr>
                <w:ilvl w:val="0"/>
                <w:numId w:val="80"/>
              </w:numPr>
              <w:spacing w:after="240" w:line="300" w:lineRule="auto"/>
              <w:rPr>
                <w:rFonts w:eastAsia="Calibri"/>
              </w:rPr>
            </w:pPr>
            <w:r w:rsidRPr="008817D0">
              <w:rPr>
                <w:rFonts w:eastAsia="Calibri"/>
              </w:rPr>
              <w:t>Terminate participation of EIM Entity (if res</w:t>
            </w:r>
            <w:r w:rsidR="00A40D5F">
              <w:rPr>
                <w:rFonts w:eastAsia="Calibri"/>
              </w:rPr>
              <w:t>olution is not achieved within T</w:t>
            </w:r>
            <w:r w:rsidRPr="008817D0">
              <w:rPr>
                <w:rFonts w:eastAsia="Calibri"/>
              </w:rPr>
              <w:t>ariff timeframes)</w:t>
            </w:r>
          </w:p>
        </w:tc>
      </w:tr>
      <w:tr w:rsidR="008817D0" w:rsidRPr="008817D0" w14:paraId="52F7BE93" w14:textId="77777777" w:rsidTr="00F041A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3298B" w14:textId="77777777" w:rsidR="008817D0" w:rsidRPr="008817D0" w:rsidRDefault="008817D0" w:rsidP="008817D0">
            <w:pPr>
              <w:spacing w:after="240" w:line="300" w:lineRule="auto"/>
              <w:rPr>
                <w:rFonts w:eastAsia="Calibri"/>
              </w:rPr>
            </w:pPr>
          </w:p>
        </w:tc>
        <w:tc>
          <w:tcPr>
            <w:tcW w:w="6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D7F42" w14:textId="77777777" w:rsidR="008817D0" w:rsidRPr="008817D0" w:rsidRDefault="008817D0" w:rsidP="008817D0">
            <w:pPr>
              <w:spacing w:after="240" w:line="300" w:lineRule="auto"/>
              <w:rPr>
                <w:rFonts w:eastAsia="Calibri"/>
              </w:rPr>
            </w:pPr>
          </w:p>
        </w:tc>
      </w:tr>
      <w:tr w:rsidR="008817D0" w:rsidRPr="008817D0" w14:paraId="42131DA1" w14:textId="77777777" w:rsidTr="00F041A9">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0556DEB4" w14:textId="77777777" w:rsidR="008817D0" w:rsidRPr="008817D0" w:rsidRDefault="008817D0" w:rsidP="008817D0">
            <w:pPr>
              <w:spacing w:after="240" w:line="300" w:lineRule="auto"/>
              <w:rPr>
                <w:rFonts w:eastAsia="Calibri"/>
              </w:rPr>
            </w:pPr>
            <w:r w:rsidRPr="008817D0">
              <w:rPr>
                <w:rFonts w:eastAsia="Calibri"/>
              </w:rPr>
              <w:t xml:space="preserve">After 60 days from Implementation </w:t>
            </w:r>
            <w:r w:rsidRPr="008817D0">
              <w:rPr>
                <w:rFonts w:eastAsia="Calibri"/>
              </w:rPr>
              <w:lastRenderedPageBreak/>
              <w:t>Date (ongoing operations)</w:t>
            </w:r>
          </w:p>
        </w:tc>
        <w:tc>
          <w:tcPr>
            <w:tcW w:w="6937" w:type="dxa"/>
            <w:tcBorders>
              <w:top w:val="single" w:sz="4" w:space="0" w:color="auto"/>
              <w:left w:val="single" w:sz="4" w:space="0" w:color="auto"/>
              <w:bottom w:val="single" w:sz="4" w:space="0" w:color="auto"/>
              <w:right w:val="single" w:sz="4" w:space="0" w:color="auto"/>
            </w:tcBorders>
            <w:shd w:val="clear" w:color="auto" w:fill="auto"/>
            <w:hideMark/>
          </w:tcPr>
          <w:p w14:paraId="70AA55F0" w14:textId="77777777" w:rsidR="008817D0" w:rsidRPr="008817D0" w:rsidRDefault="00A40D5F" w:rsidP="008817D0">
            <w:pPr>
              <w:spacing w:after="240" w:line="300" w:lineRule="auto"/>
              <w:rPr>
                <w:rFonts w:eastAsia="Calibri"/>
              </w:rPr>
            </w:pPr>
            <w:r>
              <w:rPr>
                <w:rFonts w:eastAsia="Calibri"/>
              </w:rPr>
              <w:lastRenderedPageBreak/>
              <w:t>EIM Disruption: per Tariff S</w:t>
            </w:r>
            <w:r w:rsidR="008817D0" w:rsidRPr="008817D0">
              <w:rPr>
                <w:rFonts w:eastAsia="Calibri"/>
              </w:rPr>
              <w:t>ection 29.7(j)</w:t>
            </w:r>
          </w:p>
          <w:p w14:paraId="51AFBB04" w14:textId="77777777" w:rsidR="008817D0" w:rsidRPr="008817D0" w:rsidRDefault="008817D0" w:rsidP="008817D0">
            <w:pPr>
              <w:numPr>
                <w:ilvl w:val="0"/>
                <w:numId w:val="81"/>
              </w:numPr>
              <w:spacing w:after="240" w:line="300" w:lineRule="auto"/>
              <w:rPr>
                <w:rFonts w:eastAsia="Calibri"/>
              </w:rPr>
            </w:pPr>
            <w:r w:rsidRPr="008817D0">
              <w:rPr>
                <w:rFonts w:eastAsia="Calibri"/>
              </w:rPr>
              <w:lastRenderedPageBreak/>
              <w:t xml:space="preserve">Prevent EIM Transfers </w:t>
            </w:r>
          </w:p>
          <w:p w14:paraId="5DA678C5" w14:textId="77777777" w:rsidR="008817D0" w:rsidRPr="008817D0" w:rsidRDefault="008817D0" w:rsidP="008817D0">
            <w:pPr>
              <w:numPr>
                <w:ilvl w:val="0"/>
                <w:numId w:val="81"/>
              </w:numPr>
              <w:spacing w:after="240" w:line="300" w:lineRule="auto"/>
              <w:rPr>
                <w:rFonts w:eastAsia="Calibri"/>
              </w:rPr>
            </w:pPr>
            <w:r w:rsidRPr="008817D0">
              <w:rPr>
                <w:rFonts w:eastAsia="Calibri"/>
              </w:rPr>
              <w:t>Communications failure measure</w:t>
            </w:r>
          </w:p>
          <w:p w14:paraId="5674021E" w14:textId="77777777" w:rsidR="008817D0" w:rsidRPr="008817D0" w:rsidRDefault="008817D0" w:rsidP="008817D0">
            <w:pPr>
              <w:numPr>
                <w:ilvl w:val="0"/>
                <w:numId w:val="81"/>
              </w:numPr>
              <w:spacing w:after="240" w:line="300" w:lineRule="auto"/>
              <w:rPr>
                <w:rFonts w:eastAsia="Calibri"/>
              </w:rPr>
            </w:pPr>
            <w:r w:rsidRPr="008817D0">
              <w:rPr>
                <w:rFonts w:eastAsia="Calibri"/>
              </w:rPr>
              <w:t xml:space="preserve">Market run failure measure </w:t>
            </w:r>
          </w:p>
          <w:p w14:paraId="3B822FF6" w14:textId="77777777" w:rsidR="008817D0" w:rsidRPr="008817D0" w:rsidRDefault="008817D0" w:rsidP="008817D0">
            <w:pPr>
              <w:numPr>
                <w:ilvl w:val="0"/>
                <w:numId w:val="81"/>
              </w:numPr>
              <w:spacing w:after="240" w:line="300" w:lineRule="auto"/>
              <w:rPr>
                <w:rFonts w:eastAsia="Calibri"/>
              </w:rPr>
            </w:pPr>
            <w:r w:rsidRPr="008817D0">
              <w:rPr>
                <w:rFonts w:eastAsia="Calibri"/>
              </w:rPr>
              <w:t xml:space="preserve">Establish administrative prices </w:t>
            </w:r>
          </w:p>
          <w:p w14:paraId="0C76BBE6" w14:textId="77777777" w:rsidR="008817D0" w:rsidRPr="008817D0" w:rsidRDefault="008817D0" w:rsidP="00E04726">
            <w:pPr>
              <w:numPr>
                <w:ilvl w:val="0"/>
                <w:numId w:val="81"/>
              </w:numPr>
              <w:spacing w:after="240" w:line="300" w:lineRule="auto"/>
              <w:rPr>
                <w:rFonts w:eastAsia="Calibri"/>
              </w:rPr>
            </w:pPr>
            <w:r w:rsidRPr="008817D0">
              <w:rPr>
                <w:rFonts w:eastAsia="Calibri"/>
              </w:rPr>
              <w:t>Suspend</w:t>
            </w:r>
            <w:r w:rsidR="00E04726">
              <w:rPr>
                <w:rFonts w:eastAsia="Calibri"/>
              </w:rPr>
              <w:t>ing</w:t>
            </w:r>
            <w:r w:rsidRPr="008817D0">
              <w:rPr>
                <w:rFonts w:eastAsia="Calibri"/>
              </w:rPr>
              <w:t xml:space="preserve"> EIM settlements </w:t>
            </w:r>
            <w:r w:rsidR="00E04726">
              <w:rPr>
                <w:rFonts w:eastAsia="Calibri"/>
              </w:rPr>
              <w:t xml:space="preserve">is </w:t>
            </w:r>
            <w:r w:rsidRPr="008817D0">
              <w:rPr>
                <w:rFonts w:eastAsia="Calibri"/>
              </w:rPr>
              <w:t>not available CAISO</w:t>
            </w:r>
            <w:r w:rsidR="00E04726">
              <w:rPr>
                <w:rFonts w:eastAsia="Calibri"/>
              </w:rPr>
              <w:t xml:space="preserve"> option</w:t>
            </w:r>
            <w:r w:rsidRPr="008817D0">
              <w:rPr>
                <w:rFonts w:eastAsia="Calibri"/>
              </w:rPr>
              <w:t>, but CAISO will respond to request from EIM Entity</w:t>
            </w:r>
            <w:r w:rsidR="00E04726">
              <w:rPr>
                <w:rFonts w:eastAsia="Calibri"/>
              </w:rPr>
              <w:t xml:space="preserve"> for termination of EIM participation</w:t>
            </w:r>
          </w:p>
        </w:tc>
      </w:tr>
      <w:tr w:rsidR="008817D0" w:rsidRPr="008817D0" w14:paraId="4B0BE3CF" w14:textId="77777777" w:rsidTr="00F041A9">
        <w:trPr>
          <w:trHeight w:val="2735"/>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7264705E" w14:textId="77777777" w:rsidR="008817D0" w:rsidRPr="008817D0" w:rsidRDefault="008817D0" w:rsidP="008817D0">
            <w:pPr>
              <w:spacing w:after="240" w:line="300" w:lineRule="auto"/>
              <w:rPr>
                <w:rFonts w:eastAsia="Calibri"/>
              </w:rPr>
            </w:pPr>
            <w:r w:rsidRPr="008817D0">
              <w:rPr>
                <w:rFonts w:eastAsia="Calibri"/>
              </w:rPr>
              <w:lastRenderedPageBreak/>
              <w:t>After EIM Entity Notice of Termination (180 day notice period)</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1237BFE9" w14:textId="77777777" w:rsidR="008817D0" w:rsidRPr="008817D0" w:rsidRDefault="008817D0" w:rsidP="008817D0">
            <w:pPr>
              <w:spacing w:after="240" w:line="300" w:lineRule="auto"/>
              <w:rPr>
                <w:rFonts w:eastAsia="Calibri"/>
              </w:rPr>
            </w:pPr>
            <w:r w:rsidRPr="008817D0">
              <w:rPr>
                <w:rFonts w:eastAsia="Calibri"/>
              </w:rPr>
              <w:t xml:space="preserve">Termination for this time period </w:t>
            </w:r>
            <w:r w:rsidRPr="008817D0">
              <w:rPr>
                <w:rFonts w:eastAsia="Calibri"/>
                <w:u w:val="single"/>
              </w:rPr>
              <w:t>not</w:t>
            </w:r>
            <w:r w:rsidRPr="008817D0">
              <w:rPr>
                <w:rFonts w:eastAsia="Calibri"/>
              </w:rPr>
              <w:t xml:space="preserve"> at election of CAISO. CAISO would respond to Termination of EIM Entity with the following measures:</w:t>
            </w:r>
          </w:p>
          <w:p w14:paraId="7FCA078F" w14:textId="77777777" w:rsidR="008817D0" w:rsidRPr="008817D0" w:rsidRDefault="008817D0" w:rsidP="008817D0">
            <w:pPr>
              <w:numPr>
                <w:ilvl w:val="0"/>
                <w:numId w:val="82"/>
              </w:numPr>
              <w:spacing w:after="240" w:line="300" w:lineRule="auto"/>
              <w:rPr>
                <w:rFonts w:eastAsia="Calibri"/>
              </w:rPr>
            </w:pPr>
            <w:r w:rsidRPr="008817D0">
              <w:rPr>
                <w:rFonts w:eastAsia="Calibri"/>
              </w:rPr>
              <w:t>Prevent EIM Transfers (day 1 of 180 day period)</w:t>
            </w:r>
          </w:p>
          <w:p w14:paraId="049108D1" w14:textId="77777777" w:rsidR="008817D0" w:rsidRPr="00B406F1" w:rsidRDefault="008817D0" w:rsidP="008817D0">
            <w:pPr>
              <w:numPr>
                <w:ilvl w:val="0"/>
                <w:numId w:val="80"/>
              </w:numPr>
              <w:spacing w:after="240" w:line="300" w:lineRule="auto"/>
              <w:rPr>
                <w:rFonts w:eastAsia="Calibri"/>
              </w:rPr>
            </w:pPr>
            <w:r w:rsidRPr="008817D0">
              <w:rPr>
                <w:rFonts w:eastAsia="Calibri"/>
              </w:rPr>
              <w:t>EIM Entity is switched to “non-EIM Entity” (day 2 of 180 day period)</w:t>
            </w:r>
          </w:p>
        </w:tc>
      </w:tr>
    </w:tbl>
    <w:p w14:paraId="222F6AA5" w14:textId="77777777" w:rsidR="008817D0" w:rsidRPr="008817D0" w:rsidRDefault="008817D0" w:rsidP="008817D0">
      <w:pPr>
        <w:spacing w:after="240" w:line="300" w:lineRule="auto"/>
        <w:rPr>
          <w:rFonts w:eastAsia="Calibri"/>
          <w:b/>
        </w:rPr>
      </w:pPr>
    </w:p>
    <w:p w14:paraId="101B0BBE" w14:textId="77777777" w:rsidR="008817D0" w:rsidRPr="008817D0" w:rsidRDefault="008817D0" w:rsidP="00C33762">
      <w:pPr>
        <w:pStyle w:val="Heading2"/>
        <w:rPr>
          <w:rFonts w:eastAsia="Calibri"/>
        </w:rPr>
      </w:pPr>
      <w:bookmarkStart w:id="2004" w:name="_Toc390869290"/>
      <w:bookmarkStart w:id="2005" w:name="_Toc390946302"/>
      <w:bookmarkStart w:id="2006" w:name="_Toc391969863"/>
      <w:bookmarkStart w:id="2007" w:name="_Toc460320473"/>
      <w:r w:rsidRPr="008817D0">
        <w:rPr>
          <w:rFonts w:eastAsia="Calibri"/>
        </w:rPr>
        <w:t>Separation of the EIM Entity</w:t>
      </w:r>
      <w:bookmarkEnd w:id="2004"/>
      <w:bookmarkEnd w:id="2005"/>
      <w:bookmarkEnd w:id="2006"/>
      <w:bookmarkEnd w:id="2007"/>
    </w:p>
    <w:p w14:paraId="789E3CA8" w14:textId="77777777" w:rsidR="008817D0" w:rsidRPr="008817D0" w:rsidRDefault="00545056" w:rsidP="00877DDB">
      <w:pPr>
        <w:pStyle w:val="BPM"/>
      </w:pPr>
      <w:r>
        <w:t>I</w:t>
      </w:r>
      <w:r w:rsidR="004A54C4">
        <w:t>n the event the EIM E</w:t>
      </w:r>
      <w:r w:rsidR="008817D0" w:rsidRPr="008817D0">
        <w:t>ntity needs to separate from the EIM</w:t>
      </w:r>
      <w:r w:rsidR="001B06BF">
        <w:t xml:space="preserve">, </w:t>
      </w:r>
      <w:r>
        <w:t>CAISO will take appropriate steps to restrict operations</w:t>
      </w:r>
      <w:r w:rsidR="008817D0" w:rsidRPr="008817D0">
        <w:t xml:space="preserve"> and suspend settlements within the market.  </w:t>
      </w:r>
    </w:p>
    <w:p w14:paraId="6989E18E" w14:textId="77777777" w:rsidR="008817D0" w:rsidRPr="008817D0" w:rsidRDefault="008817D0" w:rsidP="00C33762">
      <w:pPr>
        <w:pStyle w:val="Heading3"/>
        <w:rPr>
          <w:rFonts w:eastAsia="Calibri"/>
        </w:rPr>
      </w:pPr>
      <w:bookmarkStart w:id="2008" w:name="_Toc390946303"/>
      <w:bookmarkStart w:id="2009" w:name="_Toc391969864"/>
      <w:bookmarkStart w:id="2010" w:name="_Toc460320474"/>
      <w:r w:rsidRPr="008817D0">
        <w:rPr>
          <w:rFonts w:eastAsia="Calibri"/>
        </w:rPr>
        <w:t>EIM Entity Separation from Market</w:t>
      </w:r>
      <w:bookmarkEnd w:id="2008"/>
      <w:bookmarkEnd w:id="2009"/>
      <w:bookmarkEnd w:id="2010"/>
    </w:p>
    <w:p w14:paraId="699EED69" w14:textId="77777777" w:rsidR="008817D0" w:rsidRPr="008817D0" w:rsidRDefault="008817D0" w:rsidP="00705653">
      <w:pPr>
        <w:rPr>
          <w:rFonts w:eastAsia="Calibri"/>
        </w:rPr>
      </w:pPr>
      <w:r w:rsidRPr="008817D0">
        <w:rPr>
          <w:rFonts w:eastAsia="Calibri"/>
        </w:rPr>
        <w:t>When a separation is activated</w:t>
      </w:r>
      <w:r w:rsidR="001B06BF">
        <w:rPr>
          <w:rFonts w:eastAsia="Calibri"/>
        </w:rPr>
        <w:t xml:space="preserve"> by </w:t>
      </w:r>
      <w:r w:rsidR="00545056">
        <w:rPr>
          <w:rFonts w:eastAsia="Calibri"/>
        </w:rPr>
        <w:t>CAISO</w:t>
      </w:r>
      <w:r w:rsidR="00944E25">
        <w:rPr>
          <w:rFonts w:eastAsia="Calibri"/>
        </w:rPr>
        <w:t>, the followings will apply</w:t>
      </w:r>
      <w:r w:rsidRPr="008817D0">
        <w:rPr>
          <w:rFonts w:eastAsia="Calibri"/>
        </w:rPr>
        <w:t>:</w:t>
      </w:r>
    </w:p>
    <w:p w14:paraId="491D6397" w14:textId="6A0F684F" w:rsidR="00A57C6B" w:rsidRPr="008817D0" w:rsidRDefault="008817D0">
      <w:pPr>
        <w:pStyle w:val="ListParagraph"/>
        <w:numPr>
          <w:ilvl w:val="0"/>
          <w:numId w:val="80"/>
        </w:numPr>
        <w:rPr>
          <w:rFonts w:eastAsia="Calibri"/>
        </w:rPr>
      </w:pPr>
      <w:r w:rsidRPr="008817D0">
        <w:rPr>
          <w:rFonts w:eastAsia="Calibri"/>
        </w:rPr>
        <w:t>SIBR</w:t>
      </w:r>
      <w:r w:rsidRPr="00944E25">
        <w:rPr>
          <w:rFonts w:eastAsia="Calibri"/>
        </w:rPr>
        <w:t xml:space="preserve"> </w:t>
      </w:r>
      <w:r w:rsidR="00944E25" w:rsidRPr="00944E25">
        <w:rPr>
          <w:rFonts w:eastAsia="Calibri"/>
        </w:rPr>
        <w:t>will</w:t>
      </w:r>
      <w:r w:rsidRPr="008817D0">
        <w:rPr>
          <w:rFonts w:eastAsia="Calibri"/>
        </w:rPr>
        <w:t xml:space="preserve"> reject any energy bids from the re</w:t>
      </w:r>
      <w:r w:rsidR="004A54C4">
        <w:rPr>
          <w:rFonts w:eastAsia="Calibri"/>
        </w:rPr>
        <w:t>sources that belong to the EIM E</w:t>
      </w:r>
      <w:r w:rsidRPr="008817D0">
        <w:rPr>
          <w:rFonts w:eastAsia="Calibri"/>
        </w:rPr>
        <w:t xml:space="preserve">ntity BAAs. </w:t>
      </w:r>
      <w:r w:rsidR="00944E25" w:rsidRPr="00944E25">
        <w:rPr>
          <w:rFonts w:eastAsia="Calibri"/>
        </w:rPr>
        <w:t xml:space="preserve">As a result, there will be no unit commitment or economic dispatch for EIM resources in </w:t>
      </w:r>
      <w:r w:rsidR="00D52168">
        <w:rPr>
          <w:rFonts w:eastAsia="Calibri"/>
        </w:rPr>
        <w:t xml:space="preserve">the </w:t>
      </w:r>
      <w:r w:rsidR="00944E25" w:rsidRPr="00944E25">
        <w:rPr>
          <w:rFonts w:eastAsia="Calibri"/>
        </w:rPr>
        <w:t>rea</w:t>
      </w:r>
      <w:r w:rsidR="00D52168">
        <w:rPr>
          <w:rFonts w:eastAsia="Calibri"/>
        </w:rPr>
        <w:t>l-</w:t>
      </w:r>
      <w:r w:rsidR="00944E25" w:rsidRPr="00944E25">
        <w:rPr>
          <w:rFonts w:eastAsia="Calibri"/>
        </w:rPr>
        <w:t>time market.</w:t>
      </w:r>
      <w:r w:rsidRPr="00944E25">
        <w:rPr>
          <w:rFonts w:eastAsia="Calibri"/>
        </w:rPr>
        <w:t xml:space="preserve"> </w:t>
      </w:r>
    </w:p>
    <w:p w14:paraId="304E027D" w14:textId="6C217EC1" w:rsidR="00A57C6B" w:rsidRPr="00877DDB" w:rsidRDefault="00F06452" w:rsidP="00877DDB">
      <w:pPr>
        <w:pStyle w:val="ListParagraph"/>
        <w:numPr>
          <w:ilvl w:val="0"/>
          <w:numId w:val="80"/>
        </w:numPr>
        <w:rPr>
          <w:rFonts w:eastAsia="Calibri"/>
        </w:rPr>
      </w:pPr>
      <w:r w:rsidRPr="00877DDB">
        <w:rPr>
          <w:rFonts w:eastAsia="Calibri"/>
        </w:rPr>
        <w:t>The f</w:t>
      </w:r>
      <w:r w:rsidR="008817D0" w:rsidRPr="00877DDB">
        <w:rPr>
          <w:rFonts w:eastAsia="Calibri"/>
        </w:rPr>
        <w:t xml:space="preserve">lexible ramping requirement </w:t>
      </w:r>
      <w:r w:rsidR="00944E25" w:rsidRPr="00877DDB">
        <w:rPr>
          <w:rFonts w:eastAsia="Calibri"/>
        </w:rPr>
        <w:t xml:space="preserve">will be set </w:t>
      </w:r>
      <w:r w:rsidR="008817D0" w:rsidRPr="00877DDB">
        <w:rPr>
          <w:rFonts w:eastAsia="Calibri"/>
        </w:rPr>
        <w:t>equal</w:t>
      </w:r>
      <w:r w:rsidR="00944E25" w:rsidRPr="00877DDB">
        <w:rPr>
          <w:rFonts w:eastAsia="Calibri"/>
        </w:rPr>
        <w:t xml:space="preserve"> to</w:t>
      </w:r>
      <w:r w:rsidR="008817D0" w:rsidRPr="00877DDB">
        <w:rPr>
          <w:rFonts w:eastAsia="Calibri"/>
        </w:rPr>
        <w:t xml:space="preserve"> zero for the EIM Entity BAA</w:t>
      </w:r>
      <w:r w:rsidR="00944E25" w:rsidRPr="00877DDB">
        <w:rPr>
          <w:rFonts w:eastAsia="Calibri"/>
        </w:rPr>
        <w:t>. Also, the flexible ramping requirement will be set to fail for EIM Entity BAA</w:t>
      </w:r>
      <w:r w:rsidR="00A57C6B">
        <w:rPr>
          <w:rFonts w:eastAsia="Calibri"/>
        </w:rPr>
        <w:t>.</w:t>
      </w:r>
    </w:p>
    <w:p w14:paraId="23E66FC9" w14:textId="53E46839" w:rsidR="00A57C6B" w:rsidRPr="00877DDB" w:rsidRDefault="00944E25" w:rsidP="00877DDB">
      <w:pPr>
        <w:pStyle w:val="ListParagraph"/>
        <w:numPr>
          <w:ilvl w:val="0"/>
          <w:numId w:val="80"/>
        </w:numPr>
        <w:rPr>
          <w:rFonts w:eastAsia="Calibri"/>
        </w:rPr>
      </w:pPr>
      <w:r w:rsidRPr="00877DDB">
        <w:rPr>
          <w:rFonts w:eastAsia="Calibri"/>
        </w:rPr>
        <w:lastRenderedPageBreak/>
        <w:t>To avoid imbalance energy settlement under separation, EIM Entity is responsible to submit base schedules and meter data.</w:t>
      </w:r>
    </w:p>
    <w:p w14:paraId="7619268A" w14:textId="7C7F46FE" w:rsidR="00A57C6B" w:rsidRPr="00877DDB" w:rsidRDefault="00944E25" w:rsidP="00877DDB">
      <w:pPr>
        <w:pStyle w:val="ListParagraph"/>
        <w:numPr>
          <w:ilvl w:val="0"/>
          <w:numId w:val="80"/>
        </w:numPr>
        <w:rPr>
          <w:rFonts w:eastAsia="Calibri"/>
        </w:rPr>
      </w:pPr>
      <w:r w:rsidRPr="00877DDB">
        <w:rPr>
          <w:rFonts w:eastAsia="Calibri"/>
        </w:rPr>
        <w:t>There will be n</w:t>
      </w:r>
      <w:r w:rsidR="008817D0" w:rsidRPr="00877DDB">
        <w:rPr>
          <w:rFonts w:eastAsia="Calibri"/>
        </w:rPr>
        <w:t>o incremental transfer between EIM Entity BAA and the CAISO BAA</w:t>
      </w:r>
      <w:r w:rsidRPr="00877DDB">
        <w:rPr>
          <w:rFonts w:eastAsia="Calibri"/>
        </w:rPr>
        <w:t>.</w:t>
      </w:r>
    </w:p>
    <w:p w14:paraId="17C385ED" w14:textId="39D37AE1" w:rsidR="00A57C6B" w:rsidRPr="00877DDB" w:rsidRDefault="00944E25" w:rsidP="00877DDB">
      <w:pPr>
        <w:pStyle w:val="ListParagraph"/>
        <w:numPr>
          <w:ilvl w:val="0"/>
          <w:numId w:val="80"/>
        </w:numPr>
        <w:rPr>
          <w:rFonts w:eastAsia="Calibri"/>
        </w:rPr>
      </w:pPr>
      <w:r w:rsidRPr="00877DDB">
        <w:rPr>
          <w:rFonts w:eastAsia="Calibri"/>
        </w:rPr>
        <w:t>There will be n</w:t>
      </w:r>
      <w:r w:rsidR="008817D0" w:rsidRPr="00877DDB">
        <w:rPr>
          <w:rFonts w:eastAsia="Calibri"/>
        </w:rPr>
        <w:t xml:space="preserve">o congestion management </w:t>
      </w:r>
      <w:r w:rsidR="0084748A" w:rsidRPr="00877DDB">
        <w:rPr>
          <w:rFonts w:eastAsia="Calibri"/>
        </w:rPr>
        <w:t>and no transmission constraint enforcement</w:t>
      </w:r>
      <w:r w:rsidR="008817D0" w:rsidRPr="00877DDB">
        <w:rPr>
          <w:rFonts w:eastAsia="Calibri"/>
        </w:rPr>
        <w:t xml:space="preserve"> for the EIM Entity BAA</w:t>
      </w:r>
      <w:r w:rsidR="0084748A" w:rsidRPr="00877DDB">
        <w:rPr>
          <w:rFonts w:eastAsia="Calibri"/>
        </w:rPr>
        <w:t>.</w:t>
      </w:r>
    </w:p>
    <w:p w14:paraId="60546345" w14:textId="011DE647" w:rsidR="00A57C6B" w:rsidRPr="00877DDB" w:rsidRDefault="008817D0" w:rsidP="00877DDB">
      <w:pPr>
        <w:pStyle w:val="ListParagraph"/>
        <w:numPr>
          <w:ilvl w:val="0"/>
          <w:numId w:val="80"/>
        </w:numPr>
        <w:rPr>
          <w:rFonts w:eastAsia="Calibri"/>
        </w:rPr>
      </w:pPr>
      <w:r w:rsidRPr="00877DDB">
        <w:rPr>
          <w:rFonts w:eastAsia="Calibri"/>
        </w:rPr>
        <w:t>The EIM Entity SC shall submit meter in alignment with T+55B Recalculation Statement (Final Meter Submittal T+48B)</w:t>
      </w:r>
      <w:r w:rsidR="00A57C6B">
        <w:rPr>
          <w:rFonts w:eastAsia="Calibri"/>
        </w:rPr>
        <w:t>.</w:t>
      </w:r>
    </w:p>
    <w:p w14:paraId="34C36B06" w14:textId="7317F1C7" w:rsidR="00A57C6B" w:rsidRPr="00877DDB" w:rsidRDefault="004A54C4" w:rsidP="00877DDB">
      <w:pPr>
        <w:pStyle w:val="ListParagraph"/>
        <w:numPr>
          <w:ilvl w:val="0"/>
          <w:numId w:val="80"/>
        </w:numPr>
        <w:rPr>
          <w:rFonts w:eastAsia="Calibri"/>
        </w:rPr>
      </w:pPr>
      <w:r w:rsidRPr="00877DDB">
        <w:rPr>
          <w:rFonts w:eastAsia="Calibri"/>
        </w:rPr>
        <w:t>EIM E</w:t>
      </w:r>
      <w:r w:rsidR="008817D0" w:rsidRPr="00877DDB">
        <w:rPr>
          <w:rFonts w:eastAsia="Calibri"/>
        </w:rPr>
        <w:t>ntity SC shall submit the meter equal to the total expected energy for all the EIM Entity BAA resources.</w:t>
      </w:r>
    </w:p>
    <w:p w14:paraId="47EDA670" w14:textId="77777777" w:rsidR="008817D0" w:rsidRPr="00877DDB" w:rsidRDefault="008817D0" w:rsidP="00877DDB">
      <w:pPr>
        <w:pStyle w:val="ListParagraph"/>
        <w:numPr>
          <w:ilvl w:val="0"/>
          <w:numId w:val="80"/>
        </w:numPr>
        <w:rPr>
          <w:rFonts w:eastAsia="Calibri"/>
        </w:rPr>
      </w:pPr>
      <w:r w:rsidRPr="00877DDB">
        <w:rPr>
          <w:rFonts w:eastAsia="Calibri"/>
        </w:rPr>
        <w:t>As normal process, the settlement produces statements at T+3B and T+12B using estimation of meter, which is the total expected energy from the market. If an EIM Entity BAA activates the separation flag, the expected energy calculated fro</w:t>
      </w:r>
      <w:r w:rsidR="000B6D3C" w:rsidRPr="00877DDB">
        <w:rPr>
          <w:rFonts w:eastAsia="Calibri"/>
        </w:rPr>
        <w:t>m the market will equal to the Base S</w:t>
      </w:r>
      <w:r w:rsidRPr="00877DDB">
        <w:rPr>
          <w:rFonts w:eastAsia="Calibri"/>
        </w:rPr>
        <w:t>chedule for all t</w:t>
      </w:r>
      <w:r w:rsidR="00A30AD7" w:rsidRPr="00877DDB">
        <w:rPr>
          <w:rFonts w:eastAsia="Calibri"/>
        </w:rPr>
        <w:t xml:space="preserve">he resources/loads/interties that </w:t>
      </w:r>
      <w:r w:rsidRPr="00877DDB">
        <w:rPr>
          <w:rFonts w:eastAsia="Calibri"/>
        </w:rPr>
        <w:t>belong to this BAA. Therefore, the est</w:t>
      </w:r>
      <w:r w:rsidR="000B6D3C" w:rsidRPr="00877DDB">
        <w:rPr>
          <w:rFonts w:eastAsia="Calibri"/>
        </w:rPr>
        <w:t>imation of meter will equal to Base S</w:t>
      </w:r>
      <w:r w:rsidRPr="00877DDB">
        <w:rPr>
          <w:rFonts w:eastAsia="Calibri"/>
        </w:rPr>
        <w:t xml:space="preserve">chedule. The EIM imbalance energy will equal to zero. </w:t>
      </w:r>
    </w:p>
    <w:p w14:paraId="0316E7B0" w14:textId="77777777" w:rsidR="008817D0" w:rsidRPr="008817D0" w:rsidRDefault="008817D0" w:rsidP="008817D0">
      <w:pPr>
        <w:spacing w:after="240" w:line="300" w:lineRule="auto"/>
        <w:rPr>
          <w:rFonts w:eastAsia="Calibri"/>
        </w:rPr>
      </w:pPr>
      <w:r w:rsidRPr="008817D0">
        <w:rPr>
          <w:rFonts w:eastAsia="Calibri"/>
          <w:b/>
        </w:rPr>
        <w:t>Note:</w:t>
      </w:r>
      <w:r w:rsidR="004A54C4">
        <w:rPr>
          <w:rFonts w:eastAsia="Calibri"/>
        </w:rPr>
        <w:t xml:space="preserve"> </w:t>
      </w:r>
      <w:r w:rsidR="00705653">
        <w:rPr>
          <w:rFonts w:eastAsia="Calibri"/>
        </w:rPr>
        <w:t xml:space="preserve">The </w:t>
      </w:r>
      <w:r w:rsidR="004A54C4">
        <w:rPr>
          <w:rFonts w:eastAsia="Calibri"/>
        </w:rPr>
        <w:t>EIM E</w:t>
      </w:r>
      <w:r w:rsidR="000B6D3C">
        <w:rPr>
          <w:rFonts w:eastAsia="Calibri"/>
        </w:rPr>
        <w:t xml:space="preserve">ntity </w:t>
      </w:r>
      <w:r w:rsidR="0084748A">
        <w:rPr>
          <w:rFonts w:eastAsia="Calibri"/>
        </w:rPr>
        <w:t xml:space="preserve">will be </w:t>
      </w:r>
      <w:r w:rsidR="000B6D3C">
        <w:rPr>
          <w:rFonts w:eastAsia="Calibri"/>
        </w:rPr>
        <w:t>responsible for Base S</w:t>
      </w:r>
      <w:r w:rsidRPr="008817D0">
        <w:rPr>
          <w:rFonts w:eastAsia="Calibri"/>
        </w:rPr>
        <w:t>chedule, meter submission, and imbalance energy settlement if the meter is not e</w:t>
      </w:r>
      <w:r w:rsidR="000B6D3C">
        <w:rPr>
          <w:rFonts w:eastAsia="Calibri"/>
        </w:rPr>
        <w:t>qual to the Base S</w:t>
      </w:r>
      <w:r w:rsidR="009879C4">
        <w:rPr>
          <w:rFonts w:eastAsia="Calibri"/>
        </w:rPr>
        <w:t>chedule.</w:t>
      </w:r>
    </w:p>
    <w:p w14:paraId="20C30BFA" w14:textId="77777777" w:rsidR="008817D0" w:rsidRPr="008817D0" w:rsidRDefault="008817D0" w:rsidP="00C33762">
      <w:pPr>
        <w:pStyle w:val="Heading2"/>
        <w:rPr>
          <w:rFonts w:eastAsia="Calibri"/>
        </w:rPr>
      </w:pPr>
      <w:bookmarkStart w:id="2011" w:name="_Toc390869291"/>
      <w:bookmarkStart w:id="2012" w:name="_Toc390946304"/>
      <w:bookmarkStart w:id="2013" w:name="_Toc391969865"/>
      <w:bookmarkStart w:id="2014" w:name="_Toc460320475"/>
      <w:r w:rsidRPr="008817D0">
        <w:rPr>
          <w:rFonts w:eastAsia="Calibri"/>
        </w:rPr>
        <w:t>Advanced Load Forecasting System (</w:t>
      </w:r>
      <w:bookmarkStart w:id="2015" w:name="_Toc390868431"/>
      <w:bookmarkStart w:id="2016" w:name="_Toc390869292"/>
      <w:bookmarkStart w:id="2017" w:name="_Toc390868432"/>
      <w:bookmarkStart w:id="2018" w:name="_Toc390869293"/>
      <w:bookmarkStart w:id="2019" w:name="_Toc390868435"/>
      <w:bookmarkStart w:id="2020" w:name="_Toc390869296"/>
      <w:bookmarkStart w:id="2021" w:name="_Toc390868437"/>
      <w:bookmarkStart w:id="2022" w:name="_Toc390869298"/>
      <w:bookmarkStart w:id="2023" w:name="_Toc390868438"/>
      <w:bookmarkStart w:id="2024" w:name="_Toc390869299"/>
      <w:bookmarkStart w:id="2025" w:name="_Toc390868439"/>
      <w:bookmarkStart w:id="2026" w:name="_Toc390869300"/>
      <w:bookmarkStart w:id="2027" w:name="_Toc390868441"/>
      <w:bookmarkStart w:id="2028" w:name="_Toc390869302"/>
      <w:bookmarkStart w:id="2029" w:name="_Toc390868442"/>
      <w:bookmarkStart w:id="2030" w:name="_Toc390869303"/>
      <w:bookmarkStart w:id="2031" w:name="_Toc390868443"/>
      <w:bookmarkStart w:id="2032" w:name="_Toc390869304"/>
      <w:bookmarkStart w:id="2033" w:name="_Toc390868444"/>
      <w:bookmarkStart w:id="2034" w:name="_Toc390869305"/>
      <w:bookmarkStart w:id="2035" w:name="_Toc390868445"/>
      <w:bookmarkStart w:id="2036" w:name="_Toc390869306"/>
      <w:bookmarkStart w:id="2037" w:name="_Toc390868446"/>
      <w:bookmarkStart w:id="2038" w:name="_Toc390869307"/>
      <w:bookmarkStart w:id="2039" w:name="_Toc390868448"/>
      <w:bookmarkStart w:id="2040" w:name="_Toc390869309"/>
      <w:bookmarkStart w:id="2041" w:name="_Toc390868453"/>
      <w:bookmarkStart w:id="2042" w:name="_Toc390869314"/>
      <w:bookmarkStart w:id="2043" w:name="_Toc390868454"/>
      <w:bookmarkStart w:id="2044" w:name="_Toc390869315"/>
      <w:bookmarkStart w:id="2045" w:name="_Toc390868455"/>
      <w:bookmarkStart w:id="2046" w:name="_Toc390869316"/>
      <w:bookmarkStart w:id="2047" w:name="_Toc390868456"/>
      <w:bookmarkStart w:id="2048" w:name="_Toc390869317"/>
      <w:bookmarkStart w:id="2049" w:name="_Toc390868457"/>
      <w:bookmarkStart w:id="2050" w:name="_Toc390869318"/>
      <w:bookmarkStart w:id="2051" w:name="_Toc390868458"/>
      <w:bookmarkStart w:id="2052" w:name="_Toc390869319"/>
      <w:bookmarkStart w:id="2053" w:name="_Toc390868459"/>
      <w:bookmarkStart w:id="2054" w:name="_Toc390869320"/>
      <w:bookmarkStart w:id="2055" w:name="_Toc390868460"/>
      <w:bookmarkStart w:id="2056" w:name="_Toc390869321"/>
      <w:bookmarkStart w:id="2057" w:name="_Toc390868464"/>
      <w:bookmarkStart w:id="2058" w:name="_Toc390869325"/>
      <w:bookmarkStart w:id="2059" w:name="_Toc390868468"/>
      <w:bookmarkStart w:id="2060" w:name="_Toc390869329"/>
      <w:bookmarkStart w:id="2061" w:name="_Toc390868469"/>
      <w:bookmarkStart w:id="2062" w:name="_Toc390869330"/>
      <w:bookmarkStart w:id="2063" w:name="_Toc390868470"/>
      <w:bookmarkStart w:id="2064" w:name="_Toc390869331"/>
      <w:bookmarkStart w:id="2065" w:name="_Toc390868471"/>
      <w:bookmarkStart w:id="2066" w:name="_Toc390869332"/>
      <w:bookmarkStart w:id="2067" w:name="_Toc390868475"/>
      <w:bookmarkStart w:id="2068" w:name="_Toc390869336"/>
      <w:bookmarkStart w:id="2069" w:name="_Toc390868478"/>
      <w:bookmarkStart w:id="2070" w:name="_Toc390869339"/>
      <w:bookmarkStart w:id="2071" w:name="_Toc390868479"/>
      <w:bookmarkStart w:id="2072" w:name="_Toc390869340"/>
      <w:bookmarkStart w:id="2073" w:name="_Toc390868481"/>
      <w:bookmarkStart w:id="2074" w:name="_Toc390869342"/>
      <w:bookmarkStart w:id="2075" w:name="_Toc390869344"/>
      <w:bookmarkEnd w:id="2011"/>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sidRPr="008817D0">
        <w:rPr>
          <w:rFonts w:eastAsia="Calibri"/>
        </w:rPr>
        <w:t>ALFS)</w:t>
      </w:r>
      <w:bookmarkEnd w:id="2012"/>
      <w:bookmarkEnd w:id="2013"/>
      <w:bookmarkEnd w:id="2014"/>
      <w:bookmarkEnd w:id="2075"/>
      <w:r w:rsidRPr="008817D0">
        <w:rPr>
          <w:rFonts w:eastAsia="Calibri"/>
        </w:rPr>
        <w:t xml:space="preserve"> </w:t>
      </w:r>
    </w:p>
    <w:p w14:paraId="75AF42C5" w14:textId="77777777" w:rsidR="00560AD6" w:rsidRPr="00E42D61" w:rsidRDefault="008817D0" w:rsidP="00C33762">
      <w:pPr>
        <w:pStyle w:val="Heading3"/>
        <w:rPr>
          <w:rFonts w:eastAsia="Calibri"/>
        </w:rPr>
      </w:pPr>
      <w:bookmarkStart w:id="2076" w:name="_Toc390869345"/>
      <w:bookmarkStart w:id="2077" w:name="_Toc390946305"/>
      <w:bookmarkStart w:id="2078" w:name="_Toc391969866"/>
      <w:bookmarkStart w:id="2079" w:name="_Toc460320476"/>
      <w:r w:rsidRPr="008817D0">
        <w:rPr>
          <w:rFonts w:eastAsia="Calibri"/>
        </w:rPr>
        <w:t xml:space="preserve">Requirements </w:t>
      </w:r>
      <w:r w:rsidR="00560AD6">
        <w:rPr>
          <w:rFonts w:eastAsia="Calibri"/>
        </w:rPr>
        <w:t>for Load</w:t>
      </w:r>
      <w:r w:rsidRPr="008817D0">
        <w:rPr>
          <w:rFonts w:eastAsia="Calibri"/>
        </w:rPr>
        <w:t xml:space="preserve"> Forecasting</w:t>
      </w:r>
      <w:bookmarkEnd w:id="2076"/>
      <w:bookmarkEnd w:id="2077"/>
      <w:bookmarkEnd w:id="2078"/>
      <w:bookmarkEnd w:id="2079"/>
    </w:p>
    <w:p w14:paraId="5FA18550" w14:textId="77777777" w:rsidR="00560AD6" w:rsidRDefault="006276DD" w:rsidP="00BA2E6E">
      <w:pPr>
        <w:pStyle w:val="ParaText"/>
        <w:rPr>
          <w:rFonts w:cs="Arial"/>
        </w:rPr>
      </w:pPr>
      <w:r>
        <w:rPr>
          <w:rFonts w:cs="Arial"/>
        </w:rPr>
        <w:t>CA</w:t>
      </w:r>
      <w:r w:rsidR="00560AD6">
        <w:rPr>
          <w:rFonts w:cs="Arial"/>
        </w:rPr>
        <w:t>ISO forecasts load d</w:t>
      </w:r>
      <w:r w:rsidR="00560AD6" w:rsidRPr="00DD04FE">
        <w:rPr>
          <w:rFonts w:cs="Arial"/>
        </w:rPr>
        <w:t xml:space="preserve">emand for each hour of the next </w:t>
      </w:r>
      <w:r w:rsidR="00E047D3">
        <w:rPr>
          <w:rFonts w:cs="Arial"/>
        </w:rPr>
        <w:t>nine</w:t>
      </w:r>
      <w:r w:rsidR="008475B8">
        <w:rPr>
          <w:rFonts w:cs="Arial"/>
        </w:rPr>
        <w:t xml:space="preserve"> Operating D</w:t>
      </w:r>
      <w:r w:rsidR="00560AD6" w:rsidRPr="00DD04FE">
        <w:rPr>
          <w:rFonts w:cs="Arial"/>
        </w:rPr>
        <w:t>ay</w:t>
      </w:r>
      <w:r w:rsidR="00560AD6">
        <w:rPr>
          <w:rFonts w:cs="Arial"/>
        </w:rPr>
        <w:t>s</w:t>
      </w:r>
      <w:r w:rsidR="00560AD6" w:rsidRPr="00DD04FE">
        <w:rPr>
          <w:rFonts w:cs="Arial"/>
        </w:rPr>
        <w:t xml:space="preserve"> utilizing </w:t>
      </w:r>
      <w:r w:rsidR="00560AD6">
        <w:rPr>
          <w:rFonts w:cs="Arial"/>
        </w:rPr>
        <w:t xml:space="preserve">advanced utility industry accepted </w:t>
      </w:r>
      <w:r w:rsidR="00560AD6" w:rsidRPr="00DD04FE">
        <w:rPr>
          <w:rFonts w:cs="Arial"/>
        </w:rPr>
        <w:t>neural-network forecasting soft</w:t>
      </w:r>
      <w:r w:rsidR="00560AD6">
        <w:rPr>
          <w:rFonts w:cs="Arial"/>
        </w:rPr>
        <w:t>ware</w:t>
      </w:r>
      <w:r w:rsidR="00560AD6" w:rsidRPr="00EF5310">
        <w:rPr>
          <w:rFonts w:cs="Arial"/>
        </w:rPr>
        <w:t xml:space="preserve"> </w:t>
      </w:r>
      <w:r w:rsidR="00560AD6">
        <w:rPr>
          <w:rFonts w:cs="Arial"/>
        </w:rPr>
        <w:t>f</w:t>
      </w:r>
      <w:r w:rsidR="00560AD6" w:rsidRPr="00DD04FE">
        <w:rPr>
          <w:rFonts w:cs="Arial"/>
        </w:rPr>
        <w:t>or each</w:t>
      </w:r>
      <w:r w:rsidR="00560AD6">
        <w:rPr>
          <w:rFonts w:cs="Arial"/>
        </w:rPr>
        <w:t xml:space="preserve"> </w:t>
      </w:r>
      <w:r w:rsidR="00560AD6" w:rsidRPr="00DD04FE">
        <w:rPr>
          <w:rFonts w:cs="Arial"/>
        </w:rPr>
        <w:t xml:space="preserve">load forecast zone. </w:t>
      </w:r>
      <w:r w:rsidR="00560AD6">
        <w:rPr>
          <w:rFonts w:cs="Arial"/>
        </w:rPr>
        <w:t>In order to accurately forecast the load zone, the software requires historical load profiles and utilizes an ensemble of</w:t>
      </w:r>
      <w:r w:rsidR="00560AD6" w:rsidRPr="00DD04FE">
        <w:rPr>
          <w:rFonts w:cs="Arial"/>
        </w:rPr>
        <w:t xml:space="preserve"> weather forecasting data sources </w:t>
      </w:r>
      <w:r w:rsidR="00560AD6">
        <w:rPr>
          <w:rFonts w:cs="Arial"/>
        </w:rPr>
        <w:t>for each zone</w:t>
      </w:r>
      <w:r w:rsidR="00560AD6" w:rsidRPr="00DD04FE">
        <w:rPr>
          <w:rFonts w:cs="Arial"/>
        </w:rPr>
        <w:t>.</w:t>
      </w:r>
    </w:p>
    <w:p w14:paraId="528430BE" w14:textId="77777777" w:rsidR="00560AD6" w:rsidRPr="00560AD6" w:rsidRDefault="006276DD" w:rsidP="00560AD6">
      <w:pPr>
        <w:pStyle w:val="ParaText"/>
        <w:rPr>
          <w:rFonts w:eastAsia="Calibri"/>
        </w:rPr>
      </w:pPr>
      <w:r>
        <w:rPr>
          <w:rFonts w:cs="Arial"/>
        </w:rPr>
        <w:t>CA</w:t>
      </w:r>
      <w:r w:rsidR="00E047D3">
        <w:rPr>
          <w:rFonts w:cs="Arial"/>
        </w:rPr>
        <w:t xml:space="preserve">ISO’s forecasting software </w:t>
      </w:r>
      <w:r w:rsidR="00560AD6">
        <w:rPr>
          <w:rFonts w:cs="Arial"/>
        </w:rPr>
        <w:t>requires the following:</w:t>
      </w:r>
    </w:p>
    <w:p w14:paraId="344ECB55" w14:textId="77777777" w:rsidR="008817D0" w:rsidRPr="008817D0" w:rsidRDefault="008817D0" w:rsidP="00877DDB">
      <w:pPr>
        <w:numPr>
          <w:ilvl w:val="0"/>
          <w:numId w:val="61"/>
        </w:numPr>
        <w:ind w:left="1080"/>
        <w:rPr>
          <w:rFonts w:eastAsia="Calibri"/>
        </w:rPr>
      </w:pPr>
      <w:r w:rsidRPr="008817D0">
        <w:rPr>
          <w:rFonts w:eastAsia="Calibri"/>
        </w:rPr>
        <w:t>Define</w:t>
      </w:r>
      <w:r w:rsidR="00560AD6">
        <w:rPr>
          <w:rFonts w:eastAsia="Calibri"/>
        </w:rPr>
        <w:t>d</w:t>
      </w:r>
      <w:r w:rsidRPr="008817D0">
        <w:rPr>
          <w:rFonts w:eastAsia="Calibri"/>
        </w:rPr>
        <w:t xml:space="preserve"> EIM Entity Balancing Authority Areas</w:t>
      </w:r>
      <w:r w:rsidR="00417DC8">
        <w:rPr>
          <w:rFonts w:eastAsia="Calibri"/>
        </w:rPr>
        <w:t xml:space="preserve"> </w:t>
      </w:r>
      <w:r w:rsidR="00560AD6">
        <w:rPr>
          <w:rFonts w:eastAsia="Calibri"/>
        </w:rPr>
        <w:t>to fo</w:t>
      </w:r>
      <w:r w:rsidRPr="008817D0">
        <w:rPr>
          <w:rFonts w:eastAsia="Calibri"/>
        </w:rPr>
        <w:t>recast.</w:t>
      </w:r>
    </w:p>
    <w:p w14:paraId="4DDB3B58" w14:textId="77777777" w:rsidR="008817D0" w:rsidRPr="008817D0" w:rsidRDefault="00560AD6" w:rsidP="00877DDB">
      <w:pPr>
        <w:numPr>
          <w:ilvl w:val="0"/>
          <w:numId w:val="61"/>
        </w:numPr>
        <w:ind w:left="1080"/>
        <w:rPr>
          <w:rFonts w:eastAsia="Calibri"/>
        </w:rPr>
      </w:pPr>
      <w:r>
        <w:rPr>
          <w:rFonts w:eastAsia="Calibri"/>
        </w:rPr>
        <w:t xml:space="preserve">Defined  national </w:t>
      </w:r>
      <w:r w:rsidR="008817D0" w:rsidRPr="008817D0">
        <w:rPr>
          <w:rFonts w:eastAsia="Calibri"/>
        </w:rPr>
        <w:t xml:space="preserve"> weather stations within EIM Entity Balancing Authority Areas</w:t>
      </w:r>
    </w:p>
    <w:p w14:paraId="6E807309" w14:textId="77777777" w:rsidR="008817D0" w:rsidRPr="008817D0" w:rsidRDefault="008817D0" w:rsidP="00877DDB">
      <w:pPr>
        <w:numPr>
          <w:ilvl w:val="0"/>
          <w:numId w:val="62"/>
        </w:numPr>
        <w:ind w:left="1800"/>
        <w:rPr>
          <w:rFonts w:eastAsia="Calibri"/>
        </w:rPr>
      </w:pPr>
      <w:r w:rsidRPr="008817D0">
        <w:rPr>
          <w:rFonts w:eastAsia="Calibri"/>
        </w:rPr>
        <w:lastRenderedPageBreak/>
        <w:t xml:space="preserve">CAISO will </w:t>
      </w:r>
      <w:r w:rsidR="00E047D3">
        <w:rPr>
          <w:rFonts w:eastAsia="Calibri"/>
        </w:rPr>
        <w:t xml:space="preserve">contract to </w:t>
      </w:r>
      <w:r w:rsidRPr="008817D0">
        <w:rPr>
          <w:rFonts w:eastAsia="Calibri"/>
        </w:rPr>
        <w:t>r</w:t>
      </w:r>
      <w:r w:rsidR="00E047D3">
        <w:rPr>
          <w:rFonts w:eastAsia="Calibri"/>
        </w:rPr>
        <w:t xml:space="preserve">eceive hourly weather data from </w:t>
      </w:r>
      <w:r w:rsidRPr="008817D0">
        <w:rPr>
          <w:rFonts w:eastAsia="Calibri"/>
        </w:rPr>
        <w:t>weather forecast vendor</w:t>
      </w:r>
      <w:r w:rsidR="00E047D3">
        <w:rPr>
          <w:rFonts w:eastAsia="Calibri"/>
        </w:rPr>
        <w:t xml:space="preserve"> (s) for</w:t>
      </w:r>
      <w:r w:rsidRPr="008817D0">
        <w:rPr>
          <w:rFonts w:eastAsia="Calibri"/>
        </w:rPr>
        <w:t xml:space="preserve"> stations</w:t>
      </w:r>
      <w:r w:rsidR="00E047D3">
        <w:rPr>
          <w:rFonts w:eastAsia="Calibri"/>
        </w:rPr>
        <w:t xml:space="preserve"> and historical weather data</w:t>
      </w:r>
      <w:r w:rsidRPr="008817D0">
        <w:rPr>
          <w:rFonts w:eastAsia="Calibri"/>
        </w:rPr>
        <w:t>, to use as an input for EIM load forecast.</w:t>
      </w:r>
    </w:p>
    <w:p w14:paraId="50CA18D4" w14:textId="77777777" w:rsidR="008817D0" w:rsidRPr="008817D0" w:rsidRDefault="00560AD6" w:rsidP="00877DDB">
      <w:pPr>
        <w:numPr>
          <w:ilvl w:val="0"/>
          <w:numId w:val="64"/>
        </w:numPr>
        <w:rPr>
          <w:rFonts w:eastAsia="Calibri"/>
        </w:rPr>
      </w:pPr>
      <w:r>
        <w:rPr>
          <w:rFonts w:eastAsia="Calibri"/>
        </w:rPr>
        <w:t>T</w:t>
      </w:r>
      <w:r w:rsidR="008817D0" w:rsidRPr="008817D0">
        <w:rPr>
          <w:rFonts w:eastAsia="Calibri"/>
        </w:rPr>
        <w:t xml:space="preserve">he five-minute average historical load data (at least two years) to train the forecast </w:t>
      </w:r>
      <w:r w:rsidR="00E047D3">
        <w:rPr>
          <w:rFonts w:eastAsia="Calibri"/>
        </w:rPr>
        <w:t>software</w:t>
      </w:r>
      <w:r w:rsidR="008817D0" w:rsidRPr="008817D0">
        <w:rPr>
          <w:rFonts w:eastAsia="Calibri"/>
        </w:rPr>
        <w:t>.</w:t>
      </w:r>
    </w:p>
    <w:p w14:paraId="742760E4" w14:textId="77777777" w:rsidR="008817D0" w:rsidRPr="00E047D3" w:rsidRDefault="008817D0" w:rsidP="00877DDB">
      <w:pPr>
        <w:numPr>
          <w:ilvl w:val="0"/>
          <w:numId w:val="64"/>
        </w:numPr>
        <w:rPr>
          <w:rFonts w:eastAsia="Calibri"/>
        </w:rPr>
      </w:pPr>
      <w:r w:rsidRPr="008817D0">
        <w:rPr>
          <w:rFonts w:eastAsia="Calibri"/>
        </w:rPr>
        <w:t>PI tag</w:t>
      </w:r>
      <w:r w:rsidR="00E047D3">
        <w:rPr>
          <w:rFonts w:eastAsia="Calibri"/>
        </w:rPr>
        <w:t>s</w:t>
      </w:r>
      <w:r w:rsidRPr="008817D0">
        <w:rPr>
          <w:rFonts w:eastAsia="Calibri"/>
        </w:rPr>
        <w:t xml:space="preserve"> for EIM load data </w:t>
      </w:r>
      <w:r w:rsidR="00E047D3">
        <w:rPr>
          <w:rFonts w:eastAsia="Calibri"/>
        </w:rPr>
        <w:t xml:space="preserve">points </w:t>
      </w:r>
      <w:r w:rsidRPr="008817D0">
        <w:rPr>
          <w:rFonts w:eastAsia="Calibri"/>
        </w:rPr>
        <w:t xml:space="preserve">as input to </w:t>
      </w:r>
      <w:r w:rsidR="00E047D3">
        <w:rPr>
          <w:rFonts w:eastAsia="Calibri"/>
        </w:rPr>
        <w:t>collect</w:t>
      </w:r>
      <w:r w:rsidRPr="008817D0">
        <w:rPr>
          <w:rFonts w:eastAsia="Calibri"/>
        </w:rPr>
        <w:t xml:space="preserve"> five-minute a</w:t>
      </w:r>
      <w:r w:rsidR="00E047D3">
        <w:rPr>
          <w:rFonts w:eastAsia="Calibri"/>
        </w:rPr>
        <w:t>verage data that feeds into software</w:t>
      </w:r>
      <w:r w:rsidRPr="008817D0">
        <w:rPr>
          <w:rFonts w:eastAsia="Calibri"/>
        </w:rPr>
        <w:t>.</w:t>
      </w:r>
    </w:p>
    <w:p w14:paraId="25BD0FE7" w14:textId="77777777" w:rsidR="008817D0" w:rsidRPr="00E42D61" w:rsidRDefault="00E047D3" w:rsidP="00E42D61">
      <w:pPr>
        <w:pStyle w:val="ParaText"/>
        <w:rPr>
          <w:rFonts w:cs="Arial"/>
        </w:rPr>
      </w:pPr>
      <w:r>
        <w:rPr>
          <w:rFonts w:eastAsia="Calibri"/>
        </w:rPr>
        <w:t xml:space="preserve">Using the </w:t>
      </w:r>
      <w:r w:rsidR="008E2A30">
        <w:rPr>
          <w:rFonts w:eastAsia="Calibri"/>
        </w:rPr>
        <w:t xml:space="preserve">above data for </w:t>
      </w:r>
      <w:r w:rsidR="006B2722">
        <w:rPr>
          <w:rFonts w:eastAsia="Calibri"/>
        </w:rPr>
        <w:t>input into</w:t>
      </w:r>
      <w:r w:rsidR="008E2A30">
        <w:rPr>
          <w:rFonts w:eastAsia="Calibri"/>
        </w:rPr>
        <w:t xml:space="preserve"> the </w:t>
      </w:r>
      <w:r w:rsidR="008E2A30" w:rsidRPr="00DD04FE">
        <w:rPr>
          <w:rFonts w:cs="Arial"/>
        </w:rPr>
        <w:t>neural-network forecasting soft</w:t>
      </w:r>
      <w:r w:rsidR="001B06BF">
        <w:rPr>
          <w:rFonts w:cs="Arial"/>
        </w:rPr>
        <w:t xml:space="preserve">ware, </w:t>
      </w:r>
      <w:r w:rsidR="006276DD">
        <w:rPr>
          <w:rFonts w:cs="Arial"/>
        </w:rPr>
        <w:t>CA</w:t>
      </w:r>
      <w:r w:rsidR="008E2A30">
        <w:rPr>
          <w:rFonts w:cs="Arial"/>
        </w:rPr>
        <w:t>ISO will create and continually monitor</w:t>
      </w:r>
      <w:r w:rsidR="008E2A30" w:rsidRPr="00DD04FE">
        <w:rPr>
          <w:rFonts w:cs="Arial"/>
        </w:rPr>
        <w:t xml:space="preserve"> its </w:t>
      </w:r>
      <w:r w:rsidR="008E2A30">
        <w:rPr>
          <w:rFonts w:cs="Arial"/>
        </w:rPr>
        <w:t xml:space="preserve">load and weather forecasting </w:t>
      </w:r>
      <w:r w:rsidR="008E2A30" w:rsidRPr="00DD04FE">
        <w:rPr>
          <w:rFonts w:cs="Arial"/>
        </w:rPr>
        <w:t>results to ensure the average forecast error is minimized.</w:t>
      </w:r>
    </w:p>
    <w:p w14:paraId="6117DB2C" w14:textId="77777777" w:rsidR="008817D0" w:rsidRPr="008817D0" w:rsidRDefault="008817D0" w:rsidP="00C33762">
      <w:pPr>
        <w:pStyle w:val="Heading2"/>
        <w:rPr>
          <w:rFonts w:eastAsia="Calibri"/>
        </w:rPr>
      </w:pPr>
      <w:bookmarkStart w:id="2080" w:name="_Toc390869347"/>
      <w:bookmarkStart w:id="2081" w:name="_Toc390946306"/>
      <w:r w:rsidRPr="008817D0">
        <w:rPr>
          <w:rFonts w:eastAsia="Calibri"/>
        </w:rPr>
        <w:t xml:space="preserve"> </w:t>
      </w:r>
      <w:bookmarkStart w:id="2082" w:name="_Toc391969867"/>
      <w:bookmarkStart w:id="2083" w:name="_Toc460320477"/>
      <w:r w:rsidRPr="008817D0">
        <w:rPr>
          <w:rFonts w:eastAsia="Calibri"/>
        </w:rPr>
        <w:t>Variable Energy Resource (VERs)</w:t>
      </w:r>
      <w:bookmarkEnd w:id="2080"/>
      <w:bookmarkEnd w:id="2081"/>
      <w:bookmarkEnd w:id="2082"/>
      <w:bookmarkEnd w:id="2083"/>
    </w:p>
    <w:p w14:paraId="6B40010C" w14:textId="77777777" w:rsidR="008817D0" w:rsidRPr="008817D0" w:rsidRDefault="008817D0" w:rsidP="008817D0">
      <w:pPr>
        <w:spacing w:after="240" w:line="300" w:lineRule="auto"/>
        <w:rPr>
          <w:rFonts w:eastAsia="Calibri"/>
        </w:rPr>
      </w:pPr>
      <w:r w:rsidRPr="008817D0">
        <w:rPr>
          <w:rFonts w:eastAsia="Calibri"/>
        </w:rPr>
        <w:t>This section is based on CAISO Tariff Sections 4.6.1.1, 4.8, 9.3.10</w:t>
      </w:r>
      <w:r w:rsidR="00524213">
        <w:rPr>
          <w:rFonts w:eastAsia="Calibri"/>
        </w:rPr>
        <w:t>;</w:t>
      </w:r>
      <w:r w:rsidRPr="008817D0">
        <w:rPr>
          <w:rFonts w:eastAsia="Calibri"/>
        </w:rPr>
        <w:t xml:space="preserve"> Appendix F</w:t>
      </w:r>
      <w:r w:rsidR="00524213">
        <w:rPr>
          <w:rFonts w:eastAsia="Calibri"/>
        </w:rPr>
        <w:t xml:space="preserve">, </w:t>
      </w:r>
      <w:r w:rsidRPr="00FA595A">
        <w:rPr>
          <w:rFonts w:eastAsia="Calibri"/>
          <w:i/>
        </w:rPr>
        <w:t>Rate Schedules</w:t>
      </w:r>
      <w:r w:rsidR="00524213">
        <w:rPr>
          <w:rFonts w:eastAsia="Calibri"/>
        </w:rPr>
        <w:t>;</w:t>
      </w:r>
      <w:r w:rsidRPr="008817D0">
        <w:rPr>
          <w:rFonts w:eastAsia="Calibri"/>
        </w:rPr>
        <w:t xml:space="preserve"> and Appendix Q</w:t>
      </w:r>
      <w:r w:rsidR="00524213">
        <w:rPr>
          <w:rFonts w:eastAsia="Calibri"/>
        </w:rPr>
        <w:t xml:space="preserve">, </w:t>
      </w:r>
      <w:r w:rsidRPr="00FA595A">
        <w:rPr>
          <w:rFonts w:eastAsia="Calibri"/>
          <w:i/>
        </w:rPr>
        <w:t>Eligible Intermittent Resources Protocol (EIRP</w:t>
      </w:r>
      <w:r w:rsidRPr="008817D0">
        <w:rPr>
          <w:rFonts w:eastAsia="Calibri"/>
        </w:rPr>
        <w:t>).</w:t>
      </w:r>
    </w:p>
    <w:p w14:paraId="11750FF0" w14:textId="77777777" w:rsidR="008817D0" w:rsidRPr="008817D0" w:rsidRDefault="008817D0" w:rsidP="00C33762">
      <w:pPr>
        <w:pStyle w:val="Heading3"/>
        <w:rPr>
          <w:rFonts w:eastAsia="Calibri"/>
        </w:rPr>
      </w:pPr>
      <w:bookmarkStart w:id="2084" w:name="_Toc390868495"/>
      <w:bookmarkStart w:id="2085" w:name="_Toc390869356"/>
      <w:bookmarkStart w:id="2086" w:name="_Toc390868497"/>
      <w:bookmarkStart w:id="2087" w:name="_Toc390869358"/>
      <w:bookmarkStart w:id="2088" w:name="_Toc390868498"/>
      <w:bookmarkStart w:id="2089" w:name="_Toc390869359"/>
      <w:bookmarkStart w:id="2090" w:name="_Toc390868501"/>
      <w:bookmarkStart w:id="2091" w:name="_Toc390869362"/>
      <w:bookmarkStart w:id="2092" w:name="_Toc390868506"/>
      <w:bookmarkStart w:id="2093" w:name="_Toc390869367"/>
      <w:bookmarkStart w:id="2094" w:name="_Toc390868508"/>
      <w:bookmarkStart w:id="2095" w:name="_Toc390869369"/>
      <w:bookmarkStart w:id="2096" w:name="_Toc390868510"/>
      <w:bookmarkStart w:id="2097" w:name="_Toc390869371"/>
      <w:bookmarkStart w:id="2098" w:name="_Toc390868512"/>
      <w:bookmarkStart w:id="2099" w:name="_Toc390869373"/>
      <w:bookmarkStart w:id="2100" w:name="_Toc390868513"/>
      <w:bookmarkStart w:id="2101" w:name="_Toc390869374"/>
      <w:bookmarkStart w:id="2102" w:name="_Toc390868516"/>
      <w:bookmarkStart w:id="2103" w:name="_Toc390869377"/>
      <w:bookmarkStart w:id="2104" w:name="_Toc390868518"/>
      <w:bookmarkStart w:id="2105" w:name="_Toc390869379"/>
      <w:bookmarkStart w:id="2106" w:name="_Toc390868522"/>
      <w:bookmarkStart w:id="2107" w:name="_Toc390869383"/>
      <w:bookmarkStart w:id="2108" w:name="_Toc390868523"/>
      <w:bookmarkStart w:id="2109" w:name="_Toc390869384"/>
      <w:bookmarkStart w:id="2110" w:name="_Toc390868528"/>
      <w:bookmarkStart w:id="2111" w:name="_Toc390869389"/>
      <w:bookmarkStart w:id="2112" w:name="_Toc390868531"/>
      <w:bookmarkStart w:id="2113" w:name="_Toc390869392"/>
      <w:bookmarkStart w:id="2114" w:name="_Toc390868533"/>
      <w:bookmarkStart w:id="2115" w:name="_Toc390869394"/>
      <w:bookmarkStart w:id="2116" w:name="_Toc390868560"/>
      <w:bookmarkStart w:id="2117" w:name="_Toc390869421"/>
      <w:bookmarkStart w:id="2118" w:name="_Toc390868563"/>
      <w:bookmarkStart w:id="2119" w:name="_Toc390869424"/>
      <w:bookmarkStart w:id="2120" w:name="_Toc390868569"/>
      <w:bookmarkStart w:id="2121" w:name="_Toc390869430"/>
      <w:bookmarkStart w:id="2122" w:name="_Toc390868570"/>
      <w:bookmarkStart w:id="2123" w:name="_Toc390869431"/>
      <w:bookmarkStart w:id="2124" w:name="_Toc390868596"/>
      <w:bookmarkStart w:id="2125" w:name="_Toc390869457"/>
      <w:bookmarkStart w:id="2126" w:name="_Toc390868626"/>
      <w:bookmarkStart w:id="2127" w:name="_Toc390869487"/>
      <w:bookmarkStart w:id="2128" w:name="_Toc390868717"/>
      <w:bookmarkStart w:id="2129" w:name="_Toc390869578"/>
      <w:bookmarkStart w:id="2130" w:name="_Toc390868718"/>
      <w:bookmarkStart w:id="2131" w:name="_Toc390869579"/>
      <w:bookmarkStart w:id="2132" w:name="_Toc390868722"/>
      <w:bookmarkStart w:id="2133" w:name="_Toc390869583"/>
      <w:bookmarkStart w:id="2134" w:name="_Toc390868724"/>
      <w:bookmarkStart w:id="2135" w:name="_Toc390869585"/>
      <w:bookmarkStart w:id="2136" w:name="_Toc390868726"/>
      <w:bookmarkStart w:id="2137" w:name="_Toc390869587"/>
      <w:bookmarkStart w:id="2138" w:name="_Toc390868728"/>
      <w:bookmarkStart w:id="2139" w:name="_Toc390869589"/>
      <w:bookmarkStart w:id="2140" w:name="_Toc390868732"/>
      <w:bookmarkStart w:id="2141" w:name="_Toc390869593"/>
      <w:bookmarkStart w:id="2142" w:name="_Toc390868733"/>
      <w:bookmarkStart w:id="2143" w:name="_Toc390869594"/>
      <w:bookmarkStart w:id="2144" w:name="_Toc390868734"/>
      <w:bookmarkStart w:id="2145" w:name="_Toc390869595"/>
      <w:bookmarkStart w:id="2146" w:name="_Toc390868735"/>
      <w:bookmarkStart w:id="2147" w:name="_Toc390869596"/>
      <w:bookmarkStart w:id="2148" w:name="_Toc390868737"/>
      <w:bookmarkStart w:id="2149" w:name="_Toc390869598"/>
      <w:bookmarkStart w:id="2150" w:name="_Toc390868739"/>
      <w:bookmarkStart w:id="2151" w:name="_Toc390869600"/>
      <w:bookmarkStart w:id="2152" w:name="_Toc390868786"/>
      <w:bookmarkStart w:id="2153" w:name="_Toc390869647"/>
      <w:bookmarkStart w:id="2154" w:name="_Toc390868787"/>
      <w:bookmarkStart w:id="2155" w:name="_Toc390869648"/>
      <w:bookmarkStart w:id="2156" w:name="_Toc390868788"/>
      <w:bookmarkStart w:id="2157" w:name="_Toc390869649"/>
      <w:bookmarkStart w:id="2158" w:name="_Toc390868789"/>
      <w:bookmarkStart w:id="2159" w:name="_Toc390869650"/>
      <w:bookmarkStart w:id="2160" w:name="_Toc390868790"/>
      <w:bookmarkStart w:id="2161" w:name="_Toc390869651"/>
      <w:bookmarkStart w:id="2162" w:name="_Toc390868792"/>
      <w:bookmarkStart w:id="2163" w:name="_Toc390869653"/>
      <w:bookmarkStart w:id="2164" w:name="_Toc390868864"/>
      <w:bookmarkStart w:id="2165" w:name="_Toc390869725"/>
      <w:bookmarkStart w:id="2166" w:name="_Toc390868865"/>
      <w:bookmarkStart w:id="2167" w:name="_Toc390869726"/>
      <w:bookmarkStart w:id="2168" w:name="_Toc390868869"/>
      <w:bookmarkStart w:id="2169" w:name="_Toc390869730"/>
      <w:bookmarkStart w:id="2170" w:name="_Toc390868888"/>
      <w:bookmarkStart w:id="2171" w:name="_Toc390869749"/>
      <w:bookmarkStart w:id="2172" w:name="_Toc390868928"/>
      <w:bookmarkStart w:id="2173" w:name="_Toc390869789"/>
      <w:bookmarkStart w:id="2174" w:name="_Toc390869040"/>
      <w:bookmarkStart w:id="2175" w:name="_Toc390869901"/>
      <w:bookmarkStart w:id="2176" w:name="_Toc390869041"/>
      <w:bookmarkStart w:id="2177" w:name="_Toc390869902"/>
      <w:bookmarkStart w:id="2178" w:name="_Toc390869043"/>
      <w:bookmarkStart w:id="2179" w:name="_Toc390869904"/>
      <w:bookmarkStart w:id="2180" w:name="_Toc390869044"/>
      <w:bookmarkStart w:id="2181" w:name="_Toc390869905"/>
      <w:bookmarkStart w:id="2182" w:name="_Toc390869047"/>
      <w:bookmarkStart w:id="2183" w:name="_Toc390869908"/>
      <w:bookmarkStart w:id="2184" w:name="_Toc390869912"/>
      <w:bookmarkStart w:id="2185" w:name="_Toc390946307"/>
      <w:bookmarkStart w:id="2186" w:name="_Toc391969868"/>
      <w:bookmarkStart w:id="2187" w:name="_Toc460320478"/>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8817D0">
        <w:rPr>
          <w:rFonts w:eastAsia="Calibri"/>
        </w:rPr>
        <w:t>Forecast Fee</w:t>
      </w:r>
      <w:bookmarkEnd w:id="2184"/>
      <w:bookmarkEnd w:id="2185"/>
      <w:bookmarkEnd w:id="2186"/>
      <w:bookmarkEnd w:id="2187"/>
    </w:p>
    <w:p w14:paraId="52F1374A" w14:textId="77777777" w:rsidR="008817D0" w:rsidRPr="008817D0" w:rsidRDefault="008817D0" w:rsidP="00C33762">
      <w:pPr>
        <w:pStyle w:val="Heading4"/>
        <w:rPr>
          <w:rFonts w:eastAsia="Calibri"/>
        </w:rPr>
      </w:pPr>
      <w:r w:rsidRPr="008817D0">
        <w:rPr>
          <w:rFonts w:eastAsia="Calibri"/>
        </w:rPr>
        <w:t>Variable Energy Resource Forecast Charge</w:t>
      </w:r>
    </w:p>
    <w:p w14:paraId="0AE2E834" w14:textId="2F45A068" w:rsidR="008817D0" w:rsidRPr="008817D0" w:rsidRDefault="008817D0" w:rsidP="00877DDB">
      <w:pPr>
        <w:spacing w:after="240" w:line="300" w:lineRule="auto"/>
        <w:rPr>
          <w:rFonts w:eastAsia="Calibri"/>
        </w:rPr>
      </w:pPr>
      <w:r w:rsidRPr="00877DDB">
        <w:rPr>
          <w:rFonts w:eastAsia="Calibri"/>
        </w:rPr>
        <w:t xml:space="preserve">In </w:t>
      </w:r>
      <w:r w:rsidR="00A57C6B">
        <w:rPr>
          <w:rFonts w:eastAsia="Calibri"/>
        </w:rPr>
        <w:t>g</w:t>
      </w:r>
      <w:r w:rsidRPr="00877DDB">
        <w:rPr>
          <w:rFonts w:eastAsia="Calibri"/>
        </w:rPr>
        <w:t>eneral</w:t>
      </w:r>
      <w:r w:rsidR="00A57C6B">
        <w:rPr>
          <w:rFonts w:eastAsia="Calibri"/>
          <w:b/>
        </w:rPr>
        <w:t xml:space="preserve"> </w:t>
      </w:r>
      <w:r w:rsidRPr="008817D0">
        <w:rPr>
          <w:rFonts w:eastAsia="Calibri"/>
        </w:rPr>
        <w:t>CAISO will charge EIM Entity Scheduling Coordinators and EIM Participating Resource Scheduling Coordinators a fee for the Variable Energy Resource forecasting services in accordance with Appendix F, Schedule 4.</w:t>
      </w:r>
    </w:p>
    <w:p w14:paraId="3DF2CFF5" w14:textId="1D277BD7" w:rsidR="008817D0" w:rsidRPr="008817D0" w:rsidRDefault="008817D0" w:rsidP="00877DDB">
      <w:pPr>
        <w:spacing w:after="240" w:line="300" w:lineRule="auto"/>
        <w:rPr>
          <w:rFonts w:eastAsia="Calibri"/>
        </w:rPr>
      </w:pPr>
      <w:r w:rsidRPr="008817D0">
        <w:rPr>
          <w:rFonts w:eastAsia="Calibri"/>
        </w:rPr>
        <w:t xml:space="preserve">CAISO will waive the Variable Energy Resource forecast charge if an EIM Entity has an independent forecast for its Variable Energy Resources and provides </w:t>
      </w:r>
      <w:r w:rsidR="001B06BF">
        <w:rPr>
          <w:rFonts w:eastAsia="Calibri"/>
        </w:rPr>
        <w:t xml:space="preserve">the independent forecast to </w:t>
      </w:r>
      <w:r w:rsidRPr="008817D0">
        <w:rPr>
          <w:rFonts w:eastAsia="Calibri"/>
        </w:rPr>
        <w:t>CAISO.</w:t>
      </w:r>
    </w:p>
    <w:p w14:paraId="2720C545" w14:textId="77777777" w:rsidR="00BB3052" w:rsidRPr="008817D0" w:rsidRDefault="00BB3052" w:rsidP="00C33762">
      <w:pPr>
        <w:pStyle w:val="Heading3"/>
        <w:rPr>
          <w:rFonts w:eastAsia="Calibri"/>
        </w:rPr>
      </w:pPr>
      <w:bookmarkStart w:id="2188" w:name="_Toc391969869"/>
      <w:bookmarkStart w:id="2189" w:name="_Toc460320479"/>
      <w:r>
        <w:rPr>
          <w:rFonts w:eastAsia="Calibri"/>
        </w:rPr>
        <w:t xml:space="preserve">EIM Variable </w:t>
      </w:r>
      <w:r w:rsidR="00B26B6D">
        <w:rPr>
          <w:rFonts w:eastAsia="Calibri"/>
        </w:rPr>
        <w:t>Energy</w:t>
      </w:r>
      <w:r>
        <w:rPr>
          <w:rFonts w:eastAsia="Calibri"/>
        </w:rPr>
        <w:t xml:space="preserve"> </w:t>
      </w:r>
      <w:r w:rsidR="00B26B6D">
        <w:rPr>
          <w:rFonts w:eastAsia="Calibri"/>
        </w:rPr>
        <w:t>Resource</w:t>
      </w:r>
      <w:r>
        <w:rPr>
          <w:rFonts w:eastAsia="Calibri"/>
        </w:rPr>
        <w:t xml:space="preserve"> Forecasting</w:t>
      </w:r>
      <w:bookmarkEnd w:id="2188"/>
      <w:bookmarkEnd w:id="2189"/>
    </w:p>
    <w:p w14:paraId="2F3CA4AF" w14:textId="77777777" w:rsidR="004C23BF" w:rsidRDefault="004C23BF" w:rsidP="00B72C3A">
      <w:pPr>
        <w:pStyle w:val="Content"/>
        <w:spacing w:after="80"/>
      </w:pPr>
      <w:r w:rsidRPr="00BB3052">
        <w:t>EIM Variable Energy Resource</w:t>
      </w:r>
      <w:r>
        <w:t>s, both participating and non-participating,</w:t>
      </w:r>
      <w:r w:rsidRPr="00BB3052">
        <w:t xml:space="preserve"> </w:t>
      </w:r>
      <w:r>
        <w:t>may</w:t>
      </w:r>
      <w:r w:rsidRPr="00BB3052">
        <w:t xml:space="preserve"> </w:t>
      </w:r>
      <w:r>
        <w:t>provide</w:t>
      </w:r>
      <w:r w:rsidRPr="00BB3052">
        <w:t xml:space="preserve"> </w:t>
      </w:r>
      <w:r>
        <w:t xml:space="preserve">the </w:t>
      </w:r>
      <w:r w:rsidR="0058562B">
        <w:t>CA</w:t>
      </w:r>
      <w:r>
        <w:t xml:space="preserve">ISO with </w:t>
      </w:r>
      <w:r w:rsidRPr="00BB3052">
        <w:t>a</w:t>
      </w:r>
      <w:r>
        <w:t>n</w:t>
      </w:r>
      <w:r w:rsidRPr="00BB3052">
        <w:t xml:space="preserve"> </w:t>
      </w:r>
      <w:r>
        <w:t xml:space="preserve">independent third party </w:t>
      </w:r>
      <w:r w:rsidRPr="00BB3052">
        <w:t>forecast</w:t>
      </w:r>
      <w:r>
        <w:t xml:space="preserve"> of energy output   or through the </w:t>
      </w:r>
      <w:r w:rsidR="0058562B">
        <w:t>CA</w:t>
      </w:r>
      <w:r>
        <w:t>ISO forecasting service.  The forecast granularity produced by an EIM Entity approved forecast service provider must be p</w:t>
      </w:r>
      <w:r w:rsidRPr="00BB3052">
        <w:t xml:space="preserve">roduced </w:t>
      </w:r>
      <w:r>
        <w:t>in</w:t>
      </w:r>
      <w:r w:rsidRPr="00BB3052">
        <w:t xml:space="preserve"> five-minute </w:t>
      </w:r>
      <w:r>
        <w:t>intervals</w:t>
      </w:r>
      <w:r w:rsidRPr="00BB3052">
        <w:t xml:space="preserve"> and updated every five minutes</w:t>
      </w:r>
      <w:r>
        <w:t>.</w:t>
      </w:r>
      <w:r w:rsidRPr="00A33565">
        <w:t xml:space="preserve"> </w:t>
      </w:r>
      <w:r>
        <w:t>T</w:t>
      </w:r>
      <w:r w:rsidRPr="00BB3052">
        <w:t>he forecast of EIM Variable Energy Resource</w:t>
      </w:r>
      <w:r>
        <w:t>s</w:t>
      </w:r>
      <w:r w:rsidRPr="00BB3052">
        <w:t xml:space="preserve"> must be </w:t>
      </w:r>
      <w:r>
        <w:t xml:space="preserve">automatically </w:t>
      </w:r>
      <w:r w:rsidRPr="00BB3052">
        <w:t xml:space="preserve">submitted to </w:t>
      </w:r>
      <w:r>
        <w:t>the CAISO forecast system</w:t>
      </w:r>
      <w:r w:rsidRPr="00BB3052">
        <w:t>.</w:t>
      </w:r>
    </w:p>
    <w:p w14:paraId="4486A564" w14:textId="77777777" w:rsidR="003E4C54" w:rsidRPr="00F57961" w:rsidRDefault="003E4C54" w:rsidP="00831D03">
      <w:r w:rsidRPr="00E62C48">
        <w:lastRenderedPageBreak/>
        <w:t xml:space="preserve">EIM VER resources shall submit base schedules and/or bids to the markets. The forecasts will be used to adjust the base schedule (if no bid) or the bid curve to reflect the forecast. The dispatch from </w:t>
      </w:r>
      <w:r w:rsidR="0058562B">
        <w:t>CA</w:t>
      </w:r>
      <w:r w:rsidRPr="00E62C48">
        <w:t>ISO real-time application will be the financial binding schedules.</w:t>
      </w:r>
    </w:p>
    <w:p w14:paraId="7C83C2AB" w14:textId="0EC6BA94" w:rsidR="004C23BF" w:rsidRDefault="004C23BF" w:rsidP="00B72C3A">
      <w:pPr>
        <w:autoSpaceDE w:val="0"/>
        <w:autoSpaceDN w:val="0"/>
        <w:spacing w:after="80" w:line="300" w:lineRule="auto"/>
        <w:rPr>
          <w:rFonts w:eastAsia="Calibri"/>
        </w:rPr>
      </w:pPr>
      <w:r w:rsidRPr="00BB3052">
        <w:t xml:space="preserve">If </w:t>
      </w:r>
      <w:r>
        <w:t>the EIM Variable Energy Resource</w:t>
      </w:r>
      <w:r w:rsidRPr="00BB3052">
        <w:t xml:space="preserve"> elec</w:t>
      </w:r>
      <w:r>
        <w:t>ts</w:t>
      </w:r>
      <w:r w:rsidRPr="00BB3052">
        <w:t xml:space="preserve"> the </w:t>
      </w:r>
      <w:r>
        <w:t>CA</w:t>
      </w:r>
      <w:r w:rsidRPr="00BB3052">
        <w:t xml:space="preserve">ISO forecast, </w:t>
      </w:r>
      <w:r>
        <w:t>the EIM Variable Energy Resource</w:t>
      </w:r>
      <w:r w:rsidRPr="00BB3052">
        <w:t xml:space="preserve"> must make metrological data available at minimum 30 days in </w:t>
      </w:r>
      <w:r w:rsidR="00D52168" w:rsidRPr="00BB3052">
        <w:t xml:space="preserve">advance </w:t>
      </w:r>
      <w:r w:rsidR="00D52168">
        <w:t>of</w:t>
      </w:r>
      <w:r>
        <w:t xml:space="preserve"> a forecast being produced </w:t>
      </w:r>
      <w:r w:rsidRPr="00BB3052">
        <w:t xml:space="preserve">the </w:t>
      </w:r>
      <w:r>
        <w:t>CA</w:t>
      </w:r>
      <w:r w:rsidRPr="00BB3052">
        <w:t>ISO system can do the forecast for EIM Variable Energy Resource</w:t>
      </w:r>
      <w:r>
        <w:t>s</w:t>
      </w:r>
      <w:r w:rsidRPr="00BB3052">
        <w:t>.</w:t>
      </w:r>
      <w:bookmarkStart w:id="2190" w:name="_Toc390268073"/>
      <w:bookmarkStart w:id="2191" w:name="_Toc390268204"/>
      <w:bookmarkStart w:id="2192" w:name="_Toc390330952"/>
      <w:bookmarkStart w:id="2193" w:name="_Toc390353408"/>
      <w:bookmarkStart w:id="2194" w:name="_Toc390354385"/>
      <w:bookmarkStart w:id="2195" w:name="_Toc390356335"/>
      <w:bookmarkStart w:id="2196" w:name="_Toc390436999"/>
      <w:bookmarkStart w:id="2197" w:name="_Toc390674290"/>
      <w:bookmarkStart w:id="2198" w:name="_Toc390690564"/>
      <w:bookmarkStart w:id="2199" w:name="_Toc390697569"/>
      <w:bookmarkStart w:id="2200" w:name="_Toc390760582"/>
      <w:bookmarkStart w:id="2201" w:name="_Toc390765338"/>
      <w:bookmarkStart w:id="2202" w:name="_Toc390766867"/>
      <w:bookmarkStart w:id="2203" w:name="_Toc390779336"/>
      <w:bookmarkStart w:id="2204" w:name="_Toc390780314"/>
      <w:bookmarkStart w:id="2205" w:name="_Toc390783127"/>
      <w:bookmarkStart w:id="2206" w:name="_Toc390268075"/>
      <w:bookmarkStart w:id="2207" w:name="_Toc390268206"/>
      <w:bookmarkStart w:id="2208" w:name="_Toc390353410"/>
      <w:bookmarkStart w:id="2209" w:name="_Toc390354387"/>
      <w:bookmarkStart w:id="2210" w:name="_Toc390356337"/>
      <w:bookmarkStart w:id="2211" w:name="_Toc390437001"/>
      <w:bookmarkStart w:id="2212" w:name="_Toc390674292"/>
      <w:bookmarkStart w:id="2213" w:name="_Toc390690566"/>
      <w:bookmarkStart w:id="2214" w:name="_Toc390697571"/>
      <w:bookmarkStart w:id="2215" w:name="_Toc390760584"/>
      <w:bookmarkStart w:id="2216" w:name="_Toc390765340"/>
      <w:bookmarkStart w:id="2217" w:name="_Toc390766869"/>
      <w:bookmarkStart w:id="2218" w:name="_Toc390779338"/>
      <w:bookmarkStart w:id="2219" w:name="_Toc390780316"/>
      <w:bookmarkStart w:id="2220" w:name="_Toc390783129"/>
      <w:bookmarkStart w:id="2221" w:name="_Toc390268076"/>
      <w:bookmarkStart w:id="2222" w:name="_Toc390268207"/>
      <w:bookmarkStart w:id="2223" w:name="_Toc390330955"/>
      <w:bookmarkStart w:id="2224" w:name="_Toc390353411"/>
      <w:bookmarkStart w:id="2225" w:name="_Toc390354388"/>
      <w:bookmarkStart w:id="2226" w:name="_Toc390356338"/>
      <w:bookmarkStart w:id="2227" w:name="_Toc390437002"/>
      <w:bookmarkStart w:id="2228" w:name="_Toc390674293"/>
      <w:bookmarkStart w:id="2229" w:name="_Toc390690567"/>
      <w:bookmarkStart w:id="2230" w:name="_Toc390697572"/>
      <w:bookmarkStart w:id="2231" w:name="_Toc390760585"/>
      <w:bookmarkStart w:id="2232" w:name="_Toc390765341"/>
      <w:bookmarkStart w:id="2233" w:name="_Toc390766870"/>
      <w:bookmarkStart w:id="2234" w:name="_Toc390779339"/>
      <w:bookmarkStart w:id="2235" w:name="_Toc390780317"/>
      <w:bookmarkStart w:id="2236" w:name="_Toc390783130"/>
      <w:bookmarkStart w:id="2237" w:name="_Toc390268079"/>
      <w:bookmarkStart w:id="2238" w:name="_Toc390268210"/>
      <w:bookmarkStart w:id="2239" w:name="_Toc390353414"/>
      <w:bookmarkStart w:id="2240" w:name="_Toc390354391"/>
      <w:bookmarkStart w:id="2241" w:name="_Toc390356341"/>
      <w:bookmarkStart w:id="2242" w:name="_Toc390437005"/>
      <w:bookmarkStart w:id="2243" w:name="_Toc390674296"/>
      <w:bookmarkStart w:id="2244" w:name="_Toc390690570"/>
      <w:bookmarkStart w:id="2245" w:name="_Toc390697575"/>
      <w:bookmarkStart w:id="2246" w:name="_Toc390760588"/>
      <w:bookmarkStart w:id="2247" w:name="_Toc390765344"/>
      <w:bookmarkStart w:id="2248" w:name="_Toc390766873"/>
      <w:bookmarkStart w:id="2249" w:name="_Toc390779342"/>
      <w:bookmarkStart w:id="2250" w:name="_Toc390780320"/>
      <w:bookmarkStart w:id="2251" w:name="_Toc390783133"/>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14:paraId="65D0160D" w14:textId="77777777" w:rsidR="004C23BF" w:rsidRDefault="004C23BF" w:rsidP="00B72C3A">
      <w:pPr>
        <w:autoSpaceDE w:val="0"/>
        <w:autoSpaceDN w:val="0"/>
        <w:spacing w:after="80" w:line="300" w:lineRule="auto"/>
        <w:rPr>
          <w:rFonts w:eastAsia="Calibri"/>
        </w:rPr>
      </w:pPr>
      <w:r>
        <w:rPr>
          <w:rFonts w:eastAsia="Calibri"/>
        </w:rPr>
        <w:t>In addition, the EIM participating resource, similar to VER resources located in the CAISO BAA, may elect to use SC forecast option that will allow it to submit its five-minute output forecast to CAISO SIBR system. The SC forecast will be used as the financially binding forecast</w:t>
      </w:r>
      <w:r w:rsidR="003E4C54">
        <w:rPr>
          <w:rFonts w:eastAsia="Calibri"/>
        </w:rPr>
        <w:t xml:space="preserve"> under this election</w:t>
      </w:r>
      <w:r>
        <w:rPr>
          <w:rFonts w:eastAsia="Calibri"/>
        </w:rPr>
        <w:t>.</w:t>
      </w:r>
    </w:p>
    <w:p w14:paraId="7AEADB58" w14:textId="77777777" w:rsidR="004C23BF" w:rsidRDefault="004C23BF"/>
    <w:p w14:paraId="1EEDAB05" w14:textId="77777777" w:rsidR="00A30AD7" w:rsidRPr="00A30AD7" w:rsidRDefault="00A30AD7" w:rsidP="00FA595A">
      <w:pPr>
        <w:autoSpaceDE w:val="0"/>
        <w:autoSpaceDN w:val="0"/>
        <w:spacing w:after="80" w:line="300" w:lineRule="auto"/>
        <w:rPr>
          <w:rFonts w:eastAsia="Calibri"/>
        </w:rPr>
      </w:pPr>
    </w:p>
    <w:p w14:paraId="1EC68F99" w14:textId="77777777" w:rsidR="00C07657" w:rsidRPr="00793130" w:rsidRDefault="00C07657" w:rsidP="00225179">
      <w:pPr>
        <w:pStyle w:val="Heading1"/>
      </w:pPr>
      <w:bookmarkStart w:id="2252" w:name="_Toc389662614"/>
      <w:bookmarkStart w:id="2253" w:name="_Toc390946308"/>
      <w:bookmarkStart w:id="2254" w:name="_Toc391969870"/>
      <w:bookmarkStart w:id="2255" w:name="_Toc460320480"/>
      <w:r w:rsidRPr="00225179">
        <w:t>SETTLEMENTS</w:t>
      </w:r>
      <w:r w:rsidRPr="00793130">
        <w:t xml:space="preserve"> AND BILLING</w:t>
      </w:r>
      <w:bookmarkEnd w:id="2252"/>
      <w:bookmarkEnd w:id="2253"/>
      <w:bookmarkEnd w:id="2254"/>
      <w:bookmarkEnd w:id="2255"/>
    </w:p>
    <w:p w14:paraId="427F9D93" w14:textId="77777777" w:rsidR="007B2BF0" w:rsidRDefault="007B2BF0" w:rsidP="006F6DD6">
      <w:pPr>
        <w:spacing w:after="240" w:line="300" w:lineRule="auto"/>
        <w:rPr>
          <w:rFonts w:cs="Arial"/>
          <w:iCs/>
        </w:rPr>
      </w:pPr>
      <w:r>
        <w:rPr>
          <w:rFonts w:cs="Arial"/>
          <w:iCs/>
        </w:rPr>
        <w:t xml:space="preserve">Welcome to the </w:t>
      </w:r>
      <w:r w:rsidRPr="004C3C5F">
        <w:rPr>
          <w:rFonts w:cs="Arial"/>
          <w:i/>
          <w:iCs/>
        </w:rPr>
        <w:t>Settlements and Billing</w:t>
      </w:r>
      <w:r>
        <w:rPr>
          <w:rFonts w:cs="Arial"/>
          <w:iCs/>
        </w:rPr>
        <w:t xml:space="preserve"> section of the CAISO </w:t>
      </w:r>
      <w:r w:rsidRPr="004C3C5F">
        <w:rPr>
          <w:rFonts w:cs="Arial"/>
          <w:i/>
          <w:iCs/>
        </w:rPr>
        <w:t>BPM for the Energy Imbalance Market</w:t>
      </w:r>
      <w:r>
        <w:rPr>
          <w:rFonts w:cs="Arial"/>
          <w:iCs/>
        </w:rPr>
        <w:t xml:space="preserve">.   </w:t>
      </w:r>
      <w:r w:rsidR="00880F4E">
        <w:rPr>
          <w:rFonts w:cs="Arial"/>
          <w:iCs/>
        </w:rPr>
        <w:t>In this section</w:t>
      </w:r>
      <w:r w:rsidR="00775CF7">
        <w:rPr>
          <w:rFonts w:cs="Arial"/>
          <w:iCs/>
        </w:rPr>
        <w:t xml:space="preserve"> </w:t>
      </w:r>
      <w:r w:rsidR="00880F4E">
        <w:rPr>
          <w:rFonts w:cs="Arial"/>
          <w:iCs/>
        </w:rPr>
        <w:t>you will find</w:t>
      </w:r>
      <w:r w:rsidR="00A82EF7">
        <w:rPr>
          <w:rFonts w:cs="Arial"/>
          <w:iCs/>
        </w:rPr>
        <w:t xml:space="preserve"> </w:t>
      </w:r>
      <w:r>
        <w:rPr>
          <w:rFonts w:cs="Arial"/>
          <w:iCs/>
        </w:rPr>
        <w:t xml:space="preserve">the following </w:t>
      </w:r>
      <w:r w:rsidR="00A82EF7">
        <w:rPr>
          <w:rFonts w:cs="Arial"/>
          <w:iCs/>
        </w:rPr>
        <w:t>information</w:t>
      </w:r>
      <w:r>
        <w:rPr>
          <w:rFonts w:cs="Arial"/>
          <w:iCs/>
        </w:rPr>
        <w:t>:</w:t>
      </w:r>
    </w:p>
    <w:p w14:paraId="34CCE4B3" w14:textId="77777777" w:rsidR="00A82EF7" w:rsidRPr="007B2BF0" w:rsidRDefault="007B2BF0" w:rsidP="004C3C5F">
      <w:pPr>
        <w:pStyle w:val="ListParagraph"/>
        <w:numPr>
          <w:ilvl w:val="0"/>
          <w:numId w:val="122"/>
        </w:numPr>
        <w:spacing w:after="240" w:line="300" w:lineRule="auto"/>
        <w:rPr>
          <w:rFonts w:cs="Arial"/>
          <w:iCs/>
        </w:rPr>
      </w:pPr>
      <w:r>
        <w:rPr>
          <w:rFonts w:cs="Arial"/>
          <w:iCs/>
        </w:rPr>
        <w:t>T</w:t>
      </w:r>
      <w:r w:rsidR="00A82EF7" w:rsidRPr="007B2BF0">
        <w:rPr>
          <w:rFonts w:cs="Arial"/>
          <w:iCs/>
        </w:rPr>
        <w:t>he processes</w:t>
      </w:r>
      <w:r>
        <w:rPr>
          <w:rFonts w:cs="Arial"/>
          <w:iCs/>
        </w:rPr>
        <w:t xml:space="preserve"> of Settlements and Billing</w:t>
      </w:r>
      <w:r w:rsidR="00A82EF7" w:rsidRPr="007B2BF0">
        <w:rPr>
          <w:rFonts w:cs="Arial"/>
          <w:iCs/>
        </w:rPr>
        <w:t xml:space="preserve"> within </w:t>
      </w:r>
      <w:r w:rsidR="0092123E" w:rsidRPr="007B2BF0">
        <w:rPr>
          <w:rFonts w:cs="Arial"/>
          <w:iCs/>
        </w:rPr>
        <w:t xml:space="preserve">the </w:t>
      </w:r>
      <w:r w:rsidR="00A82EF7" w:rsidRPr="007B2BF0">
        <w:rPr>
          <w:rFonts w:cs="Arial"/>
          <w:iCs/>
        </w:rPr>
        <w:t xml:space="preserve">context of the Energy Imbalance Market.  </w:t>
      </w:r>
      <w:r w:rsidR="00880F4E" w:rsidRPr="007B2BF0">
        <w:rPr>
          <w:rFonts w:cs="Arial"/>
          <w:iCs/>
        </w:rPr>
        <w:t xml:space="preserve"> </w:t>
      </w:r>
    </w:p>
    <w:p w14:paraId="336E67C4" w14:textId="77777777" w:rsidR="0084443E" w:rsidRPr="00793130" w:rsidRDefault="00880F4E" w:rsidP="006F6DD6">
      <w:pPr>
        <w:spacing w:after="240" w:line="300" w:lineRule="auto"/>
        <w:rPr>
          <w:rFonts w:cs="Arial"/>
          <w:iCs/>
        </w:rPr>
      </w:pPr>
      <w:r>
        <w:rPr>
          <w:rFonts w:cs="Arial"/>
          <w:iCs/>
        </w:rPr>
        <w:t xml:space="preserve">  </w:t>
      </w:r>
      <w:r w:rsidR="0084443E" w:rsidRPr="00793130">
        <w:rPr>
          <w:rFonts w:cs="Arial"/>
          <w:iCs/>
        </w:rPr>
        <w:t xml:space="preserve">The business process for settlement of the fiscal results of participation in the EIM is outlined in the </w:t>
      </w:r>
      <w:hyperlink r:id="rId190" w:history="1">
        <w:r w:rsidR="0084443E" w:rsidRPr="003E0BEF">
          <w:rPr>
            <w:rStyle w:val="Hyperlink"/>
            <w:rFonts w:cs="Arial"/>
            <w:b/>
            <w:iCs/>
          </w:rPr>
          <w:t xml:space="preserve">BPM for Settlements </w:t>
        </w:r>
        <w:r w:rsidR="00D727DA">
          <w:rPr>
            <w:rStyle w:val="Hyperlink"/>
            <w:rFonts w:cs="Arial"/>
            <w:b/>
            <w:iCs/>
          </w:rPr>
          <w:t>and</w:t>
        </w:r>
        <w:r w:rsidR="0084443E" w:rsidRPr="003E0BEF">
          <w:rPr>
            <w:rStyle w:val="Hyperlink"/>
            <w:rFonts w:cs="Arial"/>
            <w:b/>
            <w:iCs/>
          </w:rPr>
          <w:t xml:space="preserve"> Billing</w:t>
        </w:r>
      </w:hyperlink>
      <w:r w:rsidR="0084443E" w:rsidRPr="00793130">
        <w:rPr>
          <w:rFonts w:cs="Arial"/>
          <w:iCs/>
        </w:rPr>
        <w:t>.  That BPM provides an overview of the settlement, billing, invoicing</w:t>
      </w:r>
      <w:r w:rsidR="008C6B50" w:rsidRPr="00793130">
        <w:rPr>
          <w:rFonts w:cs="Arial"/>
          <w:iCs/>
        </w:rPr>
        <w:t>,</w:t>
      </w:r>
      <w:r w:rsidR="0084443E" w:rsidRPr="00793130">
        <w:rPr>
          <w:rFonts w:cs="Arial"/>
          <w:iCs/>
        </w:rPr>
        <w:t xml:space="preserve"> and financial clearing business functions, an overview of key settlement and billing principles</w:t>
      </w:r>
      <w:r w:rsidR="00A82EF7">
        <w:rPr>
          <w:rFonts w:cs="Arial"/>
          <w:iCs/>
        </w:rPr>
        <w:t>,</w:t>
      </w:r>
      <w:r w:rsidR="0084443E" w:rsidRPr="00793130">
        <w:rPr>
          <w:rFonts w:cs="Arial"/>
          <w:iCs/>
        </w:rPr>
        <w:t xml:space="preserve"> and an overview of the settlement and invoicing cycles.  </w:t>
      </w:r>
    </w:p>
    <w:p w14:paraId="2D8FA1A5" w14:textId="77777777" w:rsidR="00172436" w:rsidRDefault="00172436" w:rsidP="00C33762">
      <w:pPr>
        <w:pStyle w:val="Heading2"/>
      </w:pPr>
      <w:bookmarkStart w:id="2256" w:name="_Toc391969871"/>
      <w:bookmarkStart w:id="2257" w:name="_Toc460320481"/>
      <w:r>
        <w:t>Charge Codes</w:t>
      </w:r>
      <w:bookmarkEnd w:id="2256"/>
      <w:bookmarkEnd w:id="2257"/>
    </w:p>
    <w:p w14:paraId="7A390FCE" w14:textId="77777777" w:rsidR="000E7D7E" w:rsidRDefault="0084443E">
      <w:pPr>
        <w:spacing w:after="240" w:line="300" w:lineRule="auto"/>
        <w:rPr>
          <w:rFonts w:cs="Arial"/>
          <w:iCs/>
        </w:rPr>
      </w:pPr>
      <w:r w:rsidRPr="00793130">
        <w:rPr>
          <w:rFonts w:cs="Arial"/>
          <w:iCs/>
        </w:rPr>
        <w:t xml:space="preserve">CAISO maintains the </w:t>
      </w:r>
      <w:r w:rsidR="0058562B">
        <w:rPr>
          <w:rFonts w:cs="Arial"/>
          <w:iCs/>
        </w:rPr>
        <w:t>CA</w:t>
      </w:r>
      <w:r w:rsidRPr="00793130">
        <w:rPr>
          <w:rFonts w:cs="Arial"/>
          <w:i/>
          <w:iCs/>
        </w:rPr>
        <w:t>ISO Market Charge Code</w:t>
      </w:r>
      <w:r w:rsidR="00AC3493" w:rsidRPr="00793130">
        <w:rPr>
          <w:rFonts w:cs="Arial"/>
          <w:i/>
          <w:iCs/>
        </w:rPr>
        <w:t>s</w:t>
      </w:r>
      <w:r w:rsidRPr="00793130">
        <w:rPr>
          <w:rFonts w:cs="Arial"/>
          <w:i/>
          <w:iCs/>
        </w:rPr>
        <w:t xml:space="preserve"> Matrix</w:t>
      </w:r>
      <w:r w:rsidRPr="00793130">
        <w:rPr>
          <w:rFonts w:cs="Arial"/>
          <w:iCs/>
        </w:rPr>
        <w:t xml:space="preserve"> </w:t>
      </w:r>
      <w:r w:rsidR="000F52BB">
        <w:rPr>
          <w:rFonts w:cs="Arial"/>
          <w:iCs/>
        </w:rPr>
        <w:t>which</w:t>
      </w:r>
      <w:r w:rsidRPr="00793130">
        <w:rPr>
          <w:rFonts w:cs="Arial"/>
          <w:iCs/>
        </w:rPr>
        <w:t xml:space="preserve"> can be found by navigating to </w:t>
      </w:r>
      <w:r w:rsidR="00D727DA">
        <w:rPr>
          <w:rFonts w:cs="Arial"/>
          <w:iCs/>
        </w:rPr>
        <w:t xml:space="preserve">the </w:t>
      </w:r>
      <w:r w:rsidRPr="00793130">
        <w:rPr>
          <w:rFonts w:cs="Arial"/>
          <w:iCs/>
        </w:rPr>
        <w:t xml:space="preserve">Settlements subheading under the Market &amp; Operations portion of the CAISO website.  </w:t>
      </w:r>
      <w:r w:rsidR="00F73DA7" w:rsidRPr="00793130">
        <w:rPr>
          <w:rFonts w:cs="Arial"/>
          <w:iCs/>
        </w:rPr>
        <w:t xml:space="preserve">This </w:t>
      </w:r>
      <w:r w:rsidR="00F73DA7">
        <w:rPr>
          <w:rFonts w:cs="Arial"/>
          <w:iCs/>
        </w:rPr>
        <w:t>matrix</w:t>
      </w:r>
      <w:r w:rsidR="00F73DA7" w:rsidRPr="00793130">
        <w:rPr>
          <w:rFonts w:cs="Arial"/>
          <w:iCs/>
        </w:rPr>
        <w:t xml:space="preserve"> highlights which </w:t>
      </w:r>
      <w:r w:rsidR="000E7D7E">
        <w:rPr>
          <w:rFonts w:cs="Arial"/>
          <w:iCs/>
        </w:rPr>
        <w:t>C</w:t>
      </w:r>
      <w:r w:rsidR="000E7D7E" w:rsidRPr="00793130">
        <w:rPr>
          <w:rFonts w:cs="Arial"/>
          <w:iCs/>
        </w:rPr>
        <w:t xml:space="preserve">harge </w:t>
      </w:r>
      <w:r w:rsidR="000E7D7E">
        <w:rPr>
          <w:rFonts w:cs="Arial"/>
          <w:iCs/>
        </w:rPr>
        <w:t>C</w:t>
      </w:r>
      <w:r w:rsidR="000E7D7E" w:rsidRPr="00793130">
        <w:rPr>
          <w:rFonts w:cs="Arial"/>
          <w:iCs/>
        </w:rPr>
        <w:t xml:space="preserve">odes </w:t>
      </w:r>
      <w:r w:rsidR="00F73DA7" w:rsidRPr="00793130">
        <w:rPr>
          <w:rFonts w:cs="Arial"/>
          <w:iCs/>
        </w:rPr>
        <w:t>are applicable to the various forms of resources participating in the markets operat</w:t>
      </w:r>
      <w:r w:rsidR="00F73DA7">
        <w:rPr>
          <w:rFonts w:cs="Arial"/>
          <w:iCs/>
        </w:rPr>
        <w:t>ed</w:t>
      </w:r>
      <w:r w:rsidR="001B06BF">
        <w:rPr>
          <w:rFonts w:cs="Arial"/>
          <w:iCs/>
        </w:rPr>
        <w:t xml:space="preserve"> by </w:t>
      </w:r>
      <w:r w:rsidR="00F73DA7" w:rsidRPr="00793130">
        <w:rPr>
          <w:rFonts w:cs="Arial"/>
          <w:iCs/>
        </w:rPr>
        <w:t xml:space="preserve">CAISO.  </w:t>
      </w:r>
      <w:r w:rsidR="000E7D7E">
        <w:rPr>
          <w:rFonts w:cs="Arial"/>
          <w:iCs/>
        </w:rPr>
        <w:t>A detailed description of</w:t>
      </w:r>
      <w:r w:rsidR="000E7D7E" w:rsidRPr="00793130">
        <w:rPr>
          <w:rFonts w:cs="Arial"/>
          <w:iCs/>
        </w:rPr>
        <w:t xml:space="preserve"> each settlement </w:t>
      </w:r>
      <w:r w:rsidR="000E7D7E">
        <w:rPr>
          <w:rFonts w:cs="Arial"/>
          <w:iCs/>
        </w:rPr>
        <w:t>C</w:t>
      </w:r>
      <w:r w:rsidR="000E7D7E" w:rsidRPr="00793130">
        <w:rPr>
          <w:rFonts w:cs="Arial"/>
          <w:iCs/>
        </w:rPr>
        <w:t xml:space="preserve">harge </w:t>
      </w:r>
      <w:r w:rsidR="000E7D7E">
        <w:rPr>
          <w:rFonts w:cs="Arial"/>
          <w:iCs/>
        </w:rPr>
        <w:t>C</w:t>
      </w:r>
      <w:r w:rsidR="000E7D7E" w:rsidRPr="00793130">
        <w:rPr>
          <w:rFonts w:cs="Arial"/>
          <w:iCs/>
        </w:rPr>
        <w:t xml:space="preserve">ode </w:t>
      </w:r>
      <w:r w:rsidR="000E7D7E">
        <w:rPr>
          <w:rFonts w:cs="Arial"/>
          <w:iCs/>
        </w:rPr>
        <w:t xml:space="preserve">or predecessor Pre-Calculation, including business rules and </w:t>
      </w:r>
      <w:r w:rsidR="000E7D7E" w:rsidRPr="00793130">
        <w:rPr>
          <w:rFonts w:cs="Arial"/>
          <w:iCs/>
        </w:rPr>
        <w:t xml:space="preserve">specific </w:t>
      </w:r>
      <w:r w:rsidR="000E7D7E">
        <w:rPr>
          <w:rFonts w:cs="Arial"/>
          <w:iCs/>
        </w:rPr>
        <w:t xml:space="preserve">data calculation </w:t>
      </w:r>
      <w:r w:rsidR="000E7D7E" w:rsidRPr="00793130">
        <w:rPr>
          <w:rFonts w:cs="Arial"/>
          <w:iCs/>
        </w:rPr>
        <w:t>formulas</w:t>
      </w:r>
      <w:r w:rsidR="000E7D7E">
        <w:rPr>
          <w:rFonts w:cs="Arial"/>
          <w:iCs/>
        </w:rPr>
        <w:t>,</w:t>
      </w:r>
      <w:r w:rsidR="000E7D7E" w:rsidRPr="00793130">
        <w:rPr>
          <w:rFonts w:cs="Arial"/>
          <w:iCs/>
        </w:rPr>
        <w:t xml:space="preserve"> can be found in the </w:t>
      </w:r>
      <w:r w:rsidR="000E7D7E" w:rsidRPr="00390D5C">
        <w:rPr>
          <w:rFonts w:cs="Arial"/>
          <w:i/>
          <w:iCs/>
        </w:rPr>
        <w:t xml:space="preserve">BPM </w:t>
      </w:r>
      <w:r w:rsidR="000E7D7E" w:rsidRPr="00793130">
        <w:rPr>
          <w:rFonts w:cs="Arial"/>
          <w:i/>
          <w:iCs/>
        </w:rPr>
        <w:t>Configuration Guide</w:t>
      </w:r>
      <w:r w:rsidR="000E7D7E" w:rsidRPr="00793130">
        <w:rPr>
          <w:rFonts w:cs="Arial"/>
          <w:iCs/>
        </w:rPr>
        <w:t xml:space="preserve"> documents posted </w:t>
      </w:r>
      <w:r w:rsidR="000E7D7E">
        <w:rPr>
          <w:rFonts w:cs="Arial"/>
          <w:iCs/>
        </w:rPr>
        <w:t xml:space="preserve">under the Settlements and Billing section of the BPM </w:t>
      </w:r>
      <w:r w:rsidR="000E7D7E">
        <w:rPr>
          <w:rFonts w:cs="Arial"/>
          <w:iCs/>
        </w:rPr>
        <w:lastRenderedPageBreak/>
        <w:t xml:space="preserve">Document Library </w:t>
      </w:r>
      <w:r w:rsidR="000E7D7E" w:rsidRPr="00793130">
        <w:rPr>
          <w:rFonts w:cs="Arial"/>
          <w:iCs/>
        </w:rPr>
        <w:t>on the CAISO website.</w:t>
      </w:r>
      <w:r w:rsidR="000E7D7E">
        <w:rPr>
          <w:rFonts w:cs="Arial"/>
          <w:iCs/>
        </w:rPr>
        <w:t xml:space="preserve">  </w:t>
      </w:r>
      <w:r w:rsidR="000E7D7E" w:rsidRPr="00D13F01">
        <w:rPr>
          <w:rFonts w:cs="Arial"/>
          <w:iCs/>
        </w:rPr>
        <w:t xml:space="preserve">Section 8 of the </w:t>
      </w:r>
      <w:hyperlink r:id="rId191" w:history="1">
        <w:r w:rsidR="000E7D7E" w:rsidRPr="003E0BEF">
          <w:rPr>
            <w:rStyle w:val="Hyperlink"/>
            <w:rFonts w:cs="Arial"/>
            <w:b/>
            <w:iCs/>
          </w:rPr>
          <w:t xml:space="preserve">BPM for Settlements </w:t>
        </w:r>
        <w:r w:rsidR="000E7D7E">
          <w:rPr>
            <w:rStyle w:val="Hyperlink"/>
            <w:rFonts w:cs="Arial"/>
            <w:b/>
            <w:iCs/>
          </w:rPr>
          <w:t>and</w:t>
        </w:r>
        <w:r w:rsidR="000E7D7E" w:rsidRPr="003E0BEF">
          <w:rPr>
            <w:rStyle w:val="Hyperlink"/>
            <w:rFonts w:cs="Arial"/>
            <w:b/>
            <w:iCs/>
          </w:rPr>
          <w:t xml:space="preserve"> Billing</w:t>
        </w:r>
      </w:hyperlink>
      <w:r w:rsidR="000E7D7E" w:rsidRPr="00D13F01">
        <w:rPr>
          <w:rFonts w:cs="Arial"/>
          <w:iCs/>
        </w:rPr>
        <w:t xml:space="preserve"> provides details on how to use and read a </w:t>
      </w:r>
      <w:r w:rsidR="000E7D7E" w:rsidRPr="0092123E">
        <w:rPr>
          <w:rFonts w:cs="Arial"/>
          <w:i/>
          <w:iCs/>
        </w:rPr>
        <w:t>BPM Configuration Guide</w:t>
      </w:r>
      <w:r w:rsidR="000E7D7E" w:rsidRPr="00D13F01">
        <w:rPr>
          <w:rFonts w:cs="Arial"/>
          <w:iCs/>
        </w:rPr>
        <w:t>.</w:t>
      </w:r>
    </w:p>
    <w:p w14:paraId="7A203C02" w14:textId="77777777" w:rsidR="001D6A50" w:rsidRDefault="0084443E" w:rsidP="00A812DF">
      <w:pPr>
        <w:spacing w:after="80" w:line="300" w:lineRule="auto"/>
        <w:rPr>
          <w:rFonts w:eastAsia="Calibri"/>
        </w:rPr>
      </w:pPr>
      <w:r w:rsidRPr="00793130">
        <w:rPr>
          <w:rFonts w:cs="Arial"/>
          <w:iCs/>
        </w:rPr>
        <w:t xml:space="preserve">Settlements </w:t>
      </w:r>
      <w:r w:rsidR="00D727DA">
        <w:rPr>
          <w:rFonts w:cs="Arial"/>
          <w:iCs/>
        </w:rPr>
        <w:t xml:space="preserve">concepts </w:t>
      </w:r>
      <w:r w:rsidRPr="00793130">
        <w:rPr>
          <w:rFonts w:cs="Arial"/>
          <w:iCs/>
        </w:rPr>
        <w:t>unique to participation in the EIM include settlements related to Over- and Under-Scheduling of EIM Base Schedules, the EIM Initial Fee</w:t>
      </w:r>
      <w:r w:rsidR="0092123E">
        <w:rPr>
          <w:rFonts w:cs="Arial"/>
          <w:iCs/>
        </w:rPr>
        <w:t>,</w:t>
      </w:r>
      <w:r w:rsidRPr="00793130">
        <w:rPr>
          <w:rFonts w:cs="Arial"/>
          <w:iCs/>
        </w:rPr>
        <w:t xml:space="preserve"> and EIM Administrative Charges.  </w:t>
      </w:r>
      <w:r w:rsidR="00DE6ED8">
        <w:rPr>
          <w:rFonts w:cs="Arial"/>
          <w:iCs/>
        </w:rPr>
        <w:t>As</w:t>
      </w:r>
      <w:r w:rsidRPr="00793130">
        <w:rPr>
          <w:rFonts w:cs="Arial"/>
          <w:iCs/>
        </w:rPr>
        <w:t xml:space="preserve"> documented in Section</w:t>
      </w:r>
      <w:r w:rsidR="000D3F1B" w:rsidRPr="00793130">
        <w:rPr>
          <w:rFonts w:cs="Arial"/>
          <w:iCs/>
        </w:rPr>
        <w:t>s</w:t>
      </w:r>
      <w:r w:rsidRPr="00793130">
        <w:rPr>
          <w:rFonts w:cs="Arial"/>
          <w:iCs/>
        </w:rPr>
        <w:t xml:space="preserve"> 29.11, 29.26</w:t>
      </w:r>
      <w:r w:rsidR="000D3F1B" w:rsidRPr="00793130">
        <w:rPr>
          <w:rFonts w:cs="Arial"/>
          <w:iCs/>
        </w:rPr>
        <w:t>,</w:t>
      </w:r>
      <w:r w:rsidRPr="00793130">
        <w:rPr>
          <w:rFonts w:cs="Arial"/>
          <w:iCs/>
        </w:rPr>
        <w:t xml:space="preserve"> and 29.32 of the CAISO Tariff, calculations of some s</w:t>
      </w:r>
      <w:r w:rsidR="000D3F1B" w:rsidRPr="00793130">
        <w:rPr>
          <w:rFonts w:cs="Arial"/>
          <w:iCs/>
        </w:rPr>
        <w:t>ettlement Charge Codes have EIM-</w:t>
      </w:r>
      <w:r w:rsidRPr="00793130">
        <w:rPr>
          <w:rFonts w:cs="Arial"/>
          <w:iCs/>
        </w:rPr>
        <w:t xml:space="preserve">specific implications </w:t>
      </w:r>
      <w:r w:rsidRPr="00D13F01">
        <w:rPr>
          <w:rFonts w:cs="Arial"/>
          <w:iCs/>
        </w:rPr>
        <w:t>referenc</w:t>
      </w:r>
      <w:r w:rsidR="00D13F01" w:rsidRPr="00D13F01">
        <w:rPr>
          <w:rFonts w:cs="Arial"/>
          <w:iCs/>
        </w:rPr>
        <w:t>ing</w:t>
      </w:r>
      <w:r w:rsidRPr="00D13F01">
        <w:rPr>
          <w:rFonts w:cs="Arial"/>
          <w:iCs/>
        </w:rPr>
        <w:t xml:space="preserve"> the submitted EIM Base Schedules or </w:t>
      </w:r>
      <w:r w:rsidR="00CD0B47" w:rsidRPr="00D13F01">
        <w:rPr>
          <w:rFonts w:cs="Arial"/>
          <w:iCs/>
        </w:rPr>
        <w:t>the transfer of</w:t>
      </w:r>
      <w:r w:rsidRPr="00D13F01">
        <w:rPr>
          <w:rFonts w:cs="Arial"/>
          <w:iCs/>
        </w:rPr>
        <w:t xml:space="preserve"> energy </w:t>
      </w:r>
      <w:r w:rsidR="00CD0B47" w:rsidRPr="00D13F01">
        <w:rPr>
          <w:rFonts w:cs="Arial"/>
          <w:iCs/>
        </w:rPr>
        <w:t xml:space="preserve">between </w:t>
      </w:r>
      <w:r w:rsidRPr="00D13F01">
        <w:rPr>
          <w:rFonts w:cs="Arial"/>
          <w:iCs/>
        </w:rPr>
        <w:t>BAA</w:t>
      </w:r>
      <w:r w:rsidR="00CD0B47" w:rsidRPr="00D13F01">
        <w:rPr>
          <w:rFonts w:cs="Arial"/>
          <w:iCs/>
        </w:rPr>
        <w:t>s participating in the EIM</w:t>
      </w:r>
      <w:r w:rsidRPr="00095C4F">
        <w:rPr>
          <w:rFonts w:cs="Arial"/>
          <w:iCs/>
        </w:rPr>
        <w:t>.</w:t>
      </w:r>
      <w:r w:rsidRPr="00793130">
        <w:rPr>
          <w:rFonts w:cs="Arial"/>
          <w:iCs/>
        </w:rPr>
        <w:t xml:space="preserve">  </w:t>
      </w:r>
      <w:r w:rsidR="00DE6ED8">
        <w:rPr>
          <w:rFonts w:cs="Arial"/>
          <w:iCs/>
        </w:rPr>
        <w:t xml:space="preserve">In addition, </w:t>
      </w:r>
      <w:r w:rsidR="00DE6ED8" w:rsidRPr="00DE6ED8">
        <w:rPr>
          <w:rFonts w:cs="Arial"/>
          <w:iCs/>
        </w:rPr>
        <w:t xml:space="preserve">the calculation of the settlement of the </w:t>
      </w:r>
      <w:r w:rsidR="00FC30E3">
        <w:rPr>
          <w:rFonts w:cs="Arial"/>
          <w:iCs/>
        </w:rPr>
        <w:t>Real-Time</w:t>
      </w:r>
      <w:r w:rsidR="00DE6ED8" w:rsidRPr="00DE6ED8">
        <w:rPr>
          <w:rFonts w:cs="Arial"/>
          <w:iCs/>
        </w:rPr>
        <w:t xml:space="preserve"> Congestion Offset will incorporate the respective pieces of the congestion component of the LMP for PNode in each EIM BAA as noted in the formulas contained in the Configuration Guide for the </w:t>
      </w:r>
      <w:r w:rsidR="00FC30E3">
        <w:rPr>
          <w:rFonts w:cs="Arial"/>
          <w:iCs/>
        </w:rPr>
        <w:t>Real-Time</w:t>
      </w:r>
      <w:r w:rsidR="00DE6ED8" w:rsidRPr="00DE6ED8">
        <w:rPr>
          <w:rFonts w:cs="Arial"/>
          <w:iCs/>
        </w:rPr>
        <w:t xml:space="preserve"> Price Pre-Calc.</w:t>
      </w:r>
      <w:r w:rsidR="00DE6ED8">
        <w:rPr>
          <w:rFonts w:cs="Arial"/>
          <w:iCs/>
        </w:rPr>
        <w:t xml:space="preserve">  However</w:t>
      </w:r>
      <w:r w:rsidR="001B06BF">
        <w:rPr>
          <w:rFonts w:cs="Arial"/>
          <w:iCs/>
        </w:rPr>
        <w:t xml:space="preserve">, </w:t>
      </w:r>
      <w:r w:rsidR="00D727DA" w:rsidRPr="00D727DA">
        <w:rPr>
          <w:rFonts w:cs="Arial"/>
          <w:iCs/>
        </w:rPr>
        <w:t>CAISO will not calculate and invoice charges related to FERC fees or NERC/WECC fees</w:t>
      </w:r>
      <w:r w:rsidR="00DE6ED8">
        <w:rPr>
          <w:rFonts w:cs="Arial"/>
          <w:iCs/>
        </w:rPr>
        <w:t xml:space="preserve"> for EIM participants</w:t>
      </w:r>
      <w:r w:rsidR="00D727DA" w:rsidRPr="00D727DA">
        <w:rPr>
          <w:rFonts w:cs="Arial"/>
          <w:iCs/>
        </w:rPr>
        <w:t>.</w:t>
      </w:r>
      <w:r w:rsidR="00D727DA">
        <w:rPr>
          <w:rFonts w:cs="Arial"/>
          <w:iCs/>
        </w:rPr>
        <w:t xml:space="preserve">  </w:t>
      </w:r>
      <w:r w:rsidR="000E7D7E">
        <w:rPr>
          <w:rFonts w:cs="Arial"/>
          <w:iCs/>
        </w:rPr>
        <w:t>In addition, t</w:t>
      </w:r>
      <w:r w:rsidR="000E7D7E" w:rsidRPr="008817D0">
        <w:rPr>
          <w:rFonts w:eastAsia="Calibri"/>
        </w:rPr>
        <w:t xml:space="preserve">here </w:t>
      </w:r>
      <w:r w:rsidR="000E7D7E">
        <w:rPr>
          <w:rFonts w:eastAsia="Calibri"/>
        </w:rPr>
        <w:t xml:space="preserve">will </w:t>
      </w:r>
      <w:r w:rsidR="001B06BF">
        <w:rPr>
          <w:rFonts w:eastAsia="Calibri"/>
        </w:rPr>
        <w:t xml:space="preserve">be no charge between </w:t>
      </w:r>
      <w:r w:rsidR="00365B85">
        <w:rPr>
          <w:rFonts w:eastAsia="Calibri"/>
        </w:rPr>
        <w:t>CA</w:t>
      </w:r>
      <w:r w:rsidR="000E7D7E" w:rsidRPr="008817D0">
        <w:rPr>
          <w:rFonts w:eastAsia="Calibri"/>
        </w:rPr>
        <w:t xml:space="preserve">ISO and EIM balancing authorities for use </w:t>
      </w:r>
      <w:r w:rsidR="00373419">
        <w:rPr>
          <w:rFonts w:eastAsia="Calibri"/>
        </w:rPr>
        <w:t>of transmission to support EIM T</w:t>
      </w:r>
      <w:r w:rsidR="000E7D7E" w:rsidRPr="008817D0">
        <w:rPr>
          <w:rFonts w:eastAsia="Calibri"/>
        </w:rPr>
        <w:t>ransfers for the first year of EIM operation</w:t>
      </w:r>
      <w:r w:rsidR="000E7D7E">
        <w:rPr>
          <w:rFonts w:eastAsia="Calibri"/>
        </w:rPr>
        <w:t xml:space="preserve">. </w:t>
      </w:r>
      <w:r w:rsidR="000E7D7E" w:rsidRPr="008817D0">
        <w:rPr>
          <w:rFonts w:eastAsia="Calibri"/>
        </w:rPr>
        <w:t xml:space="preserve"> During this time, as stakeholders gain operational experience and additional balancing authoritie</w:t>
      </w:r>
      <w:r w:rsidR="001B06BF">
        <w:rPr>
          <w:rFonts w:eastAsia="Calibri"/>
        </w:rPr>
        <w:t xml:space="preserve">s consider joining the EIM, </w:t>
      </w:r>
      <w:r w:rsidR="00365B85">
        <w:rPr>
          <w:rFonts w:eastAsia="Calibri"/>
        </w:rPr>
        <w:t>CA</w:t>
      </w:r>
      <w:r w:rsidR="000E7D7E" w:rsidRPr="008817D0">
        <w:rPr>
          <w:rFonts w:eastAsia="Calibri"/>
        </w:rPr>
        <w:t>ISO will coordinate with stakeholders to consider various alternatives for a long</w:t>
      </w:r>
      <w:r w:rsidR="000E7D7E">
        <w:rPr>
          <w:rFonts w:eastAsia="Calibri"/>
        </w:rPr>
        <w:t xml:space="preserve">-term transmission rate design.   </w:t>
      </w:r>
    </w:p>
    <w:p w14:paraId="41AB0167" w14:textId="77777777" w:rsidR="00172436" w:rsidRPr="00793130" w:rsidRDefault="00172436" w:rsidP="00C33762">
      <w:pPr>
        <w:pStyle w:val="Heading2"/>
      </w:pPr>
      <w:bookmarkStart w:id="2258" w:name="_Toc391969872"/>
      <w:bookmarkStart w:id="2259" w:name="_Toc460320482"/>
      <w:r>
        <w:t>Disagreements</w:t>
      </w:r>
      <w:bookmarkEnd w:id="2258"/>
      <w:bookmarkEnd w:id="2259"/>
    </w:p>
    <w:p w14:paraId="58619CD1" w14:textId="77777777" w:rsidR="0084443E" w:rsidRDefault="0084443E" w:rsidP="006F6DD6">
      <w:pPr>
        <w:spacing w:after="240" w:line="300" w:lineRule="auto"/>
        <w:rPr>
          <w:rFonts w:cs="Arial"/>
          <w:iCs/>
        </w:rPr>
      </w:pPr>
      <w:r w:rsidRPr="00793130">
        <w:rPr>
          <w:rFonts w:cs="Arial"/>
          <w:iCs/>
        </w:rPr>
        <w:t>Any disagreements wi</w:t>
      </w:r>
      <w:r w:rsidR="001B06BF">
        <w:rPr>
          <w:rFonts w:cs="Arial"/>
          <w:iCs/>
        </w:rPr>
        <w:t xml:space="preserve">th the published results of </w:t>
      </w:r>
      <w:r w:rsidRPr="00793130">
        <w:rPr>
          <w:rFonts w:cs="Arial"/>
          <w:iCs/>
        </w:rPr>
        <w:t>CAISO’s settlement process for the EIM must be submitted</w:t>
      </w:r>
      <w:r w:rsidR="00563036">
        <w:rPr>
          <w:rFonts w:cs="Arial"/>
          <w:iCs/>
        </w:rPr>
        <w:t xml:space="preserve"> </w:t>
      </w:r>
      <w:r w:rsidR="001B06BF">
        <w:rPr>
          <w:rFonts w:cs="Arial"/>
          <w:iCs/>
        </w:rPr>
        <w:t xml:space="preserve">to </w:t>
      </w:r>
      <w:r w:rsidR="00074C0D">
        <w:rPr>
          <w:rFonts w:cs="Arial"/>
          <w:iCs/>
        </w:rPr>
        <w:t xml:space="preserve">CAISO </w:t>
      </w:r>
      <w:r w:rsidR="00563036">
        <w:rPr>
          <w:rFonts w:cs="Arial"/>
          <w:iCs/>
        </w:rPr>
        <w:t xml:space="preserve">by the Scheduling Coordinator </w:t>
      </w:r>
      <w:r w:rsidR="001B06BF">
        <w:rPr>
          <w:rFonts w:cs="Arial"/>
          <w:iCs/>
        </w:rPr>
        <w:t xml:space="preserve">with which </w:t>
      </w:r>
      <w:r w:rsidRPr="00793130">
        <w:rPr>
          <w:rFonts w:cs="Arial"/>
          <w:iCs/>
        </w:rPr>
        <w:t xml:space="preserve">CAISO settled and are governed by the </w:t>
      </w:r>
      <w:r w:rsidR="00D13F01">
        <w:rPr>
          <w:rFonts w:cs="Arial"/>
          <w:iCs/>
        </w:rPr>
        <w:t xml:space="preserve">dispute </w:t>
      </w:r>
      <w:r w:rsidRPr="00793130">
        <w:rPr>
          <w:rFonts w:cs="Arial"/>
          <w:iCs/>
        </w:rPr>
        <w:t xml:space="preserve">process outlined in Section 2.3.5 and Section 5 of the </w:t>
      </w:r>
      <w:hyperlink r:id="rId192" w:history="1">
        <w:r w:rsidR="00D13F01" w:rsidRPr="003E0BEF">
          <w:rPr>
            <w:rStyle w:val="Hyperlink"/>
            <w:rFonts w:cs="Arial"/>
            <w:b/>
            <w:iCs/>
          </w:rPr>
          <w:t xml:space="preserve">BPM for Settlements </w:t>
        </w:r>
        <w:r w:rsidR="00D13F01">
          <w:rPr>
            <w:rStyle w:val="Hyperlink"/>
            <w:rFonts w:cs="Arial"/>
            <w:b/>
            <w:iCs/>
          </w:rPr>
          <w:t>and</w:t>
        </w:r>
        <w:r w:rsidR="00D13F01" w:rsidRPr="003E0BEF">
          <w:rPr>
            <w:rStyle w:val="Hyperlink"/>
            <w:rFonts w:cs="Arial"/>
            <w:b/>
            <w:iCs/>
          </w:rPr>
          <w:t xml:space="preserve"> Billing</w:t>
        </w:r>
      </w:hyperlink>
      <w:r w:rsidRPr="00793130">
        <w:rPr>
          <w:rFonts w:cs="Arial"/>
          <w:iCs/>
        </w:rPr>
        <w:t xml:space="preserve">.  Disputes by a non-participating resource of amounts calculated by CAISO </w:t>
      </w:r>
      <w:r w:rsidR="00D13F01">
        <w:rPr>
          <w:rFonts w:cs="Arial"/>
          <w:iCs/>
        </w:rPr>
        <w:t xml:space="preserve">and distributed to it by an EIM Entity Scheduling Coordinator </w:t>
      </w:r>
      <w:r w:rsidRPr="00793130">
        <w:rPr>
          <w:rFonts w:cs="Arial"/>
          <w:iCs/>
        </w:rPr>
        <w:t>are between the non-participating resource and the EIM En</w:t>
      </w:r>
      <w:r w:rsidR="004D5D76">
        <w:rPr>
          <w:rFonts w:cs="Arial"/>
          <w:iCs/>
        </w:rPr>
        <w:t xml:space="preserve">tity Scheduling Coordinator, </w:t>
      </w:r>
      <w:r w:rsidR="001B06BF">
        <w:rPr>
          <w:rFonts w:cs="Arial"/>
          <w:iCs/>
        </w:rPr>
        <w:t xml:space="preserve">not with </w:t>
      </w:r>
      <w:r w:rsidRPr="00793130">
        <w:rPr>
          <w:rFonts w:cs="Arial"/>
          <w:iCs/>
        </w:rPr>
        <w:t>CAISO.  If an EIM Entity Scheduling Coordinator disagrees with the amounts calculated by</w:t>
      </w:r>
      <w:r w:rsidR="001B06BF">
        <w:rPr>
          <w:rFonts w:cs="Arial"/>
          <w:iCs/>
        </w:rPr>
        <w:t xml:space="preserve"> </w:t>
      </w:r>
      <w:r w:rsidRPr="00793130">
        <w:rPr>
          <w:rFonts w:cs="Arial"/>
          <w:iCs/>
        </w:rPr>
        <w:t xml:space="preserve">CAISO for EIM non-participating resources, the EIM Entity Scheduling Coordinator is responsible for submitting a </w:t>
      </w:r>
      <w:r w:rsidR="00D13F01">
        <w:rPr>
          <w:rFonts w:cs="Arial"/>
          <w:iCs/>
        </w:rPr>
        <w:t xml:space="preserve">settlement </w:t>
      </w:r>
      <w:r w:rsidRPr="00793130">
        <w:rPr>
          <w:rFonts w:cs="Arial"/>
          <w:iCs/>
        </w:rPr>
        <w:t xml:space="preserve">dispute through the process outlined in Section 2.3.5 and Section 5 of the </w:t>
      </w:r>
      <w:hyperlink r:id="rId193" w:history="1">
        <w:r w:rsidR="00D13F01" w:rsidRPr="003E0BEF">
          <w:rPr>
            <w:rStyle w:val="Hyperlink"/>
            <w:rFonts w:cs="Arial"/>
            <w:b/>
            <w:iCs/>
          </w:rPr>
          <w:t xml:space="preserve">BPM for Settlements </w:t>
        </w:r>
        <w:r w:rsidR="00D13F01">
          <w:rPr>
            <w:rStyle w:val="Hyperlink"/>
            <w:rFonts w:cs="Arial"/>
            <w:b/>
            <w:iCs/>
          </w:rPr>
          <w:t>and</w:t>
        </w:r>
        <w:r w:rsidR="00D13F01" w:rsidRPr="003E0BEF">
          <w:rPr>
            <w:rStyle w:val="Hyperlink"/>
            <w:rFonts w:cs="Arial"/>
            <w:b/>
            <w:iCs/>
          </w:rPr>
          <w:t xml:space="preserve"> Billing</w:t>
        </w:r>
      </w:hyperlink>
      <w:r w:rsidRPr="00793130">
        <w:rPr>
          <w:rFonts w:cs="Arial"/>
          <w:iCs/>
        </w:rPr>
        <w:t>.</w:t>
      </w:r>
      <w:r w:rsidR="00042C07">
        <w:rPr>
          <w:rFonts w:cs="Arial"/>
          <w:iCs/>
        </w:rPr>
        <w:t xml:space="preserve">  </w:t>
      </w:r>
    </w:p>
    <w:p w14:paraId="33C9D3F2" w14:textId="77777777" w:rsidR="00172436" w:rsidRDefault="00172436" w:rsidP="00C33762">
      <w:pPr>
        <w:pStyle w:val="Heading2"/>
      </w:pPr>
      <w:bookmarkStart w:id="2260" w:name="_Toc391969873"/>
      <w:bookmarkStart w:id="2261" w:name="_Toc460320483"/>
      <w:r>
        <w:lastRenderedPageBreak/>
        <w:t>Suspension</w:t>
      </w:r>
      <w:bookmarkEnd w:id="2260"/>
      <w:bookmarkEnd w:id="2261"/>
    </w:p>
    <w:p w14:paraId="60D4B278" w14:textId="77777777" w:rsidR="00842CCC" w:rsidRDefault="00842CCC" w:rsidP="00842CCC">
      <w:pPr>
        <w:spacing w:after="240" w:line="300" w:lineRule="auto"/>
        <w:rPr>
          <w:iCs/>
        </w:rPr>
      </w:pPr>
      <w:r>
        <w:rPr>
          <w:iCs/>
        </w:rPr>
        <w:t>In the case where there is a suspension of EIM participation by an EIM Entity</w:t>
      </w:r>
      <w:r w:rsidR="007970DF">
        <w:rPr>
          <w:iCs/>
        </w:rPr>
        <w:t>, as described in S</w:t>
      </w:r>
      <w:r w:rsidR="00156CA6">
        <w:rPr>
          <w:iCs/>
        </w:rPr>
        <w:t>ection 10.</w:t>
      </w:r>
      <w:r w:rsidR="00C30887">
        <w:rPr>
          <w:iCs/>
        </w:rPr>
        <w:t>5</w:t>
      </w:r>
      <w:r w:rsidR="00156CA6">
        <w:rPr>
          <w:iCs/>
        </w:rPr>
        <w:t>.1 of this BPM</w:t>
      </w:r>
      <w:r>
        <w:rPr>
          <w:iCs/>
        </w:rPr>
        <w:t>, a Mark</w:t>
      </w:r>
      <w:r w:rsidR="001B06BF">
        <w:rPr>
          <w:iCs/>
        </w:rPr>
        <w:t xml:space="preserve">et Notice will be issued by </w:t>
      </w:r>
      <w:r>
        <w:rPr>
          <w:iCs/>
        </w:rPr>
        <w:t>CAISO to alert all market participants.  The EIM Entity wi</w:t>
      </w:r>
      <w:r w:rsidR="000B6D3C">
        <w:rPr>
          <w:iCs/>
        </w:rPr>
        <w:t>ll still be required to submit Base S</w:t>
      </w:r>
      <w:r>
        <w:rPr>
          <w:iCs/>
        </w:rPr>
        <w:t>chedules during the period of the suspension along with meter d</w:t>
      </w:r>
      <w:r w:rsidR="001B06BF">
        <w:rPr>
          <w:iCs/>
        </w:rPr>
        <w:t xml:space="preserve">ata matching those values.  </w:t>
      </w:r>
      <w:r>
        <w:rPr>
          <w:iCs/>
        </w:rPr>
        <w:t>CAISO will manually suspend the calculation of U</w:t>
      </w:r>
      <w:r w:rsidR="000E7D7E">
        <w:rPr>
          <w:iCs/>
        </w:rPr>
        <w:t xml:space="preserve">naccounted </w:t>
      </w:r>
      <w:r>
        <w:rPr>
          <w:iCs/>
        </w:rPr>
        <w:t>F</w:t>
      </w:r>
      <w:r w:rsidR="000E7D7E">
        <w:rPr>
          <w:iCs/>
        </w:rPr>
        <w:t xml:space="preserve">or </w:t>
      </w:r>
      <w:r>
        <w:rPr>
          <w:iCs/>
        </w:rPr>
        <w:t>E</w:t>
      </w:r>
      <w:r w:rsidR="000E7D7E">
        <w:rPr>
          <w:iCs/>
        </w:rPr>
        <w:t>nergy (UFE)</w:t>
      </w:r>
      <w:r>
        <w:rPr>
          <w:iCs/>
        </w:rPr>
        <w:t xml:space="preserve"> for the EIM Entity BAA, but will continue to generate and publish settl</w:t>
      </w:r>
      <w:r w:rsidR="000B6D3C">
        <w:rPr>
          <w:iCs/>
        </w:rPr>
        <w:t>ement statements utilizing the Base S</w:t>
      </w:r>
      <w:r>
        <w:rPr>
          <w:iCs/>
        </w:rPr>
        <w:t>chedule and meter data informati</w:t>
      </w:r>
      <w:r w:rsidR="004A54C4">
        <w:rPr>
          <w:iCs/>
        </w:rPr>
        <w:t>on submitted by the EIM Entity.</w:t>
      </w:r>
    </w:p>
    <w:p w14:paraId="5ACF9157" w14:textId="77777777" w:rsidR="00770B86" w:rsidRPr="00770B86" w:rsidRDefault="00770B86" w:rsidP="006F6DD6">
      <w:pPr>
        <w:spacing w:after="240" w:line="300" w:lineRule="auto"/>
        <w:rPr>
          <w:iCs/>
        </w:rPr>
      </w:pPr>
    </w:p>
    <w:p w14:paraId="68079816" w14:textId="77777777" w:rsidR="009540DF" w:rsidRDefault="009540DF" w:rsidP="00FF6F1D">
      <w:pPr>
        <w:pStyle w:val="Heading1"/>
      </w:pPr>
      <w:bookmarkStart w:id="2262" w:name="_Toc460320484"/>
      <w:bookmarkStart w:id="2263" w:name="_Toc389662615"/>
      <w:bookmarkStart w:id="2264" w:name="_Toc390946309"/>
      <w:bookmarkStart w:id="2265" w:name="_Toc391969874"/>
      <w:r w:rsidRPr="00225179">
        <w:t>READINESS</w:t>
      </w:r>
      <w:bookmarkEnd w:id="2262"/>
      <w:r w:rsidRPr="00225179">
        <w:t xml:space="preserve"> </w:t>
      </w:r>
    </w:p>
    <w:p w14:paraId="066269E6" w14:textId="77777777" w:rsidR="00DF5618" w:rsidRDefault="00DF5618" w:rsidP="00DF5618">
      <w:pPr>
        <w:spacing w:after="240" w:line="300" w:lineRule="auto"/>
      </w:pPr>
      <w:r>
        <w:t xml:space="preserve">Welcome to the </w:t>
      </w:r>
      <w:r>
        <w:rPr>
          <w:i/>
        </w:rPr>
        <w:t xml:space="preserve">Readiness </w:t>
      </w:r>
      <w:r>
        <w:t xml:space="preserve">section of the CAISO </w:t>
      </w:r>
      <w:r w:rsidRPr="00A812DF">
        <w:rPr>
          <w:i/>
        </w:rPr>
        <w:t>BPM for the Energy Imbalance Market</w:t>
      </w:r>
      <w:r>
        <w:t xml:space="preserve">.  In this section </w:t>
      </w:r>
      <w:r w:rsidR="00276804">
        <w:t>you will find</w:t>
      </w:r>
      <w:r>
        <w:t>:</w:t>
      </w:r>
    </w:p>
    <w:p w14:paraId="0885513C" w14:textId="77777777" w:rsidR="00276804" w:rsidRDefault="00276804" w:rsidP="0027733A">
      <w:pPr>
        <w:pStyle w:val="ListParagraph"/>
        <w:numPr>
          <w:ilvl w:val="0"/>
          <w:numId w:val="235"/>
        </w:numPr>
        <w:spacing w:after="240" w:line="300" w:lineRule="auto"/>
      </w:pPr>
      <w:r>
        <w:t>Descriptions of the established readiness criteria categories</w:t>
      </w:r>
    </w:p>
    <w:p w14:paraId="7D8A1281" w14:textId="77777777" w:rsidR="00276804" w:rsidRDefault="00276804" w:rsidP="0027733A">
      <w:pPr>
        <w:pStyle w:val="ListParagraph"/>
        <w:numPr>
          <w:ilvl w:val="0"/>
          <w:numId w:val="235"/>
        </w:numPr>
        <w:spacing w:after="240" w:line="300" w:lineRule="auto"/>
      </w:pPr>
      <w:r>
        <w:t>A listing of readiness criteria, metrics and thresholds</w:t>
      </w:r>
    </w:p>
    <w:p w14:paraId="34F4E968" w14:textId="77777777" w:rsidR="00276804" w:rsidRDefault="00276804" w:rsidP="00276804">
      <w:pPr>
        <w:pStyle w:val="ListParagraph"/>
        <w:numPr>
          <w:ilvl w:val="0"/>
          <w:numId w:val="235"/>
        </w:numPr>
        <w:spacing w:after="240" w:line="300" w:lineRule="auto"/>
      </w:pPr>
      <w:r>
        <w:t>Information on the process for readiness determination, reporting and certification.</w:t>
      </w:r>
    </w:p>
    <w:p w14:paraId="32AB0F14" w14:textId="77777777" w:rsidR="009540DF" w:rsidRDefault="00DB75A7" w:rsidP="0040008D">
      <w:pPr>
        <w:pStyle w:val="Heading2"/>
      </w:pPr>
      <w:bookmarkStart w:id="2266" w:name="_Toc460320485"/>
      <w:r>
        <w:t>Readiness Criteria Categories</w:t>
      </w:r>
      <w:bookmarkEnd w:id="2266"/>
    </w:p>
    <w:p w14:paraId="676E3300" w14:textId="77777777" w:rsidR="009A3F9F" w:rsidRPr="005730EC" w:rsidRDefault="009A3F9F" w:rsidP="009A3F9F">
      <w:pPr>
        <w:pStyle w:val="ParaText"/>
        <w:rPr>
          <w:rFonts w:cs="Arial"/>
        </w:rPr>
      </w:pPr>
      <w:r w:rsidRPr="005730EC">
        <w:rPr>
          <w:rFonts w:cs="Arial"/>
        </w:rPr>
        <w:t xml:space="preserve">The readiness criteria are intended to support readiness certification prior to implementation. Leading to certification, the EIM Entity and CAISO will conduct appropriate steps to ensure that each criteria is evaluated compared with the metric and threshold. </w:t>
      </w:r>
    </w:p>
    <w:p w14:paraId="09A784CF" w14:textId="77777777" w:rsidR="009A3F9F" w:rsidRPr="005730EC" w:rsidRDefault="009A3F9F" w:rsidP="009A3F9F">
      <w:pPr>
        <w:numPr>
          <w:ilvl w:val="0"/>
          <w:numId w:val="239"/>
        </w:numPr>
        <w:spacing w:after="200" w:line="276" w:lineRule="auto"/>
        <w:rPr>
          <w:rFonts w:cs="Arial"/>
        </w:rPr>
      </w:pPr>
      <w:r w:rsidRPr="005730EC">
        <w:rPr>
          <w:rFonts w:cs="Arial"/>
        </w:rPr>
        <w:t xml:space="preserve">EIM Entity Full Network Model Integration – in order to participate in EIM, the </w:t>
      </w:r>
      <w:r>
        <w:rPr>
          <w:rFonts w:cs="Arial"/>
        </w:rPr>
        <w:t xml:space="preserve">prospective </w:t>
      </w:r>
      <w:r w:rsidRPr="005730EC">
        <w:rPr>
          <w:rFonts w:cs="Arial"/>
        </w:rPr>
        <w:t>EIM Entity</w:t>
      </w:r>
      <w:r>
        <w:rPr>
          <w:rFonts w:cs="Arial"/>
        </w:rPr>
        <w:t>’s full</w:t>
      </w:r>
      <w:r w:rsidRPr="005730EC">
        <w:rPr>
          <w:rFonts w:cs="Arial"/>
        </w:rPr>
        <w:t xml:space="preserve"> network model is integrated into CAISO full network model.  This activity precedes testing and is demonstrated during market simulation.  The incorporation of the EIM Entity’s network model into CAISO’s production full network model follows the standard promotion process and timing.</w:t>
      </w:r>
    </w:p>
    <w:p w14:paraId="7A9EABB3" w14:textId="77777777" w:rsidR="009A3F9F" w:rsidRPr="005730EC" w:rsidRDefault="009A3F9F" w:rsidP="009A3F9F">
      <w:pPr>
        <w:numPr>
          <w:ilvl w:val="0"/>
          <w:numId w:val="239"/>
        </w:numPr>
        <w:spacing w:after="200" w:line="276" w:lineRule="auto"/>
        <w:rPr>
          <w:rFonts w:cs="Arial"/>
        </w:rPr>
      </w:pPr>
      <w:r w:rsidRPr="005730EC">
        <w:rPr>
          <w:rFonts w:cs="Arial"/>
        </w:rPr>
        <w:lastRenderedPageBreak/>
        <w:t xml:space="preserve">Agreements – prior to the established implementation date, the </w:t>
      </w:r>
      <w:r>
        <w:rPr>
          <w:rFonts w:cs="Arial"/>
        </w:rPr>
        <w:t xml:space="preserve">prospective </w:t>
      </w:r>
      <w:r w:rsidRPr="005730EC">
        <w:rPr>
          <w:rFonts w:cs="Arial"/>
        </w:rPr>
        <w:t xml:space="preserve">EIM Entity must execute all necessary agreements in accordance with the timelines described in section 5 of the EIM Business Practice Manual. </w:t>
      </w:r>
    </w:p>
    <w:p w14:paraId="342DDC34" w14:textId="77777777" w:rsidR="009A3F9F" w:rsidRPr="005730EC" w:rsidRDefault="009A3F9F" w:rsidP="009A3F9F">
      <w:pPr>
        <w:numPr>
          <w:ilvl w:val="0"/>
          <w:numId w:val="239"/>
        </w:numPr>
        <w:spacing w:after="200" w:line="276" w:lineRule="auto"/>
        <w:rPr>
          <w:rFonts w:cs="Arial"/>
        </w:rPr>
      </w:pPr>
      <w:r w:rsidRPr="005730EC">
        <w:rPr>
          <w:rFonts w:cs="Arial"/>
        </w:rPr>
        <w:t xml:space="preserve">Training –CAISO provides training for </w:t>
      </w:r>
      <w:r>
        <w:rPr>
          <w:rFonts w:cs="Arial"/>
        </w:rPr>
        <w:t xml:space="preserve">prospective </w:t>
      </w:r>
      <w:r w:rsidRPr="005730EC">
        <w:rPr>
          <w:rFonts w:cs="Arial"/>
        </w:rPr>
        <w:t xml:space="preserve">EIM Entity </w:t>
      </w:r>
      <w:r>
        <w:rPr>
          <w:rFonts w:cs="Arial"/>
        </w:rPr>
        <w:t>o</w:t>
      </w:r>
      <w:r w:rsidRPr="005730EC">
        <w:rPr>
          <w:rFonts w:cs="Arial"/>
        </w:rPr>
        <w:t xml:space="preserve">perators before and during market simulation. All training is to be completed prior to the start of parallel </w:t>
      </w:r>
      <w:r>
        <w:rPr>
          <w:rFonts w:cs="Arial"/>
        </w:rPr>
        <w:t>operations</w:t>
      </w:r>
      <w:r w:rsidRPr="005730EC">
        <w:rPr>
          <w:rFonts w:cs="Arial"/>
        </w:rPr>
        <w:t xml:space="preserve">.   </w:t>
      </w:r>
    </w:p>
    <w:p w14:paraId="5E657933" w14:textId="77777777" w:rsidR="009A3F9F" w:rsidRPr="005730EC" w:rsidRDefault="009A3F9F" w:rsidP="009A3F9F">
      <w:pPr>
        <w:numPr>
          <w:ilvl w:val="0"/>
          <w:numId w:val="239"/>
        </w:numPr>
        <w:spacing w:after="200" w:line="276" w:lineRule="auto"/>
        <w:rPr>
          <w:rFonts w:cs="Arial"/>
        </w:rPr>
      </w:pPr>
      <w:r w:rsidRPr="005730EC">
        <w:rPr>
          <w:rFonts w:cs="Arial"/>
        </w:rPr>
        <w:t>Forecasts – forecasting capabilities are established and measured during the market simulation.</w:t>
      </w:r>
    </w:p>
    <w:p w14:paraId="75E79036" w14:textId="77777777" w:rsidR="009A3F9F" w:rsidRPr="005730EC" w:rsidRDefault="009A3F9F" w:rsidP="009A3F9F">
      <w:pPr>
        <w:numPr>
          <w:ilvl w:val="0"/>
          <w:numId w:val="239"/>
        </w:numPr>
        <w:spacing w:after="200" w:line="276" w:lineRule="auto"/>
        <w:rPr>
          <w:rFonts w:cs="Arial"/>
        </w:rPr>
      </w:pPr>
      <w:r w:rsidRPr="005730EC">
        <w:rPr>
          <w:rFonts w:cs="Arial"/>
        </w:rPr>
        <w:t>Balanced Schedules– balanced schedule capabilities are measured during the market simulation.</w:t>
      </w:r>
    </w:p>
    <w:p w14:paraId="4F945D07" w14:textId="77777777" w:rsidR="009A3F9F" w:rsidRPr="005730EC" w:rsidRDefault="009A3F9F" w:rsidP="009A3F9F">
      <w:pPr>
        <w:numPr>
          <w:ilvl w:val="0"/>
          <w:numId w:val="239"/>
        </w:numPr>
        <w:spacing w:after="200" w:line="276" w:lineRule="auto"/>
        <w:rPr>
          <w:rFonts w:cs="Arial"/>
        </w:rPr>
      </w:pPr>
      <w:r w:rsidRPr="005730EC">
        <w:rPr>
          <w:rFonts w:cs="Arial"/>
        </w:rPr>
        <w:t xml:space="preserve">Operating Procedures - the </w:t>
      </w:r>
      <w:r w:rsidRPr="004A6F2D">
        <w:rPr>
          <w:rFonts w:cs="Arial"/>
        </w:rPr>
        <w:t xml:space="preserve">prospective </w:t>
      </w:r>
      <w:r w:rsidRPr="005730EC">
        <w:rPr>
          <w:rFonts w:cs="Arial"/>
        </w:rPr>
        <w:t xml:space="preserve">EIM Entity and CAISO will review and test applicable operating procedures prior to the start of parallel </w:t>
      </w:r>
      <w:r>
        <w:rPr>
          <w:rFonts w:cs="Arial"/>
        </w:rPr>
        <w:t>operations</w:t>
      </w:r>
      <w:r w:rsidRPr="005730EC">
        <w:rPr>
          <w:rFonts w:cs="Arial"/>
        </w:rPr>
        <w:t xml:space="preserve">.   </w:t>
      </w:r>
    </w:p>
    <w:p w14:paraId="09C1C7AA" w14:textId="77777777" w:rsidR="009A3F9F" w:rsidRPr="005730EC" w:rsidRDefault="009A3F9F" w:rsidP="009A3F9F">
      <w:pPr>
        <w:numPr>
          <w:ilvl w:val="0"/>
          <w:numId w:val="239"/>
        </w:numPr>
        <w:spacing w:after="200" w:line="276" w:lineRule="auto"/>
        <w:rPr>
          <w:rFonts w:cs="Arial"/>
        </w:rPr>
      </w:pPr>
      <w:r w:rsidRPr="005730EC">
        <w:rPr>
          <w:rFonts w:cs="Arial"/>
        </w:rPr>
        <w:t>System Readiness &amp; Integration - the</w:t>
      </w:r>
      <w:r>
        <w:rPr>
          <w:rFonts w:cs="Arial"/>
        </w:rPr>
        <w:t xml:space="preserve"> </w:t>
      </w:r>
      <w:r w:rsidRPr="00200458">
        <w:rPr>
          <w:rFonts w:cs="Arial"/>
        </w:rPr>
        <w:t xml:space="preserve">prospective </w:t>
      </w:r>
      <w:r w:rsidRPr="005730EC">
        <w:rPr>
          <w:rFonts w:cs="Arial"/>
        </w:rPr>
        <w:t xml:space="preserve">EIM Entity and CAISO will perform functional and system testing and system integration testing.      </w:t>
      </w:r>
    </w:p>
    <w:p w14:paraId="6A156A5F" w14:textId="77777777" w:rsidR="009A3F9F" w:rsidRPr="005730EC" w:rsidRDefault="009A3F9F" w:rsidP="009A3F9F">
      <w:pPr>
        <w:numPr>
          <w:ilvl w:val="0"/>
          <w:numId w:val="239"/>
        </w:numPr>
        <w:spacing w:after="200" w:line="276" w:lineRule="auto"/>
        <w:rPr>
          <w:rFonts w:cs="Arial"/>
        </w:rPr>
      </w:pPr>
      <w:r w:rsidRPr="005730EC">
        <w:rPr>
          <w:rFonts w:cs="Arial"/>
        </w:rPr>
        <w:t xml:space="preserve">Market Simulation - the CAISO will conduct a market simulation for the </w:t>
      </w:r>
      <w:r w:rsidRPr="00200458">
        <w:rPr>
          <w:rFonts w:cs="Arial"/>
        </w:rPr>
        <w:t xml:space="preserve">prospective </w:t>
      </w:r>
      <w:r w:rsidRPr="005730EC">
        <w:rPr>
          <w:rFonts w:cs="Arial"/>
        </w:rPr>
        <w:t xml:space="preserve">EIM Entity and any participating resource scheduling coordinators registered with the </w:t>
      </w:r>
      <w:r w:rsidRPr="00200458">
        <w:rPr>
          <w:rFonts w:cs="Arial"/>
        </w:rPr>
        <w:t xml:space="preserve">prospective </w:t>
      </w:r>
      <w:r w:rsidRPr="005730EC">
        <w:rPr>
          <w:rFonts w:cs="Arial"/>
        </w:rPr>
        <w:t xml:space="preserve">EIM Entity prior to that new </w:t>
      </w:r>
      <w:r w:rsidRPr="00200458">
        <w:rPr>
          <w:rFonts w:cs="Arial"/>
        </w:rPr>
        <w:t xml:space="preserve">prospective </w:t>
      </w:r>
      <w:r w:rsidRPr="005730EC">
        <w:rPr>
          <w:rFonts w:cs="Arial"/>
        </w:rPr>
        <w:t xml:space="preserve">EIM Entity entering EIM.  </w:t>
      </w:r>
    </w:p>
    <w:p w14:paraId="529E9F65" w14:textId="77777777" w:rsidR="009A3F9F" w:rsidRPr="005730EC" w:rsidRDefault="009A3F9F" w:rsidP="009A3F9F">
      <w:pPr>
        <w:numPr>
          <w:ilvl w:val="0"/>
          <w:numId w:val="239"/>
        </w:numPr>
        <w:spacing w:after="200" w:line="276" w:lineRule="auto"/>
        <w:rPr>
          <w:rFonts w:cs="Arial"/>
        </w:rPr>
      </w:pPr>
      <w:r w:rsidRPr="005730EC">
        <w:rPr>
          <w:rFonts w:cs="Arial"/>
        </w:rPr>
        <w:t xml:space="preserve">Settlements – the CAISO submits a settlement statement to the </w:t>
      </w:r>
      <w:r>
        <w:rPr>
          <w:rFonts w:cs="Arial"/>
        </w:rPr>
        <w:t xml:space="preserve">prospective </w:t>
      </w:r>
      <w:r w:rsidRPr="005730EC">
        <w:rPr>
          <w:rFonts w:cs="Arial"/>
        </w:rPr>
        <w:t xml:space="preserve">EIM Entity including EIM participating and non-participating resources and load.  The </w:t>
      </w:r>
      <w:r w:rsidRPr="00200458">
        <w:rPr>
          <w:rFonts w:cs="Arial"/>
        </w:rPr>
        <w:t xml:space="preserve">prospective </w:t>
      </w:r>
      <w:r w:rsidRPr="005730EC">
        <w:rPr>
          <w:rFonts w:cs="Arial"/>
        </w:rPr>
        <w:t>EIM Entity will verify the accuracy of the CAISO settlement statement to the</w:t>
      </w:r>
      <w:r>
        <w:rPr>
          <w:rFonts w:cs="Arial"/>
        </w:rPr>
        <w:t xml:space="preserve"> </w:t>
      </w:r>
      <w:r w:rsidRPr="00200458">
        <w:rPr>
          <w:rFonts w:cs="Arial"/>
        </w:rPr>
        <w:t xml:space="preserve">prospective </w:t>
      </w:r>
      <w:r w:rsidRPr="005730EC">
        <w:rPr>
          <w:rFonts w:cs="Arial"/>
        </w:rPr>
        <w:t xml:space="preserve">EIM Entity.  Prior to financially binding operations, the </w:t>
      </w:r>
      <w:r w:rsidRPr="00200458">
        <w:rPr>
          <w:rFonts w:cs="Arial"/>
        </w:rPr>
        <w:t xml:space="preserve">prospective </w:t>
      </w:r>
      <w:r w:rsidRPr="005730EC">
        <w:rPr>
          <w:rFonts w:cs="Arial"/>
        </w:rPr>
        <w:t xml:space="preserve">EIM Entity </w:t>
      </w:r>
      <w:r w:rsidRPr="005730EC">
        <w:rPr>
          <w:rFonts w:cs="Arial"/>
          <w:color w:val="000000"/>
        </w:rPr>
        <w:t xml:space="preserve">will demonstrate it can produce allocations of the </w:t>
      </w:r>
      <w:r w:rsidRPr="005730EC">
        <w:rPr>
          <w:rFonts w:cs="Arial"/>
        </w:rPr>
        <w:t xml:space="preserve">CAISO </w:t>
      </w:r>
      <w:r w:rsidRPr="005730EC">
        <w:rPr>
          <w:rFonts w:cs="Arial"/>
          <w:color w:val="000000"/>
        </w:rPr>
        <w:t xml:space="preserve">settlement to its customers that are verifiably accurate against available data.  </w:t>
      </w:r>
    </w:p>
    <w:p w14:paraId="2A55BA36" w14:textId="77777777" w:rsidR="009A3F9F" w:rsidRPr="005730EC" w:rsidRDefault="009A3F9F" w:rsidP="009A3F9F">
      <w:pPr>
        <w:numPr>
          <w:ilvl w:val="0"/>
          <w:numId w:val="239"/>
        </w:numPr>
        <w:spacing w:after="200" w:line="276" w:lineRule="auto"/>
        <w:rPr>
          <w:rFonts w:cs="Arial"/>
        </w:rPr>
      </w:pPr>
      <w:r w:rsidRPr="005730EC">
        <w:rPr>
          <w:rFonts w:cs="Arial"/>
        </w:rPr>
        <w:t>Monitoring – the CAISO ensures that the CAISO Market Analysis Team and the Department of Market Monitoring have the data that is required to adequately monitor market performance.</w:t>
      </w:r>
    </w:p>
    <w:p w14:paraId="35D57F43" w14:textId="77777777" w:rsidR="009A3F9F" w:rsidRPr="005730EC" w:rsidRDefault="009A3F9F" w:rsidP="009A3F9F">
      <w:pPr>
        <w:numPr>
          <w:ilvl w:val="0"/>
          <w:numId w:val="239"/>
        </w:numPr>
        <w:spacing w:after="200" w:line="276" w:lineRule="auto"/>
        <w:rPr>
          <w:rFonts w:cs="Arial"/>
        </w:rPr>
      </w:pPr>
      <w:r w:rsidRPr="005730EC">
        <w:rPr>
          <w:rFonts w:cs="Arial"/>
        </w:rPr>
        <w:t xml:space="preserve">Parallel Operations Planning – the CAISO and </w:t>
      </w:r>
      <w:r w:rsidRPr="00200458">
        <w:rPr>
          <w:rFonts w:cs="Arial"/>
        </w:rPr>
        <w:t xml:space="preserve">prospective </w:t>
      </w:r>
      <w:r w:rsidRPr="005730EC">
        <w:rPr>
          <w:rFonts w:cs="Arial"/>
        </w:rPr>
        <w:t xml:space="preserve">EIM Entity ensure that systems, processes and staff are prepared for deployment of systems, parallel </w:t>
      </w:r>
      <w:r>
        <w:rPr>
          <w:rFonts w:cs="Arial"/>
        </w:rPr>
        <w:t>operations</w:t>
      </w:r>
      <w:r w:rsidRPr="005730EC">
        <w:rPr>
          <w:rFonts w:cs="Arial"/>
        </w:rPr>
        <w:t>, and support beyond parallel operations for issues that may arise.</w:t>
      </w:r>
    </w:p>
    <w:p w14:paraId="5A7FF86B" w14:textId="77777777" w:rsidR="009A3F9F" w:rsidRDefault="009A3F9F" w:rsidP="009A3F9F">
      <w:pPr>
        <w:numPr>
          <w:ilvl w:val="0"/>
          <w:numId w:val="239"/>
        </w:numPr>
        <w:spacing w:after="200" w:line="276" w:lineRule="auto"/>
        <w:rPr>
          <w:rFonts w:cs="Arial"/>
        </w:rPr>
      </w:pPr>
      <w:r w:rsidRPr="005730EC">
        <w:rPr>
          <w:rFonts w:cs="Arial"/>
        </w:rPr>
        <w:lastRenderedPageBreak/>
        <w:t xml:space="preserve">Communication - the CAISO and </w:t>
      </w:r>
      <w:r w:rsidRPr="00200458">
        <w:rPr>
          <w:rFonts w:cs="Arial"/>
        </w:rPr>
        <w:t xml:space="preserve">prospective </w:t>
      </w:r>
      <w:r w:rsidRPr="005730EC">
        <w:rPr>
          <w:rFonts w:cs="Arial"/>
        </w:rPr>
        <w:t xml:space="preserve">EIM Entity ensure all tools and procedures used for communication between the CAISO and </w:t>
      </w:r>
      <w:r w:rsidRPr="00200458">
        <w:rPr>
          <w:rFonts w:cs="Arial"/>
        </w:rPr>
        <w:t xml:space="preserve">prospective </w:t>
      </w:r>
      <w:r w:rsidRPr="005730EC">
        <w:rPr>
          <w:rFonts w:cs="Arial"/>
        </w:rPr>
        <w:t>EIM Entity are in place and tested before the implementation date</w:t>
      </w:r>
    </w:p>
    <w:p w14:paraId="7A69FADB" w14:textId="77777777" w:rsidR="009A3F9F" w:rsidRPr="009A3F9F" w:rsidRDefault="009A3F9F" w:rsidP="009A3F9F">
      <w:pPr>
        <w:numPr>
          <w:ilvl w:val="0"/>
          <w:numId w:val="239"/>
        </w:numPr>
        <w:spacing w:after="200" w:line="276" w:lineRule="auto"/>
        <w:rPr>
          <w:rFonts w:cs="Arial"/>
        </w:rPr>
      </w:pPr>
      <w:r w:rsidRPr="009A3F9F">
        <w:rPr>
          <w:rFonts w:cs="Arial"/>
          <w:color w:val="000000"/>
        </w:rPr>
        <w:t>EIM Available Balancing Capacity – the CAISO and the prospective EIM Entity register resources that the prospective EIM Entity intends to identify as EIM Available Balancing Capacity in the EIM Resource Plan.</w:t>
      </w:r>
    </w:p>
    <w:p w14:paraId="4EC9A988" w14:textId="77777777" w:rsidR="0046473E" w:rsidRPr="00276804" w:rsidRDefault="0046473E" w:rsidP="00276804">
      <w:pPr>
        <w:pStyle w:val="ParaText"/>
      </w:pPr>
    </w:p>
    <w:p w14:paraId="2979978E" w14:textId="77777777" w:rsidR="0040008D" w:rsidRDefault="0040008D" w:rsidP="0040008D">
      <w:pPr>
        <w:pStyle w:val="Heading2"/>
      </w:pPr>
      <w:bookmarkStart w:id="2267" w:name="_Toc460320486"/>
      <w:r>
        <w:t>Readiness Metrics, Criteria, and Thresholds</w:t>
      </w:r>
      <w:bookmarkEnd w:id="2267"/>
    </w:p>
    <w:tbl>
      <w:tblPr>
        <w:tblW w:w="10242" w:type="dxa"/>
        <w:tblLayout w:type="fixed"/>
        <w:tblLook w:val="04A0" w:firstRow="1" w:lastRow="0" w:firstColumn="1" w:lastColumn="0" w:noHBand="0" w:noVBand="1"/>
      </w:tblPr>
      <w:tblGrid>
        <w:gridCol w:w="1260"/>
        <w:gridCol w:w="1440"/>
        <w:gridCol w:w="2142"/>
        <w:gridCol w:w="2538"/>
        <w:gridCol w:w="2862"/>
      </w:tblGrid>
      <w:tr w:rsidR="001028EC" w:rsidRPr="005730EC" w14:paraId="3A3ACCA2" w14:textId="77777777" w:rsidTr="009E26DA">
        <w:trPr>
          <w:trHeight w:val="780"/>
          <w:tblHeader/>
        </w:trPr>
        <w:tc>
          <w:tcPr>
            <w:tcW w:w="1260" w:type="dxa"/>
            <w:tcBorders>
              <w:top w:val="single" w:sz="4" w:space="0" w:color="auto"/>
              <w:left w:val="single" w:sz="4" w:space="0" w:color="auto"/>
              <w:bottom w:val="single" w:sz="4" w:space="0" w:color="auto"/>
              <w:right w:val="single" w:sz="4" w:space="0" w:color="auto"/>
            </w:tcBorders>
            <w:shd w:val="clear" w:color="auto" w:fill="8EAADB"/>
            <w:hideMark/>
          </w:tcPr>
          <w:p w14:paraId="38B7F190" w14:textId="77777777" w:rsidR="001028EC" w:rsidRPr="005730EC" w:rsidRDefault="001028EC" w:rsidP="00701AB3">
            <w:pPr>
              <w:jc w:val="center"/>
              <w:rPr>
                <w:rFonts w:cs="Arial"/>
                <w:b/>
                <w:sz w:val="20"/>
              </w:rPr>
            </w:pPr>
            <w:r w:rsidRPr="005730EC">
              <w:rPr>
                <w:rFonts w:cs="Arial"/>
                <w:b/>
                <w:sz w:val="20"/>
              </w:rPr>
              <w:t>Readiness Criterion Identifier</w:t>
            </w:r>
          </w:p>
        </w:tc>
        <w:tc>
          <w:tcPr>
            <w:tcW w:w="1440" w:type="dxa"/>
            <w:tcBorders>
              <w:top w:val="single" w:sz="4" w:space="0" w:color="auto"/>
              <w:left w:val="nil"/>
              <w:bottom w:val="single" w:sz="4" w:space="0" w:color="auto"/>
              <w:right w:val="single" w:sz="4" w:space="0" w:color="auto"/>
            </w:tcBorders>
            <w:shd w:val="clear" w:color="auto" w:fill="8EAADB"/>
            <w:hideMark/>
          </w:tcPr>
          <w:p w14:paraId="03BAE607" w14:textId="77777777" w:rsidR="001028EC" w:rsidRPr="005730EC" w:rsidRDefault="001028EC" w:rsidP="00701AB3">
            <w:pPr>
              <w:jc w:val="center"/>
              <w:rPr>
                <w:rFonts w:cs="Arial"/>
                <w:b/>
                <w:sz w:val="20"/>
              </w:rPr>
            </w:pPr>
            <w:r w:rsidRPr="005730EC">
              <w:rPr>
                <w:rFonts w:cs="Arial"/>
                <w:b/>
                <w:sz w:val="20"/>
              </w:rPr>
              <w:t>Readiness Category</w:t>
            </w:r>
          </w:p>
        </w:tc>
        <w:tc>
          <w:tcPr>
            <w:tcW w:w="2142" w:type="dxa"/>
            <w:tcBorders>
              <w:top w:val="single" w:sz="4" w:space="0" w:color="auto"/>
              <w:left w:val="nil"/>
              <w:bottom w:val="single" w:sz="4" w:space="0" w:color="auto"/>
              <w:right w:val="single" w:sz="4" w:space="0" w:color="auto"/>
            </w:tcBorders>
            <w:shd w:val="clear" w:color="auto" w:fill="8EAADB"/>
            <w:hideMark/>
          </w:tcPr>
          <w:p w14:paraId="34173D50" w14:textId="77777777" w:rsidR="001028EC" w:rsidRPr="005730EC" w:rsidRDefault="001028EC" w:rsidP="00701AB3">
            <w:pPr>
              <w:jc w:val="center"/>
              <w:rPr>
                <w:rFonts w:cs="Arial"/>
                <w:b/>
                <w:sz w:val="20"/>
              </w:rPr>
            </w:pPr>
            <w:r w:rsidRPr="005730EC">
              <w:rPr>
                <w:rFonts w:cs="Arial"/>
                <w:b/>
                <w:sz w:val="20"/>
              </w:rPr>
              <w:t>Criteria</w:t>
            </w:r>
          </w:p>
        </w:tc>
        <w:tc>
          <w:tcPr>
            <w:tcW w:w="2538" w:type="dxa"/>
            <w:tcBorders>
              <w:top w:val="single" w:sz="4" w:space="0" w:color="auto"/>
              <w:left w:val="nil"/>
              <w:bottom w:val="single" w:sz="4" w:space="0" w:color="auto"/>
              <w:right w:val="single" w:sz="4" w:space="0" w:color="auto"/>
            </w:tcBorders>
            <w:shd w:val="clear" w:color="auto" w:fill="8EAADB"/>
            <w:hideMark/>
          </w:tcPr>
          <w:p w14:paraId="7A97E453" w14:textId="77777777" w:rsidR="001028EC" w:rsidRPr="005730EC" w:rsidRDefault="001028EC" w:rsidP="00701AB3">
            <w:pPr>
              <w:jc w:val="center"/>
              <w:rPr>
                <w:rFonts w:cs="Arial"/>
                <w:b/>
                <w:sz w:val="20"/>
              </w:rPr>
            </w:pPr>
            <w:r>
              <w:rPr>
                <w:rFonts w:cs="Arial"/>
                <w:b/>
                <w:sz w:val="20"/>
              </w:rPr>
              <w:t>Measurable Elements</w:t>
            </w:r>
          </w:p>
        </w:tc>
        <w:tc>
          <w:tcPr>
            <w:tcW w:w="2862" w:type="dxa"/>
            <w:tcBorders>
              <w:top w:val="single" w:sz="4" w:space="0" w:color="auto"/>
              <w:left w:val="nil"/>
              <w:bottom w:val="single" w:sz="4" w:space="0" w:color="auto"/>
              <w:right w:val="single" w:sz="4" w:space="0" w:color="auto"/>
            </w:tcBorders>
            <w:shd w:val="clear" w:color="auto" w:fill="8EAADB"/>
            <w:hideMark/>
          </w:tcPr>
          <w:p w14:paraId="301F422F" w14:textId="77777777" w:rsidR="001028EC" w:rsidRPr="005730EC" w:rsidRDefault="001028EC" w:rsidP="00701AB3">
            <w:pPr>
              <w:jc w:val="center"/>
              <w:rPr>
                <w:rFonts w:cs="Arial"/>
                <w:b/>
                <w:sz w:val="20"/>
              </w:rPr>
            </w:pPr>
            <w:r w:rsidRPr="005730EC">
              <w:rPr>
                <w:rFonts w:cs="Arial"/>
                <w:b/>
                <w:sz w:val="20"/>
              </w:rPr>
              <w:t>Threshold*</w:t>
            </w:r>
          </w:p>
        </w:tc>
      </w:tr>
      <w:tr w:rsidR="001028EC" w:rsidRPr="005730EC" w14:paraId="2BC8179D"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7CC9283B" w14:textId="77777777" w:rsidR="001028EC" w:rsidRPr="005730EC" w:rsidRDefault="001028EC" w:rsidP="00701AB3">
            <w:pPr>
              <w:jc w:val="center"/>
              <w:rPr>
                <w:rFonts w:cs="Arial"/>
                <w:color w:val="000000"/>
                <w:sz w:val="20"/>
              </w:rPr>
            </w:pPr>
            <w:r w:rsidRPr="005730EC">
              <w:rPr>
                <w:rFonts w:cs="Arial"/>
                <w:color w:val="000000"/>
                <w:sz w:val="20"/>
              </w:rPr>
              <w:t>1</w:t>
            </w:r>
          </w:p>
        </w:tc>
        <w:tc>
          <w:tcPr>
            <w:tcW w:w="1440" w:type="dxa"/>
            <w:tcBorders>
              <w:top w:val="nil"/>
              <w:left w:val="nil"/>
              <w:bottom w:val="single" w:sz="4" w:space="0" w:color="auto"/>
              <w:right w:val="single" w:sz="4" w:space="0" w:color="auto"/>
            </w:tcBorders>
            <w:shd w:val="clear" w:color="auto" w:fill="auto"/>
            <w:hideMark/>
          </w:tcPr>
          <w:p w14:paraId="4C196747" w14:textId="77777777" w:rsidR="001028EC" w:rsidRPr="005730EC" w:rsidRDefault="001028EC" w:rsidP="00701AB3">
            <w:pPr>
              <w:rPr>
                <w:rFonts w:cs="Arial"/>
                <w:color w:val="000000"/>
                <w:sz w:val="20"/>
              </w:rPr>
            </w:pPr>
            <w:r>
              <w:rPr>
                <w:rFonts w:cs="Arial"/>
                <w:color w:val="000000"/>
                <w:sz w:val="20"/>
              </w:rPr>
              <w:t xml:space="preserve">Prospective </w:t>
            </w:r>
            <w:r w:rsidRPr="005730EC">
              <w:rPr>
                <w:rFonts w:cs="Arial"/>
                <w:color w:val="000000"/>
                <w:sz w:val="20"/>
              </w:rPr>
              <w:t>EIM Entity Full Network Model Integration</w:t>
            </w:r>
          </w:p>
        </w:tc>
        <w:tc>
          <w:tcPr>
            <w:tcW w:w="2142" w:type="dxa"/>
            <w:tcBorders>
              <w:top w:val="nil"/>
              <w:left w:val="nil"/>
              <w:bottom w:val="single" w:sz="4" w:space="0" w:color="auto"/>
              <w:right w:val="single" w:sz="4" w:space="0" w:color="auto"/>
            </w:tcBorders>
            <w:shd w:val="clear" w:color="auto" w:fill="auto"/>
            <w:hideMark/>
          </w:tcPr>
          <w:p w14:paraId="059BF4C6" w14:textId="77777777" w:rsidR="001028EC" w:rsidRPr="005730EC" w:rsidRDefault="001028EC" w:rsidP="00701AB3">
            <w:pPr>
              <w:rPr>
                <w:rFonts w:cs="Arial"/>
                <w:color w:val="000000"/>
                <w:sz w:val="20"/>
              </w:rPr>
            </w:pPr>
            <w:r w:rsidRPr="005730EC">
              <w:rPr>
                <w:rFonts w:cs="Arial"/>
                <w:color w:val="000000"/>
                <w:sz w:val="20"/>
              </w:rPr>
              <w:t>Generation, Interchange and Load comparison</w:t>
            </w:r>
          </w:p>
        </w:tc>
        <w:tc>
          <w:tcPr>
            <w:tcW w:w="2538" w:type="dxa"/>
            <w:tcBorders>
              <w:top w:val="nil"/>
              <w:left w:val="nil"/>
              <w:bottom w:val="single" w:sz="4" w:space="0" w:color="auto"/>
              <w:right w:val="single" w:sz="4" w:space="0" w:color="auto"/>
            </w:tcBorders>
            <w:shd w:val="clear" w:color="auto" w:fill="auto"/>
            <w:hideMark/>
          </w:tcPr>
          <w:p w14:paraId="4B0A0B92" w14:textId="77777777" w:rsidR="001028EC" w:rsidRPr="005730EC" w:rsidRDefault="001028EC" w:rsidP="00701AB3">
            <w:pPr>
              <w:rPr>
                <w:rFonts w:cs="Arial"/>
                <w:color w:val="000000"/>
                <w:sz w:val="20"/>
              </w:rPr>
            </w:pPr>
            <w:r w:rsidRPr="005730EC">
              <w:rPr>
                <w:rFonts w:cs="Arial"/>
                <w:sz w:val="20"/>
              </w:rPr>
              <w:t>Load, EIM Internal Intertie and EIM External Interties, and Generating Unit definition in the Full Network Model is consistent with the Load, EIM Internal Intertie and EIM External Interties, and Generating Unit</w:t>
            </w:r>
            <w:r w:rsidRPr="005730EC" w:rsidDel="004E4396">
              <w:rPr>
                <w:rFonts w:cs="Arial"/>
                <w:sz w:val="20"/>
              </w:rPr>
              <w:t xml:space="preserve"> </w:t>
            </w:r>
            <w:r w:rsidRPr="005730EC">
              <w:rPr>
                <w:rFonts w:cs="Arial"/>
                <w:sz w:val="20"/>
              </w:rPr>
              <w:t xml:space="preserve">definition in the exported </w:t>
            </w:r>
            <w:r>
              <w:rPr>
                <w:rFonts w:cs="Arial"/>
                <w:sz w:val="20"/>
              </w:rPr>
              <w:t xml:space="preserve">prospective </w:t>
            </w:r>
            <w:r w:rsidRPr="005730EC">
              <w:rPr>
                <w:rFonts w:cs="Arial"/>
                <w:sz w:val="20"/>
              </w:rPr>
              <w:t>EIM Entity network model file</w:t>
            </w:r>
            <w:r>
              <w:rPr>
                <w:rFonts w:cs="Arial"/>
                <w:sz w:val="20"/>
              </w:rPr>
              <w:t xml:space="preserve"> </w:t>
            </w:r>
            <w:r w:rsidRPr="00B74B5C">
              <w:rPr>
                <w:rFonts w:cs="Arial"/>
                <w:sz w:val="20"/>
              </w:rPr>
              <w:t>that it delivered to the CAISO</w:t>
            </w:r>
            <w:r>
              <w:rPr>
                <w:rFonts w:cs="Arial"/>
                <w:sz w:val="20"/>
              </w:rPr>
              <w:t>.</w:t>
            </w:r>
          </w:p>
        </w:tc>
        <w:tc>
          <w:tcPr>
            <w:tcW w:w="2862" w:type="dxa"/>
            <w:tcBorders>
              <w:top w:val="nil"/>
              <w:left w:val="nil"/>
              <w:bottom w:val="single" w:sz="4" w:space="0" w:color="auto"/>
              <w:right w:val="single" w:sz="4" w:space="0" w:color="auto"/>
            </w:tcBorders>
            <w:shd w:val="clear" w:color="auto" w:fill="auto"/>
            <w:hideMark/>
          </w:tcPr>
          <w:p w14:paraId="5B6AD05B" w14:textId="77777777" w:rsidR="001028EC" w:rsidRPr="005730EC" w:rsidRDefault="001028EC" w:rsidP="00701AB3">
            <w:pPr>
              <w:rPr>
                <w:rFonts w:cs="Arial"/>
                <w:color w:val="000000"/>
                <w:sz w:val="20"/>
              </w:rPr>
            </w:pPr>
            <w:r w:rsidRPr="005730EC">
              <w:rPr>
                <w:rFonts w:cs="Arial"/>
                <w:color w:val="000000"/>
                <w:sz w:val="20"/>
              </w:rPr>
              <w:t>Data matches within 10%, measured in MW capacity to start parallel operation, and within 5% before full activation. Discrepancies, if any, are accounted for in terms of imbalance adjustment</w:t>
            </w:r>
          </w:p>
        </w:tc>
      </w:tr>
      <w:tr w:rsidR="001028EC" w:rsidRPr="005730EC" w14:paraId="38EC80CB"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363EB2BC" w14:textId="77777777" w:rsidR="001028EC" w:rsidRPr="005730EC" w:rsidRDefault="001028EC" w:rsidP="00701AB3">
            <w:pPr>
              <w:jc w:val="center"/>
              <w:rPr>
                <w:rFonts w:cs="Arial"/>
                <w:color w:val="000000"/>
                <w:sz w:val="20"/>
              </w:rPr>
            </w:pPr>
            <w:r w:rsidRPr="005730EC">
              <w:rPr>
                <w:rFonts w:cs="Arial"/>
                <w:color w:val="000000"/>
                <w:sz w:val="20"/>
              </w:rPr>
              <w:t>2</w:t>
            </w:r>
          </w:p>
        </w:tc>
        <w:tc>
          <w:tcPr>
            <w:tcW w:w="1440" w:type="dxa"/>
            <w:tcBorders>
              <w:top w:val="nil"/>
              <w:left w:val="nil"/>
              <w:bottom w:val="single" w:sz="4" w:space="0" w:color="auto"/>
              <w:right w:val="single" w:sz="4" w:space="0" w:color="auto"/>
            </w:tcBorders>
            <w:shd w:val="clear" w:color="auto" w:fill="auto"/>
            <w:hideMark/>
          </w:tcPr>
          <w:p w14:paraId="1E5BA1D4" w14:textId="77777777" w:rsidR="001028EC" w:rsidRPr="005730EC" w:rsidRDefault="001028EC" w:rsidP="00701AB3">
            <w:pPr>
              <w:rPr>
                <w:rFonts w:cs="Arial"/>
                <w:color w:val="000000"/>
                <w:sz w:val="20"/>
              </w:rPr>
            </w:pPr>
            <w:r>
              <w:rPr>
                <w:rFonts w:cs="Arial"/>
                <w:color w:val="000000"/>
                <w:sz w:val="20"/>
              </w:rPr>
              <w:t xml:space="preserve">Prospective </w:t>
            </w:r>
            <w:r w:rsidRPr="005730EC">
              <w:rPr>
                <w:rFonts w:cs="Arial"/>
                <w:color w:val="000000"/>
                <w:sz w:val="20"/>
              </w:rPr>
              <w:t>EIM Entity Full Network Model Integration</w:t>
            </w:r>
          </w:p>
        </w:tc>
        <w:tc>
          <w:tcPr>
            <w:tcW w:w="2142" w:type="dxa"/>
            <w:tcBorders>
              <w:top w:val="nil"/>
              <w:left w:val="nil"/>
              <w:bottom w:val="single" w:sz="4" w:space="0" w:color="auto"/>
              <w:right w:val="single" w:sz="4" w:space="0" w:color="auto"/>
            </w:tcBorders>
            <w:shd w:val="clear" w:color="auto" w:fill="auto"/>
            <w:hideMark/>
          </w:tcPr>
          <w:p w14:paraId="3C5BF917" w14:textId="77777777" w:rsidR="001028EC" w:rsidRPr="005730EC" w:rsidRDefault="001028EC" w:rsidP="00701AB3">
            <w:pPr>
              <w:rPr>
                <w:rFonts w:cs="Arial"/>
                <w:color w:val="000000"/>
                <w:sz w:val="20"/>
              </w:rPr>
            </w:pPr>
            <w:r w:rsidRPr="005730EC">
              <w:rPr>
                <w:rFonts w:cs="Arial"/>
                <w:color w:val="000000"/>
                <w:sz w:val="20"/>
              </w:rPr>
              <w:t>Comparison of SCADA measurement</w:t>
            </w:r>
          </w:p>
        </w:tc>
        <w:tc>
          <w:tcPr>
            <w:tcW w:w="2538" w:type="dxa"/>
            <w:tcBorders>
              <w:top w:val="nil"/>
              <w:left w:val="nil"/>
              <w:bottom w:val="single" w:sz="4" w:space="0" w:color="auto"/>
              <w:right w:val="single" w:sz="4" w:space="0" w:color="auto"/>
            </w:tcBorders>
            <w:shd w:val="clear" w:color="auto" w:fill="auto"/>
            <w:hideMark/>
          </w:tcPr>
          <w:p w14:paraId="2F6FAE3D" w14:textId="77777777" w:rsidR="001028EC" w:rsidRPr="005730EC" w:rsidRDefault="001028EC" w:rsidP="00701AB3">
            <w:pPr>
              <w:rPr>
                <w:rFonts w:cs="Arial"/>
                <w:color w:val="000000"/>
                <w:sz w:val="20"/>
              </w:rPr>
            </w:pPr>
            <w:r w:rsidRPr="005730EC">
              <w:rPr>
                <w:rFonts w:cs="Arial"/>
                <w:color w:val="000000"/>
                <w:sz w:val="20"/>
              </w:rPr>
              <w:t xml:space="preserve">SCADA measurements used in </w:t>
            </w:r>
            <w:r w:rsidRPr="00FB5685">
              <w:rPr>
                <w:rFonts w:cs="Arial"/>
                <w:sz w:val="20"/>
              </w:rPr>
              <w:t>prospective</w:t>
            </w:r>
            <w:r>
              <w:rPr>
                <w:rFonts w:cs="Arial"/>
              </w:rPr>
              <w:t xml:space="preserve"> </w:t>
            </w:r>
            <w:r w:rsidRPr="005730EC">
              <w:rPr>
                <w:rFonts w:cs="Arial"/>
                <w:color w:val="000000"/>
                <w:sz w:val="20"/>
              </w:rPr>
              <w:t>EIM Entity EMS model match the measurements observed by the CAISO through the CAISO EMS model</w:t>
            </w:r>
          </w:p>
        </w:tc>
        <w:tc>
          <w:tcPr>
            <w:tcW w:w="2862" w:type="dxa"/>
            <w:tcBorders>
              <w:top w:val="nil"/>
              <w:left w:val="nil"/>
              <w:bottom w:val="single" w:sz="4" w:space="0" w:color="auto"/>
              <w:right w:val="single" w:sz="4" w:space="0" w:color="auto"/>
            </w:tcBorders>
            <w:shd w:val="clear" w:color="auto" w:fill="auto"/>
            <w:hideMark/>
          </w:tcPr>
          <w:p w14:paraId="6A7C2D8E" w14:textId="77777777" w:rsidR="001028EC" w:rsidRPr="005730EC" w:rsidRDefault="001028EC" w:rsidP="00701AB3">
            <w:pPr>
              <w:rPr>
                <w:rFonts w:cs="Arial"/>
                <w:color w:val="000000"/>
                <w:sz w:val="20"/>
              </w:rPr>
            </w:pPr>
            <w:r w:rsidRPr="005730EC">
              <w:rPr>
                <w:rFonts w:cs="Arial"/>
                <w:color w:val="000000"/>
                <w:sz w:val="20"/>
              </w:rPr>
              <w:t xml:space="preserve">Critical and used SCADA measurements match 90% to start parallel operation and 95% before full activation, measured in MW, outside of any exception in EMS model </w:t>
            </w:r>
          </w:p>
        </w:tc>
      </w:tr>
      <w:tr w:rsidR="001028EC" w:rsidRPr="005730EC" w14:paraId="32E85A05" w14:textId="77777777" w:rsidTr="009E26DA">
        <w:trPr>
          <w:trHeight w:val="278"/>
        </w:trPr>
        <w:tc>
          <w:tcPr>
            <w:tcW w:w="1260" w:type="dxa"/>
            <w:tcBorders>
              <w:top w:val="nil"/>
              <w:left w:val="single" w:sz="4" w:space="0" w:color="auto"/>
              <w:bottom w:val="single" w:sz="4" w:space="0" w:color="auto"/>
              <w:right w:val="single" w:sz="4" w:space="0" w:color="auto"/>
            </w:tcBorders>
            <w:shd w:val="clear" w:color="auto" w:fill="auto"/>
            <w:noWrap/>
            <w:hideMark/>
          </w:tcPr>
          <w:p w14:paraId="6415CE46" w14:textId="77777777" w:rsidR="001028EC" w:rsidRPr="005730EC" w:rsidRDefault="001028EC" w:rsidP="00701AB3">
            <w:pPr>
              <w:jc w:val="center"/>
              <w:rPr>
                <w:rFonts w:cs="Arial"/>
                <w:color w:val="000000"/>
                <w:sz w:val="20"/>
              </w:rPr>
            </w:pPr>
            <w:r w:rsidRPr="005730EC">
              <w:rPr>
                <w:rFonts w:cs="Arial"/>
                <w:color w:val="000000"/>
                <w:sz w:val="20"/>
              </w:rPr>
              <w:t>3</w:t>
            </w:r>
          </w:p>
        </w:tc>
        <w:tc>
          <w:tcPr>
            <w:tcW w:w="1440" w:type="dxa"/>
            <w:tcBorders>
              <w:top w:val="nil"/>
              <w:left w:val="nil"/>
              <w:bottom w:val="single" w:sz="4" w:space="0" w:color="auto"/>
              <w:right w:val="single" w:sz="4" w:space="0" w:color="auto"/>
            </w:tcBorders>
            <w:shd w:val="clear" w:color="auto" w:fill="auto"/>
            <w:hideMark/>
          </w:tcPr>
          <w:p w14:paraId="33974E2A" w14:textId="77777777" w:rsidR="001028EC" w:rsidRPr="005730EC" w:rsidRDefault="001028EC" w:rsidP="00701AB3">
            <w:pPr>
              <w:rPr>
                <w:rFonts w:cs="Arial"/>
                <w:color w:val="000000"/>
                <w:sz w:val="20"/>
              </w:rPr>
            </w:pPr>
            <w:r w:rsidRPr="00FB5685">
              <w:rPr>
                <w:rFonts w:cs="Arial"/>
                <w:sz w:val="20"/>
              </w:rPr>
              <w:t>Prospective</w:t>
            </w:r>
            <w:r>
              <w:rPr>
                <w:rFonts w:cs="Arial"/>
              </w:rPr>
              <w:t xml:space="preserve"> </w:t>
            </w:r>
            <w:r w:rsidRPr="005730EC">
              <w:rPr>
                <w:rFonts w:cs="Arial"/>
                <w:color w:val="000000"/>
                <w:sz w:val="20"/>
              </w:rPr>
              <w:t>EIM Entity</w:t>
            </w:r>
            <w:r>
              <w:rPr>
                <w:rFonts w:cs="Arial"/>
                <w:color w:val="000000"/>
                <w:sz w:val="20"/>
              </w:rPr>
              <w:t xml:space="preserve"> </w:t>
            </w:r>
            <w:r w:rsidRPr="005730EC">
              <w:rPr>
                <w:rFonts w:cs="Arial"/>
                <w:color w:val="000000"/>
                <w:sz w:val="20"/>
              </w:rPr>
              <w:t>Full Network Model Integration</w:t>
            </w:r>
          </w:p>
        </w:tc>
        <w:tc>
          <w:tcPr>
            <w:tcW w:w="2142" w:type="dxa"/>
            <w:tcBorders>
              <w:top w:val="nil"/>
              <w:left w:val="nil"/>
              <w:bottom w:val="single" w:sz="4" w:space="0" w:color="auto"/>
              <w:right w:val="single" w:sz="4" w:space="0" w:color="auto"/>
            </w:tcBorders>
            <w:shd w:val="clear" w:color="auto" w:fill="auto"/>
            <w:hideMark/>
          </w:tcPr>
          <w:p w14:paraId="4E9E68F7" w14:textId="77777777" w:rsidR="001028EC" w:rsidRPr="005730EC" w:rsidRDefault="001028EC" w:rsidP="00701AB3">
            <w:pPr>
              <w:rPr>
                <w:rFonts w:cs="Arial"/>
                <w:color w:val="000000"/>
                <w:sz w:val="20"/>
              </w:rPr>
            </w:pPr>
            <w:r w:rsidRPr="005730EC">
              <w:rPr>
                <w:rFonts w:cs="Arial"/>
                <w:color w:val="000000"/>
                <w:sz w:val="20"/>
              </w:rPr>
              <w:t xml:space="preserve">State Estimator solution </w:t>
            </w:r>
          </w:p>
        </w:tc>
        <w:tc>
          <w:tcPr>
            <w:tcW w:w="2538" w:type="dxa"/>
            <w:tcBorders>
              <w:top w:val="nil"/>
              <w:left w:val="nil"/>
              <w:bottom w:val="single" w:sz="4" w:space="0" w:color="auto"/>
              <w:right w:val="single" w:sz="4" w:space="0" w:color="auto"/>
            </w:tcBorders>
            <w:shd w:val="clear" w:color="auto" w:fill="auto"/>
            <w:hideMark/>
          </w:tcPr>
          <w:p w14:paraId="2E2D9F0D" w14:textId="77777777" w:rsidR="001028EC" w:rsidRPr="005730EC" w:rsidRDefault="001028EC" w:rsidP="00701AB3">
            <w:pPr>
              <w:rPr>
                <w:rFonts w:cs="Arial"/>
                <w:color w:val="000000"/>
                <w:sz w:val="20"/>
              </w:rPr>
            </w:pPr>
            <w:r w:rsidRPr="005730EC">
              <w:rPr>
                <w:rFonts w:cs="Arial"/>
                <w:sz w:val="20"/>
              </w:rPr>
              <w:t xml:space="preserve">CAISO state estimator solution is equivalent or superior to the </w:t>
            </w:r>
            <w:r w:rsidRPr="00FB5685">
              <w:rPr>
                <w:rFonts w:cs="Arial"/>
                <w:sz w:val="20"/>
              </w:rPr>
              <w:t>prospective</w:t>
            </w:r>
            <w:r>
              <w:rPr>
                <w:rFonts w:cs="Arial"/>
              </w:rPr>
              <w:t xml:space="preserve"> </w:t>
            </w:r>
            <w:r w:rsidRPr="005730EC">
              <w:rPr>
                <w:rFonts w:cs="Arial"/>
                <w:sz w:val="20"/>
              </w:rPr>
              <w:t>EIM Entity state estimator solution for its Balancing Authority Area.</w:t>
            </w:r>
          </w:p>
        </w:tc>
        <w:tc>
          <w:tcPr>
            <w:tcW w:w="2862" w:type="dxa"/>
            <w:tcBorders>
              <w:top w:val="nil"/>
              <w:left w:val="nil"/>
              <w:bottom w:val="single" w:sz="4" w:space="0" w:color="auto"/>
              <w:right w:val="single" w:sz="4" w:space="0" w:color="auto"/>
            </w:tcBorders>
            <w:shd w:val="clear" w:color="auto" w:fill="auto"/>
            <w:hideMark/>
          </w:tcPr>
          <w:p w14:paraId="273B8EF7" w14:textId="77777777" w:rsidR="001028EC" w:rsidRPr="005730EC" w:rsidRDefault="001028EC" w:rsidP="00701AB3">
            <w:pPr>
              <w:rPr>
                <w:rFonts w:cs="Arial"/>
                <w:color w:val="000000"/>
                <w:sz w:val="20"/>
              </w:rPr>
            </w:pPr>
            <w:r w:rsidRPr="005730EC">
              <w:rPr>
                <w:rFonts w:cs="Arial"/>
                <w:color w:val="000000"/>
                <w:sz w:val="20"/>
              </w:rPr>
              <w:t>State Estimator solutions converge &gt;90% of the time in two days before parallel operation and three days before full activation. Solution differences within 10% before parallel operation and 5% before full activation measured in MW or justified due to different external BAA modeling</w:t>
            </w:r>
          </w:p>
        </w:tc>
      </w:tr>
      <w:tr w:rsidR="001028EC" w:rsidRPr="005730EC" w14:paraId="72A2FCD5"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16D245D0" w14:textId="77777777" w:rsidR="001028EC" w:rsidRPr="005730EC" w:rsidRDefault="001028EC" w:rsidP="00701AB3">
            <w:pPr>
              <w:jc w:val="center"/>
              <w:rPr>
                <w:rFonts w:cs="Arial"/>
                <w:color w:val="000000"/>
                <w:sz w:val="20"/>
              </w:rPr>
            </w:pPr>
            <w:r w:rsidRPr="005730EC">
              <w:rPr>
                <w:rFonts w:cs="Arial"/>
                <w:color w:val="000000"/>
                <w:sz w:val="20"/>
              </w:rPr>
              <w:lastRenderedPageBreak/>
              <w:t>4</w:t>
            </w:r>
          </w:p>
        </w:tc>
        <w:tc>
          <w:tcPr>
            <w:tcW w:w="1440" w:type="dxa"/>
            <w:tcBorders>
              <w:top w:val="nil"/>
              <w:left w:val="nil"/>
              <w:bottom w:val="single" w:sz="4" w:space="0" w:color="auto"/>
              <w:right w:val="single" w:sz="4" w:space="0" w:color="auto"/>
            </w:tcBorders>
            <w:shd w:val="clear" w:color="auto" w:fill="auto"/>
            <w:hideMark/>
          </w:tcPr>
          <w:p w14:paraId="1BCD07CB" w14:textId="77777777" w:rsidR="001028EC" w:rsidRPr="00BF725A" w:rsidRDefault="001028EC" w:rsidP="00701AB3">
            <w:pPr>
              <w:rPr>
                <w:rFonts w:cs="Arial"/>
                <w:color w:val="000000"/>
                <w:sz w:val="20"/>
              </w:rPr>
            </w:pPr>
            <w:r w:rsidRPr="00B75CE0">
              <w:rPr>
                <w:rFonts w:cs="Arial"/>
                <w:sz w:val="20"/>
              </w:rPr>
              <w:t xml:space="preserve">Prospective </w:t>
            </w:r>
            <w:r w:rsidRPr="00B75CE0">
              <w:rPr>
                <w:rFonts w:cs="Arial"/>
                <w:color w:val="000000"/>
                <w:sz w:val="20"/>
              </w:rPr>
              <w:t xml:space="preserve">EIM Entity </w:t>
            </w:r>
            <w:r w:rsidRPr="003C21CC">
              <w:rPr>
                <w:rFonts w:cs="Arial"/>
                <w:color w:val="000000"/>
                <w:sz w:val="20"/>
              </w:rPr>
              <w:t>Full Network Model Integration</w:t>
            </w:r>
          </w:p>
        </w:tc>
        <w:tc>
          <w:tcPr>
            <w:tcW w:w="2142" w:type="dxa"/>
            <w:tcBorders>
              <w:top w:val="nil"/>
              <w:left w:val="nil"/>
              <w:bottom w:val="single" w:sz="4" w:space="0" w:color="auto"/>
              <w:right w:val="single" w:sz="4" w:space="0" w:color="auto"/>
            </w:tcBorders>
            <w:shd w:val="clear" w:color="auto" w:fill="auto"/>
            <w:hideMark/>
          </w:tcPr>
          <w:p w14:paraId="23B0B84F" w14:textId="77777777" w:rsidR="001028EC" w:rsidRPr="00637054" w:rsidRDefault="001028EC" w:rsidP="00701AB3">
            <w:pPr>
              <w:rPr>
                <w:rFonts w:cs="Arial"/>
                <w:color w:val="000000"/>
                <w:sz w:val="20"/>
              </w:rPr>
            </w:pPr>
            <w:r w:rsidRPr="00C83084">
              <w:rPr>
                <w:rFonts w:cs="Arial"/>
                <w:color w:val="000000"/>
                <w:sz w:val="20"/>
              </w:rPr>
              <w:t>Non-Conforming Load, Behind-the-Met</w:t>
            </w:r>
            <w:r w:rsidRPr="002030A6">
              <w:rPr>
                <w:rFonts w:cs="Arial"/>
                <w:color w:val="000000"/>
                <w:sz w:val="20"/>
              </w:rPr>
              <w:t>er Generation, Pseudo Ties, and Dynamic Schedules</w:t>
            </w:r>
          </w:p>
        </w:tc>
        <w:tc>
          <w:tcPr>
            <w:tcW w:w="2538" w:type="dxa"/>
            <w:tcBorders>
              <w:top w:val="nil"/>
              <w:left w:val="nil"/>
              <w:bottom w:val="single" w:sz="4" w:space="0" w:color="auto"/>
              <w:right w:val="single" w:sz="4" w:space="0" w:color="auto"/>
            </w:tcBorders>
            <w:shd w:val="clear" w:color="auto" w:fill="auto"/>
            <w:hideMark/>
          </w:tcPr>
          <w:p w14:paraId="4D9B8611" w14:textId="77777777" w:rsidR="001028EC" w:rsidRPr="00BF725A" w:rsidRDefault="001028EC" w:rsidP="00701AB3">
            <w:pPr>
              <w:rPr>
                <w:rFonts w:cs="Arial"/>
                <w:color w:val="000000"/>
                <w:sz w:val="20"/>
              </w:rPr>
            </w:pPr>
            <w:r w:rsidRPr="00594716">
              <w:rPr>
                <w:rFonts w:cs="Arial"/>
                <w:color w:val="000000"/>
                <w:sz w:val="20"/>
              </w:rPr>
              <w:t xml:space="preserve">Physical representation of the </w:t>
            </w:r>
            <w:r w:rsidRPr="00B75CE0">
              <w:rPr>
                <w:rFonts w:cs="Arial"/>
                <w:sz w:val="20"/>
              </w:rPr>
              <w:t xml:space="preserve">prospective </w:t>
            </w:r>
            <w:r w:rsidRPr="00B75CE0">
              <w:rPr>
                <w:rFonts w:cs="Arial"/>
                <w:color w:val="000000"/>
                <w:sz w:val="20"/>
              </w:rPr>
              <w:t>EIM Entity</w:t>
            </w:r>
            <w:r>
              <w:rPr>
                <w:rFonts w:cs="Arial"/>
                <w:color w:val="000000"/>
                <w:sz w:val="20"/>
              </w:rPr>
              <w:t>’s</w:t>
            </w:r>
            <w:r w:rsidRPr="00B75CE0">
              <w:rPr>
                <w:rFonts w:cs="Arial"/>
                <w:color w:val="000000"/>
                <w:sz w:val="20"/>
              </w:rPr>
              <w:t xml:space="preserve"> </w:t>
            </w:r>
            <w:r w:rsidRPr="003C21CC">
              <w:rPr>
                <w:rFonts w:cs="Arial"/>
                <w:color w:val="000000"/>
                <w:sz w:val="20"/>
              </w:rPr>
              <w:t xml:space="preserve">network matches the Base Market Model that accounts for non-conforming load, behind-the-meter generation, </w:t>
            </w:r>
            <w:r>
              <w:rPr>
                <w:rFonts w:cs="Arial"/>
                <w:color w:val="000000"/>
                <w:sz w:val="20"/>
              </w:rPr>
              <w:t>p</w:t>
            </w:r>
            <w:r w:rsidRPr="003C21CC">
              <w:rPr>
                <w:rFonts w:cs="Arial"/>
                <w:color w:val="000000"/>
                <w:sz w:val="20"/>
              </w:rPr>
              <w:t>seudo-</w:t>
            </w:r>
            <w:r>
              <w:rPr>
                <w:rFonts w:cs="Arial"/>
                <w:color w:val="000000"/>
                <w:sz w:val="20"/>
              </w:rPr>
              <w:t>t</w:t>
            </w:r>
            <w:r w:rsidRPr="003C21CC">
              <w:rPr>
                <w:rFonts w:cs="Arial"/>
                <w:color w:val="000000"/>
                <w:sz w:val="20"/>
              </w:rPr>
              <w:t xml:space="preserve">ies, </w:t>
            </w:r>
            <w:r w:rsidRPr="005C46D3">
              <w:rPr>
                <w:rFonts w:cs="Arial"/>
                <w:color w:val="000000"/>
                <w:sz w:val="20"/>
              </w:rPr>
              <w:t xml:space="preserve">and </w:t>
            </w:r>
            <w:r>
              <w:rPr>
                <w:rFonts w:cs="Arial"/>
                <w:color w:val="000000"/>
                <w:sz w:val="20"/>
              </w:rPr>
              <w:t>d</w:t>
            </w:r>
            <w:r w:rsidRPr="005C46D3">
              <w:rPr>
                <w:rFonts w:cs="Arial"/>
                <w:color w:val="000000"/>
                <w:sz w:val="20"/>
              </w:rPr>
              <w:t xml:space="preserve">ynamic </w:t>
            </w:r>
            <w:r>
              <w:rPr>
                <w:rFonts w:cs="Arial"/>
                <w:color w:val="000000"/>
                <w:sz w:val="20"/>
              </w:rPr>
              <w:t>s</w:t>
            </w:r>
            <w:r w:rsidRPr="005C46D3">
              <w:rPr>
                <w:rFonts w:cs="Arial"/>
                <w:color w:val="000000"/>
                <w:sz w:val="20"/>
              </w:rPr>
              <w:t xml:space="preserve">chedules, </w:t>
            </w:r>
            <w:r w:rsidRPr="004A6F2D">
              <w:rPr>
                <w:rFonts w:cs="Arial"/>
                <w:sz w:val="20"/>
              </w:rPr>
              <w:t>and third party transmission service provider and path operator information</w:t>
            </w:r>
            <w:r>
              <w:rPr>
                <w:rFonts w:cs="Arial"/>
                <w:sz w:val="20"/>
              </w:rPr>
              <w:t xml:space="preserve"> that supports EIM Transfers and Real-Time Dispatch in</w:t>
            </w:r>
            <w:r w:rsidRPr="004A6F2D">
              <w:rPr>
                <w:rFonts w:cs="Arial"/>
                <w:sz w:val="20"/>
              </w:rPr>
              <w:t xml:space="preserve"> the Energy Imbalance Market, as applicable</w:t>
            </w:r>
          </w:p>
        </w:tc>
        <w:tc>
          <w:tcPr>
            <w:tcW w:w="2862" w:type="dxa"/>
            <w:tcBorders>
              <w:top w:val="nil"/>
              <w:left w:val="nil"/>
              <w:bottom w:val="single" w:sz="4" w:space="0" w:color="auto"/>
              <w:right w:val="single" w:sz="4" w:space="0" w:color="auto"/>
            </w:tcBorders>
            <w:shd w:val="clear" w:color="auto" w:fill="auto"/>
            <w:hideMark/>
          </w:tcPr>
          <w:p w14:paraId="62730C12" w14:textId="77777777" w:rsidR="001028EC" w:rsidRPr="00C83084" w:rsidRDefault="001028EC" w:rsidP="00701AB3">
            <w:pPr>
              <w:rPr>
                <w:rFonts w:cs="Arial"/>
                <w:color w:val="000000"/>
                <w:sz w:val="20"/>
              </w:rPr>
            </w:pPr>
            <w:r>
              <w:rPr>
                <w:rFonts w:cs="Arial"/>
                <w:color w:val="000000"/>
                <w:sz w:val="20"/>
              </w:rPr>
              <w:t xml:space="preserve">Prospective </w:t>
            </w:r>
            <w:r w:rsidRPr="00C83084">
              <w:rPr>
                <w:rFonts w:cs="Arial"/>
                <w:color w:val="000000"/>
                <w:sz w:val="20"/>
              </w:rPr>
              <w:t xml:space="preserve">EIM Entity major non-conforming loads &gt; 5% of </w:t>
            </w:r>
            <w:r>
              <w:rPr>
                <w:rFonts w:cs="Arial"/>
                <w:color w:val="000000"/>
                <w:sz w:val="20"/>
              </w:rPr>
              <w:t xml:space="preserve">prospective </w:t>
            </w:r>
            <w:r w:rsidRPr="00C83084">
              <w:rPr>
                <w:rFonts w:cs="Arial"/>
                <w:color w:val="000000"/>
                <w:sz w:val="20"/>
              </w:rPr>
              <w:t>EIM Entity total actual load in MW are modeled separately from conforming load in market model</w:t>
            </w:r>
          </w:p>
        </w:tc>
      </w:tr>
      <w:tr w:rsidR="001028EC" w:rsidRPr="005730EC" w14:paraId="7A46E537"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71CA5F9A" w14:textId="77777777" w:rsidR="001028EC" w:rsidRPr="005730EC" w:rsidRDefault="001028EC" w:rsidP="00701AB3">
            <w:pPr>
              <w:jc w:val="center"/>
              <w:rPr>
                <w:rFonts w:cs="Arial"/>
                <w:color w:val="000000"/>
                <w:sz w:val="20"/>
              </w:rPr>
            </w:pPr>
            <w:r w:rsidRPr="005730EC">
              <w:rPr>
                <w:rFonts w:cs="Arial"/>
                <w:color w:val="000000"/>
                <w:sz w:val="20"/>
              </w:rPr>
              <w:t>5</w:t>
            </w:r>
          </w:p>
        </w:tc>
        <w:tc>
          <w:tcPr>
            <w:tcW w:w="1440" w:type="dxa"/>
            <w:tcBorders>
              <w:top w:val="nil"/>
              <w:left w:val="nil"/>
              <w:bottom w:val="single" w:sz="4" w:space="0" w:color="auto"/>
              <w:right w:val="single" w:sz="4" w:space="0" w:color="auto"/>
            </w:tcBorders>
            <w:shd w:val="clear" w:color="auto" w:fill="auto"/>
            <w:hideMark/>
          </w:tcPr>
          <w:p w14:paraId="7BC28A42" w14:textId="77777777" w:rsidR="001028EC" w:rsidRPr="005730EC" w:rsidRDefault="001028EC" w:rsidP="00701AB3">
            <w:pPr>
              <w:rPr>
                <w:rFonts w:cs="Arial"/>
                <w:color w:val="000000"/>
                <w:sz w:val="20"/>
              </w:rPr>
            </w:pPr>
            <w:r w:rsidRPr="005730EC">
              <w:rPr>
                <w:rFonts w:cs="Arial"/>
                <w:color w:val="000000"/>
                <w:sz w:val="20"/>
              </w:rPr>
              <w:t>Agreements</w:t>
            </w:r>
          </w:p>
        </w:tc>
        <w:tc>
          <w:tcPr>
            <w:tcW w:w="2142" w:type="dxa"/>
            <w:tcBorders>
              <w:top w:val="nil"/>
              <w:left w:val="nil"/>
              <w:bottom w:val="single" w:sz="4" w:space="0" w:color="auto"/>
              <w:right w:val="single" w:sz="4" w:space="0" w:color="auto"/>
            </w:tcBorders>
            <w:shd w:val="clear" w:color="auto" w:fill="auto"/>
            <w:hideMark/>
          </w:tcPr>
          <w:p w14:paraId="713EF4CB" w14:textId="77777777" w:rsidR="001028EC" w:rsidRPr="005730EC" w:rsidRDefault="001028EC" w:rsidP="00701AB3">
            <w:pPr>
              <w:rPr>
                <w:rFonts w:cs="Arial"/>
                <w:color w:val="000000"/>
                <w:sz w:val="20"/>
              </w:rPr>
            </w:pPr>
            <w:r w:rsidRPr="005730EC">
              <w:rPr>
                <w:rFonts w:cs="Arial"/>
                <w:color w:val="000000"/>
                <w:sz w:val="20"/>
              </w:rPr>
              <w:t>Execution of Necessary Agreements</w:t>
            </w:r>
          </w:p>
        </w:tc>
        <w:tc>
          <w:tcPr>
            <w:tcW w:w="2538" w:type="dxa"/>
            <w:tcBorders>
              <w:top w:val="nil"/>
              <w:left w:val="nil"/>
              <w:bottom w:val="single" w:sz="4" w:space="0" w:color="auto"/>
              <w:right w:val="single" w:sz="4" w:space="0" w:color="auto"/>
            </w:tcBorders>
            <w:shd w:val="clear" w:color="auto" w:fill="auto"/>
            <w:hideMark/>
          </w:tcPr>
          <w:p w14:paraId="17420277" w14:textId="77777777" w:rsidR="001028EC" w:rsidRPr="005730EC" w:rsidRDefault="001028EC" w:rsidP="00701AB3">
            <w:pPr>
              <w:rPr>
                <w:rFonts w:cs="Arial"/>
                <w:color w:val="000000"/>
                <w:sz w:val="20"/>
              </w:rPr>
            </w:pPr>
            <w:r w:rsidRPr="005730EC">
              <w:rPr>
                <w:rFonts w:cs="Arial"/>
                <w:color w:val="000000"/>
                <w:sz w:val="20"/>
              </w:rPr>
              <w:t>The</w:t>
            </w:r>
            <w:r>
              <w:rPr>
                <w:rFonts w:cs="Arial"/>
                <w:color w:val="000000"/>
                <w:sz w:val="20"/>
              </w:rPr>
              <w:t xml:space="preserve"> </w:t>
            </w:r>
            <w:r w:rsidRPr="004A6F2D">
              <w:rPr>
                <w:rFonts w:cs="Arial"/>
                <w:sz w:val="20"/>
              </w:rPr>
              <w:t>prospective</w:t>
            </w:r>
            <w:r w:rsidRPr="005730EC">
              <w:rPr>
                <w:rFonts w:cs="Arial"/>
                <w:color w:val="000000"/>
                <w:sz w:val="20"/>
              </w:rPr>
              <w:t xml:space="preserve"> EIM Entity has executed all necessary agreements.</w:t>
            </w:r>
          </w:p>
        </w:tc>
        <w:tc>
          <w:tcPr>
            <w:tcW w:w="2862" w:type="dxa"/>
            <w:tcBorders>
              <w:top w:val="nil"/>
              <w:left w:val="nil"/>
              <w:bottom w:val="single" w:sz="4" w:space="0" w:color="auto"/>
              <w:right w:val="single" w:sz="4" w:space="0" w:color="auto"/>
            </w:tcBorders>
            <w:shd w:val="clear" w:color="auto" w:fill="auto"/>
            <w:hideMark/>
          </w:tcPr>
          <w:p w14:paraId="5A65464D" w14:textId="77777777" w:rsidR="001028EC" w:rsidRPr="005730EC" w:rsidRDefault="001028EC" w:rsidP="00701AB3">
            <w:pPr>
              <w:rPr>
                <w:rFonts w:cs="Arial"/>
                <w:color w:val="000000"/>
                <w:sz w:val="20"/>
              </w:rPr>
            </w:pPr>
            <w:r w:rsidRPr="005730EC">
              <w:rPr>
                <w:rFonts w:cs="Arial"/>
                <w:color w:val="000000"/>
                <w:sz w:val="20"/>
              </w:rPr>
              <w:t xml:space="preserve">The </w:t>
            </w:r>
            <w:r w:rsidRPr="00FB5685">
              <w:rPr>
                <w:rFonts w:cs="Arial"/>
                <w:sz w:val="20"/>
              </w:rPr>
              <w:t>prospective</w:t>
            </w:r>
            <w:r>
              <w:rPr>
                <w:rFonts w:cs="Arial"/>
              </w:rPr>
              <w:t xml:space="preserve"> </w:t>
            </w:r>
            <w:r w:rsidRPr="005730EC">
              <w:rPr>
                <w:rFonts w:cs="Arial"/>
                <w:color w:val="000000"/>
                <w:sz w:val="20"/>
              </w:rPr>
              <w:t>EIM Entity will execute all agreements, as outlined in Section 5 of the EIM BPM within the required timelines outlined in Section 5.</w:t>
            </w:r>
          </w:p>
        </w:tc>
      </w:tr>
      <w:tr w:rsidR="001028EC" w:rsidRPr="005730EC" w14:paraId="54EEF9DD" w14:textId="77777777" w:rsidTr="009E26DA">
        <w:trPr>
          <w:trHeight w:val="350"/>
        </w:trPr>
        <w:tc>
          <w:tcPr>
            <w:tcW w:w="1260" w:type="dxa"/>
            <w:tcBorders>
              <w:top w:val="nil"/>
              <w:left w:val="single" w:sz="4" w:space="0" w:color="auto"/>
              <w:bottom w:val="single" w:sz="4" w:space="0" w:color="auto"/>
              <w:right w:val="single" w:sz="4" w:space="0" w:color="auto"/>
            </w:tcBorders>
            <w:shd w:val="clear" w:color="000000" w:fill="FFFFFF"/>
            <w:noWrap/>
            <w:hideMark/>
          </w:tcPr>
          <w:p w14:paraId="0CD468BE" w14:textId="77777777" w:rsidR="001028EC" w:rsidRPr="005730EC" w:rsidRDefault="001028EC" w:rsidP="00701AB3">
            <w:pPr>
              <w:jc w:val="center"/>
              <w:rPr>
                <w:rFonts w:cs="Arial"/>
                <w:color w:val="000000"/>
                <w:sz w:val="20"/>
              </w:rPr>
            </w:pPr>
            <w:r w:rsidRPr="005730EC">
              <w:rPr>
                <w:rFonts w:cs="Arial"/>
                <w:color w:val="000000"/>
                <w:sz w:val="20"/>
              </w:rPr>
              <w:t>6</w:t>
            </w:r>
          </w:p>
        </w:tc>
        <w:tc>
          <w:tcPr>
            <w:tcW w:w="1440" w:type="dxa"/>
            <w:tcBorders>
              <w:top w:val="nil"/>
              <w:left w:val="nil"/>
              <w:bottom w:val="single" w:sz="4" w:space="0" w:color="auto"/>
              <w:right w:val="single" w:sz="4" w:space="0" w:color="auto"/>
            </w:tcBorders>
            <w:shd w:val="clear" w:color="auto" w:fill="auto"/>
            <w:hideMark/>
          </w:tcPr>
          <w:p w14:paraId="4BC2FAF1" w14:textId="77777777" w:rsidR="001028EC" w:rsidRPr="005730EC" w:rsidRDefault="001028EC" w:rsidP="00701AB3">
            <w:pPr>
              <w:rPr>
                <w:rFonts w:cs="Arial"/>
                <w:color w:val="000000"/>
                <w:sz w:val="20"/>
              </w:rPr>
            </w:pPr>
            <w:r w:rsidRPr="005730EC">
              <w:rPr>
                <w:rFonts w:cs="Arial"/>
                <w:color w:val="000000"/>
                <w:sz w:val="20"/>
              </w:rPr>
              <w:t>Operations Training</w:t>
            </w:r>
          </w:p>
        </w:tc>
        <w:tc>
          <w:tcPr>
            <w:tcW w:w="2142" w:type="dxa"/>
            <w:tcBorders>
              <w:top w:val="nil"/>
              <w:left w:val="nil"/>
              <w:bottom w:val="single" w:sz="4" w:space="0" w:color="auto"/>
              <w:right w:val="single" w:sz="4" w:space="0" w:color="auto"/>
            </w:tcBorders>
            <w:shd w:val="clear" w:color="auto" w:fill="auto"/>
            <w:hideMark/>
          </w:tcPr>
          <w:p w14:paraId="1221D90E" w14:textId="77777777" w:rsidR="001028EC" w:rsidRPr="005730EC" w:rsidRDefault="001028EC" w:rsidP="00701AB3">
            <w:pPr>
              <w:rPr>
                <w:rFonts w:cs="Arial"/>
                <w:color w:val="000000"/>
                <w:sz w:val="20"/>
              </w:rPr>
            </w:pPr>
            <w:r>
              <w:rPr>
                <w:rFonts w:cs="Arial"/>
                <w:color w:val="000000"/>
                <w:sz w:val="20"/>
              </w:rPr>
              <w:t>Completion of m</w:t>
            </w:r>
            <w:r w:rsidRPr="005730EC">
              <w:rPr>
                <w:rFonts w:cs="Arial"/>
                <w:color w:val="000000"/>
                <w:sz w:val="20"/>
              </w:rPr>
              <w:t xml:space="preserve">andatory </w:t>
            </w:r>
            <w:r>
              <w:rPr>
                <w:rFonts w:cs="Arial"/>
                <w:color w:val="000000"/>
                <w:sz w:val="20"/>
              </w:rPr>
              <w:t xml:space="preserve">training </w:t>
            </w:r>
            <w:r w:rsidRPr="005730EC">
              <w:rPr>
                <w:rFonts w:cs="Arial"/>
                <w:color w:val="000000"/>
                <w:sz w:val="20"/>
              </w:rPr>
              <w:t xml:space="preserve">courses </w:t>
            </w:r>
          </w:p>
        </w:tc>
        <w:tc>
          <w:tcPr>
            <w:tcW w:w="2538" w:type="dxa"/>
            <w:tcBorders>
              <w:top w:val="nil"/>
              <w:left w:val="nil"/>
              <w:bottom w:val="single" w:sz="4" w:space="0" w:color="auto"/>
              <w:right w:val="single" w:sz="4" w:space="0" w:color="auto"/>
            </w:tcBorders>
            <w:shd w:val="clear" w:color="auto" w:fill="auto"/>
            <w:hideMark/>
          </w:tcPr>
          <w:p w14:paraId="379097F9" w14:textId="77777777" w:rsidR="001028EC" w:rsidRPr="005730EC" w:rsidRDefault="001028EC" w:rsidP="00701AB3">
            <w:pPr>
              <w:rPr>
                <w:rFonts w:cs="Arial"/>
                <w:color w:val="000000"/>
                <w:sz w:val="20"/>
              </w:rPr>
            </w:pPr>
            <w:r w:rsidRPr="004A6F2D">
              <w:rPr>
                <w:rFonts w:cs="Arial"/>
                <w:sz w:val="20"/>
              </w:rPr>
              <w:t>Prospective</w:t>
            </w:r>
            <w:r>
              <w:rPr>
                <w:rFonts w:cs="Arial"/>
              </w:rPr>
              <w:t xml:space="preserve"> </w:t>
            </w:r>
            <w:r w:rsidRPr="005730EC">
              <w:rPr>
                <w:rFonts w:cs="Arial"/>
                <w:color w:val="000000"/>
                <w:sz w:val="20"/>
              </w:rPr>
              <w:t xml:space="preserve">EIM Entity </w:t>
            </w:r>
            <w:r>
              <w:rPr>
                <w:rFonts w:cs="Arial"/>
                <w:color w:val="000000"/>
                <w:sz w:val="20"/>
              </w:rPr>
              <w:t>o</w:t>
            </w:r>
            <w:r w:rsidRPr="005C46D3">
              <w:rPr>
                <w:rFonts w:cs="Arial"/>
                <w:color w:val="000000"/>
                <w:sz w:val="20"/>
              </w:rPr>
              <w:t xml:space="preserve">perators </w:t>
            </w:r>
            <w:r w:rsidRPr="004A6F2D">
              <w:rPr>
                <w:rFonts w:cs="Arial"/>
                <w:sz w:val="20"/>
              </w:rPr>
              <w:t>who will have responsibility for EIM operations, transactions and settlements</w:t>
            </w:r>
            <w:r>
              <w:rPr>
                <w:rFonts w:cs="Arial"/>
                <w:sz w:val="20"/>
              </w:rPr>
              <w:t>, will</w:t>
            </w:r>
            <w:r w:rsidRPr="004A6F2D">
              <w:rPr>
                <w:rFonts w:cs="Arial"/>
                <w:sz w:val="20"/>
              </w:rPr>
              <w:t xml:space="preserve"> </w:t>
            </w:r>
            <w:r w:rsidRPr="005C46D3">
              <w:rPr>
                <w:rFonts w:cs="Arial"/>
                <w:color w:val="000000"/>
                <w:sz w:val="20"/>
              </w:rPr>
              <w:t>complete CAISO training</w:t>
            </w:r>
            <w:r w:rsidRPr="005730EC">
              <w:rPr>
                <w:rFonts w:cs="Arial"/>
                <w:color w:val="000000"/>
                <w:sz w:val="20"/>
              </w:rPr>
              <w:t xml:space="preserve"> modules.</w:t>
            </w:r>
          </w:p>
        </w:tc>
        <w:tc>
          <w:tcPr>
            <w:tcW w:w="2862" w:type="dxa"/>
            <w:tcBorders>
              <w:top w:val="nil"/>
              <w:left w:val="nil"/>
              <w:bottom w:val="single" w:sz="4" w:space="0" w:color="auto"/>
              <w:right w:val="single" w:sz="4" w:space="0" w:color="auto"/>
            </w:tcBorders>
            <w:shd w:val="clear" w:color="auto" w:fill="auto"/>
            <w:hideMark/>
          </w:tcPr>
          <w:p w14:paraId="4122F38A" w14:textId="77777777" w:rsidR="001028EC" w:rsidRPr="005730EC" w:rsidRDefault="001028EC" w:rsidP="00701AB3">
            <w:pPr>
              <w:rPr>
                <w:rFonts w:cs="Arial"/>
                <w:color w:val="000000"/>
                <w:sz w:val="20"/>
              </w:rPr>
            </w:pPr>
            <w:r w:rsidRPr="005C46D3">
              <w:rPr>
                <w:rFonts w:cs="Arial"/>
                <w:sz w:val="20"/>
              </w:rPr>
              <w:t>P</w:t>
            </w:r>
            <w:r w:rsidRPr="004A6F2D">
              <w:rPr>
                <w:rFonts w:cs="Arial"/>
                <w:sz w:val="20"/>
              </w:rPr>
              <w:t>rospective</w:t>
            </w:r>
            <w:r>
              <w:rPr>
                <w:rFonts w:cs="Arial"/>
              </w:rPr>
              <w:t xml:space="preserve"> </w:t>
            </w:r>
            <w:r w:rsidRPr="005730EC">
              <w:rPr>
                <w:rFonts w:cs="Arial"/>
                <w:color w:val="000000"/>
                <w:sz w:val="20"/>
              </w:rPr>
              <w:t xml:space="preserve">EIM Entity </w:t>
            </w:r>
            <w:r>
              <w:rPr>
                <w:rFonts w:cs="Arial"/>
                <w:color w:val="000000"/>
                <w:sz w:val="20"/>
              </w:rPr>
              <w:t>o</w:t>
            </w:r>
            <w:r w:rsidRPr="005730EC">
              <w:rPr>
                <w:rFonts w:cs="Arial"/>
                <w:color w:val="000000"/>
                <w:sz w:val="20"/>
              </w:rPr>
              <w:t xml:space="preserve">perators </w:t>
            </w:r>
            <w:r>
              <w:rPr>
                <w:rFonts w:cs="Arial"/>
                <w:color w:val="000000"/>
                <w:sz w:val="20"/>
              </w:rPr>
              <w:t xml:space="preserve">will </w:t>
            </w:r>
            <w:r w:rsidRPr="005730EC">
              <w:rPr>
                <w:rFonts w:cs="Arial"/>
                <w:color w:val="000000"/>
                <w:sz w:val="20"/>
              </w:rPr>
              <w:t xml:space="preserve">complete training and close-of-training assessment in the appropriate timeframes as outlined in  </w:t>
            </w:r>
          </w:p>
          <w:p w14:paraId="74E5C4EE" w14:textId="77777777" w:rsidR="001028EC" w:rsidRPr="005730EC" w:rsidRDefault="001028EC" w:rsidP="00701AB3">
            <w:pPr>
              <w:rPr>
                <w:rFonts w:cs="Arial"/>
                <w:color w:val="000000"/>
                <w:sz w:val="20"/>
              </w:rPr>
            </w:pPr>
          </w:p>
          <w:p w14:paraId="2DC0C976" w14:textId="77777777" w:rsidR="001028EC" w:rsidRPr="005730EC" w:rsidRDefault="001028EC" w:rsidP="001028EC">
            <w:pPr>
              <w:pStyle w:val="ListParagraph"/>
              <w:numPr>
                <w:ilvl w:val="0"/>
                <w:numId w:val="238"/>
              </w:numPr>
              <w:ind w:left="162" w:hanging="162"/>
              <w:contextualSpacing/>
              <w:rPr>
                <w:rFonts w:cs="Arial"/>
                <w:color w:val="000000"/>
                <w:sz w:val="20"/>
              </w:rPr>
            </w:pPr>
            <w:r w:rsidRPr="005730EC">
              <w:rPr>
                <w:rFonts w:cs="Arial"/>
                <w:color w:val="000000"/>
                <w:sz w:val="20"/>
              </w:rPr>
              <w:t xml:space="preserve">“100 series”– an introduction to Energy Imbalance Market training </w:t>
            </w:r>
          </w:p>
          <w:p w14:paraId="57FD7607" w14:textId="77777777" w:rsidR="001028EC" w:rsidRPr="005730EC" w:rsidRDefault="001028EC" w:rsidP="00701AB3">
            <w:pPr>
              <w:pStyle w:val="ListParagraph"/>
              <w:ind w:left="162"/>
              <w:rPr>
                <w:rFonts w:cs="Arial"/>
                <w:color w:val="000000"/>
                <w:sz w:val="20"/>
              </w:rPr>
            </w:pPr>
          </w:p>
          <w:p w14:paraId="31A5D34B" w14:textId="77777777" w:rsidR="001028EC" w:rsidRPr="005730EC" w:rsidRDefault="001028EC" w:rsidP="001028EC">
            <w:pPr>
              <w:pStyle w:val="ListParagraph"/>
              <w:numPr>
                <w:ilvl w:val="0"/>
                <w:numId w:val="238"/>
              </w:numPr>
              <w:ind w:left="162" w:hanging="162"/>
              <w:contextualSpacing/>
              <w:rPr>
                <w:rFonts w:cs="Arial"/>
                <w:color w:val="000000"/>
                <w:sz w:val="20"/>
              </w:rPr>
            </w:pPr>
            <w:r w:rsidRPr="005730EC">
              <w:rPr>
                <w:rFonts w:cs="Arial"/>
                <w:color w:val="000000"/>
                <w:sz w:val="20"/>
              </w:rPr>
              <w:t>“200 series”– the specific hourly and daily tasks and duties for normal operation training module; and</w:t>
            </w:r>
            <w:r w:rsidRPr="005730EC" w:rsidDel="00784A2B">
              <w:rPr>
                <w:rFonts w:cs="Arial"/>
                <w:color w:val="000000"/>
                <w:sz w:val="20"/>
              </w:rPr>
              <w:t xml:space="preserve"> </w:t>
            </w:r>
          </w:p>
          <w:p w14:paraId="41A7BB8A" w14:textId="77777777" w:rsidR="001028EC" w:rsidRPr="005730EC" w:rsidRDefault="001028EC" w:rsidP="00701AB3">
            <w:pPr>
              <w:pStyle w:val="ListParagraph"/>
              <w:ind w:left="162"/>
              <w:rPr>
                <w:rFonts w:cs="Arial"/>
                <w:color w:val="000000"/>
                <w:sz w:val="20"/>
              </w:rPr>
            </w:pPr>
          </w:p>
          <w:p w14:paraId="5AD2680F" w14:textId="77777777" w:rsidR="001028EC" w:rsidRPr="005730EC" w:rsidRDefault="001028EC" w:rsidP="001028EC">
            <w:pPr>
              <w:pStyle w:val="ListParagraph"/>
              <w:numPr>
                <w:ilvl w:val="0"/>
                <w:numId w:val="238"/>
              </w:numPr>
              <w:ind w:left="162" w:hanging="162"/>
              <w:contextualSpacing/>
              <w:rPr>
                <w:rFonts w:cs="Arial"/>
                <w:color w:val="000000"/>
                <w:sz w:val="20"/>
              </w:rPr>
            </w:pPr>
            <w:r w:rsidRPr="005730EC">
              <w:rPr>
                <w:rFonts w:cs="Arial"/>
                <w:color w:val="000000"/>
                <w:sz w:val="20"/>
              </w:rPr>
              <w:t>“300 series”– the assessment of market results and response to contingencies and abnormal situations training module.</w:t>
            </w:r>
          </w:p>
        </w:tc>
      </w:tr>
      <w:tr w:rsidR="001028EC" w:rsidRPr="005730EC" w14:paraId="1698DDD5"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6EF47B22" w14:textId="77777777" w:rsidR="001028EC" w:rsidRPr="005730EC" w:rsidRDefault="001028EC" w:rsidP="00701AB3">
            <w:pPr>
              <w:jc w:val="center"/>
              <w:rPr>
                <w:rFonts w:cs="Arial"/>
                <w:color w:val="000000"/>
                <w:sz w:val="20"/>
              </w:rPr>
            </w:pPr>
            <w:r w:rsidRPr="005730EC">
              <w:rPr>
                <w:rFonts w:cs="Arial"/>
                <w:color w:val="000000"/>
                <w:sz w:val="20"/>
              </w:rPr>
              <w:t>7</w:t>
            </w:r>
          </w:p>
        </w:tc>
        <w:tc>
          <w:tcPr>
            <w:tcW w:w="1440" w:type="dxa"/>
            <w:tcBorders>
              <w:top w:val="nil"/>
              <w:left w:val="nil"/>
              <w:bottom w:val="single" w:sz="4" w:space="0" w:color="auto"/>
              <w:right w:val="single" w:sz="4" w:space="0" w:color="auto"/>
            </w:tcBorders>
            <w:shd w:val="clear" w:color="auto" w:fill="auto"/>
            <w:hideMark/>
          </w:tcPr>
          <w:p w14:paraId="3424BE1D"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009E34A2" w14:textId="77777777" w:rsidR="001028EC" w:rsidRPr="005730EC" w:rsidRDefault="001028EC" w:rsidP="00701AB3">
            <w:pPr>
              <w:rPr>
                <w:rFonts w:cs="Arial"/>
                <w:color w:val="000000"/>
                <w:sz w:val="20"/>
              </w:rPr>
            </w:pPr>
            <w:r w:rsidRPr="005730EC">
              <w:rPr>
                <w:rFonts w:cs="Arial"/>
                <w:color w:val="000000"/>
                <w:sz w:val="20"/>
              </w:rPr>
              <w:t xml:space="preserve">Load forecast capability </w:t>
            </w:r>
            <w:r>
              <w:rPr>
                <w:rFonts w:cs="Arial"/>
                <w:color w:val="000000"/>
                <w:sz w:val="20"/>
              </w:rPr>
              <w:t xml:space="preserve"> </w:t>
            </w:r>
          </w:p>
        </w:tc>
        <w:tc>
          <w:tcPr>
            <w:tcW w:w="2538" w:type="dxa"/>
            <w:tcBorders>
              <w:top w:val="nil"/>
              <w:left w:val="nil"/>
              <w:bottom w:val="single" w:sz="4" w:space="0" w:color="auto"/>
              <w:right w:val="single" w:sz="4" w:space="0" w:color="auto"/>
            </w:tcBorders>
            <w:shd w:val="clear" w:color="auto" w:fill="auto"/>
            <w:hideMark/>
          </w:tcPr>
          <w:p w14:paraId="5055D303" w14:textId="77777777" w:rsidR="001028EC" w:rsidRPr="005730EC" w:rsidRDefault="001028EC" w:rsidP="00701AB3">
            <w:pPr>
              <w:rPr>
                <w:rFonts w:cs="Arial"/>
                <w:color w:val="000000"/>
                <w:sz w:val="20"/>
              </w:rPr>
            </w:pPr>
            <w:r w:rsidRPr="005730EC">
              <w:rPr>
                <w:rFonts w:cs="Arial"/>
                <w:color w:val="000000"/>
                <w:sz w:val="20"/>
              </w:rPr>
              <w:t xml:space="preserve">Definition of EIM demand forecast boundaries based on the conforming and non-conforming </w:t>
            </w:r>
            <w:r>
              <w:rPr>
                <w:rFonts w:cs="Arial"/>
                <w:color w:val="000000"/>
                <w:sz w:val="20"/>
              </w:rPr>
              <w:t>l</w:t>
            </w:r>
            <w:r w:rsidRPr="005730EC">
              <w:rPr>
                <w:rFonts w:cs="Arial"/>
                <w:color w:val="000000"/>
                <w:sz w:val="20"/>
              </w:rPr>
              <w:t xml:space="preserve">oad characteristics, as </w:t>
            </w:r>
            <w:r w:rsidRPr="005730EC">
              <w:rPr>
                <w:rFonts w:cs="Arial"/>
                <w:color w:val="000000"/>
                <w:sz w:val="20"/>
              </w:rPr>
              <w:lastRenderedPageBreak/>
              <w:t>applicable</w:t>
            </w:r>
            <w:r w:rsidRPr="005730EC">
              <w:rPr>
                <w:rFonts w:cs="Arial"/>
                <w:color w:val="000000"/>
                <w:sz w:val="20"/>
              </w:rPr>
              <w:br/>
            </w:r>
          </w:p>
          <w:p w14:paraId="078D01B8" w14:textId="77777777" w:rsidR="001028EC" w:rsidRPr="005730EC" w:rsidRDefault="001028EC" w:rsidP="001028EC">
            <w:pPr>
              <w:numPr>
                <w:ilvl w:val="0"/>
                <w:numId w:val="237"/>
              </w:numPr>
              <w:ind w:left="162" w:hanging="162"/>
              <w:rPr>
                <w:rFonts w:cs="Arial"/>
                <w:color w:val="000000"/>
                <w:sz w:val="20"/>
              </w:rPr>
            </w:pPr>
            <w:r w:rsidRPr="005730EC">
              <w:rPr>
                <w:rFonts w:cs="Arial"/>
                <w:color w:val="000000"/>
                <w:sz w:val="20"/>
              </w:rPr>
              <w:t xml:space="preserve">Accuracy of the CAISO forecast of EIM </w:t>
            </w:r>
            <w:r>
              <w:rPr>
                <w:rFonts w:cs="Arial"/>
                <w:color w:val="000000"/>
                <w:sz w:val="20"/>
              </w:rPr>
              <w:t>d</w:t>
            </w:r>
            <w:r w:rsidRPr="005730EC">
              <w:rPr>
                <w:rFonts w:cs="Arial"/>
                <w:color w:val="000000"/>
                <w:sz w:val="20"/>
              </w:rPr>
              <w:t xml:space="preserve">emand based on historical actual </w:t>
            </w:r>
            <w:r>
              <w:rPr>
                <w:rFonts w:cs="Arial"/>
                <w:color w:val="000000"/>
                <w:sz w:val="20"/>
              </w:rPr>
              <w:t>l</w:t>
            </w:r>
            <w:r w:rsidRPr="005730EC">
              <w:rPr>
                <w:rFonts w:cs="Arial"/>
                <w:color w:val="000000"/>
                <w:sz w:val="20"/>
              </w:rPr>
              <w:t xml:space="preserve">oad data for the defined EIM </w:t>
            </w:r>
            <w:r>
              <w:rPr>
                <w:rFonts w:cs="Arial"/>
                <w:color w:val="000000"/>
                <w:sz w:val="20"/>
              </w:rPr>
              <w:t>d</w:t>
            </w:r>
            <w:r w:rsidRPr="005730EC">
              <w:rPr>
                <w:rFonts w:cs="Arial"/>
                <w:color w:val="000000"/>
                <w:sz w:val="20"/>
              </w:rPr>
              <w:t>emand forecast boundaries.</w:t>
            </w:r>
            <w:r w:rsidRPr="005730EC">
              <w:rPr>
                <w:rFonts w:cs="Arial"/>
                <w:color w:val="000000"/>
                <w:sz w:val="20"/>
              </w:rPr>
              <w:br/>
            </w:r>
          </w:p>
          <w:p w14:paraId="4787B6CD" w14:textId="77777777" w:rsidR="001028EC" w:rsidRPr="005730EC" w:rsidRDefault="001028EC" w:rsidP="001028EC">
            <w:pPr>
              <w:numPr>
                <w:ilvl w:val="0"/>
                <w:numId w:val="237"/>
              </w:numPr>
              <w:ind w:left="162" w:hanging="162"/>
              <w:rPr>
                <w:rFonts w:cs="Arial"/>
                <w:color w:val="000000"/>
                <w:sz w:val="20"/>
              </w:rPr>
            </w:pPr>
            <w:r w:rsidRPr="005730EC">
              <w:rPr>
                <w:rFonts w:cs="Arial"/>
                <w:color w:val="000000"/>
                <w:sz w:val="20"/>
              </w:rPr>
              <w:t>Identification of weather station(s) locations used in forecasting, if applicable,</w:t>
            </w:r>
          </w:p>
        </w:tc>
        <w:tc>
          <w:tcPr>
            <w:tcW w:w="2862" w:type="dxa"/>
            <w:tcBorders>
              <w:top w:val="nil"/>
              <w:left w:val="nil"/>
              <w:bottom w:val="single" w:sz="4" w:space="0" w:color="auto"/>
              <w:right w:val="single" w:sz="4" w:space="0" w:color="auto"/>
            </w:tcBorders>
            <w:shd w:val="clear" w:color="auto" w:fill="auto"/>
            <w:hideMark/>
          </w:tcPr>
          <w:p w14:paraId="3C7CB0D6" w14:textId="77777777" w:rsidR="001028EC" w:rsidRPr="005730EC" w:rsidRDefault="001028EC" w:rsidP="00701AB3">
            <w:pPr>
              <w:rPr>
                <w:rFonts w:cs="Arial"/>
                <w:color w:val="000000"/>
                <w:sz w:val="20"/>
              </w:rPr>
            </w:pPr>
            <w:r w:rsidRPr="005730EC">
              <w:rPr>
                <w:rFonts w:cs="Arial"/>
                <w:color w:val="000000"/>
                <w:sz w:val="20"/>
              </w:rPr>
              <w:lastRenderedPageBreak/>
              <w:t xml:space="preserve">All Plant Information (PI) tags and historical data for defined load area(s), and non-conforming load, if applicable, compared with load forecasts </w:t>
            </w:r>
            <w:r w:rsidRPr="005730EC">
              <w:rPr>
                <w:rFonts w:cs="Arial"/>
                <w:color w:val="000000"/>
                <w:sz w:val="20"/>
              </w:rPr>
              <w:lastRenderedPageBreak/>
              <w:t>provided from CAISO (if CAISO load forecast used).</w:t>
            </w:r>
          </w:p>
        </w:tc>
      </w:tr>
      <w:tr w:rsidR="001028EC" w:rsidRPr="005730EC" w14:paraId="6F398CA5"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0182F0ED" w14:textId="77777777" w:rsidR="001028EC" w:rsidRPr="005730EC" w:rsidRDefault="001028EC" w:rsidP="00701AB3">
            <w:pPr>
              <w:jc w:val="center"/>
              <w:rPr>
                <w:rFonts w:cs="Arial"/>
                <w:color w:val="000000"/>
                <w:sz w:val="20"/>
              </w:rPr>
            </w:pPr>
            <w:r w:rsidRPr="005730EC">
              <w:rPr>
                <w:rFonts w:cs="Arial"/>
                <w:color w:val="000000"/>
                <w:sz w:val="20"/>
              </w:rPr>
              <w:lastRenderedPageBreak/>
              <w:t>8</w:t>
            </w:r>
          </w:p>
        </w:tc>
        <w:tc>
          <w:tcPr>
            <w:tcW w:w="1440" w:type="dxa"/>
            <w:tcBorders>
              <w:top w:val="nil"/>
              <w:left w:val="nil"/>
              <w:bottom w:val="single" w:sz="4" w:space="0" w:color="auto"/>
              <w:right w:val="single" w:sz="4" w:space="0" w:color="auto"/>
            </w:tcBorders>
            <w:shd w:val="clear" w:color="auto" w:fill="auto"/>
            <w:hideMark/>
          </w:tcPr>
          <w:p w14:paraId="17615E96"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0D765399" w14:textId="77777777" w:rsidR="001028EC" w:rsidRPr="005730EC" w:rsidRDefault="001028EC" w:rsidP="00701AB3">
            <w:pPr>
              <w:rPr>
                <w:rFonts w:cs="Arial"/>
                <w:color w:val="000000"/>
                <w:sz w:val="20"/>
              </w:rPr>
            </w:pPr>
            <w:r w:rsidRPr="005730EC">
              <w:rPr>
                <w:rFonts w:cs="Arial"/>
                <w:color w:val="000000"/>
                <w:sz w:val="20"/>
              </w:rPr>
              <w:t>Variable Energy Resource</w:t>
            </w:r>
            <w:r>
              <w:rPr>
                <w:rFonts w:cs="Arial"/>
                <w:color w:val="000000"/>
                <w:sz w:val="20"/>
              </w:rPr>
              <w:t xml:space="preserve"> (VER)</w:t>
            </w:r>
            <w:r w:rsidRPr="005730EC">
              <w:rPr>
                <w:rFonts w:cs="Arial"/>
                <w:color w:val="000000"/>
                <w:sz w:val="20"/>
              </w:rPr>
              <w:t xml:space="preserve"> forecast capability </w:t>
            </w:r>
          </w:p>
        </w:tc>
        <w:tc>
          <w:tcPr>
            <w:tcW w:w="2538" w:type="dxa"/>
            <w:tcBorders>
              <w:top w:val="nil"/>
              <w:left w:val="nil"/>
              <w:bottom w:val="single" w:sz="4" w:space="0" w:color="auto"/>
              <w:right w:val="single" w:sz="4" w:space="0" w:color="auto"/>
            </w:tcBorders>
            <w:shd w:val="clear" w:color="auto" w:fill="auto"/>
            <w:hideMark/>
          </w:tcPr>
          <w:p w14:paraId="0F71CEEB" w14:textId="77777777" w:rsidR="001028EC" w:rsidRPr="005730EC" w:rsidRDefault="001028EC" w:rsidP="00701AB3">
            <w:pPr>
              <w:rPr>
                <w:rFonts w:cs="Arial"/>
                <w:color w:val="000000"/>
                <w:sz w:val="20"/>
              </w:rPr>
            </w:pPr>
            <w:r w:rsidRPr="005730EC">
              <w:rPr>
                <w:rFonts w:cs="Arial"/>
                <w:color w:val="000000"/>
                <w:sz w:val="20"/>
              </w:rPr>
              <w:t>Identification of the source of V</w:t>
            </w:r>
            <w:r>
              <w:rPr>
                <w:rFonts w:cs="Arial"/>
                <w:color w:val="000000"/>
                <w:sz w:val="20"/>
              </w:rPr>
              <w:t xml:space="preserve">ER </w:t>
            </w:r>
            <w:r w:rsidRPr="005730EC">
              <w:rPr>
                <w:rFonts w:cs="Arial"/>
                <w:color w:val="000000"/>
                <w:sz w:val="20"/>
              </w:rPr>
              <w:t>forecasts. (If a participating wind or solar unit requi</w:t>
            </w:r>
            <w:r w:rsidR="008974D2">
              <w:rPr>
                <w:rFonts w:cs="Arial"/>
                <w:color w:val="000000"/>
                <w:sz w:val="20"/>
              </w:rPr>
              <w:t>res a CAISO forecast, then BPM and T</w:t>
            </w:r>
            <w:r w:rsidRPr="005730EC">
              <w:rPr>
                <w:rFonts w:cs="Arial"/>
                <w:color w:val="000000"/>
                <w:sz w:val="20"/>
              </w:rPr>
              <w:t>ariff requirements apply.)</w:t>
            </w:r>
          </w:p>
        </w:tc>
        <w:tc>
          <w:tcPr>
            <w:tcW w:w="2862" w:type="dxa"/>
            <w:tcBorders>
              <w:top w:val="nil"/>
              <w:left w:val="nil"/>
              <w:bottom w:val="single" w:sz="4" w:space="0" w:color="auto"/>
              <w:right w:val="single" w:sz="4" w:space="0" w:color="auto"/>
            </w:tcBorders>
            <w:shd w:val="clear" w:color="auto" w:fill="auto"/>
            <w:hideMark/>
          </w:tcPr>
          <w:p w14:paraId="1C1BBD4A" w14:textId="77777777" w:rsidR="001028EC" w:rsidRPr="005730EC" w:rsidRDefault="001028EC" w:rsidP="00701AB3">
            <w:pPr>
              <w:rPr>
                <w:rFonts w:cs="Arial"/>
                <w:color w:val="000000"/>
                <w:sz w:val="20"/>
              </w:rPr>
            </w:pPr>
            <w:r w:rsidRPr="005730EC">
              <w:rPr>
                <w:rFonts w:cs="Arial"/>
                <w:color w:val="000000"/>
                <w:sz w:val="20"/>
              </w:rPr>
              <w:t xml:space="preserve">Forecasting entity must demonstrate delivery of Unit MW forecast at 5 min intervals for at least three hours ahead.  Forecasting entity must also provide base schedule by T-75, T-55 and T-40.  EIM Entity provides to CAISO </w:t>
            </w:r>
            <w:r>
              <w:rPr>
                <w:rFonts w:cs="Arial"/>
                <w:color w:val="000000"/>
                <w:sz w:val="20"/>
              </w:rPr>
              <w:t>r</w:t>
            </w:r>
            <w:r w:rsidRPr="005730EC">
              <w:rPr>
                <w:rFonts w:cs="Arial"/>
                <w:color w:val="000000"/>
                <w:sz w:val="20"/>
              </w:rPr>
              <w:t xml:space="preserve">eal-time MW production PI tags. </w:t>
            </w:r>
          </w:p>
        </w:tc>
      </w:tr>
      <w:tr w:rsidR="001028EC" w:rsidRPr="005730EC" w14:paraId="3C21CC0B"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0DD58673" w14:textId="77777777" w:rsidR="001028EC" w:rsidRPr="005730EC" w:rsidRDefault="001028EC" w:rsidP="00701AB3">
            <w:pPr>
              <w:jc w:val="center"/>
              <w:rPr>
                <w:rFonts w:cs="Arial"/>
                <w:color w:val="000000"/>
                <w:sz w:val="20"/>
              </w:rPr>
            </w:pPr>
            <w:r w:rsidRPr="005730EC">
              <w:rPr>
                <w:rFonts w:cs="Arial"/>
                <w:color w:val="000000"/>
                <w:sz w:val="20"/>
              </w:rPr>
              <w:t>9</w:t>
            </w:r>
          </w:p>
        </w:tc>
        <w:tc>
          <w:tcPr>
            <w:tcW w:w="1440" w:type="dxa"/>
            <w:tcBorders>
              <w:top w:val="nil"/>
              <w:left w:val="nil"/>
              <w:bottom w:val="single" w:sz="4" w:space="0" w:color="auto"/>
              <w:right w:val="single" w:sz="4" w:space="0" w:color="auto"/>
            </w:tcBorders>
            <w:shd w:val="clear" w:color="auto" w:fill="auto"/>
            <w:hideMark/>
          </w:tcPr>
          <w:p w14:paraId="5393A63E"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625D88C4" w14:textId="77777777" w:rsidR="001028EC" w:rsidRPr="005730EC" w:rsidRDefault="001028EC" w:rsidP="00701AB3">
            <w:pPr>
              <w:rPr>
                <w:rFonts w:cs="Arial"/>
                <w:color w:val="000000"/>
                <w:sz w:val="20"/>
              </w:rPr>
            </w:pPr>
            <w:r w:rsidRPr="005730EC">
              <w:rPr>
                <w:rFonts w:cs="Arial"/>
                <w:color w:val="000000"/>
                <w:sz w:val="20"/>
              </w:rPr>
              <w:t>Flexible capacity requirements</w:t>
            </w:r>
          </w:p>
        </w:tc>
        <w:tc>
          <w:tcPr>
            <w:tcW w:w="2538" w:type="dxa"/>
            <w:tcBorders>
              <w:top w:val="nil"/>
              <w:left w:val="nil"/>
              <w:bottom w:val="single" w:sz="4" w:space="0" w:color="auto"/>
              <w:right w:val="single" w:sz="4" w:space="0" w:color="auto"/>
            </w:tcBorders>
            <w:shd w:val="clear" w:color="auto" w:fill="auto"/>
            <w:hideMark/>
          </w:tcPr>
          <w:p w14:paraId="3954A4CA" w14:textId="77777777" w:rsidR="001028EC" w:rsidRPr="00B75CE0" w:rsidRDefault="001028EC" w:rsidP="00701AB3">
            <w:pPr>
              <w:rPr>
                <w:rFonts w:cs="Arial"/>
                <w:color w:val="000000"/>
                <w:sz w:val="20"/>
              </w:rPr>
            </w:pPr>
            <w:r w:rsidRPr="00B75CE0">
              <w:rPr>
                <w:rFonts w:cs="Arial"/>
                <w:color w:val="000000"/>
                <w:sz w:val="20"/>
              </w:rPr>
              <w:t xml:space="preserve">CAISO has established flexible capacity requirements for the </w:t>
            </w:r>
            <w:r w:rsidRPr="00B75CE0">
              <w:rPr>
                <w:rFonts w:cs="Arial"/>
                <w:sz w:val="20"/>
              </w:rPr>
              <w:t xml:space="preserve">prospective </w:t>
            </w:r>
            <w:r w:rsidRPr="00B75CE0">
              <w:rPr>
                <w:rFonts w:cs="Arial"/>
                <w:color w:val="000000"/>
                <w:sz w:val="20"/>
              </w:rPr>
              <w:t xml:space="preserve">EIM Entity </w:t>
            </w:r>
            <w:r w:rsidRPr="003C21CC">
              <w:rPr>
                <w:rFonts w:cs="Arial"/>
                <w:color w:val="000000"/>
                <w:sz w:val="20"/>
              </w:rPr>
              <w:t xml:space="preserve">Balancing Authority Area and the combined EIM Area including the </w:t>
            </w:r>
            <w:r w:rsidRPr="00B75CE0">
              <w:rPr>
                <w:rFonts w:cs="Arial"/>
                <w:sz w:val="20"/>
              </w:rPr>
              <w:t xml:space="preserve">prospective </w:t>
            </w:r>
            <w:r w:rsidRPr="00B75CE0">
              <w:rPr>
                <w:rFonts w:cs="Arial"/>
                <w:color w:val="000000"/>
                <w:sz w:val="20"/>
              </w:rPr>
              <w:t xml:space="preserve">EIM Entity </w:t>
            </w:r>
          </w:p>
        </w:tc>
        <w:tc>
          <w:tcPr>
            <w:tcW w:w="2862" w:type="dxa"/>
            <w:tcBorders>
              <w:top w:val="nil"/>
              <w:left w:val="nil"/>
              <w:bottom w:val="single" w:sz="4" w:space="0" w:color="auto"/>
              <w:right w:val="single" w:sz="4" w:space="0" w:color="auto"/>
            </w:tcBorders>
            <w:shd w:val="clear" w:color="auto" w:fill="auto"/>
            <w:hideMark/>
          </w:tcPr>
          <w:p w14:paraId="7F42AE33" w14:textId="77777777" w:rsidR="001028EC" w:rsidRPr="00BF725A" w:rsidRDefault="001028EC" w:rsidP="00701AB3">
            <w:pPr>
              <w:rPr>
                <w:rFonts w:cs="Arial"/>
                <w:color w:val="000000"/>
                <w:sz w:val="20"/>
              </w:rPr>
            </w:pPr>
            <w:r w:rsidRPr="003C21CC">
              <w:rPr>
                <w:rFonts w:cs="Arial"/>
                <w:color w:val="000000"/>
                <w:sz w:val="20"/>
              </w:rPr>
              <w:t>The CAISO has received and stored all his</w:t>
            </w:r>
            <w:r w:rsidRPr="00BF725A">
              <w:rPr>
                <w:rFonts w:cs="Arial"/>
                <w:color w:val="000000"/>
                <w:sz w:val="20"/>
              </w:rPr>
              <w:t>torical data from the</w:t>
            </w:r>
            <w:r w:rsidRPr="00C83084">
              <w:rPr>
                <w:rFonts w:cs="Arial"/>
                <w:color w:val="000000"/>
                <w:sz w:val="20"/>
              </w:rPr>
              <w:t xml:space="preserve"> </w:t>
            </w:r>
            <w:r w:rsidRPr="00B75CE0">
              <w:rPr>
                <w:rFonts w:cs="Arial"/>
                <w:sz w:val="20"/>
              </w:rPr>
              <w:t>prospective</w:t>
            </w:r>
            <w:r w:rsidRPr="00B75CE0">
              <w:rPr>
                <w:rFonts w:cs="Arial"/>
                <w:color w:val="000000"/>
                <w:sz w:val="20"/>
              </w:rPr>
              <w:t xml:space="preserve"> EIM Entity </w:t>
            </w:r>
            <w:r w:rsidRPr="003C21CC">
              <w:rPr>
                <w:rFonts w:cs="Arial"/>
                <w:color w:val="000000"/>
                <w:sz w:val="20"/>
              </w:rPr>
              <w:t>necessary and sufficient for the CAISO to perform the flexible ramp requirement.</w:t>
            </w:r>
          </w:p>
        </w:tc>
      </w:tr>
      <w:tr w:rsidR="001028EC" w:rsidRPr="005730EC" w14:paraId="35628370"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779DA306" w14:textId="77777777" w:rsidR="001028EC" w:rsidRPr="005730EC" w:rsidRDefault="001028EC" w:rsidP="00701AB3">
            <w:pPr>
              <w:jc w:val="center"/>
              <w:rPr>
                <w:rFonts w:cs="Arial"/>
                <w:color w:val="000000"/>
                <w:sz w:val="20"/>
              </w:rPr>
            </w:pPr>
            <w:r w:rsidRPr="005730EC">
              <w:rPr>
                <w:rFonts w:cs="Arial"/>
                <w:color w:val="000000"/>
                <w:sz w:val="20"/>
              </w:rPr>
              <w:t>10</w:t>
            </w:r>
          </w:p>
        </w:tc>
        <w:tc>
          <w:tcPr>
            <w:tcW w:w="1440" w:type="dxa"/>
            <w:tcBorders>
              <w:top w:val="nil"/>
              <w:left w:val="nil"/>
              <w:bottom w:val="single" w:sz="4" w:space="0" w:color="auto"/>
              <w:right w:val="single" w:sz="4" w:space="0" w:color="auto"/>
            </w:tcBorders>
            <w:shd w:val="clear" w:color="auto" w:fill="auto"/>
            <w:hideMark/>
          </w:tcPr>
          <w:p w14:paraId="758425FF"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69B29B8C" w14:textId="77777777" w:rsidR="001028EC" w:rsidRPr="005730EC" w:rsidRDefault="001028EC" w:rsidP="00701AB3">
            <w:pPr>
              <w:rPr>
                <w:rFonts w:cs="Arial"/>
                <w:color w:val="000000"/>
                <w:sz w:val="20"/>
              </w:rPr>
            </w:pPr>
            <w:r w:rsidRPr="005730EC">
              <w:rPr>
                <w:rFonts w:cs="Arial"/>
                <w:color w:val="000000"/>
                <w:sz w:val="20"/>
              </w:rPr>
              <w:t xml:space="preserve">Base schedule balancing capability </w:t>
            </w:r>
          </w:p>
        </w:tc>
        <w:tc>
          <w:tcPr>
            <w:tcW w:w="2538" w:type="dxa"/>
            <w:tcBorders>
              <w:top w:val="nil"/>
              <w:left w:val="nil"/>
              <w:bottom w:val="single" w:sz="4" w:space="0" w:color="auto"/>
              <w:right w:val="single" w:sz="4" w:space="0" w:color="auto"/>
            </w:tcBorders>
            <w:shd w:val="clear" w:color="auto" w:fill="auto"/>
            <w:hideMark/>
          </w:tcPr>
          <w:p w14:paraId="04064A11" w14:textId="77777777" w:rsidR="001028EC" w:rsidRPr="002030A6" w:rsidRDefault="001028EC" w:rsidP="00701AB3">
            <w:pPr>
              <w:rPr>
                <w:rFonts w:cs="Arial"/>
                <w:color w:val="000000"/>
                <w:sz w:val="20"/>
              </w:rPr>
            </w:pPr>
            <w:r w:rsidRPr="00B75CE0">
              <w:rPr>
                <w:rFonts w:cs="Arial"/>
                <w:color w:val="000000"/>
                <w:sz w:val="20"/>
              </w:rPr>
              <w:t xml:space="preserve">The </w:t>
            </w:r>
            <w:r w:rsidRPr="00B75CE0">
              <w:rPr>
                <w:rFonts w:cs="Arial"/>
                <w:sz w:val="20"/>
              </w:rPr>
              <w:t xml:space="preserve">prospective </w:t>
            </w:r>
            <w:r w:rsidRPr="00B75CE0">
              <w:rPr>
                <w:rFonts w:cs="Arial"/>
                <w:color w:val="000000"/>
                <w:sz w:val="20"/>
              </w:rPr>
              <w:t xml:space="preserve">EIM Entity </w:t>
            </w:r>
            <w:r w:rsidRPr="00BF725A">
              <w:rPr>
                <w:rFonts w:cs="Arial"/>
                <w:color w:val="000000"/>
                <w:sz w:val="20"/>
              </w:rPr>
              <w:t>Scheduling Coordinator demonstrates its ability</w:t>
            </w:r>
            <w:r w:rsidRPr="00C83084">
              <w:rPr>
                <w:rFonts w:cs="Arial"/>
                <w:color w:val="000000"/>
                <w:sz w:val="20"/>
              </w:rPr>
              <w:t xml:space="preserve"> to balance EIM </w:t>
            </w:r>
            <w:r>
              <w:rPr>
                <w:rFonts w:cs="Arial"/>
                <w:color w:val="000000"/>
                <w:sz w:val="20"/>
              </w:rPr>
              <w:t>d</w:t>
            </w:r>
            <w:r w:rsidRPr="00C83084">
              <w:rPr>
                <w:rFonts w:cs="Arial"/>
                <w:color w:val="000000"/>
                <w:sz w:val="20"/>
              </w:rPr>
              <w:t xml:space="preserve">emand and EIM </w:t>
            </w:r>
            <w:r>
              <w:rPr>
                <w:rFonts w:cs="Arial"/>
                <w:color w:val="000000"/>
                <w:sz w:val="20"/>
              </w:rPr>
              <w:t>s</w:t>
            </w:r>
            <w:r w:rsidRPr="00C83084">
              <w:rPr>
                <w:rFonts w:cs="Arial"/>
                <w:color w:val="000000"/>
                <w:sz w:val="20"/>
              </w:rPr>
              <w:t>upply</w:t>
            </w:r>
            <w:r>
              <w:rPr>
                <w:rFonts w:cs="Arial"/>
                <w:color w:val="000000"/>
                <w:sz w:val="20"/>
              </w:rPr>
              <w:t xml:space="preserve"> </w:t>
            </w:r>
            <w:r w:rsidRPr="00966490">
              <w:rPr>
                <w:rFonts w:cs="Arial"/>
                <w:color w:val="000000"/>
                <w:sz w:val="20"/>
              </w:rPr>
              <w:t>for the prospective EIM Entity’s Balancing Authority Area</w:t>
            </w:r>
          </w:p>
        </w:tc>
        <w:tc>
          <w:tcPr>
            <w:tcW w:w="2862" w:type="dxa"/>
            <w:tcBorders>
              <w:top w:val="nil"/>
              <w:left w:val="nil"/>
              <w:bottom w:val="single" w:sz="4" w:space="0" w:color="auto"/>
              <w:right w:val="single" w:sz="4" w:space="0" w:color="auto"/>
            </w:tcBorders>
            <w:shd w:val="clear" w:color="auto" w:fill="auto"/>
            <w:hideMark/>
          </w:tcPr>
          <w:p w14:paraId="0054197D" w14:textId="77777777" w:rsidR="001028EC" w:rsidRPr="00B75CE0" w:rsidRDefault="001028EC" w:rsidP="00701AB3">
            <w:pPr>
              <w:rPr>
                <w:rFonts w:cs="Arial"/>
                <w:color w:val="000000"/>
                <w:sz w:val="20"/>
              </w:rPr>
            </w:pPr>
            <w:r w:rsidRPr="00637054">
              <w:rPr>
                <w:rFonts w:cs="Arial"/>
                <w:color w:val="000000"/>
                <w:sz w:val="20"/>
              </w:rPr>
              <w:t xml:space="preserve">90% or greater of base schedules balance tests during monitored hours are within 10% average imbalance of load forecast over one day period before parallel operation, and 5% average over  </w:t>
            </w:r>
            <w:r w:rsidRPr="00594716">
              <w:rPr>
                <w:rFonts w:cs="Arial"/>
                <w:color w:val="000000"/>
                <w:sz w:val="20"/>
              </w:rPr>
              <w:t>five full days before full act</w:t>
            </w:r>
            <w:r w:rsidRPr="00B54DEA">
              <w:rPr>
                <w:rFonts w:cs="Arial"/>
                <w:color w:val="000000"/>
                <w:sz w:val="20"/>
              </w:rPr>
              <w:t xml:space="preserve">ivation.  The CAISO will provide examples of MW thresholds for each </w:t>
            </w:r>
            <w:r w:rsidRPr="00FB5685">
              <w:rPr>
                <w:rFonts w:cs="Arial"/>
                <w:sz w:val="20"/>
              </w:rPr>
              <w:t>prospective</w:t>
            </w:r>
            <w:r>
              <w:rPr>
                <w:rFonts w:cs="Arial"/>
              </w:rPr>
              <w:t xml:space="preserve"> </w:t>
            </w:r>
            <w:r w:rsidRPr="00B75CE0">
              <w:rPr>
                <w:rFonts w:cs="Arial"/>
                <w:color w:val="000000"/>
                <w:sz w:val="20"/>
              </w:rPr>
              <w:t>EIM Entity to indicate a reasonable threshold as it applies to a given EIM Entity and indicate the potential implications of a swing from 5% over to 5% under forecast in one hour to the next.</w:t>
            </w:r>
          </w:p>
        </w:tc>
      </w:tr>
      <w:tr w:rsidR="001028EC" w:rsidRPr="005730EC" w14:paraId="6CAE5F55"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1F592DEB" w14:textId="77777777" w:rsidR="001028EC" w:rsidRPr="005730EC" w:rsidRDefault="001028EC" w:rsidP="00701AB3">
            <w:pPr>
              <w:jc w:val="center"/>
              <w:rPr>
                <w:rFonts w:cs="Arial"/>
                <w:color w:val="000000"/>
                <w:sz w:val="20"/>
              </w:rPr>
            </w:pPr>
            <w:r w:rsidRPr="005730EC">
              <w:rPr>
                <w:rFonts w:cs="Arial"/>
                <w:color w:val="000000"/>
                <w:sz w:val="20"/>
              </w:rPr>
              <w:lastRenderedPageBreak/>
              <w:t>11</w:t>
            </w:r>
          </w:p>
        </w:tc>
        <w:tc>
          <w:tcPr>
            <w:tcW w:w="1440" w:type="dxa"/>
            <w:tcBorders>
              <w:top w:val="nil"/>
              <w:left w:val="nil"/>
              <w:bottom w:val="single" w:sz="4" w:space="0" w:color="auto"/>
              <w:right w:val="single" w:sz="4" w:space="0" w:color="auto"/>
            </w:tcBorders>
            <w:shd w:val="clear" w:color="auto" w:fill="auto"/>
            <w:hideMark/>
          </w:tcPr>
          <w:p w14:paraId="3B434426"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1E9A2CFD" w14:textId="77777777" w:rsidR="001028EC" w:rsidRPr="005730EC" w:rsidRDefault="001028EC" w:rsidP="00701AB3">
            <w:pPr>
              <w:rPr>
                <w:rFonts w:cs="Arial"/>
                <w:color w:val="000000"/>
                <w:sz w:val="20"/>
              </w:rPr>
            </w:pPr>
            <w:r w:rsidRPr="005730EC">
              <w:rPr>
                <w:rFonts w:cs="Arial"/>
                <w:color w:val="000000"/>
                <w:sz w:val="20"/>
              </w:rPr>
              <w:t>Flexible ramping sufficiency test capability</w:t>
            </w:r>
          </w:p>
        </w:tc>
        <w:tc>
          <w:tcPr>
            <w:tcW w:w="2538" w:type="dxa"/>
            <w:tcBorders>
              <w:top w:val="nil"/>
              <w:left w:val="nil"/>
              <w:bottom w:val="single" w:sz="4" w:space="0" w:color="auto"/>
              <w:right w:val="single" w:sz="4" w:space="0" w:color="auto"/>
            </w:tcBorders>
            <w:shd w:val="clear" w:color="auto" w:fill="auto"/>
            <w:hideMark/>
          </w:tcPr>
          <w:p w14:paraId="1BBCAED1" w14:textId="77777777" w:rsidR="001028EC" w:rsidRPr="005730EC" w:rsidRDefault="001028EC" w:rsidP="00701AB3">
            <w:pPr>
              <w:rPr>
                <w:rFonts w:cs="Arial"/>
                <w:color w:val="000000"/>
                <w:sz w:val="20"/>
              </w:rPr>
            </w:pPr>
            <w:r w:rsidRPr="005730EC">
              <w:rPr>
                <w:rFonts w:cs="Arial"/>
                <w:color w:val="000000"/>
                <w:sz w:val="20"/>
              </w:rPr>
              <w:t xml:space="preserve">The </w:t>
            </w:r>
            <w:r w:rsidRPr="004A6F2D">
              <w:rPr>
                <w:rFonts w:cs="Arial"/>
                <w:sz w:val="20"/>
              </w:rPr>
              <w:t>prospective</w:t>
            </w:r>
            <w:r>
              <w:rPr>
                <w:rFonts w:cs="Arial"/>
              </w:rPr>
              <w:t xml:space="preserve"> </w:t>
            </w:r>
            <w:r w:rsidRPr="005730EC">
              <w:rPr>
                <w:rFonts w:cs="Arial"/>
                <w:color w:val="000000"/>
                <w:sz w:val="20"/>
              </w:rPr>
              <w:t xml:space="preserve">EIM Entity </w:t>
            </w:r>
            <w:r>
              <w:rPr>
                <w:rFonts w:cs="Arial"/>
                <w:color w:val="000000"/>
                <w:sz w:val="20"/>
              </w:rPr>
              <w:t>\</w:t>
            </w:r>
            <w:r w:rsidRPr="005730EC">
              <w:rPr>
                <w:rFonts w:cs="Arial"/>
                <w:color w:val="000000"/>
                <w:sz w:val="20"/>
              </w:rPr>
              <w:t xml:space="preserve"> Scheduling Coordinator demonstrates its ability to pass the flexible ramping sufficiency test </w:t>
            </w:r>
          </w:p>
        </w:tc>
        <w:tc>
          <w:tcPr>
            <w:tcW w:w="2862" w:type="dxa"/>
            <w:tcBorders>
              <w:top w:val="nil"/>
              <w:left w:val="nil"/>
              <w:bottom w:val="single" w:sz="4" w:space="0" w:color="auto"/>
              <w:right w:val="single" w:sz="4" w:space="0" w:color="auto"/>
            </w:tcBorders>
            <w:shd w:val="clear" w:color="auto" w:fill="auto"/>
            <w:hideMark/>
          </w:tcPr>
          <w:p w14:paraId="308B57A7" w14:textId="77777777" w:rsidR="001028EC" w:rsidRPr="005730EC" w:rsidRDefault="001028EC" w:rsidP="00701AB3">
            <w:pPr>
              <w:rPr>
                <w:rFonts w:cs="Arial"/>
                <w:color w:val="000000"/>
                <w:sz w:val="20"/>
              </w:rPr>
            </w:pPr>
            <w:r w:rsidRPr="005730EC">
              <w:rPr>
                <w:rFonts w:cs="Arial"/>
                <w:color w:val="000000"/>
                <w:sz w:val="20"/>
              </w:rPr>
              <w:t xml:space="preserve">Passes 90% of the time or greater over monitored hours of one day before parallel operation and </w:t>
            </w:r>
            <w:r>
              <w:rPr>
                <w:rFonts w:cs="Arial"/>
                <w:color w:val="000000"/>
                <w:sz w:val="20"/>
              </w:rPr>
              <w:t>five</w:t>
            </w:r>
            <w:r w:rsidRPr="005730EC">
              <w:rPr>
                <w:rFonts w:cs="Arial"/>
                <w:color w:val="000000"/>
                <w:sz w:val="20"/>
              </w:rPr>
              <w:t xml:space="preserve"> </w:t>
            </w:r>
            <w:r>
              <w:rPr>
                <w:rFonts w:cs="Arial"/>
                <w:color w:val="000000"/>
                <w:sz w:val="20"/>
              </w:rPr>
              <w:t xml:space="preserve">non-consecutive </w:t>
            </w:r>
            <w:r w:rsidRPr="005730EC">
              <w:rPr>
                <w:rFonts w:cs="Arial"/>
                <w:color w:val="000000"/>
                <w:sz w:val="20"/>
              </w:rPr>
              <w:t>days before full activation</w:t>
            </w:r>
          </w:p>
        </w:tc>
      </w:tr>
      <w:tr w:rsidR="001028EC" w:rsidRPr="005730EC" w14:paraId="19D47CCF"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788C2C86" w14:textId="77777777" w:rsidR="001028EC" w:rsidRPr="005730EC" w:rsidRDefault="001028EC" w:rsidP="00701AB3">
            <w:pPr>
              <w:jc w:val="center"/>
              <w:rPr>
                <w:rFonts w:cs="Arial"/>
                <w:color w:val="000000"/>
                <w:sz w:val="20"/>
              </w:rPr>
            </w:pPr>
            <w:r w:rsidRPr="005730EC">
              <w:rPr>
                <w:rFonts w:cs="Arial"/>
                <w:color w:val="000000"/>
                <w:sz w:val="20"/>
              </w:rPr>
              <w:t>12</w:t>
            </w:r>
          </w:p>
        </w:tc>
        <w:tc>
          <w:tcPr>
            <w:tcW w:w="1440" w:type="dxa"/>
            <w:tcBorders>
              <w:top w:val="nil"/>
              <w:left w:val="nil"/>
              <w:bottom w:val="single" w:sz="4" w:space="0" w:color="auto"/>
              <w:right w:val="single" w:sz="4" w:space="0" w:color="auto"/>
            </w:tcBorders>
            <w:shd w:val="clear" w:color="auto" w:fill="auto"/>
            <w:hideMark/>
          </w:tcPr>
          <w:p w14:paraId="3494F935"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522928B7" w14:textId="77777777" w:rsidR="001028EC" w:rsidRPr="005730EC" w:rsidRDefault="001028EC" w:rsidP="00701AB3">
            <w:pPr>
              <w:rPr>
                <w:rFonts w:cs="Arial"/>
                <w:color w:val="000000"/>
                <w:sz w:val="20"/>
              </w:rPr>
            </w:pPr>
            <w:r w:rsidRPr="005730EC">
              <w:rPr>
                <w:rFonts w:cs="Arial"/>
                <w:color w:val="000000"/>
                <w:sz w:val="20"/>
              </w:rPr>
              <w:t xml:space="preserve">Capacity test capability </w:t>
            </w:r>
          </w:p>
        </w:tc>
        <w:tc>
          <w:tcPr>
            <w:tcW w:w="2538" w:type="dxa"/>
            <w:tcBorders>
              <w:top w:val="nil"/>
              <w:left w:val="nil"/>
              <w:bottom w:val="single" w:sz="4" w:space="0" w:color="auto"/>
              <w:right w:val="single" w:sz="4" w:space="0" w:color="auto"/>
            </w:tcBorders>
            <w:shd w:val="clear" w:color="auto" w:fill="auto"/>
            <w:hideMark/>
          </w:tcPr>
          <w:p w14:paraId="100BD2BE" w14:textId="77777777" w:rsidR="001028EC" w:rsidRPr="005730EC" w:rsidRDefault="001028EC" w:rsidP="00701AB3">
            <w:pPr>
              <w:rPr>
                <w:rFonts w:cs="Arial"/>
                <w:color w:val="000000"/>
                <w:sz w:val="20"/>
              </w:rPr>
            </w:pPr>
            <w:r w:rsidRPr="005730EC">
              <w:rPr>
                <w:rFonts w:cs="Arial"/>
                <w:color w:val="000000"/>
                <w:sz w:val="20"/>
              </w:rPr>
              <w:t xml:space="preserve">The </w:t>
            </w:r>
            <w:r w:rsidRPr="003410A8">
              <w:rPr>
                <w:rFonts w:cs="Arial"/>
                <w:sz w:val="20"/>
              </w:rPr>
              <w:t xml:space="preserve">prospective </w:t>
            </w:r>
            <w:r w:rsidRPr="00B75CE0">
              <w:rPr>
                <w:rFonts w:cs="Arial"/>
                <w:color w:val="000000"/>
                <w:sz w:val="20"/>
              </w:rPr>
              <w:t>E</w:t>
            </w:r>
            <w:r w:rsidRPr="005730EC">
              <w:rPr>
                <w:rFonts w:cs="Arial"/>
                <w:color w:val="000000"/>
                <w:sz w:val="20"/>
              </w:rPr>
              <w:t>IM Entity Scheduling Coordinator demonstrates its ability to pass capacity test</w:t>
            </w:r>
          </w:p>
        </w:tc>
        <w:tc>
          <w:tcPr>
            <w:tcW w:w="2862" w:type="dxa"/>
            <w:tcBorders>
              <w:top w:val="nil"/>
              <w:left w:val="nil"/>
              <w:bottom w:val="single" w:sz="4" w:space="0" w:color="auto"/>
              <w:right w:val="single" w:sz="4" w:space="0" w:color="auto"/>
            </w:tcBorders>
            <w:shd w:val="clear" w:color="auto" w:fill="auto"/>
            <w:hideMark/>
          </w:tcPr>
          <w:p w14:paraId="30A089D5" w14:textId="77777777" w:rsidR="001028EC" w:rsidRPr="005730EC" w:rsidRDefault="001028EC" w:rsidP="00701AB3">
            <w:pPr>
              <w:rPr>
                <w:rFonts w:cs="Arial"/>
                <w:color w:val="000000"/>
                <w:sz w:val="20"/>
              </w:rPr>
            </w:pPr>
            <w:r w:rsidRPr="005730EC">
              <w:rPr>
                <w:rFonts w:cs="Arial"/>
                <w:color w:val="000000"/>
                <w:sz w:val="20"/>
              </w:rPr>
              <w:t xml:space="preserve">Passes 90% of the time or greater over monitored hours of one day before parallel operation and </w:t>
            </w:r>
            <w:r>
              <w:rPr>
                <w:rFonts w:cs="Arial"/>
                <w:color w:val="000000"/>
                <w:sz w:val="20"/>
              </w:rPr>
              <w:t>five</w:t>
            </w:r>
            <w:r w:rsidRPr="005730EC">
              <w:rPr>
                <w:rFonts w:cs="Arial"/>
                <w:color w:val="000000"/>
                <w:sz w:val="20"/>
              </w:rPr>
              <w:t xml:space="preserve"> </w:t>
            </w:r>
            <w:r>
              <w:rPr>
                <w:rFonts w:cs="Arial"/>
                <w:color w:val="000000"/>
                <w:sz w:val="20"/>
              </w:rPr>
              <w:t xml:space="preserve">non-consecutive </w:t>
            </w:r>
            <w:r w:rsidRPr="005730EC">
              <w:rPr>
                <w:rFonts w:cs="Arial"/>
                <w:color w:val="000000"/>
                <w:sz w:val="20"/>
              </w:rPr>
              <w:t>days before full activation.  The CAISO will explain the implications of any potential issues with the reliability of an EIM Entity to meet its capacity requirements.</w:t>
            </w:r>
          </w:p>
        </w:tc>
      </w:tr>
      <w:tr w:rsidR="001028EC" w:rsidRPr="005730EC" w14:paraId="2710E2C4" w14:textId="77777777" w:rsidTr="009E26DA">
        <w:trPr>
          <w:trHeight w:val="2168"/>
        </w:trPr>
        <w:tc>
          <w:tcPr>
            <w:tcW w:w="1260" w:type="dxa"/>
            <w:tcBorders>
              <w:top w:val="nil"/>
              <w:left w:val="single" w:sz="4" w:space="0" w:color="auto"/>
              <w:bottom w:val="single" w:sz="4" w:space="0" w:color="auto"/>
              <w:right w:val="single" w:sz="4" w:space="0" w:color="auto"/>
            </w:tcBorders>
            <w:shd w:val="clear" w:color="000000" w:fill="FFFFFF"/>
            <w:noWrap/>
            <w:hideMark/>
          </w:tcPr>
          <w:p w14:paraId="07C4CF2B" w14:textId="77777777" w:rsidR="001028EC" w:rsidRPr="005730EC" w:rsidRDefault="001028EC" w:rsidP="00701AB3">
            <w:pPr>
              <w:jc w:val="center"/>
              <w:rPr>
                <w:rFonts w:cs="Arial"/>
                <w:color w:val="000000"/>
                <w:sz w:val="20"/>
              </w:rPr>
            </w:pPr>
            <w:r w:rsidRPr="005730EC">
              <w:rPr>
                <w:rFonts w:cs="Arial"/>
                <w:color w:val="000000"/>
                <w:sz w:val="20"/>
              </w:rPr>
              <w:t>13</w:t>
            </w:r>
          </w:p>
        </w:tc>
        <w:tc>
          <w:tcPr>
            <w:tcW w:w="1440" w:type="dxa"/>
            <w:tcBorders>
              <w:top w:val="nil"/>
              <w:left w:val="nil"/>
              <w:bottom w:val="single" w:sz="4" w:space="0" w:color="auto"/>
              <w:right w:val="single" w:sz="4" w:space="0" w:color="auto"/>
            </w:tcBorders>
            <w:shd w:val="clear" w:color="auto" w:fill="auto"/>
            <w:hideMark/>
          </w:tcPr>
          <w:p w14:paraId="244C606A" w14:textId="77777777" w:rsidR="001028EC" w:rsidRPr="005730EC" w:rsidRDefault="001028EC" w:rsidP="00701AB3">
            <w:pPr>
              <w:rPr>
                <w:rFonts w:cs="Arial"/>
                <w:color w:val="000000"/>
                <w:sz w:val="20"/>
              </w:rPr>
            </w:pPr>
            <w:r w:rsidRPr="005730EC">
              <w:rPr>
                <w:rFonts w:cs="Arial"/>
                <w:color w:val="000000"/>
                <w:sz w:val="20"/>
              </w:rPr>
              <w:t>Operating Procedures</w:t>
            </w:r>
          </w:p>
        </w:tc>
        <w:tc>
          <w:tcPr>
            <w:tcW w:w="2142" w:type="dxa"/>
            <w:tcBorders>
              <w:top w:val="nil"/>
              <w:left w:val="nil"/>
              <w:bottom w:val="single" w:sz="4" w:space="0" w:color="auto"/>
              <w:right w:val="single" w:sz="4" w:space="0" w:color="auto"/>
            </w:tcBorders>
            <w:shd w:val="clear" w:color="auto" w:fill="auto"/>
            <w:hideMark/>
          </w:tcPr>
          <w:p w14:paraId="211B9A67" w14:textId="77777777" w:rsidR="001028EC" w:rsidRPr="005730EC" w:rsidRDefault="001028EC" w:rsidP="00701AB3">
            <w:pPr>
              <w:rPr>
                <w:rFonts w:cs="Arial"/>
                <w:color w:val="000000"/>
                <w:sz w:val="20"/>
              </w:rPr>
            </w:pPr>
            <w:r w:rsidRPr="005730EC">
              <w:rPr>
                <w:rFonts w:cs="Arial"/>
                <w:color w:val="000000"/>
                <w:sz w:val="20"/>
              </w:rPr>
              <w:t xml:space="preserve">CAISO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(relevant to EIM operations)</w:t>
            </w:r>
          </w:p>
        </w:tc>
        <w:tc>
          <w:tcPr>
            <w:tcW w:w="2538" w:type="dxa"/>
            <w:tcBorders>
              <w:top w:val="nil"/>
              <w:left w:val="nil"/>
              <w:bottom w:val="single" w:sz="4" w:space="0" w:color="auto"/>
              <w:right w:val="single" w:sz="4" w:space="0" w:color="auto"/>
            </w:tcBorders>
            <w:shd w:val="clear" w:color="auto" w:fill="auto"/>
            <w:hideMark/>
          </w:tcPr>
          <w:p w14:paraId="3AFF175E" w14:textId="77777777"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EIM Entity signs CAISO non-disclosure agreement and receives appropriate CAISO “public” and “restricted” operating procedures</w:t>
            </w:r>
          </w:p>
        </w:tc>
        <w:tc>
          <w:tcPr>
            <w:tcW w:w="2862" w:type="dxa"/>
            <w:tcBorders>
              <w:top w:val="nil"/>
              <w:left w:val="nil"/>
              <w:bottom w:val="single" w:sz="4" w:space="0" w:color="auto"/>
              <w:right w:val="single" w:sz="4" w:space="0" w:color="auto"/>
            </w:tcBorders>
            <w:shd w:val="clear" w:color="auto" w:fill="auto"/>
            <w:hideMark/>
          </w:tcPr>
          <w:p w14:paraId="67304298" w14:textId="77777777" w:rsidR="001028EC" w:rsidRPr="005730EC" w:rsidRDefault="001028EC" w:rsidP="00701AB3">
            <w:pPr>
              <w:rPr>
                <w:rFonts w:cs="Arial"/>
                <w:color w:val="000000"/>
                <w:sz w:val="20"/>
              </w:rPr>
            </w:pPr>
            <w:r w:rsidRPr="005730EC">
              <w:rPr>
                <w:rFonts w:cs="Arial"/>
                <w:color w:val="000000"/>
                <w:sz w:val="20"/>
              </w:rPr>
              <w:t xml:space="preserve">Operating </w:t>
            </w:r>
            <w:r>
              <w:rPr>
                <w:rFonts w:cs="Arial"/>
                <w:color w:val="000000"/>
                <w:sz w:val="20"/>
              </w:rPr>
              <w:t>p</w:t>
            </w:r>
            <w:r w:rsidRPr="005730EC">
              <w:rPr>
                <w:rFonts w:cs="Arial"/>
                <w:color w:val="000000"/>
                <w:sz w:val="20"/>
              </w:rPr>
              <w:t xml:space="preserve">rocedures NDA signed by </w:t>
            </w:r>
            <w:r>
              <w:rPr>
                <w:rFonts w:cs="Arial"/>
                <w:color w:val="000000"/>
                <w:sz w:val="20"/>
              </w:rPr>
              <w:t xml:space="preserve">the </w:t>
            </w:r>
            <w:r w:rsidRPr="00200458">
              <w:rPr>
                <w:rFonts w:cs="Arial"/>
                <w:sz w:val="20"/>
              </w:rPr>
              <w:t xml:space="preserve">prospective </w:t>
            </w:r>
            <w:r w:rsidRPr="005730EC">
              <w:rPr>
                <w:rFonts w:cs="Arial"/>
                <w:color w:val="000000"/>
                <w:sz w:val="20"/>
              </w:rPr>
              <w:t xml:space="preserve">EIM Entity. </w:t>
            </w:r>
          </w:p>
          <w:p w14:paraId="4177AC11" w14:textId="77777777" w:rsidR="001028EC" w:rsidRPr="005730EC" w:rsidRDefault="001028EC" w:rsidP="00701AB3">
            <w:pPr>
              <w:rPr>
                <w:rFonts w:cs="Arial"/>
                <w:color w:val="000000"/>
                <w:sz w:val="20"/>
              </w:rPr>
            </w:pPr>
            <w:r w:rsidRPr="005730EC">
              <w:rPr>
                <w:rFonts w:cs="Arial"/>
                <w:color w:val="000000"/>
                <w:sz w:val="20"/>
              </w:rPr>
              <w:br/>
            </w:r>
            <w:r>
              <w:rPr>
                <w:rFonts w:cs="Arial"/>
                <w:sz w:val="20"/>
              </w:rPr>
              <w:t>The p</w:t>
            </w:r>
            <w:r w:rsidRPr="00200458">
              <w:rPr>
                <w:rFonts w:cs="Arial"/>
                <w:sz w:val="20"/>
              </w:rPr>
              <w:t xml:space="preserve">rospective </w:t>
            </w:r>
            <w:r w:rsidRPr="005730EC">
              <w:rPr>
                <w:rFonts w:cs="Arial"/>
                <w:color w:val="000000"/>
                <w:sz w:val="20"/>
              </w:rPr>
              <w:t xml:space="preserve">EIM Entity receives CAISO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four months prior to the parallel operations date.</w:t>
            </w:r>
          </w:p>
        </w:tc>
      </w:tr>
      <w:tr w:rsidR="001028EC" w:rsidRPr="005730EC" w14:paraId="7B8CAFF5" w14:textId="77777777" w:rsidTr="009E26DA">
        <w:trPr>
          <w:trHeight w:val="620"/>
        </w:trPr>
        <w:tc>
          <w:tcPr>
            <w:tcW w:w="1260" w:type="dxa"/>
            <w:tcBorders>
              <w:top w:val="nil"/>
              <w:left w:val="single" w:sz="4" w:space="0" w:color="auto"/>
              <w:bottom w:val="single" w:sz="4" w:space="0" w:color="auto"/>
              <w:right w:val="single" w:sz="4" w:space="0" w:color="auto"/>
            </w:tcBorders>
            <w:shd w:val="clear" w:color="000000" w:fill="FFFFFF"/>
            <w:noWrap/>
            <w:hideMark/>
          </w:tcPr>
          <w:p w14:paraId="4DD843D5" w14:textId="77777777" w:rsidR="001028EC" w:rsidRPr="005730EC" w:rsidRDefault="001028EC" w:rsidP="00701AB3">
            <w:pPr>
              <w:jc w:val="center"/>
              <w:rPr>
                <w:rFonts w:cs="Arial"/>
                <w:color w:val="000000"/>
                <w:sz w:val="20"/>
              </w:rPr>
            </w:pPr>
            <w:r w:rsidRPr="005730EC">
              <w:rPr>
                <w:rFonts w:cs="Arial"/>
                <w:color w:val="000000"/>
                <w:sz w:val="20"/>
              </w:rPr>
              <w:t>14</w:t>
            </w:r>
          </w:p>
        </w:tc>
        <w:tc>
          <w:tcPr>
            <w:tcW w:w="1440" w:type="dxa"/>
            <w:tcBorders>
              <w:top w:val="nil"/>
              <w:left w:val="nil"/>
              <w:bottom w:val="single" w:sz="4" w:space="0" w:color="auto"/>
              <w:right w:val="single" w:sz="4" w:space="0" w:color="auto"/>
            </w:tcBorders>
            <w:shd w:val="clear" w:color="auto" w:fill="auto"/>
            <w:hideMark/>
          </w:tcPr>
          <w:p w14:paraId="7CAF18EB" w14:textId="77777777" w:rsidR="001028EC" w:rsidRPr="005730EC" w:rsidRDefault="001028EC" w:rsidP="00701AB3">
            <w:pPr>
              <w:rPr>
                <w:rFonts w:cs="Arial"/>
                <w:color w:val="000000"/>
                <w:sz w:val="20"/>
              </w:rPr>
            </w:pPr>
            <w:r w:rsidRPr="005730EC">
              <w:rPr>
                <w:rFonts w:cs="Arial"/>
                <w:color w:val="000000"/>
                <w:sz w:val="20"/>
              </w:rPr>
              <w:t>Operating Procedures</w:t>
            </w:r>
          </w:p>
        </w:tc>
        <w:tc>
          <w:tcPr>
            <w:tcW w:w="2142" w:type="dxa"/>
            <w:tcBorders>
              <w:top w:val="nil"/>
              <w:left w:val="nil"/>
              <w:bottom w:val="single" w:sz="4" w:space="0" w:color="auto"/>
              <w:right w:val="single" w:sz="4" w:space="0" w:color="auto"/>
            </w:tcBorders>
            <w:shd w:val="clear" w:color="auto" w:fill="auto"/>
            <w:hideMark/>
          </w:tcPr>
          <w:p w14:paraId="645BE7B4" w14:textId="77777777" w:rsidR="001028EC" w:rsidRPr="005730EC" w:rsidRDefault="001028EC" w:rsidP="00701AB3">
            <w:pPr>
              <w:rPr>
                <w:rFonts w:cs="Arial"/>
                <w:color w:val="000000"/>
                <w:sz w:val="20"/>
              </w:rPr>
            </w:pPr>
            <w:r>
              <w:rPr>
                <w:rFonts w:cs="Arial"/>
                <w:sz w:val="20"/>
              </w:rPr>
              <w:t>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w:t>
            </w:r>
          </w:p>
        </w:tc>
        <w:tc>
          <w:tcPr>
            <w:tcW w:w="2538" w:type="dxa"/>
            <w:tcBorders>
              <w:top w:val="nil"/>
              <w:left w:val="nil"/>
              <w:bottom w:val="single" w:sz="4" w:space="0" w:color="auto"/>
              <w:right w:val="single" w:sz="4" w:space="0" w:color="auto"/>
            </w:tcBorders>
            <w:shd w:val="clear" w:color="auto" w:fill="auto"/>
            <w:hideMark/>
          </w:tcPr>
          <w:p w14:paraId="34D4D9CE" w14:textId="77777777" w:rsidR="001028EC" w:rsidRPr="005730EC" w:rsidRDefault="001028EC" w:rsidP="00701AB3">
            <w:pPr>
              <w:rPr>
                <w:rFonts w:cs="Arial"/>
                <w:color w:val="000000"/>
                <w:sz w:val="20"/>
              </w:rPr>
            </w:pPr>
            <w:r w:rsidRPr="005730EC">
              <w:rPr>
                <w:rFonts w:cs="Arial"/>
                <w:color w:val="000000"/>
                <w:sz w:val="20"/>
              </w:rPr>
              <w:t xml:space="preserve">The </w:t>
            </w:r>
            <w:r>
              <w:rPr>
                <w:rFonts w:cs="Arial"/>
                <w:sz w:val="20"/>
              </w:rPr>
              <w:t>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are defined, updated, and tested for the EIM Entity Scheduling Coordinator</w:t>
            </w:r>
          </w:p>
        </w:tc>
        <w:tc>
          <w:tcPr>
            <w:tcW w:w="2862" w:type="dxa"/>
            <w:tcBorders>
              <w:top w:val="nil"/>
              <w:left w:val="nil"/>
              <w:bottom w:val="single" w:sz="4" w:space="0" w:color="auto"/>
              <w:right w:val="single" w:sz="4" w:space="0" w:color="auto"/>
            </w:tcBorders>
            <w:shd w:val="clear" w:color="auto" w:fill="auto"/>
            <w:hideMark/>
          </w:tcPr>
          <w:p w14:paraId="64B47F83" w14:textId="77777777" w:rsidR="001028EC" w:rsidRPr="005730EC" w:rsidRDefault="001028EC" w:rsidP="00701AB3">
            <w:pPr>
              <w:rPr>
                <w:rFonts w:cs="Arial"/>
                <w:color w:val="000000"/>
                <w:sz w:val="20"/>
              </w:rPr>
            </w:pPr>
            <w:r w:rsidRPr="005730EC">
              <w:rPr>
                <w:rFonts w:cs="Arial"/>
                <w:color w:val="000000"/>
                <w:sz w:val="20"/>
              </w:rPr>
              <w:t xml:space="preserve">The </w:t>
            </w:r>
            <w:r>
              <w:rPr>
                <w:rFonts w:cs="Arial"/>
                <w:sz w:val="20"/>
              </w:rPr>
              <w:t>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are updated tested and implemented prior to parallel operations date.</w:t>
            </w:r>
          </w:p>
        </w:tc>
      </w:tr>
      <w:tr w:rsidR="001028EC" w:rsidRPr="005730EC" w14:paraId="724F4471" w14:textId="77777777" w:rsidTr="009E26DA">
        <w:trPr>
          <w:trHeight w:val="2699"/>
        </w:trPr>
        <w:tc>
          <w:tcPr>
            <w:tcW w:w="1260" w:type="dxa"/>
            <w:tcBorders>
              <w:top w:val="nil"/>
              <w:left w:val="single" w:sz="4" w:space="0" w:color="auto"/>
              <w:bottom w:val="single" w:sz="4" w:space="0" w:color="auto"/>
              <w:right w:val="single" w:sz="4" w:space="0" w:color="auto"/>
            </w:tcBorders>
            <w:shd w:val="clear" w:color="000000" w:fill="FFFFFF"/>
            <w:noWrap/>
            <w:hideMark/>
          </w:tcPr>
          <w:p w14:paraId="5F47555E" w14:textId="77777777" w:rsidR="001028EC" w:rsidRPr="005730EC" w:rsidRDefault="001028EC" w:rsidP="00701AB3">
            <w:pPr>
              <w:jc w:val="center"/>
              <w:rPr>
                <w:rFonts w:cs="Arial"/>
                <w:color w:val="000000"/>
                <w:sz w:val="20"/>
              </w:rPr>
            </w:pPr>
            <w:r w:rsidRPr="005730EC">
              <w:rPr>
                <w:rFonts w:cs="Arial"/>
                <w:color w:val="000000"/>
                <w:sz w:val="20"/>
              </w:rPr>
              <w:t>15</w:t>
            </w:r>
          </w:p>
        </w:tc>
        <w:tc>
          <w:tcPr>
            <w:tcW w:w="1440" w:type="dxa"/>
            <w:tcBorders>
              <w:top w:val="nil"/>
              <w:left w:val="nil"/>
              <w:bottom w:val="single" w:sz="4" w:space="0" w:color="auto"/>
              <w:right w:val="single" w:sz="4" w:space="0" w:color="auto"/>
            </w:tcBorders>
            <w:shd w:val="clear" w:color="auto" w:fill="auto"/>
            <w:hideMark/>
          </w:tcPr>
          <w:p w14:paraId="4EA2F1A8"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5C1D9332" w14:textId="77777777" w:rsidR="001028EC" w:rsidRPr="005730EC" w:rsidRDefault="001028EC" w:rsidP="00701AB3">
            <w:pPr>
              <w:rPr>
                <w:rFonts w:cs="Arial"/>
                <w:color w:val="000000"/>
                <w:sz w:val="20"/>
              </w:rPr>
            </w:pPr>
            <w:r w:rsidRPr="005730EC">
              <w:rPr>
                <w:rFonts w:cs="Arial"/>
                <w:color w:val="000000"/>
                <w:sz w:val="20"/>
              </w:rPr>
              <w:t xml:space="preserve">Functional Testing </w:t>
            </w:r>
          </w:p>
        </w:tc>
        <w:tc>
          <w:tcPr>
            <w:tcW w:w="2538" w:type="dxa"/>
            <w:tcBorders>
              <w:top w:val="nil"/>
              <w:left w:val="nil"/>
              <w:bottom w:val="single" w:sz="4" w:space="0" w:color="auto"/>
              <w:right w:val="single" w:sz="4" w:space="0" w:color="auto"/>
            </w:tcBorders>
            <w:shd w:val="clear" w:color="auto" w:fill="auto"/>
            <w:hideMark/>
          </w:tcPr>
          <w:p w14:paraId="75A4C4D8" w14:textId="77777777"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EIM Entity and the CAISO will test the functional and system elements in accordance with  functional and system testing documentation posted on the CAISO website</w:t>
            </w:r>
          </w:p>
        </w:tc>
        <w:tc>
          <w:tcPr>
            <w:tcW w:w="2862" w:type="dxa"/>
            <w:tcBorders>
              <w:top w:val="nil"/>
              <w:left w:val="nil"/>
              <w:bottom w:val="single" w:sz="4" w:space="0" w:color="auto"/>
              <w:right w:val="single" w:sz="4" w:space="0" w:color="auto"/>
            </w:tcBorders>
            <w:shd w:val="clear" w:color="auto" w:fill="auto"/>
            <w:hideMark/>
          </w:tcPr>
          <w:p w14:paraId="4D2090F2" w14:textId="77777777" w:rsidR="001028EC" w:rsidRPr="005730EC" w:rsidRDefault="001028EC" w:rsidP="00701AB3">
            <w:pPr>
              <w:rPr>
                <w:rFonts w:cs="Arial"/>
                <w:color w:val="000000"/>
                <w:sz w:val="20"/>
              </w:rPr>
            </w:pPr>
            <w:r w:rsidRPr="005730EC">
              <w:rPr>
                <w:rFonts w:cs="Arial"/>
                <w:color w:val="000000"/>
                <w:sz w:val="20"/>
              </w:rPr>
              <w:t xml:space="preserve">All tasks identified in the functional and system testing documentation are completed and will not have any issues deemed significant. </w:t>
            </w:r>
          </w:p>
          <w:p w14:paraId="75658521" w14:textId="77777777" w:rsidR="001028EC" w:rsidRPr="005730EC" w:rsidRDefault="001028EC" w:rsidP="00701AB3">
            <w:pPr>
              <w:rPr>
                <w:rFonts w:cs="Arial"/>
                <w:color w:val="000000"/>
                <w:sz w:val="20"/>
              </w:rPr>
            </w:pPr>
          </w:p>
          <w:p w14:paraId="52B12E6F" w14:textId="77777777" w:rsidR="001028EC" w:rsidRPr="005730EC" w:rsidRDefault="001028EC" w:rsidP="00701AB3">
            <w:pPr>
              <w:rPr>
                <w:rFonts w:cs="Arial"/>
                <w:color w:val="000000"/>
                <w:sz w:val="20"/>
              </w:rPr>
            </w:pPr>
            <w:r w:rsidRPr="005730EC">
              <w:rPr>
                <w:rFonts w:cs="Arial"/>
                <w:color w:val="000000"/>
                <w:sz w:val="20"/>
              </w:rPr>
              <w:t xml:space="preserve">Any exceptions will be explained </w:t>
            </w:r>
            <w:r w:rsidRPr="003F37C8">
              <w:rPr>
                <w:rFonts w:cs="Arial"/>
                <w:color w:val="000000"/>
                <w:sz w:val="20"/>
              </w:rPr>
              <w:t>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tc>
      </w:tr>
      <w:tr w:rsidR="001028EC" w:rsidRPr="005730EC" w14:paraId="697F0107"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6601A75F" w14:textId="77777777" w:rsidR="001028EC" w:rsidRPr="005730EC" w:rsidRDefault="001028EC" w:rsidP="00701AB3">
            <w:pPr>
              <w:jc w:val="center"/>
              <w:rPr>
                <w:rFonts w:cs="Arial"/>
                <w:color w:val="000000"/>
                <w:sz w:val="20"/>
              </w:rPr>
            </w:pPr>
            <w:r w:rsidRPr="005730EC">
              <w:rPr>
                <w:rFonts w:cs="Arial"/>
                <w:color w:val="000000"/>
                <w:sz w:val="20"/>
              </w:rPr>
              <w:t>16</w:t>
            </w:r>
          </w:p>
        </w:tc>
        <w:tc>
          <w:tcPr>
            <w:tcW w:w="1440" w:type="dxa"/>
            <w:tcBorders>
              <w:top w:val="nil"/>
              <w:left w:val="nil"/>
              <w:bottom w:val="single" w:sz="4" w:space="0" w:color="auto"/>
              <w:right w:val="single" w:sz="4" w:space="0" w:color="auto"/>
            </w:tcBorders>
            <w:shd w:val="clear" w:color="auto" w:fill="auto"/>
            <w:hideMark/>
          </w:tcPr>
          <w:p w14:paraId="687EDF52"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664A37A3" w14:textId="77777777" w:rsidR="001028EC" w:rsidRPr="005730EC" w:rsidRDefault="001028EC" w:rsidP="00701AB3">
            <w:pPr>
              <w:rPr>
                <w:rFonts w:cs="Arial"/>
                <w:color w:val="000000"/>
                <w:sz w:val="20"/>
              </w:rPr>
            </w:pPr>
            <w:r w:rsidRPr="005730EC">
              <w:rPr>
                <w:rFonts w:cs="Arial"/>
                <w:color w:val="000000"/>
                <w:sz w:val="20"/>
              </w:rPr>
              <w:t xml:space="preserve">System Integration </w:t>
            </w:r>
          </w:p>
        </w:tc>
        <w:tc>
          <w:tcPr>
            <w:tcW w:w="2538" w:type="dxa"/>
            <w:tcBorders>
              <w:top w:val="nil"/>
              <w:left w:val="nil"/>
              <w:bottom w:val="single" w:sz="4" w:space="0" w:color="auto"/>
              <w:right w:val="single" w:sz="4" w:space="0" w:color="auto"/>
            </w:tcBorders>
            <w:shd w:val="clear" w:color="auto" w:fill="auto"/>
            <w:hideMark/>
          </w:tcPr>
          <w:p w14:paraId="484542CE" w14:textId="77777777"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EIM Entity and CAISO will test system integration testing in accordance with the system integration testing documentation posted on the CAISO website</w:t>
            </w:r>
          </w:p>
        </w:tc>
        <w:tc>
          <w:tcPr>
            <w:tcW w:w="2862" w:type="dxa"/>
            <w:tcBorders>
              <w:top w:val="nil"/>
              <w:left w:val="nil"/>
              <w:bottom w:val="single" w:sz="4" w:space="0" w:color="auto"/>
              <w:right w:val="single" w:sz="4" w:space="0" w:color="auto"/>
            </w:tcBorders>
            <w:shd w:val="clear" w:color="auto" w:fill="auto"/>
            <w:hideMark/>
          </w:tcPr>
          <w:p w14:paraId="2420A377" w14:textId="77777777" w:rsidR="001028EC" w:rsidRPr="005730EC" w:rsidRDefault="001028EC" w:rsidP="00701AB3">
            <w:pPr>
              <w:rPr>
                <w:rFonts w:cs="Arial"/>
                <w:color w:val="000000"/>
                <w:sz w:val="20"/>
              </w:rPr>
            </w:pPr>
            <w:r w:rsidRPr="005730EC">
              <w:rPr>
                <w:rFonts w:cs="Arial"/>
                <w:color w:val="000000"/>
                <w:sz w:val="20"/>
              </w:rPr>
              <w:t xml:space="preserve">All tasks identified in the system integration testing documentation are completed and will not have any issues deemed significant. </w:t>
            </w:r>
          </w:p>
          <w:p w14:paraId="132BE2C7" w14:textId="77777777" w:rsidR="001028EC" w:rsidRPr="005730EC" w:rsidRDefault="001028EC" w:rsidP="00701AB3">
            <w:pPr>
              <w:rPr>
                <w:rFonts w:cs="Arial"/>
                <w:color w:val="000000"/>
                <w:sz w:val="20"/>
              </w:rPr>
            </w:pPr>
          </w:p>
          <w:p w14:paraId="15A797E7" w14:textId="77777777" w:rsidR="001028EC" w:rsidRPr="003F37C8" w:rsidRDefault="001028EC" w:rsidP="00701AB3">
            <w:pPr>
              <w:rPr>
                <w:rFonts w:cs="Arial"/>
                <w:sz w:val="20"/>
              </w:rPr>
            </w:pPr>
            <w:r w:rsidRPr="005730EC">
              <w:rPr>
                <w:rFonts w:cs="Arial"/>
                <w:color w:val="000000"/>
                <w:sz w:val="20"/>
              </w:rPr>
              <w:lastRenderedPageBreak/>
              <w:t xml:space="preserve">Any exceptions will be explained </w:t>
            </w:r>
            <w:r w:rsidRPr="003F37C8">
              <w:rPr>
                <w:rFonts w:cs="Arial"/>
                <w:color w:val="000000"/>
                <w:sz w:val="20"/>
              </w:rPr>
              <w:t>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597B47D1" w14:textId="77777777" w:rsidR="001028EC" w:rsidRPr="005730EC" w:rsidRDefault="001028EC" w:rsidP="00701AB3">
            <w:pPr>
              <w:rPr>
                <w:rFonts w:cs="Arial"/>
                <w:color w:val="000000"/>
                <w:sz w:val="20"/>
              </w:rPr>
            </w:pPr>
          </w:p>
        </w:tc>
      </w:tr>
      <w:tr w:rsidR="001028EC" w:rsidRPr="005730EC" w14:paraId="653AC558"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48575D28" w14:textId="77777777" w:rsidR="001028EC" w:rsidRPr="005730EC" w:rsidRDefault="001028EC" w:rsidP="00701AB3">
            <w:pPr>
              <w:jc w:val="center"/>
              <w:rPr>
                <w:rFonts w:cs="Arial"/>
                <w:color w:val="000000"/>
                <w:sz w:val="20"/>
              </w:rPr>
            </w:pPr>
            <w:r w:rsidRPr="005730EC">
              <w:rPr>
                <w:rFonts w:cs="Arial"/>
                <w:color w:val="000000"/>
                <w:sz w:val="20"/>
              </w:rPr>
              <w:lastRenderedPageBreak/>
              <w:t>17</w:t>
            </w:r>
          </w:p>
        </w:tc>
        <w:tc>
          <w:tcPr>
            <w:tcW w:w="1440" w:type="dxa"/>
            <w:tcBorders>
              <w:top w:val="nil"/>
              <w:left w:val="nil"/>
              <w:bottom w:val="single" w:sz="4" w:space="0" w:color="auto"/>
              <w:right w:val="single" w:sz="4" w:space="0" w:color="auto"/>
            </w:tcBorders>
            <w:shd w:val="clear" w:color="auto" w:fill="auto"/>
            <w:hideMark/>
          </w:tcPr>
          <w:p w14:paraId="5A9DABC9"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6DD41934" w14:textId="77777777" w:rsidR="001028EC" w:rsidRPr="005730EC" w:rsidRDefault="001028EC" w:rsidP="00701AB3">
            <w:pPr>
              <w:rPr>
                <w:rFonts w:cs="Arial"/>
                <w:color w:val="000000"/>
                <w:sz w:val="20"/>
              </w:rPr>
            </w:pPr>
            <w:r>
              <w:rPr>
                <w:rFonts w:cs="Arial"/>
                <w:sz w:val="20"/>
              </w:rPr>
              <w:t>The pr</w:t>
            </w:r>
            <w:r w:rsidRPr="00200458">
              <w:rPr>
                <w:rFonts w:cs="Arial"/>
                <w:sz w:val="20"/>
              </w:rPr>
              <w:t xml:space="preserve">ospective </w:t>
            </w:r>
            <w:r w:rsidRPr="005730EC">
              <w:rPr>
                <w:rFonts w:cs="Arial"/>
                <w:color w:val="000000"/>
                <w:sz w:val="20"/>
              </w:rPr>
              <w:t>EIM Entity system access complete</w:t>
            </w:r>
          </w:p>
        </w:tc>
        <w:tc>
          <w:tcPr>
            <w:tcW w:w="2538" w:type="dxa"/>
            <w:tcBorders>
              <w:top w:val="nil"/>
              <w:left w:val="nil"/>
              <w:bottom w:val="single" w:sz="4" w:space="0" w:color="auto"/>
              <w:right w:val="single" w:sz="4" w:space="0" w:color="auto"/>
            </w:tcBorders>
            <w:shd w:val="clear" w:color="auto" w:fill="auto"/>
            <w:hideMark/>
          </w:tcPr>
          <w:p w14:paraId="7CD7E243" w14:textId="77777777" w:rsidR="001028EC" w:rsidRPr="005730EC" w:rsidRDefault="001028EC" w:rsidP="00701AB3">
            <w:pPr>
              <w:rPr>
                <w:rFonts w:cs="Arial"/>
                <w:color w:val="000000"/>
                <w:sz w:val="20"/>
              </w:rPr>
            </w:pPr>
            <w:r w:rsidRPr="005730EC">
              <w:rPr>
                <w:rFonts w:cs="Arial"/>
                <w:color w:val="000000"/>
                <w:sz w:val="20"/>
              </w:rPr>
              <w:t xml:space="preserve">All </w:t>
            </w:r>
            <w:r w:rsidRPr="00200458">
              <w:rPr>
                <w:rFonts w:cs="Arial"/>
                <w:sz w:val="20"/>
              </w:rPr>
              <w:t xml:space="preserve">prospective </w:t>
            </w:r>
            <w:r w:rsidRPr="005730EC">
              <w:rPr>
                <w:rFonts w:cs="Arial"/>
                <w:color w:val="000000"/>
                <w:sz w:val="20"/>
              </w:rPr>
              <w:t>EIM Entity employees who require system access to perform EIM-related job functions identified and have necessary certificates.</w:t>
            </w:r>
          </w:p>
        </w:tc>
        <w:tc>
          <w:tcPr>
            <w:tcW w:w="2862" w:type="dxa"/>
            <w:tcBorders>
              <w:top w:val="nil"/>
              <w:left w:val="nil"/>
              <w:bottom w:val="single" w:sz="4" w:space="0" w:color="auto"/>
              <w:right w:val="single" w:sz="4" w:space="0" w:color="auto"/>
            </w:tcBorders>
            <w:shd w:val="clear" w:color="auto" w:fill="auto"/>
            <w:hideMark/>
          </w:tcPr>
          <w:p w14:paraId="011026A5" w14:textId="77777777" w:rsidR="001028EC" w:rsidRPr="005730EC" w:rsidRDefault="001028EC" w:rsidP="00701AB3">
            <w:pPr>
              <w:rPr>
                <w:rFonts w:cs="Arial"/>
                <w:color w:val="000000"/>
                <w:sz w:val="20"/>
              </w:rPr>
            </w:pPr>
            <w:r w:rsidRPr="005730EC">
              <w:rPr>
                <w:rFonts w:cs="Arial"/>
                <w:color w:val="000000"/>
                <w:sz w:val="20"/>
              </w:rPr>
              <w:t xml:space="preserve">All </w:t>
            </w:r>
            <w:r w:rsidRPr="00200458">
              <w:rPr>
                <w:rFonts w:cs="Arial"/>
                <w:sz w:val="20"/>
              </w:rPr>
              <w:t xml:space="preserve">prospective </w:t>
            </w:r>
            <w:r w:rsidRPr="005730EC">
              <w:rPr>
                <w:rFonts w:cs="Arial"/>
                <w:color w:val="000000"/>
                <w:sz w:val="20"/>
              </w:rPr>
              <w:t>EIM Employees performing job functions for EIM market are identified.</w:t>
            </w:r>
            <w:r w:rsidRPr="005730EC">
              <w:rPr>
                <w:rFonts w:cs="Arial"/>
                <w:color w:val="000000"/>
                <w:sz w:val="20"/>
              </w:rPr>
              <w:br/>
            </w:r>
          </w:p>
          <w:p w14:paraId="63A7369F" w14:textId="77777777" w:rsidR="001028EC" w:rsidRPr="005730EC" w:rsidRDefault="001028EC" w:rsidP="00701AB3">
            <w:pPr>
              <w:rPr>
                <w:rFonts w:cs="Arial"/>
                <w:color w:val="000000"/>
                <w:sz w:val="20"/>
              </w:rPr>
            </w:pPr>
            <w:r w:rsidRPr="005730EC">
              <w:rPr>
                <w:rFonts w:cs="Arial"/>
                <w:color w:val="000000"/>
                <w:sz w:val="20"/>
              </w:rPr>
              <w:t xml:space="preserve">All CASIO issued certificates are requested within the appropriate timeframes. </w:t>
            </w:r>
          </w:p>
          <w:p w14:paraId="20E751D3" w14:textId="77777777" w:rsidR="001028EC" w:rsidRPr="005730EC" w:rsidRDefault="001028EC" w:rsidP="00701AB3">
            <w:pPr>
              <w:rPr>
                <w:rFonts w:cs="Arial"/>
                <w:color w:val="000000"/>
                <w:sz w:val="20"/>
              </w:rPr>
            </w:pPr>
            <w:r w:rsidRPr="005730EC">
              <w:rPr>
                <w:rFonts w:cs="Arial"/>
                <w:color w:val="000000"/>
                <w:sz w:val="20"/>
              </w:rPr>
              <w:br/>
              <w:t>All identified employees provided the necessary EIM system access certificates.</w:t>
            </w:r>
          </w:p>
        </w:tc>
      </w:tr>
      <w:tr w:rsidR="001028EC" w:rsidRPr="005730EC" w14:paraId="78521ABA"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1AB1BBEE" w14:textId="77777777" w:rsidR="001028EC" w:rsidRPr="005730EC" w:rsidRDefault="001028EC" w:rsidP="00701AB3">
            <w:pPr>
              <w:jc w:val="center"/>
              <w:rPr>
                <w:rFonts w:cs="Arial"/>
                <w:color w:val="000000"/>
                <w:sz w:val="20"/>
              </w:rPr>
            </w:pPr>
            <w:r w:rsidRPr="005730EC">
              <w:rPr>
                <w:rFonts w:cs="Arial"/>
                <w:color w:val="000000"/>
                <w:sz w:val="20"/>
              </w:rPr>
              <w:t>18</w:t>
            </w:r>
          </w:p>
        </w:tc>
        <w:tc>
          <w:tcPr>
            <w:tcW w:w="1440" w:type="dxa"/>
            <w:tcBorders>
              <w:top w:val="nil"/>
              <w:left w:val="nil"/>
              <w:bottom w:val="single" w:sz="4" w:space="0" w:color="auto"/>
              <w:right w:val="single" w:sz="4" w:space="0" w:color="auto"/>
            </w:tcBorders>
            <w:shd w:val="clear" w:color="auto" w:fill="auto"/>
            <w:hideMark/>
          </w:tcPr>
          <w:p w14:paraId="2F834FB6"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noWrap/>
            <w:hideMark/>
          </w:tcPr>
          <w:p w14:paraId="5B95C013" w14:textId="77777777" w:rsidR="001028EC" w:rsidRPr="005730EC" w:rsidRDefault="001028EC" w:rsidP="00701AB3">
            <w:pPr>
              <w:rPr>
                <w:rFonts w:cs="Arial"/>
                <w:color w:val="000000"/>
                <w:sz w:val="20"/>
              </w:rPr>
            </w:pPr>
            <w:r w:rsidRPr="005730EC">
              <w:rPr>
                <w:rFonts w:cs="Arial"/>
                <w:color w:val="000000"/>
                <w:sz w:val="20"/>
              </w:rPr>
              <w:t xml:space="preserve">ISO - </w:t>
            </w:r>
            <w:r w:rsidRPr="00200458">
              <w:rPr>
                <w:rFonts w:cs="Arial"/>
                <w:sz w:val="20"/>
              </w:rPr>
              <w:t xml:space="preserve">prospective </w:t>
            </w:r>
            <w:r w:rsidRPr="005730EC">
              <w:rPr>
                <w:rFonts w:cs="Arial"/>
                <w:color w:val="000000"/>
                <w:sz w:val="20"/>
              </w:rPr>
              <w:t xml:space="preserve">EIM Entity interfaces </w:t>
            </w:r>
          </w:p>
        </w:tc>
        <w:tc>
          <w:tcPr>
            <w:tcW w:w="2538" w:type="dxa"/>
            <w:tcBorders>
              <w:top w:val="nil"/>
              <w:left w:val="nil"/>
              <w:bottom w:val="single" w:sz="4" w:space="0" w:color="auto"/>
              <w:right w:val="single" w:sz="4" w:space="0" w:color="auto"/>
            </w:tcBorders>
            <w:shd w:val="clear" w:color="auto" w:fill="auto"/>
            <w:hideMark/>
          </w:tcPr>
          <w:p w14:paraId="1AF67345" w14:textId="77777777" w:rsidR="001028EC" w:rsidRPr="005730EC" w:rsidRDefault="001028EC" w:rsidP="00701AB3">
            <w:pPr>
              <w:rPr>
                <w:rFonts w:cs="Arial"/>
                <w:color w:val="000000"/>
                <w:sz w:val="20"/>
              </w:rPr>
            </w:pPr>
            <w:r w:rsidRPr="005730EC">
              <w:rPr>
                <w:rFonts w:cs="Arial"/>
                <w:color w:val="000000"/>
                <w:sz w:val="20"/>
              </w:rPr>
              <w:t xml:space="preserve">Data interfaces between </w:t>
            </w:r>
            <w:r>
              <w:rPr>
                <w:rFonts w:cs="Arial"/>
                <w:color w:val="000000"/>
                <w:sz w:val="20"/>
              </w:rPr>
              <w:t xml:space="preserve">prospective </w:t>
            </w:r>
            <w:r w:rsidRPr="005730EC">
              <w:rPr>
                <w:rFonts w:cs="Arial"/>
                <w:color w:val="000000"/>
                <w:sz w:val="20"/>
              </w:rPr>
              <w:t>EIM Entity</w:t>
            </w:r>
            <w:r>
              <w:rPr>
                <w:rFonts w:cs="Arial"/>
                <w:color w:val="000000"/>
                <w:sz w:val="20"/>
              </w:rPr>
              <w:t xml:space="preserve">’s </w:t>
            </w:r>
            <w:r w:rsidRPr="005730EC">
              <w:rPr>
                <w:rFonts w:cs="Arial"/>
                <w:color w:val="000000"/>
                <w:sz w:val="20"/>
              </w:rPr>
              <w:t xml:space="preserve">systems and CAISO systems </w:t>
            </w:r>
            <w:r>
              <w:rPr>
                <w:rFonts w:cs="Arial"/>
                <w:color w:val="000000"/>
                <w:sz w:val="20"/>
              </w:rPr>
              <w:t xml:space="preserve">are </w:t>
            </w:r>
            <w:r w:rsidRPr="005730EC">
              <w:rPr>
                <w:rFonts w:cs="Arial"/>
                <w:color w:val="000000"/>
                <w:sz w:val="20"/>
              </w:rPr>
              <w:t>tested</w:t>
            </w:r>
          </w:p>
        </w:tc>
        <w:tc>
          <w:tcPr>
            <w:tcW w:w="2862" w:type="dxa"/>
            <w:tcBorders>
              <w:top w:val="nil"/>
              <w:left w:val="nil"/>
              <w:bottom w:val="single" w:sz="4" w:space="0" w:color="auto"/>
              <w:right w:val="single" w:sz="4" w:space="0" w:color="auto"/>
            </w:tcBorders>
            <w:shd w:val="clear" w:color="auto" w:fill="auto"/>
            <w:hideMark/>
          </w:tcPr>
          <w:p w14:paraId="7BB0D3C9" w14:textId="77777777" w:rsidR="001028EC" w:rsidRPr="005730EC" w:rsidRDefault="001028EC" w:rsidP="00701AB3">
            <w:pPr>
              <w:rPr>
                <w:rFonts w:cs="Arial"/>
                <w:color w:val="000000"/>
                <w:sz w:val="20"/>
              </w:rPr>
            </w:pPr>
            <w:r w:rsidRPr="005730EC">
              <w:rPr>
                <w:rFonts w:cs="Arial"/>
                <w:color w:val="000000"/>
                <w:sz w:val="20"/>
              </w:rPr>
              <w:t xml:space="preserve">ISO and </w:t>
            </w:r>
            <w:r w:rsidRPr="00200458">
              <w:rPr>
                <w:rFonts w:cs="Arial"/>
                <w:sz w:val="20"/>
              </w:rPr>
              <w:t xml:space="preserve">prospective </w:t>
            </w:r>
            <w:r w:rsidRPr="005730EC">
              <w:rPr>
                <w:rFonts w:cs="Arial"/>
                <w:color w:val="000000"/>
                <w:sz w:val="20"/>
              </w:rPr>
              <w:t>EIM Entity identify significant data interface issues.</w:t>
            </w:r>
            <w:r w:rsidRPr="005730EC">
              <w:rPr>
                <w:rFonts w:cs="Arial"/>
                <w:color w:val="000000"/>
                <w:sz w:val="20"/>
              </w:rPr>
              <w:br/>
            </w:r>
          </w:p>
          <w:p w14:paraId="49B9CF4A" w14:textId="77777777" w:rsidR="001028EC" w:rsidRPr="005730EC" w:rsidRDefault="001028EC" w:rsidP="00701AB3">
            <w:pPr>
              <w:rPr>
                <w:rFonts w:cs="Arial"/>
                <w:color w:val="000000"/>
                <w:sz w:val="20"/>
              </w:rPr>
            </w:pPr>
            <w:r w:rsidRPr="005730EC">
              <w:rPr>
                <w:rFonts w:cs="Arial"/>
                <w:color w:val="000000"/>
                <w:sz w:val="20"/>
              </w:rPr>
              <w:t xml:space="preserve">EIM Entity and CAISO executives to approve exceptions. </w:t>
            </w:r>
          </w:p>
        </w:tc>
      </w:tr>
      <w:tr w:rsidR="001028EC" w:rsidRPr="005730EC" w14:paraId="17DB4EF2"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00D85167" w14:textId="77777777" w:rsidR="001028EC" w:rsidRPr="005730EC" w:rsidRDefault="001028EC" w:rsidP="00701AB3">
            <w:pPr>
              <w:jc w:val="center"/>
              <w:rPr>
                <w:rFonts w:cs="Arial"/>
                <w:color w:val="000000"/>
                <w:sz w:val="20"/>
              </w:rPr>
            </w:pPr>
            <w:r w:rsidRPr="005730EC">
              <w:rPr>
                <w:rFonts w:cs="Arial"/>
                <w:color w:val="000000"/>
                <w:sz w:val="20"/>
              </w:rPr>
              <w:t>19</w:t>
            </w:r>
          </w:p>
        </w:tc>
        <w:tc>
          <w:tcPr>
            <w:tcW w:w="1440" w:type="dxa"/>
            <w:tcBorders>
              <w:top w:val="nil"/>
              <w:left w:val="nil"/>
              <w:bottom w:val="single" w:sz="4" w:space="0" w:color="auto"/>
              <w:right w:val="single" w:sz="4" w:space="0" w:color="auto"/>
            </w:tcBorders>
            <w:shd w:val="clear" w:color="auto" w:fill="auto"/>
            <w:hideMark/>
          </w:tcPr>
          <w:p w14:paraId="05B78B67"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6D6B9D9F" w14:textId="77777777" w:rsidR="001028EC" w:rsidRPr="005730EC" w:rsidRDefault="001028EC" w:rsidP="00701AB3">
            <w:pPr>
              <w:rPr>
                <w:rFonts w:cs="Arial"/>
                <w:color w:val="000000"/>
                <w:sz w:val="20"/>
              </w:rPr>
            </w:pPr>
            <w:r w:rsidRPr="005730EC">
              <w:rPr>
                <w:rFonts w:cs="Arial"/>
                <w:color w:val="000000"/>
                <w:sz w:val="20"/>
              </w:rPr>
              <w:t xml:space="preserve">Day in the life simulation </w:t>
            </w:r>
          </w:p>
        </w:tc>
        <w:tc>
          <w:tcPr>
            <w:tcW w:w="2538" w:type="dxa"/>
            <w:tcBorders>
              <w:top w:val="nil"/>
              <w:left w:val="nil"/>
              <w:bottom w:val="single" w:sz="4" w:space="0" w:color="auto"/>
              <w:right w:val="single" w:sz="4" w:space="0" w:color="auto"/>
            </w:tcBorders>
            <w:shd w:val="clear" w:color="auto" w:fill="auto"/>
            <w:hideMark/>
          </w:tcPr>
          <w:p w14:paraId="548AD2BB" w14:textId="77777777" w:rsidR="001028EC" w:rsidRPr="005730EC" w:rsidRDefault="001028EC" w:rsidP="00701AB3">
            <w:pPr>
              <w:rPr>
                <w:rFonts w:cs="Arial"/>
                <w:color w:val="000000"/>
                <w:sz w:val="20"/>
              </w:rPr>
            </w:pPr>
            <w:r>
              <w:rPr>
                <w:rFonts w:cs="Arial"/>
                <w:sz w:val="20"/>
              </w:rPr>
              <w:t>The 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perators are able to meet the market timelines</w:t>
            </w:r>
          </w:p>
        </w:tc>
        <w:tc>
          <w:tcPr>
            <w:tcW w:w="2862" w:type="dxa"/>
            <w:tcBorders>
              <w:top w:val="nil"/>
              <w:left w:val="nil"/>
              <w:bottom w:val="single" w:sz="4" w:space="0" w:color="auto"/>
              <w:right w:val="single" w:sz="4" w:space="0" w:color="auto"/>
            </w:tcBorders>
            <w:shd w:val="clear" w:color="auto" w:fill="auto"/>
            <w:hideMark/>
          </w:tcPr>
          <w:p w14:paraId="6CC33529" w14:textId="77777777" w:rsidR="001028EC" w:rsidRPr="005730EC" w:rsidRDefault="001028EC" w:rsidP="00701AB3">
            <w:pPr>
              <w:rPr>
                <w:rFonts w:cs="Arial"/>
                <w:color w:val="000000"/>
                <w:sz w:val="20"/>
              </w:rPr>
            </w:pPr>
            <w:r w:rsidRPr="005730EC">
              <w:rPr>
                <w:rFonts w:cs="Arial"/>
                <w:color w:val="000000"/>
                <w:sz w:val="20"/>
              </w:rPr>
              <w:t>The</w:t>
            </w:r>
            <w:r>
              <w:rPr>
                <w:rFonts w:cs="Arial"/>
                <w:color w:val="000000"/>
                <w:sz w:val="20"/>
              </w:rPr>
              <w:t xml:space="preserve"> </w:t>
            </w:r>
            <w:r w:rsidRPr="00200458">
              <w:rPr>
                <w:rFonts w:cs="Arial"/>
                <w:sz w:val="20"/>
              </w:rPr>
              <w:t>prospective</w:t>
            </w:r>
            <w:r w:rsidRPr="005730EC">
              <w:rPr>
                <w:rFonts w:cs="Arial"/>
                <w:color w:val="000000"/>
                <w:sz w:val="20"/>
              </w:rPr>
              <w:t xml:space="preserve"> EIM Entity </w:t>
            </w:r>
            <w:r>
              <w:rPr>
                <w:rFonts w:cs="Arial"/>
                <w:color w:val="000000"/>
                <w:sz w:val="20"/>
              </w:rPr>
              <w:t xml:space="preserve">grid </w:t>
            </w:r>
            <w:r w:rsidRPr="005730EC">
              <w:rPr>
                <w:rFonts w:cs="Arial"/>
                <w:color w:val="000000"/>
                <w:sz w:val="20"/>
              </w:rPr>
              <w:t>operations staff complete end-to-end daily market workflow with no critical defects</w:t>
            </w:r>
            <w:r>
              <w:rPr>
                <w:rFonts w:cs="Arial"/>
                <w:color w:val="000000"/>
                <w:sz w:val="20"/>
              </w:rPr>
              <w:t>.</w:t>
            </w:r>
          </w:p>
        </w:tc>
      </w:tr>
      <w:tr w:rsidR="001028EC" w:rsidRPr="005730EC" w14:paraId="40DFCC35"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537066DD" w14:textId="77777777" w:rsidR="001028EC" w:rsidRPr="005730EC" w:rsidRDefault="001028EC" w:rsidP="00701AB3">
            <w:pPr>
              <w:jc w:val="center"/>
              <w:rPr>
                <w:rFonts w:cs="Arial"/>
                <w:color w:val="000000"/>
                <w:sz w:val="20"/>
              </w:rPr>
            </w:pPr>
            <w:r w:rsidRPr="005730EC">
              <w:rPr>
                <w:rFonts w:cs="Arial"/>
                <w:color w:val="000000"/>
                <w:sz w:val="20"/>
              </w:rPr>
              <w:t>20</w:t>
            </w:r>
          </w:p>
        </w:tc>
        <w:tc>
          <w:tcPr>
            <w:tcW w:w="1440" w:type="dxa"/>
            <w:tcBorders>
              <w:top w:val="nil"/>
              <w:left w:val="nil"/>
              <w:bottom w:val="single" w:sz="4" w:space="0" w:color="auto"/>
              <w:right w:val="single" w:sz="4" w:space="0" w:color="auto"/>
            </w:tcBorders>
            <w:shd w:val="clear" w:color="auto" w:fill="auto"/>
            <w:hideMark/>
          </w:tcPr>
          <w:p w14:paraId="1A271B08"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6944C736" w14:textId="77777777" w:rsidR="001028EC" w:rsidRPr="005730EC" w:rsidRDefault="001028EC" w:rsidP="00701AB3">
            <w:pPr>
              <w:rPr>
                <w:rFonts w:cs="Arial"/>
                <w:color w:val="000000"/>
                <w:sz w:val="20"/>
              </w:rPr>
            </w:pPr>
            <w:r w:rsidRPr="005730EC">
              <w:rPr>
                <w:rFonts w:cs="Arial"/>
                <w:color w:val="000000"/>
                <w:sz w:val="20"/>
              </w:rPr>
              <w:t xml:space="preserve">Structured scenarios simulation </w:t>
            </w:r>
          </w:p>
        </w:tc>
        <w:tc>
          <w:tcPr>
            <w:tcW w:w="2538" w:type="dxa"/>
            <w:tcBorders>
              <w:top w:val="nil"/>
              <w:left w:val="nil"/>
              <w:bottom w:val="single" w:sz="4" w:space="0" w:color="auto"/>
              <w:right w:val="single" w:sz="4" w:space="0" w:color="auto"/>
            </w:tcBorders>
            <w:shd w:val="clear" w:color="auto" w:fill="auto"/>
            <w:hideMark/>
          </w:tcPr>
          <w:p w14:paraId="0E9B637F" w14:textId="77777777" w:rsidR="001028EC" w:rsidRPr="005730EC" w:rsidRDefault="001028EC" w:rsidP="00701AB3">
            <w:pPr>
              <w:rPr>
                <w:rFonts w:cs="Arial"/>
                <w:color w:val="000000"/>
                <w:sz w:val="20"/>
              </w:rPr>
            </w:pPr>
            <w:r>
              <w:rPr>
                <w:rFonts w:cs="Arial"/>
                <w:sz w:val="20"/>
              </w:rPr>
              <w:t>The 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perators execute and pass all structured scenarios provided by CAISO</w:t>
            </w:r>
          </w:p>
        </w:tc>
        <w:tc>
          <w:tcPr>
            <w:tcW w:w="2862" w:type="dxa"/>
            <w:tcBorders>
              <w:top w:val="nil"/>
              <w:left w:val="nil"/>
              <w:bottom w:val="single" w:sz="4" w:space="0" w:color="auto"/>
              <w:right w:val="single" w:sz="4" w:space="0" w:color="auto"/>
            </w:tcBorders>
            <w:shd w:val="clear" w:color="auto" w:fill="auto"/>
            <w:hideMark/>
          </w:tcPr>
          <w:p w14:paraId="7A44C2CB" w14:textId="77777777" w:rsidR="001028EC" w:rsidRPr="003F37C8" w:rsidRDefault="001028EC" w:rsidP="00701AB3">
            <w:pPr>
              <w:rPr>
                <w:rFonts w:cs="Arial"/>
                <w:sz w:val="20"/>
              </w:rPr>
            </w:pPr>
            <w:r w:rsidRPr="003F37C8">
              <w:rPr>
                <w:rFonts w:cs="Arial"/>
                <w:color w:val="000000"/>
                <w:sz w:val="20"/>
              </w:rPr>
              <w:t>All significant issues resolved 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3AF1E6C6" w14:textId="77777777" w:rsidR="001028EC" w:rsidRPr="003F37C8" w:rsidRDefault="001028EC" w:rsidP="00701AB3">
            <w:pPr>
              <w:rPr>
                <w:rFonts w:cs="Arial"/>
                <w:color w:val="000000"/>
                <w:sz w:val="20"/>
              </w:rPr>
            </w:pPr>
            <w:r w:rsidRPr="003F37C8">
              <w:rPr>
                <w:rFonts w:cs="Arial"/>
                <w:color w:val="000000"/>
                <w:sz w:val="20"/>
              </w:rPr>
              <w:br/>
            </w:r>
          </w:p>
          <w:p w14:paraId="6D2F0BAD" w14:textId="77777777" w:rsidR="001028EC" w:rsidRPr="003F37C8" w:rsidRDefault="001028EC" w:rsidP="00701AB3">
            <w:pPr>
              <w:rPr>
                <w:rFonts w:cs="Arial"/>
                <w:color w:val="000000"/>
                <w:sz w:val="20"/>
              </w:rPr>
            </w:pPr>
          </w:p>
        </w:tc>
      </w:tr>
      <w:tr w:rsidR="001028EC" w:rsidRPr="005730EC" w14:paraId="3ACCD969"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64A9D782" w14:textId="77777777" w:rsidR="001028EC" w:rsidRPr="005730EC" w:rsidRDefault="001028EC" w:rsidP="00701AB3">
            <w:pPr>
              <w:jc w:val="center"/>
              <w:rPr>
                <w:rFonts w:cs="Arial"/>
                <w:color w:val="000000"/>
                <w:sz w:val="20"/>
              </w:rPr>
            </w:pPr>
            <w:r w:rsidRPr="005730EC">
              <w:rPr>
                <w:rFonts w:cs="Arial"/>
                <w:color w:val="000000"/>
                <w:sz w:val="20"/>
              </w:rPr>
              <w:t>21</w:t>
            </w:r>
          </w:p>
        </w:tc>
        <w:tc>
          <w:tcPr>
            <w:tcW w:w="1440" w:type="dxa"/>
            <w:tcBorders>
              <w:top w:val="nil"/>
              <w:left w:val="nil"/>
              <w:bottom w:val="single" w:sz="4" w:space="0" w:color="auto"/>
              <w:right w:val="single" w:sz="4" w:space="0" w:color="auto"/>
            </w:tcBorders>
            <w:shd w:val="clear" w:color="auto" w:fill="auto"/>
            <w:hideMark/>
          </w:tcPr>
          <w:p w14:paraId="62BD704A"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1889AD76" w14:textId="77777777" w:rsidR="001028EC" w:rsidRPr="005730EC" w:rsidRDefault="001028EC" w:rsidP="00701AB3">
            <w:pPr>
              <w:rPr>
                <w:rFonts w:cs="Arial"/>
                <w:color w:val="000000"/>
                <w:sz w:val="20"/>
              </w:rPr>
            </w:pPr>
            <w:r w:rsidRPr="005730EC">
              <w:rPr>
                <w:rFonts w:cs="Arial"/>
                <w:color w:val="000000"/>
                <w:sz w:val="20"/>
              </w:rPr>
              <w:t>Unstructured scenarios simulation</w:t>
            </w:r>
          </w:p>
        </w:tc>
        <w:tc>
          <w:tcPr>
            <w:tcW w:w="2538" w:type="dxa"/>
            <w:tcBorders>
              <w:top w:val="nil"/>
              <w:left w:val="nil"/>
              <w:bottom w:val="single" w:sz="4" w:space="0" w:color="auto"/>
              <w:right w:val="single" w:sz="4" w:space="0" w:color="auto"/>
            </w:tcBorders>
            <w:shd w:val="clear" w:color="auto" w:fill="auto"/>
            <w:hideMark/>
          </w:tcPr>
          <w:p w14:paraId="74D054E4" w14:textId="77777777" w:rsidR="001028EC" w:rsidRPr="005730EC" w:rsidRDefault="001028EC" w:rsidP="00701AB3">
            <w:pPr>
              <w:rPr>
                <w:rFonts w:cs="Arial"/>
                <w:color w:val="000000"/>
                <w:sz w:val="20"/>
              </w:rPr>
            </w:pPr>
            <w:r>
              <w:rPr>
                <w:rFonts w:cs="Arial"/>
                <w:sz w:val="20"/>
              </w:rPr>
              <w:t>The p</w:t>
            </w:r>
            <w:r w:rsidRPr="00200458">
              <w:rPr>
                <w:rFonts w:cs="Arial"/>
                <w:sz w:val="20"/>
              </w:rPr>
              <w:t xml:space="preserve">rospective </w:t>
            </w:r>
            <w:r w:rsidRPr="005730EC">
              <w:rPr>
                <w:rFonts w:cs="Arial"/>
                <w:color w:val="000000"/>
                <w:sz w:val="20"/>
              </w:rPr>
              <w:t xml:space="preserve">EIM Entity </w:t>
            </w:r>
            <w:r>
              <w:rPr>
                <w:rFonts w:cs="Arial"/>
                <w:color w:val="000000"/>
                <w:sz w:val="20"/>
              </w:rPr>
              <w:t>o</w:t>
            </w:r>
            <w:r w:rsidRPr="005730EC">
              <w:rPr>
                <w:rFonts w:cs="Arial"/>
                <w:color w:val="000000"/>
                <w:sz w:val="20"/>
              </w:rPr>
              <w:t xml:space="preserve">perators execute and pass all unstructured scenarios provided by </w:t>
            </w:r>
            <w:r w:rsidRPr="00200458">
              <w:rPr>
                <w:rFonts w:cs="Arial"/>
                <w:sz w:val="20"/>
              </w:rPr>
              <w:t xml:space="preserve">prospective </w:t>
            </w:r>
            <w:r w:rsidRPr="005730EC">
              <w:rPr>
                <w:rFonts w:cs="Arial"/>
                <w:color w:val="000000"/>
                <w:sz w:val="20"/>
              </w:rPr>
              <w:t xml:space="preserve">EIM Entity </w:t>
            </w:r>
          </w:p>
        </w:tc>
        <w:tc>
          <w:tcPr>
            <w:tcW w:w="2862" w:type="dxa"/>
            <w:tcBorders>
              <w:top w:val="nil"/>
              <w:left w:val="nil"/>
              <w:bottom w:val="single" w:sz="4" w:space="0" w:color="auto"/>
              <w:right w:val="single" w:sz="4" w:space="0" w:color="auto"/>
            </w:tcBorders>
            <w:shd w:val="clear" w:color="auto" w:fill="auto"/>
            <w:hideMark/>
          </w:tcPr>
          <w:p w14:paraId="7755A48A" w14:textId="77777777" w:rsidR="001028EC" w:rsidRPr="003F37C8" w:rsidRDefault="001028EC" w:rsidP="00701AB3">
            <w:pPr>
              <w:rPr>
                <w:rFonts w:cs="Arial"/>
                <w:sz w:val="20"/>
              </w:rPr>
            </w:pPr>
            <w:r w:rsidRPr="003F37C8">
              <w:rPr>
                <w:rFonts w:cs="Arial"/>
                <w:color w:val="000000"/>
                <w:sz w:val="20"/>
              </w:rPr>
              <w:t>All significant issues resolved 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2B9629C3" w14:textId="77777777" w:rsidR="001028EC" w:rsidRPr="005730EC" w:rsidRDefault="001028EC" w:rsidP="00701AB3">
            <w:pPr>
              <w:rPr>
                <w:rFonts w:cs="Arial"/>
                <w:color w:val="000000"/>
                <w:sz w:val="20"/>
              </w:rPr>
            </w:pPr>
            <w:r w:rsidRPr="005730EC">
              <w:rPr>
                <w:rFonts w:cs="Arial"/>
                <w:color w:val="000000"/>
                <w:sz w:val="20"/>
              </w:rPr>
              <w:br/>
            </w:r>
          </w:p>
        </w:tc>
      </w:tr>
      <w:tr w:rsidR="001028EC" w:rsidRPr="005730EC" w14:paraId="0BBB59D7"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5FBD5421" w14:textId="77777777" w:rsidR="001028EC" w:rsidRPr="005730EC" w:rsidRDefault="001028EC" w:rsidP="00701AB3">
            <w:pPr>
              <w:jc w:val="center"/>
              <w:rPr>
                <w:rFonts w:cs="Arial"/>
                <w:color w:val="000000"/>
                <w:sz w:val="20"/>
              </w:rPr>
            </w:pPr>
            <w:r w:rsidRPr="005730EC">
              <w:rPr>
                <w:rFonts w:cs="Arial"/>
                <w:color w:val="000000"/>
                <w:sz w:val="20"/>
              </w:rPr>
              <w:t>22</w:t>
            </w:r>
          </w:p>
        </w:tc>
        <w:tc>
          <w:tcPr>
            <w:tcW w:w="1440" w:type="dxa"/>
            <w:tcBorders>
              <w:top w:val="nil"/>
              <w:left w:val="nil"/>
              <w:bottom w:val="single" w:sz="4" w:space="0" w:color="auto"/>
              <w:right w:val="single" w:sz="4" w:space="0" w:color="auto"/>
            </w:tcBorders>
            <w:shd w:val="clear" w:color="auto" w:fill="auto"/>
          </w:tcPr>
          <w:p w14:paraId="7D515EA9"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35A97015" w14:textId="77777777" w:rsidR="001028EC" w:rsidRPr="005730EC" w:rsidRDefault="001028EC" w:rsidP="00701AB3">
            <w:pPr>
              <w:rPr>
                <w:rFonts w:cs="Arial"/>
                <w:color w:val="000000"/>
                <w:sz w:val="20"/>
              </w:rPr>
            </w:pPr>
            <w:r w:rsidRPr="005730EC">
              <w:rPr>
                <w:rFonts w:cs="Arial"/>
                <w:color w:val="000000"/>
                <w:sz w:val="20"/>
              </w:rPr>
              <w:t>Market results reports</w:t>
            </w:r>
          </w:p>
        </w:tc>
        <w:tc>
          <w:tcPr>
            <w:tcW w:w="2538" w:type="dxa"/>
            <w:tcBorders>
              <w:top w:val="nil"/>
              <w:left w:val="nil"/>
              <w:bottom w:val="single" w:sz="4" w:space="0" w:color="auto"/>
              <w:right w:val="single" w:sz="4" w:space="0" w:color="auto"/>
            </w:tcBorders>
            <w:shd w:val="clear" w:color="auto" w:fill="auto"/>
          </w:tcPr>
          <w:p w14:paraId="403DA4AE" w14:textId="77777777" w:rsidR="001028EC" w:rsidRPr="005730EC" w:rsidRDefault="001028EC" w:rsidP="00701AB3">
            <w:pPr>
              <w:rPr>
                <w:rFonts w:cs="Arial"/>
                <w:color w:val="000000"/>
                <w:sz w:val="20"/>
              </w:rPr>
            </w:pPr>
            <w:r w:rsidRPr="005730EC">
              <w:rPr>
                <w:rFonts w:cs="Arial"/>
                <w:color w:val="000000"/>
                <w:sz w:val="20"/>
              </w:rPr>
              <w:t xml:space="preserve">Market results are appropriate based on inputs </w:t>
            </w:r>
          </w:p>
        </w:tc>
        <w:tc>
          <w:tcPr>
            <w:tcW w:w="2862" w:type="dxa"/>
            <w:tcBorders>
              <w:top w:val="nil"/>
              <w:left w:val="nil"/>
              <w:bottom w:val="single" w:sz="4" w:space="0" w:color="auto"/>
              <w:right w:val="single" w:sz="4" w:space="0" w:color="auto"/>
            </w:tcBorders>
            <w:shd w:val="clear" w:color="auto" w:fill="auto"/>
          </w:tcPr>
          <w:p w14:paraId="17E372E4" w14:textId="77777777" w:rsidR="001028EC" w:rsidRPr="005730EC" w:rsidRDefault="001028EC" w:rsidP="00701AB3">
            <w:pPr>
              <w:autoSpaceDE w:val="0"/>
              <w:autoSpaceDN w:val="0"/>
              <w:adjustRightInd w:val="0"/>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EIM Entity and CAISO executive project sponsors approve the market results reports during market simulation</w:t>
            </w:r>
          </w:p>
        </w:tc>
      </w:tr>
      <w:tr w:rsidR="001028EC" w:rsidRPr="005730EC" w14:paraId="355A1C02"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2D724BBF" w14:textId="77777777" w:rsidR="001028EC" w:rsidRPr="005730EC" w:rsidRDefault="001028EC" w:rsidP="00701AB3">
            <w:pPr>
              <w:jc w:val="center"/>
              <w:rPr>
                <w:rFonts w:cs="Arial"/>
                <w:color w:val="000000"/>
                <w:sz w:val="20"/>
              </w:rPr>
            </w:pPr>
            <w:r w:rsidRPr="005730EC">
              <w:rPr>
                <w:rFonts w:cs="Arial"/>
                <w:color w:val="000000"/>
                <w:sz w:val="20"/>
              </w:rPr>
              <w:lastRenderedPageBreak/>
              <w:t>23</w:t>
            </w:r>
            <w:r w:rsidR="005072AD">
              <w:rPr>
                <w:rFonts w:cs="Arial"/>
                <w:color w:val="000000"/>
                <w:sz w:val="20"/>
              </w:rPr>
              <w:t>a</w:t>
            </w:r>
          </w:p>
        </w:tc>
        <w:tc>
          <w:tcPr>
            <w:tcW w:w="1440" w:type="dxa"/>
            <w:tcBorders>
              <w:top w:val="nil"/>
              <w:left w:val="nil"/>
              <w:bottom w:val="single" w:sz="4" w:space="0" w:color="auto"/>
              <w:right w:val="single" w:sz="4" w:space="0" w:color="auto"/>
            </w:tcBorders>
            <w:shd w:val="clear" w:color="auto" w:fill="auto"/>
          </w:tcPr>
          <w:p w14:paraId="14D0B289"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255DE493" w14:textId="77777777" w:rsidR="001028EC" w:rsidRPr="005730EC" w:rsidRDefault="001028EC" w:rsidP="00701AB3">
            <w:pPr>
              <w:rPr>
                <w:rFonts w:cs="Arial"/>
                <w:color w:val="000000"/>
                <w:sz w:val="20"/>
              </w:rPr>
            </w:pPr>
            <w:r w:rsidRPr="005730EC">
              <w:rPr>
                <w:rFonts w:cs="Arial"/>
                <w:color w:val="000000"/>
                <w:sz w:val="20"/>
              </w:rPr>
              <w:t>Market quality review</w:t>
            </w:r>
          </w:p>
        </w:tc>
        <w:tc>
          <w:tcPr>
            <w:tcW w:w="2538" w:type="dxa"/>
            <w:tcBorders>
              <w:top w:val="nil"/>
              <w:left w:val="nil"/>
              <w:bottom w:val="single" w:sz="4" w:space="0" w:color="auto"/>
              <w:right w:val="single" w:sz="4" w:space="0" w:color="auto"/>
            </w:tcBorders>
            <w:shd w:val="clear" w:color="auto" w:fill="auto"/>
          </w:tcPr>
          <w:p w14:paraId="1E1694BA" w14:textId="77777777" w:rsidR="001028EC" w:rsidRPr="005730EC" w:rsidRDefault="001028EC" w:rsidP="00701AB3">
            <w:pPr>
              <w:rPr>
                <w:rFonts w:cs="Arial"/>
                <w:color w:val="000000"/>
                <w:sz w:val="20"/>
              </w:rPr>
            </w:pPr>
            <w:r w:rsidRPr="005730EC">
              <w:rPr>
                <w:rFonts w:cs="Arial"/>
                <w:color w:val="000000"/>
                <w:sz w:val="20"/>
              </w:rPr>
              <w:t>Prices are validated based on input data</w:t>
            </w:r>
          </w:p>
        </w:tc>
        <w:tc>
          <w:tcPr>
            <w:tcW w:w="2862" w:type="dxa"/>
            <w:tcBorders>
              <w:top w:val="nil"/>
              <w:left w:val="nil"/>
              <w:bottom w:val="single" w:sz="4" w:space="0" w:color="auto"/>
              <w:right w:val="single" w:sz="4" w:space="0" w:color="auto"/>
            </w:tcBorders>
            <w:shd w:val="clear" w:color="auto" w:fill="auto"/>
          </w:tcPr>
          <w:p w14:paraId="63545552" w14:textId="77777777" w:rsidR="001028EC" w:rsidRPr="005730EC" w:rsidRDefault="001028EC" w:rsidP="00701AB3">
            <w:pPr>
              <w:autoSpaceDE w:val="0"/>
              <w:autoSpaceDN w:val="0"/>
              <w:adjustRightInd w:val="0"/>
              <w:rPr>
                <w:rFonts w:cs="Arial"/>
                <w:color w:val="FF0101"/>
                <w:sz w:val="20"/>
              </w:rPr>
            </w:pPr>
            <w:r w:rsidRPr="005730EC">
              <w:rPr>
                <w:rFonts w:cs="Arial"/>
                <w:color w:val="000000"/>
                <w:sz w:val="20"/>
              </w:rPr>
              <w:t>Market simulation prices and MWs schedules/dispatches are validated by CAISO market quality team for entry into parallel operation</w:t>
            </w:r>
          </w:p>
        </w:tc>
      </w:tr>
      <w:tr w:rsidR="0048431D" w:rsidRPr="005730EC" w14:paraId="3A4F7C4F" w14:textId="77777777" w:rsidTr="0048431D">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5CF13DCF" w14:textId="77777777" w:rsidR="0048431D" w:rsidRDefault="005072AD" w:rsidP="0048431D">
            <w:pPr>
              <w:jc w:val="center"/>
              <w:rPr>
                <w:rFonts w:cs="Arial"/>
                <w:color w:val="000000"/>
                <w:sz w:val="20"/>
              </w:rPr>
            </w:pPr>
            <w:r>
              <w:rPr>
                <w:rFonts w:cs="Arial"/>
                <w:color w:val="000000"/>
                <w:sz w:val="20"/>
              </w:rPr>
              <w:t>23b</w:t>
            </w:r>
          </w:p>
        </w:tc>
        <w:tc>
          <w:tcPr>
            <w:tcW w:w="1440" w:type="dxa"/>
            <w:tcBorders>
              <w:top w:val="nil"/>
              <w:left w:val="nil"/>
              <w:bottom w:val="single" w:sz="4" w:space="0" w:color="auto"/>
              <w:right w:val="single" w:sz="4" w:space="0" w:color="auto"/>
            </w:tcBorders>
            <w:shd w:val="clear" w:color="auto" w:fill="auto"/>
          </w:tcPr>
          <w:p w14:paraId="2DDD1A2C" w14:textId="77777777" w:rsidR="0048431D" w:rsidRDefault="0048431D" w:rsidP="0048431D">
            <w:pPr>
              <w:rPr>
                <w:rFonts w:cs="Arial"/>
                <w:color w:val="000000"/>
                <w:sz w:val="20"/>
              </w:rPr>
            </w:pPr>
            <w:r>
              <w:rPr>
                <w:rFonts w:cs="Arial"/>
                <w:color w:val="000000"/>
                <w:sz w:val="20"/>
              </w:rPr>
              <w:t>Parallel Operations</w:t>
            </w:r>
          </w:p>
        </w:tc>
        <w:tc>
          <w:tcPr>
            <w:tcW w:w="2142" w:type="dxa"/>
            <w:tcBorders>
              <w:top w:val="nil"/>
              <w:left w:val="nil"/>
              <w:bottom w:val="single" w:sz="4" w:space="0" w:color="auto"/>
              <w:right w:val="single" w:sz="4" w:space="0" w:color="auto"/>
            </w:tcBorders>
            <w:shd w:val="clear" w:color="auto" w:fill="auto"/>
          </w:tcPr>
          <w:p w14:paraId="1641DA03" w14:textId="77777777" w:rsidR="0048431D" w:rsidRDefault="0048431D" w:rsidP="0048431D">
            <w:pPr>
              <w:rPr>
                <w:rFonts w:cs="Arial"/>
                <w:color w:val="000000"/>
                <w:sz w:val="20"/>
              </w:rPr>
            </w:pPr>
            <w:r w:rsidRPr="005730EC">
              <w:rPr>
                <w:rFonts w:cs="Arial"/>
                <w:color w:val="000000"/>
                <w:sz w:val="20"/>
              </w:rPr>
              <w:t>Market quality review</w:t>
            </w:r>
          </w:p>
        </w:tc>
        <w:tc>
          <w:tcPr>
            <w:tcW w:w="2538" w:type="dxa"/>
            <w:tcBorders>
              <w:top w:val="nil"/>
              <w:left w:val="nil"/>
              <w:bottom w:val="single" w:sz="4" w:space="0" w:color="auto"/>
              <w:right w:val="single" w:sz="4" w:space="0" w:color="auto"/>
            </w:tcBorders>
            <w:shd w:val="clear" w:color="auto" w:fill="auto"/>
          </w:tcPr>
          <w:p w14:paraId="77555843" w14:textId="77777777" w:rsidR="0048431D" w:rsidRDefault="0048431D" w:rsidP="0048431D">
            <w:pPr>
              <w:rPr>
                <w:rFonts w:cs="Arial"/>
                <w:color w:val="000000"/>
                <w:sz w:val="20"/>
              </w:rPr>
            </w:pPr>
            <w:r w:rsidRPr="005730EC">
              <w:rPr>
                <w:rFonts w:cs="Arial"/>
                <w:color w:val="000000"/>
                <w:sz w:val="20"/>
              </w:rPr>
              <w:t>Prices are validated based on input data</w:t>
            </w:r>
          </w:p>
        </w:tc>
        <w:tc>
          <w:tcPr>
            <w:tcW w:w="2862" w:type="dxa"/>
            <w:tcBorders>
              <w:top w:val="nil"/>
              <w:left w:val="nil"/>
              <w:bottom w:val="single" w:sz="4" w:space="0" w:color="auto"/>
              <w:right w:val="single" w:sz="4" w:space="0" w:color="auto"/>
            </w:tcBorders>
            <w:shd w:val="clear" w:color="auto" w:fill="auto"/>
          </w:tcPr>
          <w:p w14:paraId="202804DE" w14:textId="77777777" w:rsidR="0048431D" w:rsidRPr="00520345" w:rsidRDefault="009E26DA" w:rsidP="0048431D">
            <w:pPr>
              <w:rPr>
                <w:rFonts w:cs="Arial"/>
                <w:sz w:val="20"/>
              </w:rPr>
            </w:pPr>
            <w:r w:rsidRPr="009E26DA">
              <w:rPr>
                <w:rFonts w:cs="Arial"/>
                <w:sz w:val="20"/>
              </w:rPr>
              <w:t>Par</w:t>
            </w:r>
            <w:r>
              <w:rPr>
                <w:rFonts w:cs="Arial"/>
                <w:sz w:val="20"/>
              </w:rPr>
              <w:t>allel operations prices and MWs</w:t>
            </w:r>
            <w:r w:rsidR="005072AD">
              <w:rPr>
                <w:rFonts w:cs="Arial"/>
                <w:sz w:val="20"/>
              </w:rPr>
              <w:t xml:space="preserve"> </w:t>
            </w:r>
            <w:r w:rsidRPr="009E26DA">
              <w:rPr>
                <w:rFonts w:cs="Arial"/>
                <w:sz w:val="20"/>
              </w:rPr>
              <w:t xml:space="preserve">schedules/dispatches are validated by </w:t>
            </w:r>
            <w:r>
              <w:rPr>
                <w:rFonts w:cs="Arial"/>
                <w:sz w:val="20"/>
              </w:rPr>
              <w:t xml:space="preserve">the </w:t>
            </w:r>
            <w:r w:rsidRPr="009E26DA">
              <w:rPr>
                <w:rFonts w:cs="Arial"/>
                <w:sz w:val="20"/>
              </w:rPr>
              <w:t>CAISO market quality team</w:t>
            </w:r>
          </w:p>
        </w:tc>
      </w:tr>
      <w:tr w:rsidR="0048431D" w:rsidRPr="005730EC" w14:paraId="6B93989A"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1660BD5E" w14:textId="77777777" w:rsidR="0048431D" w:rsidRPr="005730EC" w:rsidRDefault="0048431D" w:rsidP="0048431D">
            <w:pPr>
              <w:jc w:val="center"/>
              <w:rPr>
                <w:rFonts w:cs="Arial"/>
                <w:color w:val="000000"/>
                <w:sz w:val="20"/>
              </w:rPr>
            </w:pPr>
            <w:r>
              <w:rPr>
                <w:rFonts w:cs="Arial"/>
                <w:color w:val="000000"/>
                <w:sz w:val="20"/>
              </w:rPr>
              <w:t>24</w:t>
            </w:r>
          </w:p>
        </w:tc>
        <w:tc>
          <w:tcPr>
            <w:tcW w:w="1440" w:type="dxa"/>
            <w:tcBorders>
              <w:top w:val="nil"/>
              <w:left w:val="nil"/>
              <w:bottom w:val="single" w:sz="4" w:space="0" w:color="auto"/>
              <w:right w:val="single" w:sz="4" w:space="0" w:color="auto"/>
            </w:tcBorders>
            <w:shd w:val="clear" w:color="auto" w:fill="auto"/>
          </w:tcPr>
          <w:p w14:paraId="184D6A63" w14:textId="77777777" w:rsidR="0048431D" w:rsidRPr="005730EC" w:rsidRDefault="0048431D" w:rsidP="0048431D">
            <w:pPr>
              <w:rPr>
                <w:rFonts w:cs="Arial"/>
                <w:color w:val="000000"/>
                <w:sz w:val="20"/>
              </w:rPr>
            </w:pPr>
            <w:r>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6CF70405" w14:textId="77777777" w:rsidR="0048431D" w:rsidRPr="005730EC" w:rsidRDefault="0048431D" w:rsidP="0048431D">
            <w:pPr>
              <w:rPr>
                <w:rFonts w:cs="Arial"/>
                <w:color w:val="000000"/>
                <w:sz w:val="20"/>
              </w:rPr>
            </w:pPr>
            <w:r>
              <w:rPr>
                <w:rFonts w:cs="Arial"/>
                <w:color w:val="000000"/>
                <w:sz w:val="20"/>
              </w:rPr>
              <w:t>The prospective EIM Entity Identification</w:t>
            </w:r>
          </w:p>
        </w:tc>
        <w:tc>
          <w:tcPr>
            <w:tcW w:w="2538" w:type="dxa"/>
            <w:tcBorders>
              <w:top w:val="nil"/>
              <w:left w:val="nil"/>
              <w:bottom w:val="single" w:sz="4" w:space="0" w:color="auto"/>
              <w:right w:val="single" w:sz="4" w:space="0" w:color="auto"/>
            </w:tcBorders>
            <w:shd w:val="clear" w:color="auto" w:fill="auto"/>
          </w:tcPr>
          <w:p w14:paraId="5B622C86" w14:textId="77777777" w:rsidR="0048431D" w:rsidRPr="00520345" w:rsidRDefault="0048431D" w:rsidP="0048431D">
            <w:pPr>
              <w:rPr>
                <w:rFonts w:cs="Arial"/>
                <w:color w:val="000000"/>
                <w:sz w:val="20"/>
              </w:rPr>
            </w:pPr>
            <w:r>
              <w:rPr>
                <w:rFonts w:cs="Arial"/>
                <w:color w:val="000000"/>
                <w:sz w:val="20"/>
              </w:rPr>
              <w:t>Validation of SCID’s and Resource ID’s</w:t>
            </w:r>
          </w:p>
        </w:tc>
        <w:tc>
          <w:tcPr>
            <w:tcW w:w="2862" w:type="dxa"/>
            <w:tcBorders>
              <w:top w:val="nil"/>
              <w:left w:val="nil"/>
              <w:bottom w:val="single" w:sz="4" w:space="0" w:color="auto"/>
              <w:right w:val="single" w:sz="4" w:space="0" w:color="auto"/>
            </w:tcBorders>
            <w:shd w:val="clear" w:color="auto" w:fill="auto"/>
          </w:tcPr>
          <w:p w14:paraId="6053027E" w14:textId="77777777" w:rsidR="0048431D" w:rsidRPr="00520345" w:rsidRDefault="0048431D" w:rsidP="0048431D">
            <w:pPr>
              <w:rPr>
                <w:rFonts w:cs="Arial"/>
                <w:color w:val="000000"/>
                <w:sz w:val="20"/>
              </w:rPr>
            </w:pPr>
            <w:r w:rsidRPr="00520345">
              <w:rPr>
                <w:rFonts w:cs="Arial"/>
                <w:sz w:val="20"/>
              </w:rPr>
              <w:t>The CAISO has established and the prospective EIM Entity has tested all necessary SCIDs and Resource IDs established for the prospective EIM Entity’s Balancing Authority Area</w:t>
            </w:r>
          </w:p>
        </w:tc>
      </w:tr>
      <w:tr w:rsidR="0048431D" w:rsidRPr="005730EC" w14:paraId="40D853F3" w14:textId="77777777" w:rsidTr="009E26DA">
        <w:trPr>
          <w:trHeight w:val="530"/>
        </w:trPr>
        <w:tc>
          <w:tcPr>
            <w:tcW w:w="1260" w:type="dxa"/>
            <w:tcBorders>
              <w:top w:val="nil"/>
              <w:left w:val="single" w:sz="4" w:space="0" w:color="auto"/>
              <w:bottom w:val="single" w:sz="4" w:space="0" w:color="auto"/>
              <w:right w:val="single" w:sz="4" w:space="0" w:color="auto"/>
            </w:tcBorders>
            <w:shd w:val="clear" w:color="000000" w:fill="FFFFFF"/>
            <w:noWrap/>
          </w:tcPr>
          <w:p w14:paraId="18523D51" w14:textId="77777777" w:rsidR="0048431D" w:rsidRPr="005730EC" w:rsidRDefault="0048431D" w:rsidP="0048431D">
            <w:pPr>
              <w:jc w:val="center"/>
              <w:rPr>
                <w:rFonts w:cs="Arial"/>
                <w:color w:val="000000"/>
                <w:sz w:val="20"/>
              </w:rPr>
            </w:pPr>
            <w:r>
              <w:rPr>
                <w:rFonts w:cs="Arial"/>
                <w:color w:val="000000"/>
                <w:sz w:val="20"/>
              </w:rPr>
              <w:t>25</w:t>
            </w:r>
          </w:p>
        </w:tc>
        <w:tc>
          <w:tcPr>
            <w:tcW w:w="1440" w:type="dxa"/>
            <w:tcBorders>
              <w:top w:val="nil"/>
              <w:left w:val="nil"/>
              <w:bottom w:val="single" w:sz="4" w:space="0" w:color="auto"/>
              <w:right w:val="single" w:sz="4" w:space="0" w:color="auto"/>
            </w:tcBorders>
            <w:shd w:val="clear" w:color="auto" w:fill="auto"/>
          </w:tcPr>
          <w:p w14:paraId="2606F929" w14:textId="77777777" w:rsidR="0048431D" w:rsidRPr="005730EC" w:rsidRDefault="0048431D" w:rsidP="0048431D">
            <w:pPr>
              <w:rPr>
                <w:rFonts w:cs="Arial"/>
                <w:color w:val="000000"/>
                <w:sz w:val="20"/>
              </w:rPr>
            </w:pPr>
            <w:r w:rsidRPr="005730EC">
              <w:rPr>
                <w:rFonts w:cs="Arial"/>
                <w:color w:val="000000"/>
                <w:sz w:val="20"/>
              </w:rPr>
              <w:t>Settlements</w:t>
            </w:r>
          </w:p>
        </w:tc>
        <w:tc>
          <w:tcPr>
            <w:tcW w:w="2142" w:type="dxa"/>
            <w:tcBorders>
              <w:top w:val="nil"/>
              <w:left w:val="nil"/>
              <w:bottom w:val="single" w:sz="4" w:space="0" w:color="auto"/>
              <w:right w:val="single" w:sz="4" w:space="0" w:color="auto"/>
            </w:tcBorders>
            <w:shd w:val="clear" w:color="auto" w:fill="auto"/>
          </w:tcPr>
          <w:p w14:paraId="74915E3A" w14:textId="77777777" w:rsidR="0048431D" w:rsidRPr="005730EC" w:rsidRDefault="0048431D" w:rsidP="0048431D">
            <w:pPr>
              <w:rPr>
                <w:rFonts w:cs="Arial"/>
                <w:color w:val="000000"/>
                <w:sz w:val="20"/>
              </w:rPr>
            </w:pPr>
            <w:r w:rsidRPr="005730EC">
              <w:rPr>
                <w:rFonts w:cs="Arial"/>
                <w:color w:val="000000"/>
                <w:sz w:val="20"/>
              </w:rPr>
              <w:t xml:space="preserve">ISO Settlement Statements and Invoices published to </w:t>
            </w:r>
            <w:r>
              <w:rPr>
                <w:rFonts w:cs="Arial"/>
                <w:color w:val="000000"/>
                <w:sz w:val="20"/>
              </w:rPr>
              <w:t xml:space="preserve">the </w:t>
            </w:r>
            <w:r w:rsidRPr="00200458">
              <w:rPr>
                <w:rFonts w:cs="Arial"/>
                <w:sz w:val="20"/>
              </w:rPr>
              <w:t xml:space="preserve">prospective </w:t>
            </w:r>
            <w:r w:rsidRPr="005730EC">
              <w:rPr>
                <w:rFonts w:cs="Arial"/>
                <w:color w:val="000000"/>
                <w:sz w:val="20"/>
              </w:rPr>
              <w:t>EIM Entity and EIM Participating Resources</w:t>
            </w:r>
          </w:p>
        </w:tc>
        <w:tc>
          <w:tcPr>
            <w:tcW w:w="2538" w:type="dxa"/>
            <w:tcBorders>
              <w:top w:val="nil"/>
              <w:left w:val="nil"/>
              <w:bottom w:val="single" w:sz="4" w:space="0" w:color="auto"/>
              <w:right w:val="single" w:sz="4" w:space="0" w:color="auto"/>
            </w:tcBorders>
            <w:shd w:val="clear" w:color="auto" w:fill="auto"/>
          </w:tcPr>
          <w:p w14:paraId="07D8CA17" w14:textId="77777777" w:rsidR="0048431D" w:rsidRPr="005730EC" w:rsidRDefault="0048431D" w:rsidP="0048431D">
            <w:pPr>
              <w:rPr>
                <w:rFonts w:cs="Arial"/>
                <w:color w:val="000000"/>
                <w:sz w:val="20"/>
              </w:rPr>
            </w:pPr>
            <w:r w:rsidRPr="005730EC">
              <w:rPr>
                <w:rFonts w:cs="Arial"/>
                <w:color w:val="000000"/>
                <w:sz w:val="20"/>
              </w:rPr>
              <w:t xml:space="preserve">The CAISO Settlement statements and invoices match the operational data </w:t>
            </w:r>
            <w:r>
              <w:rPr>
                <w:rFonts w:cs="Arial"/>
                <w:color w:val="000000"/>
                <w:sz w:val="20"/>
              </w:rPr>
              <w:t xml:space="preserve">published to stakeholders or </w:t>
            </w:r>
            <w:r w:rsidRPr="005730EC">
              <w:rPr>
                <w:rFonts w:cs="Arial"/>
                <w:color w:val="000000"/>
                <w:sz w:val="20"/>
              </w:rPr>
              <w:t>fed into</w:t>
            </w:r>
            <w:r w:rsidRPr="005730EC">
              <w:rPr>
                <w:rFonts w:cs="Arial"/>
                <w:color w:val="000000"/>
                <w:sz w:val="20"/>
              </w:rPr>
              <w:br/>
              <w:t>settlement system and the resulting calculations correspond to the formulas defined in</w:t>
            </w:r>
            <w:r w:rsidRPr="005730EC">
              <w:rPr>
                <w:rFonts w:cs="Arial"/>
                <w:color w:val="000000"/>
                <w:sz w:val="20"/>
              </w:rPr>
              <w:br/>
              <w:t>ISO’s tariff and BPMs</w:t>
            </w:r>
          </w:p>
        </w:tc>
        <w:tc>
          <w:tcPr>
            <w:tcW w:w="2862" w:type="dxa"/>
            <w:tcBorders>
              <w:top w:val="nil"/>
              <w:left w:val="nil"/>
              <w:bottom w:val="single" w:sz="4" w:space="0" w:color="auto"/>
              <w:right w:val="single" w:sz="4" w:space="0" w:color="auto"/>
            </w:tcBorders>
            <w:shd w:val="clear" w:color="auto" w:fill="auto"/>
          </w:tcPr>
          <w:p w14:paraId="22CD80F1" w14:textId="77777777" w:rsidR="0048431D" w:rsidRPr="005730EC" w:rsidRDefault="0048431D" w:rsidP="0048431D">
            <w:pPr>
              <w:rPr>
                <w:rFonts w:cs="Arial"/>
                <w:color w:val="000000"/>
                <w:sz w:val="20"/>
              </w:rPr>
            </w:pPr>
            <w:r w:rsidRPr="005730EC">
              <w:rPr>
                <w:rFonts w:cs="Arial"/>
                <w:color w:val="000000"/>
                <w:sz w:val="20"/>
              </w:rPr>
              <w:t xml:space="preserve">Monthly settlement statement and invoice with corresponding daily statements produced during market simulation </w:t>
            </w:r>
            <w:r>
              <w:rPr>
                <w:rFonts w:cs="Arial"/>
                <w:color w:val="000000"/>
                <w:sz w:val="20"/>
              </w:rPr>
              <w:t xml:space="preserve">and parallel operations </w:t>
            </w:r>
            <w:r w:rsidRPr="005730EC">
              <w:rPr>
                <w:rFonts w:cs="Arial"/>
                <w:color w:val="000000"/>
                <w:sz w:val="20"/>
              </w:rPr>
              <w:t>are verifiably accurate against available data.</w:t>
            </w:r>
            <w:r w:rsidRPr="005730EC" w:rsidDel="00592C47">
              <w:rPr>
                <w:rFonts w:cs="Arial"/>
                <w:color w:val="FF0101"/>
                <w:sz w:val="20"/>
              </w:rPr>
              <w:t xml:space="preserve"> </w:t>
            </w:r>
          </w:p>
        </w:tc>
      </w:tr>
      <w:tr w:rsidR="0048431D" w:rsidRPr="005730EC" w14:paraId="2F94E7F4" w14:textId="77777777" w:rsidTr="009E26DA">
        <w:trPr>
          <w:trHeight w:val="765"/>
        </w:trPr>
        <w:tc>
          <w:tcPr>
            <w:tcW w:w="1260" w:type="dxa"/>
            <w:tcBorders>
              <w:top w:val="nil"/>
              <w:left w:val="single" w:sz="4" w:space="0" w:color="auto"/>
              <w:bottom w:val="single" w:sz="4" w:space="0" w:color="auto"/>
              <w:right w:val="single" w:sz="4" w:space="0" w:color="auto"/>
            </w:tcBorders>
            <w:shd w:val="clear" w:color="000000" w:fill="FFFFFF"/>
            <w:noWrap/>
          </w:tcPr>
          <w:p w14:paraId="4619662C" w14:textId="77777777" w:rsidR="0048431D" w:rsidRPr="005730EC" w:rsidRDefault="0048431D" w:rsidP="0048431D">
            <w:pPr>
              <w:jc w:val="center"/>
              <w:rPr>
                <w:rFonts w:cs="Arial"/>
                <w:color w:val="000000"/>
                <w:sz w:val="20"/>
              </w:rPr>
            </w:pPr>
            <w:r>
              <w:rPr>
                <w:rFonts w:cs="Arial"/>
                <w:color w:val="000000"/>
                <w:sz w:val="20"/>
              </w:rPr>
              <w:t>26</w:t>
            </w:r>
          </w:p>
        </w:tc>
        <w:tc>
          <w:tcPr>
            <w:tcW w:w="1440" w:type="dxa"/>
            <w:tcBorders>
              <w:top w:val="nil"/>
              <w:left w:val="nil"/>
              <w:bottom w:val="single" w:sz="4" w:space="0" w:color="auto"/>
              <w:right w:val="single" w:sz="4" w:space="0" w:color="auto"/>
            </w:tcBorders>
            <w:shd w:val="clear" w:color="auto" w:fill="auto"/>
          </w:tcPr>
          <w:p w14:paraId="5771781B" w14:textId="77777777" w:rsidR="0048431D" w:rsidRPr="005730EC" w:rsidRDefault="0048431D" w:rsidP="0048431D">
            <w:pPr>
              <w:rPr>
                <w:rFonts w:cs="Arial"/>
                <w:color w:val="000000"/>
                <w:sz w:val="20"/>
              </w:rPr>
            </w:pPr>
            <w:r w:rsidRPr="005730EC">
              <w:rPr>
                <w:rFonts w:cs="Arial"/>
                <w:color w:val="000000"/>
                <w:sz w:val="20"/>
              </w:rPr>
              <w:t>Settlements</w:t>
            </w:r>
          </w:p>
        </w:tc>
        <w:tc>
          <w:tcPr>
            <w:tcW w:w="2142" w:type="dxa"/>
            <w:tcBorders>
              <w:top w:val="nil"/>
              <w:left w:val="nil"/>
              <w:bottom w:val="single" w:sz="4" w:space="0" w:color="auto"/>
              <w:right w:val="single" w:sz="4" w:space="0" w:color="auto"/>
            </w:tcBorders>
            <w:shd w:val="clear" w:color="auto" w:fill="auto"/>
          </w:tcPr>
          <w:p w14:paraId="371980A5" w14:textId="77777777" w:rsidR="0048431D" w:rsidRPr="005730EC" w:rsidRDefault="0048431D" w:rsidP="0048431D">
            <w:pPr>
              <w:rPr>
                <w:rFonts w:cs="Arial"/>
                <w:color w:val="000000"/>
                <w:sz w:val="20"/>
              </w:rPr>
            </w:pPr>
            <w:r>
              <w:rPr>
                <w:rFonts w:cs="Arial"/>
                <w:color w:val="000000"/>
                <w:sz w:val="20"/>
              </w:rPr>
              <w:t xml:space="preserve">The prospective </w:t>
            </w:r>
            <w:r w:rsidRPr="005730EC">
              <w:rPr>
                <w:rFonts w:cs="Arial"/>
                <w:color w:val="000000"/>
                <w:sz w:val="20"/>
              </w:rPr>
              <w:t xml:space="preserve">EIM Entity </w:t>
            </w:r>
            <w:r>
              <w:rPr>
                <w:rFonts w:cs="Arial"/>
                <w:color w:val="000000"/>
                <w:sz w:val="20"/>
              </w:rPr>
              <w:t>s</w:t>
            </w:r>
            <w:r w:rsidRPr="005730EC">
              <w:rPr>
                <w:rFonts w:cs="Arial"/>
                <w:color w:val="000000"/>
                <w:sz w:val="20"/>
              </w:rPr>
              <w:t xml:space="preserve">ettlement </w:t>
            </w:r>
            <w:r>
              <w:rPr>
                <w:rFonts w:cs="Arial"/>
                <w:color w:val="000000"/>
                <w:sz w:val="20"/>
              </w:rPr>
              <w:t>s</w:t>
            </w:r>
            <w:r w:rsidRPr="005730EC">
              <w:rPr>
                <w:rFonts w:cs="Arial"/>
                <w:color w:val="000000"/>
                <w:sz w:val="20"/>
              </w:rPr>
              <w:t xml:space="preserve">tatements and </w:t>
            </w:r>
            <w:r>
              <w:rPr>
                <w:rFonts w:cs="Arial"/>
                <w:color w:val="000000"/>
                <w:sz w:val="20"/>
              </w:rPr>
              <w:t>i</w:t>
            </w:r>
            <w:r w:rsidRPr="005730EC">
              <w:rPr>
                <w:rFonts w:cs="Arial"/>
                <w:color w:val="000000"/>
                <w:sz w:val="20"/>
              </w:rPr>
              <w:t xml:space="preserve">nvoices reflect </w:t>
            </w:r>
            <w:r>
              <w:rPr>
                <w:rFonts w:cs="Arial"/>
                <w:color w:val="000000"/>
                <w:sz w:val="20"/>
              </w:rPr>
              <w:t xml:space="preserve">accurate </w:t>
            </w:r>
            <w:r w:rsidRPr="005730EC">
              <w:rPr>
                <w:rFonts w:cs="Arial"/>
                <w:color w:val="000000"/>
                <w:sz w:val="20"/>
              </w:rPr>
              <w:t xml:space="preserve">allocations to </w:t>
            </w:r>
            <w:r>
              <w:rPr>
                <w:rFonts w:cs="Arial"/>
                <w:color w:val="000000"/>
                <w:sz w:val="20"/>
              </w:rPr>
              <w:t xml:space="preserve">the prospective </w:t>
            </w:r>
            <w:r w:rsidRPr="005730EC">
              <w:rPr>
                <w:rFonts w:cs="Arial"/>
                <w:color w:val="000000"/>
                <w:sz w:val="20"/>
              </w:rPr>
              <w:t>EIM Entity customers prior to financially binding operations.</w:t>
            </w:r>
          </w:p>
        </w:tc>
        <w:tc>
          <w:tcPr>
            <w:tcW w:w="2538" w:type="dxa"/>
            <w:tcBorders>
              <w:top w:val="nil"/>
              <w:left w:val="nil"/>
              <w:bottom w:val="single" w:sz="4" w:space="0" w:color="auto"/>
              <w:right w:val="single" w:sz="4" w:space="0" w:color="auto"/>
            </w:tcBorders>
            <w:shd w:val="clear" w:color="auto" w:fill="auto"/>
          </w:tcPr>
          <w:p w14:paraId="686915CD" w14:textId="77777777" w:rsidR="0048431D" w:rsidRPr="005730EC" w:rsidRDefault="0048431D" w:rsidP="0048431D">
            <w:pPr>
              <w:rPr>
                <w:rFonts w:cs="Arial"/>
                <w:color w:val="000000"/>
                <w:sz w:val="20"/>
              </w:rPr>
            </w:pPr>
            <w:r w:rsidRPr="005730EC">
              <w:rPr>
                <w:rFonts w:cs="Arial"/>
                <w:color w:val="000000"/>
                <w:sz w:val="20"/>
              </w:rPr>
              <w:t>Verification that settlement statements and invoices accurately reflects system and market data</w:t>
            </w:r>
            <w:r>
              <w:rPr>
                <w:rFonts w:cs="Arial"/>
                <w:color w:val="000000"/>
                <w:sz w:val="20"/>
              </w:rPr>
              <w:t xml:space="preserve"> </w:t>
            </w:r>
          </w:p>
        </w:tc>
        <w:tc>
          <w:tcPr>
            <w:tcW w:w="2862" w:type="dxa"/>
            <w:tcBorders>
              <w:top w:val="nil"/>
              <w:left w:val="nil"/>
              <w:bottom w:val="single" w:sz="4" w:space="0" w:color="auto"/>
              <w:right w:val="single" w:sz="4" w:space="0" w:color="auto"/>
            </w:tcBorders>
            <w:shd w:val="clear" w:color="auto" w:fill="auto"/>
          </w:tcPr>
          <w:p w14:paraId="22764DD7" w14:textId="77777777" w:rsidR="0048431D" w:rsidRPr="005730EC" w:rsidRDefault="0048431D" w:rsidP="0048431D">
            <w:pPr>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 xml:space="preserve">EIM Entity </w:t>
            </w:r>
            <w:r>
              <w:rPr>
                <w:rFonts w:cs="Arial"/>
                <w:color w:val="000000"/>
                <w:sz w:val="20"/>
              </w:rPr>
              <w:t>s</w:t>
            </w:r>
            <w:r w:rsidRPr="005730EC">
              <w:rPr>
                <w:rFonts w:cs="Arial"/>
                <w:color w:val="000000"/>
                <w:sz w:val="20"/>
              </w:rPr>
              <w:t xml:space="preserve">ettlement </w:t>
            </w:r>
            <w:r>
              <w:rPr>
                <w:rFonts w:cs="Arial"/>
                <w:color w:val="000000"/>
                <w:sz w:val="20"/>
              </w:rPr>
              <w:t>s</w:t>
            </w:r>
            <w:r w:rsidRPr="005730EC">
              <w:rPr>
                <w:rFonts w:cs="Arial"/>
                <w:color w:val="000000"/>
                <w:sz w:val="20"/>
              </w:rPr>
              <w:t xml:space="preserve">tatements and </w:t>
            </w:r>
            <w:r>
              <w:rPr>
                <w:rFonts w:cs="Arial"/>
                <w:color w:val="000000"/>
                <w:sz w:val="20"/>
              </w:rPr>
              <w:t>i</w:t>
            </w:r>
            <w:r w:rsidRPr="005730EC">
              <w:rPr>
                <w:rFonts w:cs="Arial"/>
                <w:color w:val="000000"/>
                <w:sz w:val="20"/>
              </w:rPr>
              <w:t xml:space="preserve">nvoices that allocate charges and credits to its customers accurately reflect system and market data during parallel operations.  </w:t>
            </w:r>
          </w:p>
        </w:tc>
      </w:tr>
      <w:tr w:rsidR="0048431D" w:rsidRPr="005730EC" w14:paraId="60043C0B" w14:textId="77777777" w:rsidTr="009E26DA">
        <w:trPr>
          <w:trHeight w:val="2610"/>
        </w:trPr>
        <w:tc>
          <w:tcPr>
            <w:tcW w:w="1260" w:type="dxa"/>
            <w:tcBorders>
              <w:top w:val="nil"/>
              <w:left w:val="single" w:sz="4" w:space="0" w:color="auto"/>
              <w:bottom w:val="single" w:sz="4" w:space="0" w:color="auto"/>
              <w:right w:val="single" w:sz="4" w:space="0" w:color="auto"/>
            </w:tcBorders>
            <w:shd w:val="clear" w:color="000000" w:fill="FFFFFF"/>
            <w:noWrap/>
            <w:hideMark/>
          </w:tcPr>
          <w:p w14:paraId="7E9353FA" w14:textId="77777777" w:rsidR="0048431D" w:rsidRPr="005730EC" w:rsidRDefault="0048431D" w:rsidP="0048431D">
            <w:pPr>
              <w:jc w:val="center"/>
              <w:rPr>
                <w:rFonts w:cs="Arial"/>
                <w:color w:val="000000"/>
                <w:sz w:val="20"/>
              </w:rPr>
            </w:pPr>
            <w:r>
              <w:rPr>
                <w:rFonts w:cs="Arial"/>
                <w:color w:val="000000"/>
                <w:sz w:val="20"/>
              </w:rPr>
              <w:t>27</w:t>
            </w:r>
          </w:p>
        </w:tc>
        <w:tc>
          <w:tcPr>
            <w:tcW w:w="1440" w:type="dxa"/>
            <w:tcBorders>
              <w:top w:val="nil"/>
              <w:left w:val="nil"/>
              <w:bottom w:val="single" w:sz="4" w:space="0" w:color="auto"/>
              <w:right w:val="single" w:sz="4" w:space="0" w:color="auto"/>
            </w:tcBorders>
            <w:shd w:val="clear" w:color="auto" w:fill="auto"/>
            <w:hideMark/>
          </w:tcPr>
          <w:p w14:paraId="7509A3F0" w14:textId="77777777" w:rsidR="0048431D" w:rsidRPr="005730EC" w:rsidRDefault="0048431D" w:rsidP="0048431D">
            <w:pPr>
              <w:rPr>
                <w:rFonts w:cs="Arial"/>
                <w:color w:val="000000"/>
                <w:sz w:val="20"/>
              </w:rPr>
            </w:pPr>
            <w:r w:rsidRPr="005730EC">
              <w:rPr>
                <w:rFonts w:cs="Arial"/>
                <w:color w:val="000000"/>
                <w:sz w:val="20"/>
              </w:rPr>
              <w:t>Monitoring</w:t>
            </w:r>
          </w:p>
        </w:tc>
        <w:tc>
          <w:tcPr>
            <w:tcW w:w="2142" w:type="dxa"/>
            <w:tcBorders>
              <w:top w:val="nil"/>
              <w:left w:val="nil"/>
              <w:bottom w:val="single" w:sz="4" w:space="0" w:color="auto"/>
              <w:right w:val="single" w:sz="4" w:space="0" w:color="auto"/>
            </w:tcBorders>
            <w:shd w:val="clear" w:color="auto" w:fill="auto"/>
            <w:hideMark/>
          </w:tcPr>
          <w:p w14:paraId="0DE333CA" w14:textId="77777777" w:rsidR="0048431D" w:rsidRPr="005730EC" w:rsidRDefault="0048431D" w:rsidP="0048431D">
            <w:pPr>
              <w:rPr>
                <w:rFonts w:cs="Arial"/>
                <w:color w:val="000000"/>
                <w:sz w:val="20"/>
              </w:rPr>
            </w:pPr>
            <w:r w:rsidRPr="005730EC">
              <w:rPr>
                <w:rFonts w:cs="Arial"/>
                <w:color w:val="000000"/>
                <w:sz w:val="20"/>
              </w:rPr>
              <w:t>Data monitoring</w:t>
            </w:r>
          </w:p>
        </w:tc>
        <w:tc>
          <w:tcPr>
            <w:tcW w:w="2538" w:type="dxa"/>
            <w:tcBorders>
              <w:top w:val="nil"/>
              <w:left w:val="nil"/>
              <w:bottom w:val="single" w:sz="4" w:space="0" w:color="auto"/>
              <w:right w:val="single" w:sz="4" w:space="0" w:color="auto"/>
            </w:tcBorders>
            <w:shd w:val="clear" w:color="auto" w:fill="auto"/>
            <w:hideMark/>
          </w:tcPr>
          <w:p w14:paraId="60467AC3" w14:textId="77777777" w:rsidR="0048431D" w:rsidRPr="005730EC" w:rsidRDefault="0048431D" w:rsidP="0048431D">
            <w:pPr>
              <w:rPr>
                <w:rFonts w:cs="Arial"/>
                <w:color w:val="000000"/>
                <w:sz w:val="20"/>
              </w:rPr>
            </w:pPr>
            <w:r w:rsidRPr="005730EC">
              <w:rPr>
                <w:rFonts w:cs="Arial"/>
                <w:color w:val="000000"/>
                <w:sz w:val="20"/>
              </w:rPr>
              <w:t xml:space="preserve">Sufficient and adequate data is available to the CAISO and the Department of Market Monitoring </w:t>
            </w:r>
          </w:p>
        </w:tc>
        <w:tc>
          <w:tcPr>
            <w:tcW w:w="2862" w:type="dxa"/>
            <w:tcBorders>
              <w:top w:val="nil"/>
              <w:left w:val="nil"/>
              <w:bottom w:val="single" w:sz="4" w:space="0" w:color="auto"/>
              <w:right w:val="single" w:sz="4" w:space="0" w:color="auto"/>
            </w:tcBorders>
            <w:shd w:val="clear" w:color="auto" w:fill="auto"/>
            <w:hideMark/>
          </w:tcPr>
          <w:p w14:paraId="0AE07564" w14:textId="77777777" w:rsidR="0048431D" w:rsidRPr="005730EC" w:rsidRDefault="0048431D" w:rsidP="0048431D">
            <w:pPr>
              <w:rPr>
                <w:rFonts w:cs="Arial"/>
                <w:color w:val="000000"/>
                <w:sz w:val="20"/>
              </w:rPr>
            </w:pPr>
            <w:r w:rsidRPr="005730EC">
              <w:rPr>
                <w:rFonts w:cs="Arial"/>
                <w:color w:val="000000"/>
                <w:sz w:val="20"/>
              </w:rPr>
              <w:t xml:space="preserve">All required market monitoring data is available during testing and during post go-live for the key metrics (any exceptions will be addressed). </w:t>
            </w:r>
            <w:r w:rsidRPr="005730EC">
              <w:rPr>
                <w:rFonts w:cs="Arial"/>
                <w:color w:val="000000"/>
                <w:sz w:val="20"/>
              </w:rPr>
              <w:br/>
            </w:r>
            <w:r w:rsidRPr="005730EC">
              <w:rPr>
                <w:rFonts w:cs="Arial"/>
                <w:color w:val="000000"/>
                <w:sz w:val="20"/>
              </w:rPr>
              <w:br/>
              <w:t>CAISO will provide a market report that will provide publicly available information to all market participants.</w:t>
            </w:r>
          </w:p>
        </w:tc>
      </w:tr>
      <w:tr w:rsidR="0048431D" w:rsidRPr="005730EC" w14:paraId="658712C5" w14:textId="77777777" w:rsidTr="009E26DA">
        <w:trPr>
          <w:trHeight w:val="765"/>
        </w:trPr>
        <w:tc>
          <w:tcPr>
            <w:tcW w:w="1260" w:type="dxa"/>
            <w:tcBorders>
              <w:top w:val="nil"/>
              <w:left w:val="single" w:sz="4" w:space="0" w:color="auto"/>
              <w:bottom w:val="single" w:sz="4" w:space="0" w:color="auto"/>
              <w:right w:val="single" w:sz="4" w:space="0" w:color="auto"/>
            </w:tcBorders>
            <w:shd w:val="clear" w:color="000000" w:fill="FFFFFF"/>
            <w:noWrap/>
            <w:hideMark/>
          </w:tcPr>
          <w:p w14:paraId="1D804D1C" w14:textId="77777777" w:rsidR="0048431D" w:rsidRPr="005730EC" w:rsidRDefault="0048431D" w:rsidP="0048431D">
            <w:pPr>
              <w:jc w:val="center"/>
              <w:rPr>
                <w:rFonts w:cs="Arial"/>
                <w:color w:val="000000"/>
                <w:sz w:val="20"/>
              </w:rPr>
            </w:pPr>
            <w:r>
              <w:rPr>
                <w:rFonts w:cs="Arial"/>
                <w:color w:val="000000"/>
                <w:sz w:val="20"/>
              </w:rPr>
              <w:lastRenderedPageBreak/>
              <w:t>28</w:t>
            </w:r>
          </w:p>
        </w:tc>
        <w:tc>
          <w:tcPr>
            <w:tcW w:w="1440" w:type="dxa"/>
            <w:tcBorders>
              <w:top w:val="nil"/>
              <w:left w:val="nil"/>
              <w:bottom w:val="single" w:sz="4" w:space="0" w:color="auto"/>
              <w:right w:val="single" w:sz="4" w:space="0" w:color="auto"/>
            </w:tcBorders>
            <w:shd w:val="clear" w:color="auto" w:fill="auto"/>
            <w:hideMark/>
          </w:tcPr>
          <w:p w14:paraId="5E1B0037" w14:textId="77777777" w:rsidR="0048431D" w:rsidRPr="005730EC" w:rsidRDefault="0048431D" w:rsidP="0048431D">
            <w:pPr>
              <w:rPr>
                <w:rFonts w:cs="Arial"/>
                <w:color w:val="000000"/>
                <w:sz w:val="20"/>
              </w:rPr>
            </w:pPr>
            <w:r w:rsidRPr="005730EC">
              <w:rPr>
                <w:rFonts w:cs="Arial"/>
                <w:color w:val="000000"/>
                <w:sz w:val="20"/>
              </w:rPr>
              <w:t xml:space="preserve">Parallel </w:t>
            </w:r>
            <w:r>
              <w:rPr>
                <w:rFonts w:cs="Arial"/>
                <w:color w:val="000000"/>
                <w:sz w:val="20"/>
              </w:rPr>
              <w:t xml:space="preserve"> Operations</w:t>
            </w:r>
            <w:r w:rsidRPr="005730EC">
              <w:rPr>
                <w:rFonts w:cs="Arial"/>
                <w:color w:val="000000"/>
                <w:sz w:val="20"/>
              </w:rPr>
              <w:t xml:space="preserve"> Plan</w:t>
            </w:r>
          </w:p>
        </w:tc>
        <w:tc>
          <w:tcPr>
            <w:tcW w:w="2142" w:type="dxa"/>
            <w:tcBorders>
              <w:top w:val="nil"/>
              <w:left w:val="nil"/>
              <w:bottom w:val="single" w:sz="4" w:space="0" w:color="auto"/>
              <w:right w:val="single" w:sz="4" w:space="0" w:color="auto"/>
            </w:tcBorders>
            <w:shd w:val="clear" w:color="auto" w:fill="auto"/>
            <w:hideMark/>
          </w:tcPr>
          <w:p w14:paraId="4CE41E0A" w14:textId="77777777" w:rsidR="0048431D" w:rsidRPr="005730EC" w:rsidRDefault="0048431D" w:rsidP="0048431D">
            <w:pPr>
              <w:rPr>
                <w:rFonts w:cs="Arial"/>
                <w:color w:val="000000"/>
                <w:sz w:val="20"/>
              </w:rPr>
            </w:pPr>
            <w:r w:rsidRPr="005730EC">
              <w:rPr>
                <w:rFonts w:cs="Arial"/>
                <w:color w:val="000000"/>
                <w:sz w:val="20"/>
              </w:rPr>
              <w:t xml:space="preserve">Deployment plan </w:t>
            </w:r>
          </w:p>
        </w:tc>
        <w:tc>
          <w:tcPr>
            <w:tcW w:w="2538" w:type="dxa"/>
            <w:tcBorders>
              <w:top w:val="nil"/>
              <w:left w:val="nil"/>
              <w:bottom w:val="single" w:sz="4" w:space="0" w:color="auto"/>
              <w:right w:val="single" w:sz="4" w:space="0" w:color="auto"/>
            </w:tcBorders>
            <w:shd w:val="clear" w:color="auto" w:fill="auto"/>
            <w:hideMark/>
          </w:tcPr>
          <w:p w14:paraId="66613A3A" w14:textId="77777777" w:rsidR="0048431D" w:rsidRPr="005730EC" w:rsidRDefault="0048431D" w:rsidP="0048431D">
            <w:pPr>
              <w:rPr>
                <w:rFonts w:cs="Arial"/>
                <w:color w:val="000000"/>
                <w:sz w:val="20"/>
              </w:rPr>
            </w:pPr>
            <w:r>
              <w:rPr>
                <w:rFonts w:cs="Arial"/>
                <w:color w:val="000000"/>
                <w:sz w:val="20"/>
              </w:rPr>
              <w:t>P</w:t>
            </w:r>
            <w:r w:rsidRPr="003243AE">
              <w:rPr>
                <w:rFonts w:cs="Arial"/>
                <w:color w:val="000000"/>
                <w:sz w:val="20"/>
              </w:rPr>
              <w:t xml:space="preserve">arallel </w:t>
            </w:r>
            <w:r>
              <w:rPr>
                <w:rFonts w:cs="Arial"/>
                <w:color w:val="000000"/>
                <w:sz w:val="20"/>
              </w:rPr>
              <w:t>operations</w:t>
            </w:r>
            <w:r w:rsidRPr="003243AE">
              <w:rPr>
                <w:rFonts w:cs="Arial"/>
                <w:color w:val="000000"/>
                <w:sz w:val="20"/>
              </w:rPr>
              <w:t xml:space="preserve"> run consistently and in accordance with the timeframe set forth in the prospective EIM Entity specific parallel operation plan</w:t>
            </w:r>
          </w:p>
        </w:tc>
        <w:tc>
          <w:tcPr>
            <w:tcW w:w="2862" w:type="dxa"/>
            <w:tcBorders>
              <w:top w:val="nil"/>
              <w:left w:val="nil"/>
              <w:bottom w:val="single" w:sz="4" w:space="0" w:color="auto"/>
              <w:right w:val="single" w:sz="4" w:space="0" w:color="auto"/>
            </w:tcBorders>
            <w:shd w:val="clear" w:color="auto" w:fill="auto"/>
            <w:hideMark/>
          </w:tcPr>
          <w:p w14:paraId="3B039FAF" w14:textId="77777777" w:rsidR="0048431D" w:rsidRDefault="0048431D" w:rsidP="0048431D">
            <w:pPr>
              <w:rPr>
                <w:rFonts w:cs="Arial"/>
                <w:color w:val="000000"/>
                <w:sz w:val="20"/>
              </w:rPr>
            </w:pPr>
            <w:r w:rsidRPr="005730EC">
              <w:rPr>
                <w:rFonts w:cs="Arial"/>
                <w:color w:val="000000"/>
                <w:sz w:val="20"/>
              </w:rPr>
              <w:t xml:space="preserve">Parallel operations runs consistently within </w:t>
            </w:r>
            <w:r>
              <w:rPr>
                <w:rFonts w:cs="Arial"/>
                <w:color w:val="000000"/>
                <w:sz w:val="20"/>
              </w:rPr>
              <w:t>normal production CAISO M</w:t>
            </w:r>
            <w:r w:rsidRPr="005730EC">
              <w:rPr>
                <w:rFonts w:cs="Arial"/>
                <w:color w:val="000000"/>
                <w:sz w:val="20"/>
              </w:rPr>
              <w:t>arket disruption tolerances.</w:t>
            </w:r>
          </w:p>
          <w:p w14:paraId="1511C389" w14:textId="77777777" w:rsidR="0048431D" w:rsidRPr="00A73BF0" w:rsidRDefault="0048431D" w:rsidP="0048431D">
            <w:pPr>
              <w:rPr>
                <w:rFonts w:cs="Arial"/>
                <w:sz w:val="20"/>
              </w:rPr>
            </w:pPr>
          </w:p>
        </w:tc>
      </w:tr>
      <w:tr w:rsidR="0048431D" w:rsidRPr="005730EC" w14:paraId="69720EC6" w14:textId="77777777" w:rsidTr="009E26DA">
        <w:trPr>
          <w:trHeight w:val="260"/>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09E7EBA8" w14:textId="77777777" w:rsidR="0048431D" w:rsidRPr="005730EC" w:rsidRDefault="0048431D" w:rsidP="0048431D">
            <w:pPr>
              <w:jc w:val="center"/>
              <w:rPr>
                <w:rFonts w:cs="Arial"/>
                <w:color w:val="000000"/>
                <w:sz w:val="20"/>
              </w:rPr>
            </w:pPr>
            <w:r>
              <w:rPr>
                <w:rFonts w:cs="Arial"/>
                <w:color w:val="000000"/>
                <w:sz w:val="20"/>
              </w:rPr>
              <w:t>29</w:t>
            </w:r>
          </w:p>
        </w:tc>
        <w:tc>
          <w:tcPr>
            <w:tcW w:w="1440" w:type="dxa"/>
            <w:tcBorders>
              <w:top w:val="single" w:sz="4" w:space="0" w:color="auto"/>
              <w:left w:val="nil"/>
              <w:bottom w:val="single" w:sz="4" w:space="0" w:color="auto"/>
              <w:right w:val="single" w:sz="4" w:space="0" w:color="auto"/>
            </w:tcBorders>
            <w:shd w:val="clear" w:color="auto" w:fill="auto"/>
          </w:tcPr>
          <w:p w14:paraId="21484893" w14:textId="2DEB6F18" w:rsidR="0048431D" w:rsidRPr="005730EC" w:rsidRDefault="00B722C6" w:rsidP="0048431D">
            <w:pPr>
              <w:rPr>
                <w:rFonts w:cs="Arial"/>
                <w:color w:val="000000"/>
                <w:sz w:val="20"/>
              </w:rPr>
            </w:pPr>
            <w:r>
              <w:rPr>
                <w:rFonts w:cs="Arial"/>
                <w:color w:val="000000"/>
                <w:sz w:val="20"/>
              </w:rPr>
              <w:t>o</w:t>
            </w:r>
            <w:r w:rsidR="0048431D" w:rsidRPr="005730EC">
              <w:rPr>
                <w:rFonts w:cs="Arial"/>
                <w:color w:val="000000"/>
                <w:sz w:val="20"/>
              </w:rPr>
              <w:t xml:space="preserve">utage </w:t>
            </w:r>
            <w:r>
              <w:rPr>
                <w:rFonts w:cs="Arial"/>
                <w:color w:val="000000"/>
                <w:sz w:val="20"/>
              </w:rPr>
              <w:t>m</w:t>
            </w:r>
            <w:r w:rsidR="0048431D" w:rsidRPr="005730EC">
              <w:rPr>
                <w:rFonts w:cs="Arial"/>
                <w:color w:val="000000"/>
                <w:sz w:val="20"/>
              </w:rPr>
              <w:t xml:space="preserve">anagement </w:t>
            </w:r>
            <w:r>
              <w:rPr>
                <w:rFonts w:cs="Arial"/>
                <w:color w:val="000000"/>
                <w:sz w:val="20"/>
              </w:rPr>
              <w:t>s</w:t>
            </w:r>
            <w:r w:rsidR="0048431D" w:rsidRPr="005730EC">
              <w:rPr>
                <w:rFonts w:cs="Arial"/>
                <w:color w:val="000000"/>
                <w:sz w:val="20"/>
              </w:rPr>
              <w:t>ystem</w:t>
            </w:r>
          </w:p>
          <w:p w14:paraId="6D15003F" w14:textId="77777777" w:rsidR="0048431D" w:rsidRPr="005730EC" w:rsidRDefault="0048431D" w:rsidP="0048431D">
            <w:pPr>
              <w:rPr>
                <w:rFonts w:cs="Arial"/>
                <w:color w:val="000000"/>
                <w:sz w:val="20"/>
              </w:rPr>
            </w:pPr>
          </w:p>
          <w:p w14:paraId="59B770B7" w14:textId="77777777" w:rsidR="0048431D" w:rsidRPr="005730EC" w:rsidDel="00F9298F" w:rsidRDefault="0048431D" w:rsidP="0048431D">
            <w:pPr>
              <w:rPr>
                <w:rFonts w:cs="Arial"/>
                <w:color w:val="000000"/>
                <w:sz w:val="20"/>
              </w:rPr>
            </w:pPr>
          </w:p>
        </w:tc>
        <w:tc>
          <w:tcPr>
            <w:tcW w:w="2142" w:type="dxa"/>
            <w:tcBorders>
              <w:top w:val="single" w:sz="4" w:space="0" w:color="auto"/>
              <w:left w:val="nil"/>
              <w:bottom w:val="single" w:sz="4" w:space="0" w:color="auto"/>
              <w:right w:val="single" w:sz="4" w:space="0" w:color="auto"/>
            </w:tcBorders>
            <w:shd w:val="clear" w:color="auto" w:fill="auto"/>
          </w:tcPr>
          <w:p w14:paraId="6D6BF1D2" w14:textId="77777777" w:rsidR="0048431D" w:rsidRPr="005730EC" w:rsidRDefault="0048431D" w:rsidP="0048431D">
            <w:pPr>
              <w:rPr>
                <w:rFonts w:cs="Arial"/>
                <w:color w:val="000000"/>
                <w:sz w:val="20"/>
              </w:rPr>
            </w:pPr>
            <w:r w:rsidRPr="005730EC">
              <w:rPr>
                <w:rFonts w:cs="Arial"/>
                <w:color w:val="000000"/>
                <w:sz w:val="20"/>
              </w:rPr>
              <w:t>Transmission and generation outage submittal and retrieval</w:t>
            </w:r>
          </w:p>
        </w:tc>
        <w:tc>
          <w:tcPr>
            <w:tcW w:w="2538" w:type="dxa"/>
            <w:tcBorders>
              <w:top w:val="single" w:sz="4" w:space="0" w:color="auto"/>
              <w:left w:val="nil"/>
              <w:bottom w:val="single" w:sz="4" w:space="0" w:color="auto"/>
              <w:right w:val="single" w:sz="4" w:space="0" w:color="auto"/>
            </w:tcBorders>
            <w:shd w:val="clear" w:color="auto" w:fill="auto"/>
          </w:tcPr>
          <w:p w14:paraId="61290138" w14:textId="77777777" w:rsidR="0048431D" w:rsidRPr="005730EC" w:rsidRDefault="0048431D" w:rsidP="0048431D">
            <w:pPr>
              <w:rPr>
                <w:rFonts w:cs="Arial"/>
                <w:color w:val="000000"/>
                <w:sz w:val="20"/>
              </w:rPr>
            </w:pPr>
            <w:r>
              <w:rPr>
                <w:rFonts w:cs="Arial"/>
                <w:sz w:val="20"/>
              </w:rPr>
              <w:t>The p</w:t>
            </w:r>
            <w:r w:rsidRPr="00200458">
              <w:rPr>
                <w:rFonts w:cs="Arial"/>
                <w:sz w:val="20"/>
              </w:rPr>
              <w:t xml:space="preserve">rospective </w:t>
            </w:r>
            <w:r w:rsidRPr="005730EC">
              <w:rPr>
                <w:rFonts w:cs="Arial"/>
                <w:color w:val="000000"/>
                <w:sz w:val="20"/>
              </w:rPr>
              <w:t xml:space="preserve">EIM Entity will verify its ability to submit and retrieve outage information with the CAISO </w:t>
            </w:r>
          </w:p>
        </w:tc>
        <w:tc>
          <w:tcPr>
            <w:tcW w:w="2862" w:type="dxa"/>
            <w:tcBorders>
              <w:top w:val="single" w:sz="4" w:space="0" w:color="auto"/>
              <w:left w:val="nil"/>
              <w:bottom w:val="single" w:sz="4" w:space="0" w:color="auto"/>
              <w:right w:val="single" w:sz="4" w:space="0" w:color="auto"/>
            </w:tcBorders>
            <w:shd w:val="clear" w:color="auto" w:fill="auto"/>
          </w:tcPr>
          <w:p w14:paraId="7D20ABF7" w14:textId="77777777" w:rsidR="0048431D" w:rsidRPr="005730EC" w:rsidRDefault="0048431D" w:rsidP="0048431D">
            <w:pPr>
              <w:rPr>
                <w:rFonts w:cs="Arial"/>
                <w:color w:val="000000"/>
                <w:sz w:val="20"/>
              </w:rPr>
            </w:pPr>
            <w:r w:rsidRPr="005730EC">
              <w:rPr>
                <w:rFonts w:cs="Arial"/>
                <w:color w:val="000000"/>
                <w:sz w:val="20"/>
              </w:rPr>
              <w:t xml:space="preserve">The </w:t>
            </w:r>
            <w:r w:rsidRPr="00200458">
              <w:rPr>
                <w:rFonts w:cs="Arial"/>
                <w:sz w:val="20"/>
              </w:rPr>
              <w:t xml:space="preserve">prospective </w:t>
            </w:r>
            <w:r w:rsidRPr="005730EC">
              <w:rPr>
                <w:rFonts w:cs="Arial"/>
                <w:color w:val="000000"/>
                <w:sz w:val="20"/>
              </w:rPr>
              <w:t xml:space="preserve">EIM Entity validate their ability to submit and retrieve transmission out-of-service outages, generation Pmax derates, generation Pmin rerates, and generation out-of-service outage tickets within the required timelines. </w:t>
            </w:r>
          </w:p>
        </w:tc>
      </w:tr>
      <w:tr w:rsidR="0048431D" w:rsidRPr="005730EC" w14:paraId="0A843DEE"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57ADBF6F" w14:textId="77777777" w:rsidR="0048431D" w:rsidRPr="005730EC" w:rsidRDefault="0048431D" w:rsidP="0048431D">
            <w:pPr>
              <w:jc w:val="center"/>
              <w:rPr>
                <w:rFonts w:cs="Arial"/>
                <w:color w:val="000000"/>
                <w:sz w:val="20"/>
              </w:rPr>
            </w:pPr>
            <w:r>
              <w:rPr>
                <w:rFonts w:cs="Arial"/>
                <w:color w:val="000000"/>
                <w:sz w:val="20"/>
              </w:rPr>
              <w:t>30</w:t>
            </w:r>
          </w:p>
        </w:tc>
        <w:tc>
          <w:tcPr>
            <w:tcW w:w="1440" w:type="dxa"/>
            <w:tcBorders>
              <w:top w:val="single" w:sz="4" w:space="0" w:color="auto"/>
              <w:left w:val="nil"/>
              <w:bottom w:val="single" w:sz="4" w:space="0" w:color="auto"/>
              <w:right w:val="single" w:sz="4" w:space="0" w:color="auto"/>
            </w:tcBorders>
            <w:shd w:val="clear" w:color="auto" w:fill="auto"/>
          </w:tcPr>
          <w:p w14:paraId="3F95E8AE" w14:textId="77777777" w:rsidR="0048431D" w:rsidRPr="005730EC" w:rsidRDefault="0048431D" w:rsidP="0048431D">
            <w:pPr>
              <w:rPr>
                <w:rFonts w:cs="Arial"/>
                <w:color w:val="000000"/>
                <w:sz w:val="20"/>
              </w:rPr>
            </w:pPr>
            <w:r w:rsidRPr="005730EC">
              <w:rPr>
                <w:rFonts w:cs="Arial"/>
                <w:color w:val="000000"/>
                <w:sz w:val="20"/>
              </w:rPr>
              <w:t xml:space="preserve">Communications between the CAISO and the </w:t>
            </w:r>
            <w:r w:rsidRPr="00200458">
              <w:rPr>
                <w:rFonts w:cs="Arial"/>
                <w:sz w:val="20"/>
              </w:rPr>
              <w:t xml:space="preserve">prospective </w:t>
            </w:r>
            <w:r w:rsidRPr="005730EC">
              <w:rPr>
                <w:rFonts w:cs="Arial"/>
                <w:color w:val="000000"/>
                <w:sz w:val="20"/>
              </w:rPr>
              <w:t xml:space="preserve">EIM Entity </w:t>
            </w:r>
          </w:p>
        </w:tc>
        <w:tc>
          <w:tcPr>
            <w:tcW w:w="2142" w:type="dxa"/>
            <w:tcBorders>
              <w:top w:val="single" w:sz="4" w:space="0" w:color="auto"/>
              <w:left w:val="nil"/>
              <w:bottom w:val="single" w:sz="4" w:space="0" w:color="auto"/>
              <w:right w:val="single" w:sz="4" w:space="0" w:color="auto"/>
            </w:tcBorders>
            <w:shd w:val="clear" w:color="auto" w:fill="auto"/>
          </w:tcPr>
          <w:p w14:paraId="750C2F81" w14:textId="77777777" w:rsidR="0048431D" w:rsidRPr="005730EC" w:rsidRDefault="0048431D" w:rsidP="0048431D">
            <w:pPr>
              <w:rPr>
                <w:rFonts w:cs="Arial"/>
                <w:color w:val="000000"/>
                <w:sz w:val="20"/>
              </w:rPr>
            </w:pPr>
            <w:r w:rsidRPr="005730EC">
              <w:rPr>
                <w:rFonts w:cs="Arial"/>
                <w:color w:val="000000"/>
                <w:sz w:val="20"/>
              </w:rPr>
              <w:t>Voice and/or electronic messaging</w:t>
            </w:r>
          </w:p>
        </w:tc>
        <w:tc>
          <w:tcPr>
            <w:tcW w:w="2538" w:type="dxa"/>
            <w:tcBorders>
              <w:top w:val="single" w:sz="4" w:space="0" w:color="auto"/>
              <w:left w:val="nil"/>
              <w:bottom w:val="single" w:sz="4" w:space="0" w:color="auto"/>
              <w:right w:val="single" w:sz="4" w:space="0" w:color="auto"/>
            </w:tcBorders>
            <w:shd w:val="clear" w:color="auto" w:fill="auto"/>
          </w:tcPr>
          <w:p w14:paraId="6F874EF6" w14:textId="77777777" w:rsidR="0048431D" w:rsidRPr="005730EC" w:rsidRDefault="0048431D" w:rsidP="0048431D">
            <w:pPr>
              <w:rPr>
                <w:rFonts w:cs="Arial"/>
                <w:color w:val="000000"/>
                <w:sz w:val="20"/>
              </w:rPr>
            </w:pPr>
            <w:r>
              <w:rPr>
                <w:rFonts w:cs="Arial"/>
                <w:color w:val="000000"/>
                <w:sz w:val="20"/>
              </w:rPr>
              <w:t>Implemented p</w:t>
            </w:r>
            <w:r w:rsidRPr="005730EC">
              <w:rPr>
                <w:rFonts w:cs="Arial"/>
                <w:color w:val="000000"/>
                <w:sz w:val="20"/>
              </w:rPr>
              <w:t xml:space="preserve">rocess and procedures used for voice and/or electronic messaging </w:t>
            </w:r>
          </w:p>
        </w:tc>
        <w:tc>
          <w:tcPr>
            <w:tcW w:w="2862" w:type="dxa"/>
            <w:tcBorders>
              <w:top w:val="single" w:sz="4" w:space="0" w:color="auto"/>
              <w:left w:val="nil"/>
              <w:bottom w:val="single" w:sz="4" w:space="0" w:color="auto"/>
              <w:right w:val="single" w:sz="4" w:space="0" w:color="auto"/>
            </w:tcBorders>
            <w:shd w:val="clear" w:color="auto" w:fill="auto"/>
          </w:tcPr>
          <w:p w14:paraId="34ED312C" w14:textId="77777777" w:rsidR="0048431D" w:rsidRPr="005730EC" w:rsidRDefault="0048431D" w:rsidP="0048431D">
            <w:pPr>
              <w:rPr>
                <w:rFonts w:cs="Arial"/>
                <w:color w:val="000000"/>
                <w:sz w:val="20"/>
              </w:rPr>
            </w:pPr>
            <w:r w:rsidRPr="005730EC">
              <w:rPr>
                <w:rFonts w:cs="Arial"/>
                <w:color w:val="000000"/>
                <w:sz w:val="20"/>
              </w:rPr>
              <w:t>The process and procedures are incorporated into the</w:t>
            </w:r>
            <w:r>
              <w:rPr>
                <w:rFonts w:cs="Arial"/>
                <w:color w:val="000000"/>
                <w:sz w:val="20"/>
              </w:rPr>
              <w:t xml:space="preserve"> </w:t>
            </w:r>
            <w:r w:rsidRPr="00200458">
              <w:rPr>
                <w:rFonts w:cs="Arial"/>
                <w:sz w:val="20"/>
              </w:rPr>
              <w:t>prospective</w:t>
            </w:r>
            <w:r w:rsidRPr="005730EC">
              <w:rPr>
                <w:rFonts w:cs="Arial"/>
                <w:color w:val="000000"/>
                <w:sz w:val="20"/>
              </w:rPr>
              <w:t xml:space="preserve"> EIM Entities business processes before the start of market simulation. </w:t>
            </w:r>
          </w:p>
        </w:tc>
      </w:tr>
      <w:tr w:rsidR="0048431D" w:rsidRPr="005730EC" w14:paraId="286E9900"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0E4877E1" w14:textId="77777777" w:rsidR="0048431D" w:rsidRPr="005730EC" w:rsidRDefault="0048431D" w:rsidP="0048431D">
            <w:pPr>
              <w:jc w:val="center"/>
              <w:rPr>
                <w:rFonts w:cs="Arial"/>
                <w:color w:val="000000"/>
                <w:sz w:val="20"/>
              </w:rPr>
            </w:pPr>
            <w:r>
              <w:rPr>
                <w:rFonts w:cs="Arial"/>
                <w:color w:val="000000"/>
                <w:sz w:val="20"/>
              </w:rPr>
              <w:t>31</w:t>
            </w:r>
          </w:p>
        </w:tc>
        <w:tc>
          <w:tcPr>
            <w:tcW w:w="1440" w:type="dxa"/>
            <w:tcBorders>
              <w:top w:val="single" w:sz="4" w:space="0" w:color="auto"/>
              <w:left w:val="nil"/>
              <w:bottom w:val="single" w:sz="4" w:space="0" w:color="auto"/>
              <w:right w:val="single" w:sz="4" w:space="0" w:color="auto"/>
            </w:tcBorders>
            <w:shd w:val="clear" w:color="auto" w:fill="auto"/>
          </w:tcPr>
          <w:p w14:paraId="0D2BB0DB" w14:textId="77777777" w:rsidR="0048431D" w:rsidRPr="005730EC" w:rsidRDefault="0048431D" w:rsidP="0048431D">
            <w:pPr>
              <w:rPr>
                <w:rFonts w:cs="Arial"/>
                <w:color w:val="000000"/>
                <w:sz w:val="20"/>
              </w:rPr>
            </w:pPr>
            <w:r w:rsidRPr="005730EC">
              <w:rPr>
                <w:rFonts w:cs="Arial"/>
                <w:color w:val="000000"/>
                <w:sz w:val="20"/>
              </w:rPr>
              <w:t>Communications between the CAISO and the</w:t>
            </w:r>
            <w:r>
              <w:rPr>
                <w:rFonts w:cs="Arial"/>
                <w:color w:val="000000"/>
                <w:sz w:val="20"/>
              </w:rPr>
              <w:t xml:space="preserve"> </w:t>
            </w:r>
            <w:r w:rsidRPr="00200458">
              <w:rPr>
                <w:rFonts w:cs="Arial"/>
                <w:sz w:val="20"/>
              </w:rPr>
              <w:t xml:space="preserve">prospective </w:t>
            </w:r>
            <w:r w:rsidRPr="005730EC">
              <w:rPr>
                <w:rFonts w:cs="Arial"/>
                <w:color w:val="000000"/>
                <w:sz w:val="20"/>
              </w:rPr>
              <w:t xml:space="preserve">EIM Entity </w:t>
            </w:r>
          </w:p>
        </w:tc>
        <w:tc>
          <w:tcPr>
            <w:tcW w:w="2142" w:type="dxa"/>
            <w:tcBorders>
              <w:top w:val="single" w:sz="4" w:space="0" w:color="auto"/>
              <w:left w:val="nil"/>
              <w:bottom w:val="single" w:sz="4" w:space="0" w:color="auto"/>
              <w:right w:val="single" w:sz="4" w:space="0" w:color="auto"/>
            </w:tcBorders>
            <w:shd w:val="clear" w:color="auto" w:fill="auto"/>
          </w:tcPr>
          <w:p w14:paraId="602C8B49" w14:textId="77777777" w:rsidR="0048431D" w:rsidRPr="005730EC" w:rsidRDefault="0048431D" w:rsidP="0048431D">
            <w:pPr>
              <w:rPr>
                <w:rFonts w:cs="Arial"/>
                <w:color w:val="000000"/>
                <w:sz w:val="20"/>
              </w:rPr>
            </w:pPr>
            <w:r w:rsidRPr="005730EC">
              <w:rPr>
                <w:rFonts w:cs="Arial"/>
                <w:color w:val="000000"/>
                <w:sz w:val="20"/>
              </w:rPr>
              <w:t>Communication tools</w:t>
            </w:r>
          </w:p>
        </w:tc>
        <w:tc>
          <w:tcPr>
            <w:tcW w:w="2538" w:type="dxa"/>
            <w:tcBorders>
              <w:top w:val="single" w:sz="4" w:space="0" w:color="auto"/>
              <w:left w:val="nil"/>
              <w:bottom w:val="single" w:sz="4" w:space="0" w:color="auto"/>
              <w:right w:val="single" w:sz="4" w:space="0" w:color="auto"/>
            </w:tcBorders>
            <w:shd w:val="clear" w:color="auto" w:fill="auto"/>
          </w:tcPr>
          <w:p w14:paraId="27E86589" w14:textId="77777777" w:rsidR="0048431D" w:rsidRPr="005730EC" w:rsidRDefault="0048431D" w:rsidP="0048431D">
            <w:pPr>
              <w:rPr>
                <w:rFonts w:cs="Arial"/>
                <w:color w:val="000000"/>
                <w:sz w:val="20"/>
              </w:rPr>
            </w:pPr>
            <w:r w:rsidRPr="005730EC">
              <w:rPr>
                <w:rFonts w:cs="Arial"/>
                <w:color w:val="000000"/>
                <w:sz w:val="20"/>
              </w:rPr>
              <w:t>Staff are trained on communication procedures and tools</w:t>
            </w:r>
          </w:p>
        </w:tc>
        <w:tc>
          <w:tcPr>
            <w:tcW w:w="2862" w:type="dxa"/>
            <w:tcBorders>
              <w:top w:val="single" w:sz="4" w:space="0" w:color="auto"/>
              <w:left w:val="nil"/>
              <w:bottom w:val="single" w:sz="4" w:space="0" w:color="auto"/>
              <w:right w:val="single" w:sz="4" w:space="0" w:color="auto"/>
            </w:tcBorders>
            <w:shd w:val="clear" w:color="auto" w:fill="auto"/>
          </w:tcPr>
          <w:p w14:paraId="198BEF78" w14:textId="77777777" w:rsidR="0048431D" w:rsidRPr="005730EC" w:rsidRDefault="0048431D" w:rsidP="0048431D">
            <w:pPr>
              <w:rPr>
                <w:rFonts w:cs="Arial"/>
                <w:color w:val="000000"/>
                <w:sz w:val="20"/>
              </w:rPr>
            </w:pPr>
            <w:r w:rsidRPr="005730EC">
              <w:rPr>
                <w:rFonts w:cs="Arial"/>
                <w:color w:val="000000"/>
                <w:sz w:val="20"/>
              </w:rPr>
              <w:t>The</w:t>
            </w:r>
            <w:r>
              <w:rPr>
                <w:rFonts w:cs="Arial"/>
                <w:color w:val="000000"/>
                <w:sz w:val="20"/>
              </w:rPr>
              <w:t xml:space="preserve"> </w:t>
            </w:r>
            <w:r w:rsidRPr="00200458">
              <w:rPr>
                <w:rFonts w:cs="Arial"/>
                <w:sz w:val="20"/>
              </w:rPr>
              <w:t>prospective</w:t>
            </w:r>
            <w:r w:rsidRPr="005730EC">
              <w:rPr>
                <w:rFonts w:cs="Arial"/>
                <w:color w:val="000000"/>
                <w:sz w:val="20"/>
              </w:rPr>
              <w:t xml:space="preserve"> EIM Entity operations staff</w:t>
            </w:r>
            <w:r>
              <w:rPr>
                <w:rFonts w:cs="Arial"/>
                <w:color w:val="000000"/>
                <w:sz w:val="20"/>
              </w:rPr>
              <w:t xml:space="preserve"> </w:t>
            </w:r>
            <w:r w:rsidRPr="00F4266A">
              <w:rPr>
                <w:rFonts w:cs="Arial"/>
                <w:color w:val="000000"/>
                <w:sz w:val="20"/>
              </w:rPr>
              <w:t>who will have responsibility for EIM operations, transactions and settlements</w:t>
            </w:r>
            <w:r w:rsidRPr="005730EC">
              <w:rPr>
                <w:rFonts w:cs="Arial"/>
                <w:color w:val="000000"/>
                <w:sz w:val="20"/>
              </w:rPr>
              <w:t xml:space="preserve"> are trained on the relevant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and tools used for EIM related communications before the start of parallel operations</w:t>
            </w:r>
          </w:p>
        </w:tc>
      </w:tr>
      <w:tr w:rsidR="0048431D" w:rsidRPr="005730EC" w14:paraId="7276EB23"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35F056A3" w14:textId="77777777" w:rsidR="0048431D" w:rsidRPr="005730EC" w:rsidRDefault="0048431D" w:rsidP="0048431D">
            <w:pPr>
              <w:jc w:val="center"/>
              <w:rPr>
                <w:rFonts w:cs="Arial"/>
                <w:color w:val="000000"/>
                <w:sz w:val="20"/>
              </w:rPr>
            </w:pPr>
            <w:r>
              <w:rPr>
                <w:rFonts w:cs="Arial"/>
                <w:color w:val="000000"/>
                <w:sz w:val="20"/>
              </w:rPr>
              <w:t>32</w:t>
            </w:r>
          </w:p>
        </w:tc>
        <w:tc>
          <w:tcPr>
            <w:tcW w:w="1440" w:type="dxa"/>
            <w:tcBorders>
              <w:top w:val="single" w:sz="4" w:space="0" w:color="auto"/>
              <w:left w:val="nil"/>
              <w:bottom w:val="single" w:sz="4" w:space="0" w:color="auto"/>
              <w:right w:val="single" w:sz="4" w:space="0" w:color="auto"/>
            </w:tcBorders>
            <w:shd w:val="clear" w:color="auto" w:fill="auto"/>
          </w:tcPr>
          <w:p w14:paraId="6038898C" w14:textId="77777777" w:rsidR="0048431D" w:rsidRPr="005730EC" w:rsidRDefault="0048431D" w:rsidP="0048431D">
            <w:pPr>
              <w:rPr>
                <w:rFonts w:cs="Arial"/>
                <w:color w:val="000000"/>
                <w:sz w:val="20"/>
              </w:rPr>
            </w:pPr>
            <w:r w:rsidRPr="005730EC">
              <w:rPr>
                <w:rFonts w:cs="Arial"/>
                <w:color w:val="000000"/>
                <w:sz w:val="20"/>
              </w:rPr>
              <w:t>Communications between the CAISO and the</w:t>
            </w:r>
            <w:r>
              <w:rPr>
                <w:rFonts w:cs="Arial"/>
                <w:color w:val="000000"/>
                <w:sz w:val="20"/>
              </w:rPr>
              <w:t xml:space="preserve"> </w:t>
            </w:r>
            <w:r w:rsidRPr="00200458">
              <w:rPr>
                <w:rFonts w:cs="Arial"/>
                <w:sz w:val="20"/>
              </w:rPr>
              <w:t xml:space="preserve">prospective </w:t>
            </w:r>
            <w:r w:rsidRPr="005730EC">
              <w:rPr>
                <w:rFonts w:cs="Arial"/>
                <w:color w:val="000000"/>
                <w:sz w:val="20"/>
              </w:rPr>
              <w:t>EIM Entity</w:t>
            </w:r>
          </w:p>
        </w:tc>
        <w:tc>
          <w:tcPr>
            <w:tcW w:w="2142" w:type="dxa"/>
            <w:tcBorders>
              <w:top w:val="single" w:sz="4" w:space="0" w:color="auto"/>
              <w:left w:val="nil"/>
              <w:bottom w:val="single" w:sz="4" w:space="0" w:color="auto"/>
              <w:right w:val="single" w:sz="4" w:space="0" w:color="auto"/>
            </w:tcBorders>
            <w:shd w:val="clear" w:color="auto" w:fill="auto"/>
          </w:tcPr>
          <w:p w14:paraId="7401B3FF" w14:textId="77777777" w:rsidR="0048431D" w:rsidRPr="005730EC" w:rsidRDefault="0048431D" w:rsidP="0048431D">
            <w:pPr>
              <w:rPr>
                <w:rFonts w:cs="Arial"/>
                <w:color w:val="000000"/>
                <w:sz w:val="20"/>
              </w:rPr>
            </w:pPr>
            <w:r>
              <w:rPr>
                <w:rFonts w:cs="Arial"/>
                <w:color w:val="000000"/>
                <w:sz w:val="20"/>
              </w:rPr>
              <w:t>3</w:t>
            </w:r>
            <w:r w:rsidRPr="00980FEE">
              <w:rPr>
                <w:rFonts w:cs="Arial"/>
                <w:color w:val="000000"/>
                <w:sz w:val="20"/>
                <w:vertAlign w:val="superscript"/>
              </w:rPr>
              <w:t>rd</w:t>
            </w:r>
            <w:r>
              <w:rPr>
                <w:rFonts w:cs="Arial"/>
                <w:color w:val="000000"/>
                <w:sz w:val="20"/>
              </w:rPr>
              <w:t xml:space="preserve"> party transmission service provider</w:t>
            </w:r>
          </w:p>
        </w:tc>
        <w:tc>
          <w:tcPr>
            <w:tcW w:w="2538" w:type="dxa"/>
            <w:tcBorders>
              <w:top w:val="single" w:sz="4" w:space="0" w:color="auto"/>
              <w:left w:val="nil"/>
              <w:bottom w:val="single" w:sz="4" w:space="0" w:color="auto"/>
              <w:right w:val="single" w:sz="4" w:space="0" w:color="auto"/>
            </w:tcBorders>
            <w:shd w:val="clear" w:color="auto" w:fill="auto"/>
          </w:tcPr>
          <w:p w14:paraId="00632C4F" w14:textId="77777777" w:rsidR="0048431D" w:rsidRPr="005730EC" w:rsidRDefault="0048431D" w:rsidP="0048431D">
            <w:pPr>
              <w:rPr>
                <w:rFonts w:cs="Arial"/>
                <w:color w:val="000000"/>
                <w:sz w:val="20"/>
              </w:rPr>
            </w:pPr>
            <w:r>
              <w:rPr>
                <w:rFonts w:cs="Arial"/>
                <w:color w:val="000000"/>
                <w:sz w:val="20"/>
              </w:rPr>
              <w:t>The third party transmission service provider information that supports EIM Transfers and Real-Time Dispatch included in the Full Network Model is available during parallel operations</w:t>
            </w:r>
          </w:p>
        </w:tc>
        <w:tc>
          <w:tcPr>
            <w:tcW w:w="2862" w:type="dxa"/>
            <w:tcBorders>
              <w:top w:val="single" w:sz="4" w:space="0" w:color="auto"/>
              <w:left w:val="nil"/>
              <w:bottom w:val="single" w:sz="4" w:space="0" w:color="auto"/>
              <w:right w:val="single" w:sz="4" w:space="0" w:color="auto"/>
            </w:tcBorders>
            <w:shd w:val="clear" w:color="auto" w:fill="auto"/>
          </w:tcPr>
          <w:p w14:paraId="77A7911D" w14:textId="77777777" w:rsidR="0048431D" w:rsidRPr="005730EC" w:rsidRDefault="0048431D" w:rsidP="0048431D">
            <w:pPr>
              <w:rPr>
                <w:rFonts w:cs="Arial"/>
                <w:color w:val="000000"/>
                <w:sz w:val="20"/>
              </w:rPr>
            </w:pPr>
            <w:r>
              <w:rPr>
                <w:rFonts w:cs="Arial"/>
                <w:color w:val="000000"/>
                <w:sz w:val="20"/>
              </w:rPr>
              <w:t xml:space="preserve">The CAISO provides </w:t>
            </w:r>
            <w:r w:rsidRPr="00F4266A">
              <w:rPr>
                <w:rFonts w:cs="Arial"/>
                <w:color w:val="000000"/>
                <w:sz w:val="20"/>
              </w:rPr>
              <w:t>third party transmission service provider and path operator information to the prospective EIM Entity through parallel operations</w:t>
            </w:r>
          </w:p>
        </w:tc>
      </w:tr>
      <w:tr w:rsidR="0048431D" w:rsidRPr="005730EC" w14:paraId="4AD9B647"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572791A1" w14:textId="77777777" w:rsidR="0048431D" w:rsidRDefault="0048431D" w:rsidP="0048431D">
            <w:pPr>
              <w:jc w:val="center"/>
              <w:rPr>
                <w:rFonts w:cs="Arial"/>
                <w:color w:val="000000"/>
                <w:sz w:val="20"/>
              </w:rPr>
            </w:pPr>
            <w:r>
              <w:rPr>
                <w:rFonts w:cs="Arial"/>
                <w:color w:val="000000"/>
                <w:sz w:val="20"/>
              </w:rPr>
              <w:t>33</w:t>
            </w:r>
          </w:p>
        </w:tc>
        <w:tc>
          <w:tcPr>
            <w:tcW w:w="1440" w:type="dxa"/>
            <w:tcBorders>
              <w:top w:val="single" w:sz="4" w:space="0" w:color="auto"/>
              <w:left w:val="nil"/>
              <w:bottom w:val="single" w:sz="4" w:space="0" w:color="auto"/>
              <w:right w:val="single" w:sz="4" w:space="0" w:color="auto"/>
            </w:tcBorders>
            <w:shd w:val="clear" w:color="auto" w:fill="auto"/>
          </w:tcPr>
          <w:p w14:paraId="240AA754" w14:textId="77777777" w:rsidR="0048431D" w:rsidRPr="00980FEE" w:rsidRDefault="0048431D" w:rsidP="0048431D">
            <w:pPr>
              <w:rPr>
                <w:rFonts w:cs="Arial"/>
                <w:color w:val="000000"/>
                <w:sz w:val="20"/>
              </w:rPr>
            </w:pPr>
            <w:r w:rsidRPr="00773416">
              <w:rPr>
                <w:rFonts w:cs="Arial"/>
                <w:color w:val="000000"/>
                <w:sz w:val="20"/>
              </w:rPr>
              <w:t>EIM Available Balancing Capacity</w:t>
            </w:r>
          </w:p>
        </w:tc>
        <w:tc>
          <w:tcPr>
            <w:tcW w:w="2142" w:type="dxa"/>
            <w:tcBorders>
              <w:top w:val="single" w:sz="4" w:space="0" w:color="auto"/>
              <w:left w:val="nil"/>
              <w:bottom w:val="single" w:sz="4" w:space="0" w:color="auto"/>
              <w:right w:val="single" w:sz="4" w:space="0" w:color="auto"/>
            </w:tcBorders>
            <w:shd w:val="clear" w:color="auto" w:fill="auto"/>
          </w:tcPr>
          <w:p w14:paraId="47C21330" w14:textId="77777777" w:rsidR="0048431D" w:rsidRPr="00773416" w:rsidRDefault="0048431D" w:rsidP="0048431D">
            <w:pPr>
              <w:rPr>
                <w:rFonts w:cs="Arial"/>
                <w:color w:val="000000"/>
                <w:sz w:val="20"/>
              </w:rPr>
            </w:pPr>
            <w:r w:rsidRPr="00B51F19">
              <w:rPr>
                <w:rFonts w:cs="Arial"/>
                <w:color w:val="000000"/>
                <w:sz w:val="20"/>
              </w:rPr>
              <w:t>Identification of EIM Available Balancing Capacity</w:t>
            </w:r>
          </w:p>
        </w:tc>
        <w:tc>
          <w:tcPr>
            <w:tcW w:w="2538" w:type="dxa"/>
            <w:tcBorders>
              <w:top w:val="single" w:sz="4" w:space="0" w:color="auto"/>
              <w:left w:val="nil"/>
              <w:bottom w:val="single" w:sz="4" w:space="0" w:color="auto"/>
              <w:right w:val="single" w:sz="4" w:space="0" w:color="auto"/>
            </w:tcBorders>
            <w:shd w:val="clear" w:color="auto" w:fill="auto"/>
          </w:tcPr>
          <w:p w14:paraId="7B66F1D3" w14:textId="77777777" w:rsidR="0048431D" w:rsidRPr="00F4266A" w:rsidRDefault="0048431D" w:rsidP="0048431D">
            <w:pPr>
              <w:rPr>
                <w:rFonts w:cs="Arial"/>
                <w:color w:val="000000"/>
                <w:sz w:val="20"/>
              </w:rPr>
            </w:pPr>
            <w:r>
              <w:rPr>
                <w:rFonts w:cs="Arial"/>
                <w:color w:val="000000"/>
                <w:sz w:val="20"/>
              </w:rPr>
              <w:t>P</w:t>
            </w:r>
            <w:r w:rsidRPr="007D400D">
              <w:rPr>
                <w:rFonts w:cs="Arial"/>
                <w:color w:val="000000"/>
                <w:sz w:val="20"/>
              </w:rPr>
              <w:t xml:space="preserve">articipating </w:t>
            </w:r>
            <w:r>
              <w:rPr>
                <w:rFonts w:cs="Arial"/>
                <w:color w:val="000000"/>
                <w:sz w:val="20"/>
              </w:rPr>
              <w:t>r</w:t>
            </w:r>
            <w:r w:rsidRPr="007D400D">
              <w:rPr>
                <w:rFonts w:cs="Arial"/>
                <w:color w:val="000000"/>
                <w:sz w:val="20"/>
              </w:rPr>
              <w:t xml:space="preserve">esources and non-participating resources </w:t>
            </w:r>
            <w:r>
              <w:rPr>
                <w:rFonts w:cs="Arial"/>
                <w:color w:val="000000"/>
                <w:sz w:val="20"/>
              </w:rPr>
              <w:t>for</w:t>
            </w:r>
            <w:r w:rsidRPr="007D400D">
              <w:rPr>
                <w:rFonts w:cs="Arial"/>
                <w:color w:val="000000"/>
                <w:sz w:val="20"/>
              </w:rPr>
              <w:t xml:space="preserve"> EIM Available Balancing Capacity.</w:t>
            </w:r>
          </w:p>
        </w:tc>
        <w:tc>
          <w:tcPr>
            <w:tcW w:w="2862" w:type="dxa"/>
            <w:tcBorders>
              <w:top w:val="single" w:sz="4" w:space="0" w:color="auto"/>
              <w:left w:val="nil"/>
              <w:bottom w:val="single" w:sz="4" w:space="0" w:color="auto"/>
              <w:right w:val="single" w:sz="4" w:space="0" w:color="auto"/>
            </w:tcBorders>
            <w:shd w:val="clear" w:color="auto" w:fill="auto"/>
          </w:tcPr>
          <w:p w14:paraId="3758203E" w14:textId="77777777" w:rsidR="0048431D" w:rsidRPr="005730EC" w:rsidRDefault="0048431D" w:rsidP="0048431D">
            <w:pPr>
              <w:rPr>
                <w:rFonts w:cs="Arial"/>
                <w:color w:val="000000"/>
                <w:sz w:val="20"/>
              </w:rPr>
            </w:pPr>
            <w:r w:rsidRPr="007F0A79">
              <w:rPr>
                <w:rFonts w:cs="Arial"/>
                <w:color w:val="000000"/>
                <w:sz w:val="20"/>
              </w:rPr>
              <w:t>The prospective EIM Entity has identified EIM participating resources and non-participating resources that it intends to designate in the EIM Resource Plan as EIM Available Balancing Capacity</w:t>
            </w:r>
          </w:p>
        </w:tc>
      </w:tr>
    </w:tbl>
    <w:p w14:paraId="1D328DC6" w14:textId="77777777" w:rsidR="008E2755" w:rsidRPr="008E2755" w:rsidRDefault="008E2755" w:rsidP="008E2755">
      <w:pPr>
        <w:pStyle w:val="ParaText"/>
      </w:pPr>
    </w:p>
    <w:p w14:paraId="37759F73" w14:textId="77777777" w:rsidR="00C45CA7" w:rsidRDefault="00C45CA7" w:rsidP="008034D9">
      <w:pPr>
        <w:spacing w:after="240" w:line="300" w:lineRule="auto"/>
        <w:rPr>
          <w:b/>
        </w:rPr>
      </w:pPr>
      <w:r w:rsidRPr="00C45CA7">
        <w:rPr>
          <w:b/>
        </w:rPr>
        <w:t>Exceptions to Thresholds</w:t>
      </w:r>
    </w:p>
    <w:p w14:paraId="3672D34C" w14:textId="77777777" w:rsidR="001028EC" w:rsidRPr="005A28AC" w:rsidRDefault="001028EC" w:rsidP="001028EC">
      <w:pPr>
        <w:spacing w:after="240" w:line="300" w:lineRule="auto"/>
        <w:rPr>
          <w:rFonts w:cs="Arial"/>
        </w:rPr>
      </w:pPr>
      <w:r w:rsidRPr="005A28AC">
        <w:rPr>
          <w:rFonts w:cs="Arial"/>
        </w:rPr>
        <w:lastRenderedPageBreak/>
        <w:t xml:space="preserve">Any exceptions to the adherence to the thresholds listed above will be considered by the CAISO and prospective EIM Entity in accordance with the procedures for granting exceptions outlined below, </w:t>
      </w:r>
      <w:r w:rsidRPr="005A28AC">
        <w:rPr>
          <w:rFonts w:cs="Arial"/>
          <w:color w:val="000000"/>
        </w:rPr>
        <w:t>explained fully in stakeholder calls, noted on the readiness dashboard that</w:t>
      </w:r>
      <w:r w:rsidR="00840590">
        <w:rPr>
          <w:rFonts w:cs="Arial"/>
          <w:color w:val="000000"/>
        </w:rPr>
        <w:t xml:space="preserve"> is posted on the CAISO website. Exceptions will also be</w:t>
      </w:r>
      <w:r w:rsidRPr="005A28AC">
        <w:rPr>
          <w:rFonts w:cs="Arial"/>
          <w:color w:val="000000"/>
        </w:rPr>
        <w:t xml:space="preserve"> explained in the certification statements of the CAISO and the EIM Entity. </w:t>
      </w:r>
      <w:r w:rsidRPr="005A28AC">
        <w:rPr>
          <w:rFonts w:cs="Arial"/>
        </w:rPr>
        <w:t>With each prospective EIM Entity implementation, the CAISO will revisit the readiness thresholds and make modifications based on stakeholder feedback.</w:t>
      </w:r>
    </w:p>
    <w:p w14:paraId="6E20E040" w14:textId="77777777" w:rsidR="001028EC" w:rsidRPr="001028EC" w:rsidRDefault="001028EC" w:rsidP="000D72C0">
      <w:pPr>
        <w:spacing w:after="240" w:line="300" w:lineRule="auto"/>
        <w:rPr>
          <w:rFonts w:cs="Arial"/>
          <w:b/>
        </w:rPr>
      </w:pPr>
      <w:r w:rsidRPr="005A28AC">
        <w:rPr>
          <w:rFonts w:cs="Arial"/>
          <w:color w:val="212121"/>
        </w:rPr>
        <w:t xml:space="preserve">Any exception to a threshold would be reviewed by the responsible staff, escalated to the senior officers ultimately responsible for certification, and then documented in the readiness report that supports the certification.  </w:t>
      </w:r>
      <w:r w:rsidRPr="005A28AC">
        <w:rPr>
          <w:rFonts w:cs="Arial"/>
        </w:rPr>
        <w:t xml:space="preserve">The CAISO and the prospective EIM Entity will engage in a collaborative approach to satisfy the readiness criteria and endeavor to make decisions based on consensus between the parties.  Both parties will strive to avoid exceptions by providing comprehensive updates and proactively managing issues and risks.  </w:t>
      </w:r>
      <w:r w:rsidRPr="005A28AC">
        <w:rPr>
          <w:rFonts w:cs="Arial"/>
          <w:color w:val="212121"/>
        </w:rPr>
        <w:t>When an exception is required, it will be defined by specifying what is not conforming and why an exception is necessary.</w:t>
      </w:r>
    </w:p>
    <w:p w14:paraId="7E47E8B0" w14:textId="77777777" w:rsidR="009540DF" w:rsidRDefault="00DF5618" w:rsidP="000D72C0">
      <w:pPr>
        <w:pStyle w:val="Heading2"/>
      </w:pPr>
      <w:bookmarkStart w:id="2268" w:name="_Toc460320487"/>
      <w:r>
        <w:t xml:space="preserve">Readiness </w:t>
      </w:r>
      <w:r w:rsidR="00FA251B">
        <w:t>Reporting</w:t>
      </w:r>
      <w:r w:rsidR="00D6641B">
        <w:t xml:space="preserve">, </w:t>
      </w:r>
      <w:r w:rsidR="00BF347C">
        <w:t xml:space="preserve">Determination </w:t>
      </w:r>
      <w:r w:rsidR="00D6641B">
        <w:t>&amp; Certification</w:t>
      </w:r>
      <w:bookmarkEnd w:id="2268"/>
    </w:p>
    <w:p w14:paraId="27B6A871" w14:textId="77777777" w:rsidR="008B7613" w:rsidRDefault="008B7613" w:rsidP="008B7613">
      <w:pPr>
        <w:spacing w:after="240" w:line="300" w:lineRule="auto"/>
      </w:pPr>
      <w:r>
        <w:t xml:space="preserve">Welcome to the </w:t>
      </w:r>
      <w:r>
        <w:rPr>
          <w:i/>
        </w:rPr>
        <w:t>Readiness Certification</w:t>
      </w:r>
      <w:r>
        <w:t xml:space="preserve"> section of the CAISO </w:t>
      </w:r>
      <w:r w:rsidRPr="00A812DF">
        <w:rPr>
          <w:i/>
        </w:rPr>
        <w:t>BPM for the Energy Imbalance Market</w:t>
      </w:r>
      <w:r>
        <w:t>.  In this section you will find the following information:</w:t>
      </w:r>
    </w:p>
    <w:p w14:paraId="2568BE4F" w14:textId="77777777" w:rsidR="00BF347C" w:rsidRDefault="00BF347C" w:rsidP="00BF347C">
      <w:pPr>
        <w:pStyle w:val="ListParagraph"/>
        <w:numPr>
          <w:ilvl w:val="0"/>
          <w:numId w:val="235"/>
        </w:numPr>
        <w:spacing w:after="240" w:line="300" w:lineRule="auto"/>
      </w:pPr>
      <w:r>
        <w:t xml:space="preserve">Timeline in which CAISO will report on the status of readiness criteria </w:t>
      </w:r>
    </w:p>
    <w:p w14:paraId="3E59AC93" w14:textId="77777777" w:rsidR="00D6641B" w:rsidRDefault="00D6641B" w:rsidP="008B7613">
      <w:pPr>
        <w:pStyle w:val="ListParagraph"/>
        <w:numPr>
          <w:ilvl w:val="0"/>
          <w:numId w:val="235"/>
        </w:numPr>
        <w:spacing w:after="240" w:line="300" w:lineRule="auto"/>
      </w:pPr>
      <w:r>
        <w:t>Timeline in which the CAISO and the EIM Entity Initiate will determine readiness</w:t>
      </w:r>
    </w:p>
    <w:p w14:paraId="113E4F02" w14:textId="77777777" w:rsidR="008B7613" w:rsidRDefault="008B7613" w:rsidP="008B7613">
      <w:pPr>
        <w:pStyle w:val="ListParagraph"/>
        <w:numPr>
          <w:ilvl w:val="0"/>
          <w:numId w:val="235"/>
        </w:numPr>
        <w:spacing w:after="240" w:line="300" w:lineRule="auto"/>
      </w:pPr>
      <w:r>
        <w:t>Timelines in which CAISO and the EIM Entity Initiate will submit readiness certification to the Federal Energy Regulatory Commission</w:t>
      </w:r>
    </w:p>
    <w:p w14:paraId="1E69BDC5" w14:textId="77777777" w:rsidR="004D06AE" w:rsidRPr="005730EC" w:rsidRDefault="004D06AE" w:rsidP="004D06AE">
      <w:pPr>
        <w:pStyle w:val="ParaText"/>
        <w:rPr>
          <w:rFonts w:cs="Arial"/>
          <w:b/>
          <w:u w:val="single"/>
        </w:rPr>
      </w:pPr>
      <w:r w:rsidRPr="005730EC">
        <w:rPr>
          <w:rFonts w:cs="Arial"/>
          <w:b/>
          <w:u w:val="single"/>
        </w:rPr>
        <w:t>Readiness Reporting</w:t>
      </w:r>
    </w:p>
    <w:p w14:paraId="59A1F154" w14:textId="77777777" w:rsidR="004D06AE" w:rsidRPr="005730EC" w:rsidRDefault="004D06AE" w:rsidP="004D06AE">
      <w:pPr>
        <w:pStyle w:val="ParaText"/>
        <w:rPr>
          <w:rFonts w:cs="Arial"/>
        </w:rPr>
      </w:pPr>
      <w:r w:rsidRPr="005730EC">
        <w:rPr>
          <w:rFonts w:cs="Arial"/>
        </w:rPr>
        <w:t>CAISO will report at least monthly during market simulation and at least twice a month during parallel operations on the status of the readiness criteria. The reporting will be on the public CAISO web site (</w:t>
      </w:r>
      <w:hyperlink r:id="rId194" w:history="1">
        <w:r w:rsidRPr="005730EC">
          <w:rPr>
            <w:rStyle w:val="Hyperlink"/>
            <w:rFonts w:cs="Arial"/>
          </w:rPr>
          <w:t>www.caiso.com</w:t>
        </w:r>
      </w:hyperlink>
      <w:r w:rsidRPr="005730EC">
        <w:rPr>
          <w:rFonts w:cs="Arial"/>
        </w:rPr>
        <w:t xml:space="preserve">), and will consist of current progress towards readiness thresholds and any exceptions or deviations from the readiness thresholds.  </w:t>
      </w:r>
    </w:p>
    <w:p w14:paraId="34B3F749" w14:textId="77777777" w:rsidR="004D06AE" w:rsidRPr="005730EC" w:rsidRDefault="004D06AE" w:rsidP="004D06AE">
      <w:pPr>
        <w:pStyle w:val="ParaText"/>
        <w:rPr>
          <w:rFonts w:cs="Arial"/>
          <w:b/>
          <w:u w:val="single"/>
        </w:rPr>
      </w:pPr>
      <w:r w:rsidRPr="005730EC">
        <w:rPr>
          <w:rFonts w:cs="Arial"/>
          <w:b/>
          <w:u w:val="single"/>
        </w:rPr>
        <w:lastRenderedPageBreak/>
        <w:t>Readiness Determination</w:t>
      </w:r>
    </w:p>
    <w:p w14:paraId="77228834" w14:textId="77777777" w:rsidR="004D06AE" w:rsidRPr="005730EC" w:rsidRDefault="004D06AE" w:rsidP="004D06AE">
      <w:pPr>
        <w:pStyle w:val="ParaText"/>
        <w:rPr>
          <w:rFonts w:cs="Arial"/>
          <w:b/>
          <w:u w:val="single"/>
        </w:rPr>
      </w:pPr>
      <w:r w:rsidRPr="005F4B1C">
        <w:rPr>
          <w:rFonts w:cs="Arial"/>
        </w:rPr>
        <w:t xml:space="preserve">No later than 30 days prior to the </w:t>
      </w:r>
      <w:r>
        <w:rPr>
          <w:rFonts w:cs="Arial"/>
        </w:rPr>
        <w:t xml:space="preserve">prospective EIM Entity’s </w:t>
      </w:r>
      <w:r w:rsidRPr="005F4B1C">
        <w:rPr>
          <w:rFonts w:cs="Arial"/>
        </w:rPr>
        <w:t>Implementation Date</w:t>
      </w:r>
      <w:r w:rsidRPr="00A12622">
        <w:rPr>
          <w:rFonts w:cs="Arial"/>
        </w:rPr>
        <w:t>, the CAISO will determine, in consultation</w:t>
      </w:r>
      <w:r w:rsidRPr="005F4B1C">
        <w:rPr>
          <w:rFonts w:cs="Arial"/>
        </w:rPr>
        <w:t xml:space="preserve"> with the </w:t>
      </w:r>
      <w:r>
        <w:rPr>
          <w:rFonts w:cs="Arial"/>
        </w:rPr>
        <w:t xml:space="preserve">prospective </w:t>
      </w:r>
      <w:r w:rsidRPr="005F4B1C">
        <w:rPr>
          <w:rFonts w:cs="Arial"/>
        </w:rPr>
        <w:t xml:space="preserve">EIM Entity, whether the systems and processes of the </w:t>
      </w:r>
      <w:r>
        <w:rPr>
          <w:rFonts w:cs="Arial"/>
        </w:rPr>
        <w:t xml:space="preserve">prospective </w:t>
      </w:r>
      <w:r w:rsidRPr="00F506DD">
        <w:rPr>
          <w:rFonts w:cs="Arial"/>
        </w:rPr>
        <w:t xml:space="preserve">EIM </w:t>
      </w:r>
      <w:r w:rsidRPr="005F4B1C">
        <w:rPr>
          <w:rFonts w:cs="Arial"/>
        </w:rPr>
        <w:t>Entity will be ready for participation in the</w:t>
      </w:r>
      <w:r>
        <w:rPr>
          <w:rFonts w:cs="Arial"/>
        </w:rPr>
        <w:t xml:space="preserve"> Energy Imbalance Market. Readiness will be determined</w:t>
      </w:r>
      <w:r w:rsidRPr="00F506DD">
        <w:rPr>
          <w:rFonts w:cs="Arial"/>
        </w:rPr>
        <w:t xml:space="preserve"> </w:t>
      </w:r>
      <w:r>
        <w:rPr>
          <w:rFonts w:cs="Arial"/>
        </w:rPr>
        <w:t xml:space="preserve">by the </w:t>
      </w:r>
      <w:r w:rsidRPr="00F506DD">
        <w:rPr>
          <w:rFonts w:cs="Arial"/>
        </w:rPr>
        <w:t xml:space="preserve">thresholds specified in </w:t>
      </w:r>
      <w:r>
        <w:rPr>
          <w:rFonts w:cs="Arial"/>
        </w:rPr>
        <w:t>section 2.1of the Business Practice Manual, with any exceptions for the certifying prospective EIM Entity.</w:t>
      </w:r>
    </w:p>
    <w:p w14:paraId="02D0272F" w14:textId="77777777" w:rsidR="004D06AE" w:rsidRPr="00FA4BF2" w:rsidRDefault="004D06AE" w:rsidP="004D06AE">
      <w:pPr>
        <w:pStyle w:val="ParaText"/>
        <w:rPr>
          <w:rFonts w:cs="Arial"/>
          <w:b/>
          <w:u w:val="single"/>
        </w:rPr>
      </w:pPr>
      <w:r w:rsidRPr="00FA4BF2">
        <w:rPr>
          <w:rFonts w:cs="Arial"/>
          <w:b/>
          <w:u w:val="single"/>
        </w:rPr>
        <w:t>Readiness Certification</w:t>
      </w:r>
    </w:p>
    <w:p w14:paraId="067BE5F5" w14:textId="77777777" w:rsidR="004D06AE" w:rsidRPr="00C83084" w:rsidRDefault="004D06AE" w:rsidP="004D06AE">
      <w:pPr>
        <w:pStyle w:val="ParaText"/>
        <w:rPr>
          <w:rFonts w:cs="Arial"/>
        </w:rPr>
      </w:pPr>
      <w:r w:rsidRPr="00BF725A">
        <w:rPr>
          <w:rFonts w:cs="Arial"/>
        </w:rPr>
        <w:t>CAISO and the prospective EIM Entity will track their progress and report on readiness criteria prior to filing for EIM readiness certification. Both parties will file a market readiness certificate with the Federal Energy Regulatory Commission 30 days in advance of the prospective EIM Entity established</w:t>
      </w:r>
      <w:r w:rsidRPr="00C83084">
        <w:rPr>
          <w:rFonts w:cs="Arial"/>
        </w:rPr>
        <w:t xml:space="preserve"> implementation date. The readiness certification will cover the following information:</w:t>
      </w:r>
    </w:p>
    <w:p w14:paraId="5A319E1A" w14:textId="77777777" w:rsidR="004D06AE" w:rsidRDefault="004D06AE" w:rsidP="004D06AE">
      <w:pPr>
        <w:pStyle w:val="ParaText"/>
        <w:numPr>
          <w:ilvl w:val="0"/>
          <w:numId w:val="236"/>
        </w:numPr>
        <w:rPr>
          <w:rFonts w:cs="Arial"/>
        </w:rPr>
      </w:pPr>
      <w:r>
        <w:rPr>
          <w:rFonts w:cs="Arial"/>
        </w:rPr>
        <w:t>That the processes and systems</w:t>
      </w:r>
      <w:r w:rsidRPr="00F506DD">
        <w:rPr>
          <w:rFonts w:cs="Arial"/>
        </w:rPr>
        <w:t xml:space="preserve"> of the </w:t>
      </w:r>
      <w:r>
        <w:rPr>
          <w:rFonts w:cs="Arial"/>
        </w:rPr>
        <w:t xml:space="preserve">prospective </w:t>
      </w:r>
      <w:r w:rsidRPr="00F506DD">
        <w:rPr>
          <w:rFonts w:cs="Arial"/>
        </w:rPr>
        <w:t>EIM Entity have satisfied or will have satisfied the readiness criteria</w:t>
      </w:r>
      <w:r>
        <w:rPr>
          <w:rFonts w:cs="Arial"/>
        </w:rPr>
        <w:t xml:space="preserve"> as outlined above.</w:t>
      </w:r>
      <w:r w:rsidRPr="002030A6" w:rsidDel="003410A8">
        <w:rPr>
          <w:rFonts w:cs="Arial"/>
        </w:rPr>
        <w:t xml:space="preserve"> </w:t>
      </w:r>
    </w:p>
    <w:p w14:paraId="3C8B41D3" w14:textId="77777777" w:rsidR="004D06AE" w:rsidRDefault="004D06AE" w:rsidP="004D06AE">
      <w:pPr>
        <w:pStyle w:val="ParaText"/>
        <w:numPr>
          <w:ilvl w:val="0"/>
          <w:numId w:val="236"/>
        </w:numPr>
        <w:rPr>
          <w:rFonts w:cs="Arial"/>
        </w:rPr>
      </w:pPr>
      <w:r w:rsidRPr="00452BC4">
        <w:rPr>
          <w:rFonts w:cs="Arial"/>
        </w:rPr>
        <w:t xml:space="preserve">Any known issues requiring resolution prior to the established </w:t>
      </w:r>
      <w:r>
        <w:rPr>
          <w:rFonts w:cs="Arial"/>
        </w:rPr>
        <w:t xml:space="preserve">EIM </w:t>
      </w:r>
      <w:r w:rsidRPr="00452BC4">
        <w:rPr>
          <w:rFonts w:cs="Arial"/>
        </w:rPr>
        <w:t>Implementation Date</w:t>
      </w:r>
      <w:r>
        <w:rPr>
          <w:rFonts w:cs="Arial"/>
        </w:rPr>
        <w:t>.</w:t>
      </w:r>
    </w:p>
    <w:p w14:paraId="456905E8" w14:textId="77777777" w:rsidR="004D06AE" w:rsidRPr="00C007BA" w:rsidRDefault="004D06AE" w:rsidP="004D06AE">
      <w:pPr>
        <w:pStyle w:val="ParaText"/>
        <w:numPr>
          <w:ilvl w:val="0"/>
          <w:numId w:val="236"/>
        </w:numPr>
        <w:rPr>
          <w:rFonts w:cs="Arial"/>
        </w:rPr>
      </w:pPr>
      <w:r w:rsidRPr="00452BC4">
        <w:rPr>
          <w:rFonts w:cs="Arial"/>
        </w:rPr>
        <w:t xml:space="preserve">Any exceptions from the readiness thresholds as outlined </w:t>
      </w:r>
      <w:r>
        <w:rPr>
          <w:rFonts w:cs="Arial"/>
        </w:rPr>
        <w:t>above.</w:t>
      </w:r>
    </w:p>
    <w:p w14:paraId="69146F58" w14:textId="77777777" w:rsidR="004D06AE" w:rsidRPr="00824B46" w:rsidRDefault="004D06AE" w:rsidP="004D06AE">
      <w:pPr>
        <w:pStyle w:val="ParaText"/>
        <w:rPr>
          <w:rFonts w:cs="Arial"/>
        </w:rPr>
      </w:pPr>
      <w:r>
        <w:rPr>
          <w:rFonts w:cs="Arial"/>
        </w:rPr>
        <w:t>Th</w:t>
      </w:r>
      <w:r w:rsidRPr="002E195E">
        <w:rPr>
          <w:rFonts w:cs="Arial"/>
        </w:rPr>
        <w:t xml:space="preserve">at the EIM Implementation Date is conditional </w:t>
      </w:r>
      <w:r>
        <w:rPr>
          <w:rFonts w:cs="Arial"/>
        </w:rPr>
        <w:t>upon</w:t>
      </w:r>
      <w:r w:rsidRPr="002E195E">
        <w:rPr>
          <w:rFonts w:cs="Arial"/>
        </w:rPr>
        <w:t xml:space="preserve"> the resolution of </w:t>
      </w:r>
      <w:r>
        <w:rPr>
          <w:rFonts w:cs="Arial"/>
        </w:rPr>
        <w:t>any</w:t>
      </w:r>
      <w:r w:rsidRPr="006A7C2F">
        <w:rPr>
          <w:rFonts w:cs="Arial"/>
        </w:rPr>
        <w:t xml:space="preserve"> known issues </w:t>
      </w:r>
      <w:r>
        <w:rPr>
          <w:rFonts w:cs="Arial"/>
        </w:rPr>
        <w:t xml:space="preserve">identified in the </w:t>
      </w:r>
      <w:r w:rsidRPr="00F506DD">
        <w:rPr>
          <w:rFonts w:cs="Arial"/>
        </w:rPr>
        <w:t>certificates</w:t>
      </w:r>
      <w:r>
        <w:rPr>
          <w:rFonts w:cs="Arial"/>
        </w:rPr>
        <w:t xml:space="preserve"> filed with FERC</w:t>
      </w:r>
      <w:r w:rsidRPr="00F506DD">
        <w:rPr>
          <w:rFonts w:cs="Arial"/>
        </w:rPr>
        <w:t xml:space="preserve"> and any unforeseen issues </w:t>
      </w:r>
      <w:r>
        <w:rPr>
          <w:rFonts w:cs="Arial"/>
        </w:rPr>
        <w:t xml:space="preserve">that arise that </w:t>
      </w:r>
      <w:r w:rsidRPr="00F506DD">
        <w:rPr>
          <w:rFonts w:cs="Arial"/>
        </w:rPr>
        <w:t>undermine the satisfaction of the rea</w:t>
      </w:r>
      <w:r w:rsidRPr="006A7C2F">
        <w:rPr>
          <w:rFonts w:cs="Arial"/>
        </w:rPr>
        <w:t>diness criteria</w:t>
      </w:r>
      <w:r>
        <w:rPr>
          <w:rFonts w:cs="Arial"/>
        </w:rPr>
        <w:t xml:space="preserve">.  </w:t>
      </w:r>
      <w:r w:rsidRPr="00594716">
        <w:rPr>
          <w:rFonts w:cs="Arial"/>
        </w:rPr>
        <w:t xml:space="preserve">If, subsequent to readiness certification </w:t>
      </w:r>
      <w:r w:rsidRPr="00824B46">
        <w:rPr>
          <w:rFonts w:cs="Arial"/>
        </w:rPr>
        <w:t xml:space="preserve">the CAISO or the prospective EIM Entity </w:t>
      </w:r>
      <w:r>
        <w:rPr>
          <w:rFonts w:cs="Arial"/>
        </w:rPr>
        <w:t>determines they</w:t>
      </w:r>
      <w:r w:rsidRPr="00824B46">
        <w:rPr>
          <w:rFonts w:cs="Arial"/>
        </w:rPr>
        <w:t xml:space="preserve"> cannot proceed with implementation on the Implementation Date, the CAISO </w:t>
      </w:r>
      <w:r>
        <w:rPr>
          <w:rFonts w:cs="Arial"/>
        </w:rPr>
        <w:t>and</w:t>
      </w:r>
      <w:r w:rsidRPr="00824B46">
        <w:rPr>
          <w:rFonts w:cs="Arial"/>
        </w:rPr>
        <w:t xml:space="preserve"> the prospective EIM Entity will notify the Federal Energy Regulatory Commission of the delay, the reason for the delay, the new Implementation Date if it can be determined, and whether it will need to re-issue a portion or all of the readiness certification.</w:t>
      </w:r>
    </w:p>
    <w:p w14:paraId="5000698C" w14:textId="4AC346E2" w:rsidR="002E46E9" w:rsidRPr="00225179" w:rsidRDefault="002E46E9" w:rsidP="00DF5618">
      <w:pPr>
        <w:pStyle w:val="Heading1"/>
      </w:pPr>
      <w:bookmarkStart w:id="2269" w:name="_Toc460320488"/>
      <w:r w:rsidRPr="00225179">
        <w:t>RULES OF CONDUCT</w:t>
      </w:r>
      <w:bookmarkEnd w:id="2263"/>
      <w:bookmarkEnd w:id="2264"/>
      <w:bookmarkEnd w:id="2265"/>
      <w:bookmarkEnd w:id="2269"/>
    </w:p>
    <w:p w14:paraId="3ADDECE3" w14:textId="77777777" w:rsidR="00A812DF" w:rsidRDefault="00A812DF" w:rsidP="006F6DD6">
      <w:pPr>
        <w:spacing w:after="240" w:line="300" w:lineRule="auto"/>
      </w:pPr>
      <w:r>
        <w:t xml:space="preserve">Welcome to the </w:t>
      </w:r>
      <w:r w:rsidR="004D5D76" w:rsidRPr="004D5D76">
        <w:rPr>
          <w:i/>
        </w:rPr>
        <w:t>Rules of Conduct</w:t>
      </w:r>
      <w:r w:rsidR="004D5D76">
        <w:t xml:space="preserve"> section</w:t>
      </w:r>
      <w:r w:rsidR="00775CF7">
        <w:t xml:space="preserve"> </w:t>
      </w:r>
      <w:r>
        <w:t xml:space="preserve">of the CAISO </w:t>
      </w:r>
      <w:r w:rsidRPr="00A812DF">
        <w:rPr>
          <w:i/>
        </w:rPr>
        <w:t>BPM for the Energy Imbalance Market</w:t>
      </w:r>
      <w:r>
        <w:t xml:space="preserve">.  In this section </w:t>
      </w:r>
      <w:r w:rsidR="004D5D76">
        <w:t xml:space="preserve">you will find </w:t>
      </w:r>
      <w:r>
        <w:t xml:space="preserve">the following </w:t>
      </w:r>
      <w:r w:rsidR="004D5D76">
        <w:t>information</w:t>
      </w:r>
      <w:r>
        <w:t>:</w:t>
      </w:r>
    </w:p>
    <w:p w14:paraId="6ED58FD0" w14:textId="77777777" w:rsidR="004D5D76" w:rsidRDefault="00A812DF" w:rsidP="00A812DF">
      <w:pPr>
        <w:pStyle w:val="ListParagraph"/>
        <w:numPr>
          <w:ilvl w:val="0"/>
          <w:numId w:val="122"/>
        </w:numPr>
        <w:spacing w:after="240" w:line="300" w:lineRule="auto"/>
      </w:pPr>
      <w:r>
        <w:lastRenderedPageBreak/>
        <w:t>S</w:t>
      </w:r>
      <w:r w:rsidR="004D5D76">
        <w:t>ummar</w:t>
      </w:r>
      <w:r>
        <w:t>y of</w:t>
      </w:r>
      <w:r w:rsidR="004D5D76">
        <w:t xml:space="preserve"> the behavior that is subject to Sanction under the CAISO Tariff Rules of Conduct (CAISO Tariff Section 37).</w:t>
      </w:r>
    </w:p>
    <w:p w14:paraId="11FB061E" w14:textId="77777777" w:rsidR="00770B86" w:rsidRDefault="00770B86" w:rsidP="006F6DD6">
      <w:pPr>
        <w:spacing w:after="240" w:line="300" w:lineRule="auto"/>
      </w:pPr>
      <w:r w:rsidRPr="00770B86">
        <w:t xml:space="preserve">Participants in the CAISO markets are expected to comply with the provisions of the CAISO Tariff as well as requirements contained within </w:t>
      </w:r>
      <w:r w:rsidR="000F52BB">
        <w:t>its</w:t>
      </w:r>
      <w:r w:rsidRPr="00770B86">
        <w:t xml:space="preserve"> Business Practice Manuals.  The p</w:t>
      </w:r>
      <w:r w:rsidR="001B06BF">
        <w:t xml:space="preserve">rocess that </w:t>
      </w:r>
      <w:r w:rsidRPr="00770B86">
        <w:t xml:space="preserve">CAISO undertakes to ensure compliance with these documents is described in the </w:t>
      </w:r>
      <w:hyperlink r:id="rId195" w:history="1">
        <w:r w:rsidRPr="003E0BEF">
          <w:rPr>
            <w:rStyle w:val="Hyperlink"/>
            <w:b/>
          </w:rPr>
          <w:t>BPM for Rules of Conduct Administration</w:t>
        </w:r>
      </w:hyperlink>
      <w:r w:rsidRPr="00770B86">
        <w:t xml:space="preserve">.  A participant in the EIM is also subject to these rules as defined by their specific participation in the EIM.   </w:t>
      </w:r>
    </w:p>
    <w:p w14:paraId="66266192" w14:textId="77777777" w:rsidR="00770B86" w:rsidRPr="00770B86" w:rsidRDefault="00770B86" w:rsidP="006F6DD6">
      <w:pPr>
        <w:spacing w:after="240" w:line="300" w:lineRule="auto"/>
      </w:pPr>
    </w:p>
    <w:p w14:paraId="697A127A" w14:textId="77777777" w:rsidR="002E46E9" w:rsidRDefault="002E46E9" w:rsidP="00DF5618">
      <w:pPr>
        <w:pStyle w:val="Heading1"/>
      </w:pPr>
      <w:bookmarkStart w:id="2270" w:name="_Toc389662616"/>
      <w:bookmarkStart w:id="2271" w:name="_Toc390946310"/>
      <w:bookmarkStart w:id="2272" w:name="_Toc391969875"/>
      <w:bookmarkStart w:id="2273" w:name="_Toc460320489"/>
      <w:r>
        <w:t xml:space="preserve">CHANGE </w:t>
      </w:r>
      <w:r w:rsidRPr="00225179">
        <w:t>MANAGEMENT</w:t>
      </w:r>
      <w:bookmarkEnd w:id="2270"/>
      <w:bookmarkEnd w:id="2271"/>
      <w:bookmarkEnd w:id="2272"/>
      <w:bookmarkEnd w:id="2273"/>
    </w:p>
    <w:p w14:paraId="0B23B681" w14:textId="77777777" w:rsidR="00A812DF" w:rsidRDefault="00A812DF" w:rsidP="006F6DD6">
      <w:pPr>
        <w:spacing w:after="240" w:line="300" w:lineRule="auto"/>
      </w:pPr>
      <w:r>
        <w:t xml:space="preserve">Welcome to </w:t>
      </w:r>
      <w:r w:rsidR="00375CB7">
        <w:t xml:space="preserve">the </w:t>
      </w:r>
      <w:r w:rsidR="00375CB7" w:rsidRPr="00375CB7">
        <w:rPr>
          <w:i/>
        </w:rPr>
        <w:t>Change Management</w:t>
      </w:r>
      <w:r w:rsidR="00375CB7">
        <w:t xml:space="preserve"> section of th</w:t>
      </w:r>
      <w:r>
        <w:t>e CAISO</w:t>
      </w:r>
      <w:r w:rsidR="00375CB7">
        <w:t xml:space="preserve"> </w:t>
      </w:r>
      <w:r w:rsidR="00375CB7" w:rsidRPr="00A812DF">
        <w:rPr>
          <w:i/>
        </w:rPr>
        <w:t>BPM</w:t>
      </w:r>
      <w:r w:rsidRPr="00A812DF">
        <w:rPr>
          <w:i/>
        </w:rPr>
        <w:t xml:space="preserve"> for the Energy Imbalance Market</w:t>
      </w:r>
      <w:r>
        <w:t>.  In this section</w:t>
      </w:r>
      <w:r w:rsidR="00775CF7">
        <w:t xml:space="preserve"> </w:t>
      </w:r>
      <w:r w:rsidR="00375CB7">
        <w:t xml:space="preserve">you will find </w:t>
      </w:r>
      <w:r w:rsidR="00F57961">
        <w:t>the following information</w:t>
      </w:r>
      <w:r>
        <w:t>:</w:t>
      </w:r>
    </w:p>
    <w:p w14:paraId="741D20B7" w14:textId="77777777" w:rsidR="00375CB7" w:rsidRDefault="00A812DF" w:rsidP="00A812DF">
      <w:pPr>
        <w:pStyle w:val="ListParagraph"/>
        <w:numPr>
          <w:ilvl w:val="0"/>
          <w:numId w:val="122"/>
        </w:numPr>
        <w:spacing w:after="240" w:line="300" w:lineRule="auto"/>
      </w:pPr>
      <w:r>
        <w:t xml:space="preserve">Information </w:t>
      </w:r>
      <w:r w:rsidR="00375CB7">
        <w:t xml:space="preserve">relating to requests for additions, edits, deletions, revisions, or clarifications to a BPM, including any attachments and exhibits to a BPM that are expressly incorporated by reference.   </w:t>
      </w:r>
    </w:p>
    <w:p w14:paraId="1C7D12FB" w14:textId="77777777" w:rsidR="009D4F0E" w:rsidRDefault="00770B86" w:rsidP="006F6DD6">
      <w:pPr>
        <w:spacing w:after="240" w:line="300" w:lineRule="auto"/>
      </w:pPr>
      <w:r w:rsidRPr="00770B86">
        <w:t>The Business Practice Manuals (BPMs) developed by CAISO are intended t</w:t>
      </w:r>
      <w:r w:rsidR="000F52BB">
        <w:t>o contain implementation detail</w:t>
      </w:r>
      <w:r w:rsidRPr="00770B86">
        <w:t xml:space="preserve"> consistent with and supported by the CAISO Tariff, including: instructions, rules, procedures, examples, and guidelines for the administration, operation, planning, and accounting requirements of CAISO </w:t>
      </w:r>
      <w:r w:rsidR="001B06BF">
        <w:t xml:space="preserve">and the markets operated by </w:t>
      </w:r>
      <w:r w:rsidRPr="00770B86">
        <w:t>CAISO.  Changes to the information pro</w:t>
      </w:r>
      <w:r w:rsidR="001B06BF">
        <w:t xml:space="preserve">vided in the BPMs posted by </w:t>
      </w:r>
      <w:r w:rsidRPr="00770B86">
        <w:t xml:space="preserve">CAISO are governed by the process outlined in the </w:t>
      </w:r>
      <w:hyperlink r:id="rId196" w:history="1">
        <w:r w:rsidRPr="003E0BEF">
          <w:rPr>
            <w:rStyle w:val="Hyperlink"/>
            <w:b/>
          </w:rPr>
          <w:t>BPM for Change Management</w:t>
        </w:r>
      </w:hyperlink>
      <w:r w:rsidRPr="00770B86">
        <w:t>.</w:t>
      </w:r>
    </w:p>
    <w:p w14:paraId="054DDC76" w14:textId="77777777" w:rsidR="0028031A" w:rsidRPr="00770B86" w:rsidRDefault="0028031A" w:rsidP="006F6DD6">
      <w:pPr>
        <w:spacing w:after="240" w:line="300" w:lineRule="auto"/>
      </w:pPr>
    </w:p>
    <w:p w14:paraId="170F53F7" w14:textId="77777777" w:rsidR="002E46E9" w:rsidRPr="002E46E9" w:rsidRDefault="002E46E9" w:rsidP="00DF5618">
      <w:pPr>
        <w:pStyle w:val="Heading1"/>
      </w:pPr>
      <w:bookmarkStart w:id="2274" w:name="_Toc389662617"/>
      <w:bookmarkStart w:id="2275" w:name="_Toc390946311"/>
      <w:bookmarkStart w:id="2276" w:name="_Toc391969876"/>
      <w:bookmarkStart w:id="2277" w:name="_Toc460320490"/>
      <w:r>
        <w:t xml:space="preserve">DEFINITIONS </w:t>
      </w:r>
      <w:r w:rsidRPr="00225179">
        <w:t>AND</w:t>
      </w:r>
      <w:r>
        <w:t xml:space="preserve"> ACRONYMS</w:t>
      </w:r>
      <w:bookmarkEnd w:id="2274"/>
      <w:bookmarkEnd w:id="2275"/>
      <w:bookmarkEnd w:id="2276"/>
      <w:bookmarkEnd w:id="2277"/>
    </w:p>
    <w:p w14:paraId="4214EDF1" w14:textId="77777777" w:rsidR="00793AFA" w:rsidRDefault="006D50D0" w:rsidP="006F6DD6">
      <w:pPr>
        <w:pStyle w:val="ParaText"/>
      </w:pPr>
      <w:r>
        <w:t xml:space="preserve">Welcome to the </w:t>
      </w:r>
      <w:r w:rsidR="00B15CEB" w:rsidRPr="00B15CEB">
        <w:rPr>
          <w:i/>
        </w:rPr>
        <w:t>Definitions and Acronyms</w:t>
      </w:r>
      <w:r w:rsidR="00B15CEB">
        <w:t xml:space="preserve"> </w:t>
      </w:r>
      <w:r>
        <w:t>sec</w:t>
      </w:r>
      <w:r w:rsidR="00B15CEB">
        <w:t xml:space="preserve">tion of the </w:t>
      </w:r>
      <w:r w:rsidR="00793AFA">
        <w:t xml:space="preserve">CAISO </w:t>
      </w:r>
      <w:r w:rsidR="00B15CEB" w:rsidRPr="00793AFA">
        <w:rPr>
          <w:i/>
        </w:rPr>
        <w:t>BPM for the Energy Imbalance Market</w:t>
      </w:r>
      <w:r w:rsidR="00B15CEB">
        <w:t xml:space="preserve">.  </w:t>
      </w:r>
      <w:r w:rsidR="00793AFA">
        <w:t>In this section you will find the following information:</w:t>
      </w:r>
    </w:p>
    <w:p w14:paraId="37F90DC5" w14:textId="77777777" w:rsidR="00793AFA" w:rsidRDefault="00793AFA" w:rsidP="00FA595A">
      <w:pPr>
        <w:pStyle w:val="ParaText"/>
        <w:numPr>
          <w:ilvl w:val="0"/>
          <w:numId w:val="122"/>
        </w:numPr>
      </w:pPr>
      <w:r>
        <w:lastRenderedPageBreak/>
        <w:t>A list of defined terms, abbreviations, and acronyms that are used in the CAISO BPM for the Energy Imbalance Market.</w:t>
      </w:r>
    </w:p>
    <w:p w14:paraId="68920286" w14:textId="77777777" w:rsidR="0016220E" w:rsidRPr="00A7770E" w:rsidRDefault="00D34FAF" w:rsidP="00793AFA">
      <w:pPr>
        <w:pStyle w:val="ParaText"/>
      </w:pPr>
      <w:r w:rsidRPr="003E0BEF">
        <w:t xml:space="preserve">The </w:t>
      </w:r>
      <w:hyperlink r:id="rId197" w:history="1">
        <w:r w:rsidRPr="003E0BEF">
          <w:rPr>
            <w:rStyle w:val="Hyperlink"/>
            <w:b/>
          </w:rPr>
          <w:t>BPM for Definitions &amp; Acronyms</w:t>
        </w:r>
      </w:hyperlink>
      <w:r w:rsidRPr="003E0BEF">
        <w:t xml:space="preserve"> serves as a general reference for readers of </w:t>
      </w:r>
      <w:r w:rsidR="00B15CEB">
        <w:t xml:space="preserve">the </w:t>
      </w:r>
      <w:r w:rsidRPr="003E0BEF">
        <w:t>CAISO BPMs.  It lists definitions used in the BPMs, including both newly defined terms and pertinent terms from</w:t>
      </w:r>
      <w:r w:rsidR="00B91756">
        <w:t xml:space="preserve"> the</w:t>
      </w:r>
      <w:r w:rsidRPr="003E0BEF">
        <w:t xml:space="preserve"> CAISO Tariff Appendix A.  </w:t>
      </w:r>
      <w:hyperlink r:id="rId198" w:history="1">
        <w:r w:rsidRPr="00B15CEB">
          <w:rPr>
            <w:rStyle w:val="Hyperlink"/>
            <w:b/>
          </w:rPr>
          <w:t>The BPM for Definitions &amp; Acronyms</w:t>
        </w:r>
      </w:hyperlink>
      <w:r w:rsidRPr="003E0BEF">
        <w:t xml:space="preserve"> also provides a list of acronyms used in CAISO BPMs, as well as acronyms associated with the remainder of the defined terms in Appendix A</w:t>
      </w:r>
      <w:r w:rsidR="000F52BB">
        <w:t>,</w:t>
      </w:r>
      <w:r w:rsidRPr="003E0BEF">
        <w:t xml:space="preserve"> regardless of whether they appear in the BPMs.</w:t>
      </w:r>
    </w:p>
    <w:p w14:paraId="4477C537" w14:textId="77777777" w:rsidR="0016220E" w:rsidRDefault="0033737B" w:rsidP="00C33762">
      <w:pPr>
        <w:pStyle w:val="Heading2"/>
      </w:pPr>
      <w:bookmarkStart w:id="2278" w:name="_Toc389662618"/>
      <w:bookmarkStart w:id="2279" w:name="_Toc390946312"/>
      <w:bookmarkStart w:id="2280" w:name="_Toc391969877"/>
      <w:bookmarkStart w:id="2281" w:name="_Toc460320491"/>
      <w:r>
        <w:t>Acronyms</w:t>
      </w:r>
      <w:bookmarkEnd w:id="2278"/>
      <w:bookmarkEnd w:id="2279"/>
      <w:bookmarkEnd w:id="2280"/>
      <w:bookmarkEnd w:id="2281"/>
    </w:p>
    <w:p w14:paraId="41D5B675" w14:textId="77777777" w:rsidR="0033737B" w:rsidRDefault="0033737B" w:rsidP="0033737B">
      <w:r>
        <w:t>In this section you will find abbreviations and acronyms that are used in the CAISO EIM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947"/>
      </w:tblGrid>
      <w:tr w:rsidR="0033737B" w14:paraId="60949C9B" w14:textId="77777777" w:rsidTr="00190C1B">
        <w:tc>
          <w:tcPr>
            <w:tcW w:w="2448" w:type="dxa"/>
            <w:tcBorders>
              <w:bottom w:val="single" w:sz="4" w:space="0" w:color="auto"/>
            </w:tcBorders>
            <w:shd w:val="clear" w:color="auto" w:fill="BFBFBF"/>
          </w:tcPr>
          <w:p w14:paraId="3EC57A6D" w14:textId="77777777" w:rsidR="0033737B" w:rsidRPr="00D23D0F" w:rsidRDefault="0033737B" w:rsidP="00D23D0F">
            <w:pPr>
              <w:jc w:val="center"/>
              <w:rPr>
                <w:b/>
              </w:rPr>
            </w:pPr>
            <w:r w:rsidRPr="00D23D0F">
              <w:rPr>
                <w:b/>
              </w:rPr>
              <w:t>Acronym</w:t>
            </w:r>
          </w:p>
        </w:tc>
        <w:tc>
          <w:tcPr>
            <w:tcW w:w="7128" w:type="dxa"/>
            <w:tcBorders>
              <w:bottom w:val="single" w:sz="4" w:space="0" w:color="auto"/>
            </w:tcBorders>
            <w:shd w:val="clear" w:color="auto" w:fill="BFBFBF"/>
          </w:tcPr>
          <w:p w14:paraId="38F66BDC" w14:textId="77777777" w:rsidR="0033737B" w:rsidRPr="00D23D0F" w:rsidRDefault="0033737B" w:rsidP="00D23D0F">
            <w:pPr>
              <w:jc w:val="center"/>
              <w:rPr>
                <w:b/>
              </w:rPr>
            </w:pPr>
            <w:r w:rsidRPr="00D23D0F">
              <w:rPr>
                <w:b/>
              </w:rPr>
              <w:t>Definition</w:t>
            </w:r>
          </w:p>
        </w:tc>
      </w:tr>
      <w:tr w:rsidR="00270D7F" w14:paraId="40B5C0DD" w14:textId="77777777" w:rsidTr="00D23D0F">
        <w:tc>
          <w:tcPr>
            <w:tcW w:w="2448" w:type="dxa"/>
            <w:shd w:val="clear" w:color="auto" w:fill="auto"/>
          </w:tcPr>
          <w:p w14:paraId="4048BD4D" w14:textId="77777777" w:rsidR="00270D7F" w:rsidRPr="00D23D0F" w:rsidRDefault="00270D7F" w:rsidP="0033737B">
            <w:pPr>
              <w:rPr>
                <w:b/>
              </w:rPr>
            </w:pPr>
            <w:r w:rsidRPr="009762A8">
              <w:rPr>
                <w:b/>
              </w:rPr>
              <w:t>AANSI</w:t>
            </w:r>
          </w:p>
        </w:tc>
        <w:tc>
          <w:tcPr>
            <w:tcW w:w="7128" w:type="dxa"/>
            <w:shd w:val="clear" w:color="auto" w:fill="auto"/>
          </w:tcPr>
          <w:p w14:paraId="41930864" w14:textId="77777777" w:rsidR="00270D7F" w:rsidRDefault="00270D7F" w:rsidP="0033737B">
            <w:r>
              <w:t xml:space="preserve">Area to Area Net Scheduled Interchange </w:t>
            </w:r>
          </w:p>
        </w:tc>
      </w:tr>
      <w:tr w:rsidR="00270D7F" w14:paraId="4E77D1BD" w14:textId="77777777" w:rsidTr="00D23D0F">
        <w:tc>
          <w:tcPr>
            <w:tcW w:w="2448" w:type="dxa"/>
            <w:shd w:val="clear" w:color="auto" w:fill="auto"/>
          </w:tcPr>
          <w:p w14:paraId="17B4C4A4" w14:textId="77777777" w:rsidR="00270D7F" w:rsidRPr="00D23D0F" w:rsidRDefault="00270D7F" w:rsidP="0033737B">
            <w:pPr>
              <w:rPr>
                <w:b/>
              </w:rPr>
            </w:pPr>
            <w:r>
              <w:rPr>
                <w:b/>
              </w:rPr>
              <w:t>API</w:t>
            </w:r>
          </w:p>
        </w:tc>
        <w:tc>
          <w:tcPr>
            <w:tcW w:w="7128" w:type="dxa"/>
            <w:shd w:val="clear" w:color="auto" w:fill="auto"/>
          </w:tcPr>
          <w:p w14:paraId="0CE87FB4" w14:textId="77777777" w:rsidR="00270D7F" w:rsidRDefault="00270D7F" w:rsidP="0033737B">
            <w:r>
              <w:t>Application Program Interface</w:t>
            </w:r>
          </w:p>
        </w:tc>
      </w:tr>
      <w:tr w:rsidR="00270D7F" w14:paraId="07579002" w14:textId="77777777" w:rsidTr="00D23D0F">
        <w:tc>
          <w:tcPr>
            <w:tcW w:w="2448" w:type="dxa"/>
            <w:shd w:val="clear" w:color="auto" w:fill="auto"/>
          </w:tcPr>
          <w:p w14:paraId="65B62616" w14:textId="77777777" w:rsidR="00270D7F" w:rsidRPr="00D23D0F" w:rsidRDefault="00270D7F" w:rsidP="0033737B">
            <w:pPr>
              <w:rPr>
                <w:b/>
              </w:rPr>
            </w:pPr>
            <w:r w:rsidRPr="00D23D0F">
              <w:rPr>
                <w:b/>
              </w:rPr>
              <w:t>BPM</w:t>
            </w:r>
          </w:p>
        </w:tc>
        <w:tc>
          <w:tcPr>
            <w:tcW w:w="7128" w:type="dxa"/>
            <w:shd w:val="clear" w:color="auto" w:fill="auto"/>
          </w:tcPr>
          <w:p w14:paraId="17DFFF73" w14:textId="77777777" w:rsidR="00270D7F" w:rsidRDefault="00270D7F" w:rsidP="0033737B">
            <w:r>
              <w:t>Business Practice Manual</w:t>
            </w:r>
          </w:p>
        </w:tc>
      </w:tr>
      <w:tr w:rsidR="00270D7F" w14:paraId="19C778CA" w14:textId="77777777" w:rsidTr="00D23D0F">
        <w:tc>
          <w:tcPr>
            <w:tcW w:w="2448" w:type="dxa"/>
            <w:shd w:val="clear" w:color="auto" w:fill="auto"/>
          </w:tcPr>
          <w:p w14:paraId="453C5D2A" w14:textId="77777777" w:rsidR="00270D7F" w:rsidRPr="00D23D0F" w:rsidRDefault="00270D7F" w:rsidP="0033737B">
            <w:pPr>
              <w:rPr>
                <w:b/>
              </w:rPr>
            </w:pPr>
            <w:r w:rsidRPr="00D23D0F">
              <w:rPr>
                <w:b/>
              </w:rPr>
              <w:t>CAISO</w:t>
            </w:r>
          </w:p>
        </w:tc>
        <w:tc>
          <w:tcPr>
            <w:tcW w:w="7128" w:type="dxa"/>
            <w:shd w:val="clear" w:color="auto" w:fill="auto"/>
          </w:tcPr>
          <w:p w14:paraId="37CEF631" w14:textId="77777777" w:rsidR="00270D7F" w:rsidRDefault="00270D7F" w:rsidP="0033737B">
            <w:r>
              <w:t>California Independent System Operator Corporation</w:t>
            </w:r>
          </w:p>
        </w:tc>
      </w:tr>
      <w:tr w:rsidR="00270D7F" w14:paraId="658B9BF5" w14:textId="77777777" w:rsidTr="00D23D0F">
        <w:tc>
          <w:tcPr>
            <w:tcW w:w="2448" w:type="dxa"/>
            <w:shd w:val="clear" w:color="auto" w:fill="auto"/>
          </w:tcPr>
          <w:p w14:paraId="14719FB3" w14:textId="77777777" w:rsidR="00270D7F" w:rsidRPr="00D23D0F" w:rsidRDefault="00270D7F" w:rsidP="0033737B">
            <w:pPr>
              <w:rPr>
                <w:b/>
              </w:rPr>
            </w:pPr>
            <w:r>
              <w:rPr>
                <w:b/>
              </w:rPr>
              <w:t>CAI</w:t>
            </w:r>
            <w:r w:rsidRPr="00D23D0F">
              <w:rPr>
                <w:b/>
              </w:rPr>
              <w:t>SO BAA</w:t>
            </w:r>
          </w:p>
        </w:tc>
        <w:tc>
          <w:tcPr>
            <w:tcW w:w="7128" w:type="dxa"/>
            <w:shd w:val="clear" w:color="auto" w:fill="auto"/>
          </w:tcPr>
          <w:p w14:paraId="66083FFC" w14:textId="77777777" w:rsidR="00270D7F" w:rsidRDefault="00270D7F" w:rsidP="0033737B">
            <w:r>
              <w:t>The Balancing Authority Area of California Independent System Operator</w:t>
            </w:r>
          </w:p>
        </w:tc>
      </w:tr>
      <w:tr w:rsidR="00270D7F" w14:paraId="01806028" w14:textId="77777777" w:rsidTr="00D23D0F">
        <w:tc>
          <w:tcPr>
            <w:tcW w:w="2448" w:type="dxa"/>
            <w:shd w:val="clear" w:color="auto" w:fill="auto"/>
          </w:tcPr>
          <w:p w14:paraId="37EAF80C" w14:textId="77777777" w:rsidR="00270D7F" w:rsidRPr="00D23D0F" w:rsidRDefault="00270D7F" w:rsidP="0033737B">
            <w:pPr>
              <w:rPr>
                <w:b/>
              </w:rPr>
            </w:pPr>
            <w:r>
              <w:rPr>
                <w:b/>
              </w:rPr>
              <w:t>DAM</w:t>
            </w:r>
          </w:p>
        </w:tc>
        <w:tc>
          <w:tcPr>
            <w:tcW w:w="7128" w:type="dxa"/>
            <w:shd w:val="clear" w:color="auto" w:fill="auto"/>
          </w:tcPr>
          <w:p w14:paraId="4C3AA95E" w14:textId="77777777" w:rsidR="00270D7F" w:rsidRDefault="00270D7F" w:rsidP="0033737B">
            <w:r>
              <w:t>Day-Ahead Market</w:t>
            </w:r>
          </w:p>
        </w:tc>
      </w:tr>
      <w:tr w:rsidR="00270D7F" w14:paraId="74064641" w14:textId="77777777" w:rsidTr="00D23D0F">
        <w:tc>
          <w:tcPr>
            <w:tcW w:w="2448" w:type="dxa"/>
            <w:shd w:val="clear" w:color="auto" w:fill="auto"/>
          </w:tcPr>
          <w:p w14:paraId="34F58C50" w14:textId="77777777" w:rsidR="00270D7F" w:rsidRDefault="00270D7F" w:rsidP="0033737B">
            <w:pPr>
              <w:rPr>
                <w:b/>
              </w:rPr>
            </w:pPr>
            <w:r>
              <w:rPr>
                <w:b/>
              </w:rPr>
              <w:t>DB</w:t>
            </w:r>
          </w:p>
        </w:tc>
        <w:tc>
          <w:tcPr>
            <w:tcW w:w="7128" w:type="dxa"/>
            <w:shd w:val="clear" w:color="auto" w:fill="auto"/>
          </w:tcPr>
          <w:p w14:paraId="4B14B23A" w14:textId="77777777" w:rsidR="00270D7F" w:rsidRDefault="00270D7F" w:rsidP="0033737B">
            <w:r>
              <w:t>EIM diversity benefit</w:t>
            </w:r>
          </w:p>
        </w:tc>
      </w:tr>
      <w:tr w:rsidR="00270D7F" w14:paraId="6E530809" w14:textId="77777777" w:rsidTr="00D23D0F">
        <w:tc>
          <w:tcPr>
            <w:tcW w:w="2448" w:type="dxa"/>
            <w:shd w:val="clear" w:color="auto" w:fill="auto"/>
          </w:tcPr>
          <w:p w14:paraId="2FC2126B" w14:textId="77777777" w:rsidR="00270D7F" w:rsidRPr="00D23D0F" w:rsidRDefault="00270D7F" w:rsidP="0033737B">
            <w:pPr>
              <w:rPr>
                <w:b/>
              </w:rPr>
            </w:pPr>
            <w:r w:rsidRPr="00D23D0F">
              <w:rPr>
                <w:b/>
              </w:rPr>
              <w:t>EIM</w:t>
            </w:r>
          </w:p>
        </w:tc>
        <w:tc>
          <w:tcPr>
            <w:tcW w:w="7128" w:type="dxa"/>
            <w:shd w:val="clear" w:color="auto" w:fill="auto"/>
          </w:tcPr>
          <w:p w14:paraId="43494E70" w14:textId="77777777" w:rsidR="00270D7F" w:rsidRPr="00D723BF" w:rsidRDefault="00270D7F" w:rsidP="0033737B">
            <w:r>
              <w:t xml:space="preserve"> Energy Imbalance Market</w:t>
            </w:r>
          </w:p>
        </w:tc>
      </w:tr>
      <w:tr w:rsidR="00270D7F" w14:paraId="25F24816" w14:textId="77777777" w:rsidTr="00D23D0F">
        <w:tc>
          <w:tcPr>
            <w:tcW w:w="2448" w:type="dxa"/>
            <w:shd w:val="clear" w:color="auto" w:fill="auto"/>
          </w:tcPr>
          <w:p w14:paraId="026829F3" w14:textId="77777777" w:rsidR="00270D7F" w:rsidRPr="00D23D0F" w:rsidRDefault="00270D7F" w:rsidP="0033737B">
            <w:pPr>
              <w:rPr>
                <w:b/>
              </w:rPr>
            </w:pPr>
            <w:r w:rsidRPr="00D23D0F">
              <w:rPr>
                <w:b/>
              </w:rPr>
              <w:t xml:space="preserve">EIM </w:t>
            </w:r>
            <w:r>
              <w:rPr>
                <w:b/>
              </w:rPr>
              <w:t xml:space="preserve">Entity </w:t>
            </w:r>
            <w:r w:rsidRPr="00D23D0F">
              <w:rPr>
                <w:b/>
              </w:rPr>
              <w:t>BAA</w:t>
            </w:r>
          </w:p>
        </w:tc>
        <w:tc>
          <w:tcPr>
            <w:tcW w:w="7128" w:type="dxa"/>
            <w:shd w:val="clear" w:color="auto" w:fill="auto"/>
          </w:tcPr>
          <w:p w14:paraId="711DF94F" w14:textId="77777777" w:rsidR="00270D7F" w:rsidRPr="00095C4F" w:rsidRDefault="00270D7F" w:rsidP="0033737B">
            <w:r w:rsidRPr="00095C4F">
              <w:t>The Balancing Authority Area of Entity that is participating in the Energy Imbalance Market</w:t>
            </w:r>
          </w:p>
        </w:tc>
      </w:tr>
      <w:tr w:rsidR="00270D7F" w14:paraId="471D9B18" w14:textId="77777777" w:rsidTr="00D23D0F">
        <w:tc>
          <w:tcPr>
            <w:tcW w:w="2448" w:type="dxa"/>
            <w:shd w:val="clear" w:color="auto" w:fill="auto"/>
          </w:tcPr>
          <w:p w14:paraId="5AC42C43" w14:textId="77777777" w:rsidR="00270D7F" w:rsidRPr="00D23D0F" w:rsidRDefault="00270D7F" w:rsidP="0033737B">
            <w:pPr>
              <w:rPr>
                <w:b/>
              </w:rPr>
            </w:pPr>
            <w:r w:rsidRPr="00D23D0F">
              <w:rPr>
                <w:b/>
              </w:rPr>
              <w:t>External BAA</w:t>
            </w:r>
          </w:p>
        </w:tc>
        <w:tc>
          <w:tcPr>
            <w:tcW w:w="7128" w:type="dxa"/>
            <w:shd w:val="clear" w:color="auto" w:fill="auto"/>
          </w:tcPr>
          <w:p w14:paraId="32E2EFFD" w14:textId="77777777" w:rsidR="00270D7F" w:rsidRDefault="00270D7F" w:rsidP="0033737B">
            <w:r>
              <w:t xml:space="preserve">The Balancing Authority Area of Entities that </w:t>
            </w:r>
            <w:r w:rsidRPr="00D723BF">
              <w:t>are</w:t>
            </w:r>
            <w:r>
              <w:t xml:space="preserve"> not CAISO BAA.  External BAA includes EIM </w:t>
            </w:r>
            <w:r>
              <w:rPr>
                <w:rFonts w:cs="Arial"/>
              </w:rPr>
              <w:t>Entity</w:t>
            </w:r>
            <w:r>
              <w:t xml:space="preserve"> BAA, non-EIM Entity BAA, and boundary BAA that are not modeled in the FNM.</w:t>
            </w:r>
          </w:p>
        </w:tc>
      </w:tr>
      <w:tr w:rsidR="00270D7F" w14:paraId="5711591C" w14:textId="77777777" w:rsidTr="00D23D0F">
        <w:tc>
          <w:tcPr>
            <w:tcW w:w="2448" w:type="dxa"/>
            <w:shd w:val="clear" w:color="auto" w:fill="auto"/>
          </w:tcPr>
          <w:p w14:paraId="55D3CDEC" w14:textId="77777777" w:rsidR="00270D7F" w:rsidRPr="00D23D0F" w:rsidRDefault="00270D7F" w:rsidP="0033737B">
            <w:pPr>
              <w:rPr>
                <w:b/>
              </w:rPr>
            </w:pPr>
            <w:r>
              <w:rPr>
                <w:b/>
              </w:rPr>
              <w:t>HVDC</w:t>
            </w:r>
          </w:p>
        </w:tc>
        <w:tc>
          <w:tcPr>
            <w:tcW w:w="7128" w:type="dxa"/>
            <w:shd w:val="clear" w:color="auto" w:fill="auto"/>
          </w:tcPr>
          <w:p w14:paraId="398FA748" w14:textId="77777777" w:rsidR="00270D7F" w:rsidRDefault="00270D7F" w:rsidP="0033737B">
            <w:r>
              <w:t>High-Voltage Direct Current</w:t>
            </w:r>
          </w:p>
        </w:tc>
      </w:tr>
      <w:tr w:rsidR="00270D7F" w14:paraId="5CA649F4" w14:textId="77777777" w:rsidTr="00D23D0F">
        <w:tc>
          <w:tcPr>
            <w:tcW w:w="2448" w:type="dxa"/>
            <w:shd w:val="clear" w:color="auto" w:fill="auto"/>
          </w:tcPr>
          <w:p w14:paraId="4F946CD9" w14:textId="77777777" w:rsidR="00270D7F" w:rsidRPr="00D23D0F" w:rsidRDefault="00270D7F" w:rsidP="0033737B">
            <w:pPr>
              <w:rPr>
                <w:b/>
              </w:rPr>
            </w:pPr>
          </w:p>
        </w:tc>
        <w:tc>
          <w:tcPr>
            <w:tcW w:w="7128" w:type="dxa"/>
            <w:shd w:val="clear" w:color="auto" w:fill="auto"/>
          </w:tcPr>
          <w:p w14:paraId="0C20AD55" w14:textId="77777777" w:rsidR="00270D7F" w:rsidRPr="00D723BF" w:rsidRDefault="00270D7F" w:rsidP="0033737B"/>
        </w:tc>
      </w:tr>
      <w:tr w:rsidR="00270D7F" w14:paraId="631F4413" w14:textId="77777777" w:rsidTr="00D23D0F">
        <w:tc>
          <w:tcPr>
            <w:tcW w:w="2448" w:type="dxa"/>
            <w:shd w:val="clear" w:color="auto" w:fill="auto"/>
          </w:tcPr>
          <w:p w14:paraId="726FF8B1" w14:textId="77777777" w:rsidR="00270D7F" w:rsidRPr="00D23D0F" w:rsidRDefault="00270D7F" w:rsidP="0033737B">
            <w:pPr>
              <w:rPr>
                <w:b/>
              </w:rPr>
            </w:pPr>
            <w:r w:rsidRPr="00D23D0F">
              <w:rPr>
                <w:b/>
              </w:rPr>
              <w:t>Non-EIM</w:t>
            </w:r>
            <w:r>
              <w:rPr>
                <w:b/>
              </w:rPr>
              <w:t xml:space="preserve"> Entity</w:t>
            </w:r>
            <w:r w:rsidRPr="00D23D0F">
              <w:rPr>
                <w:b/>
              </w:rPr>
              <w:t xml:space="preserve"> BAA</w:t>
            </w:r>
          </w:p>
        </w:tc>
        <w:tc>
          <w:tcPr>
            <w:tcW w:w="7128" w:type="dxa"/>
            <w:shd w:val="clear" w:color="auto" w:fill="auto"/>
          </w:tcPr>
          <w:p w14:paraId="4CA4A373" w14:textId="77777777" w:rsidR="00270D7F" w:rsidRPr="00095C4F" w:rsidRDefault="00270D7F" w:rsidP="0033737B">
            <w:r w:rsidRPr="00095C4F">
              <w:t>The Balancing Authority Area of Entity that is not participating in the Energy Imbalance Market</w:t>
            </w:r>
          </w:p>
        </w:tc>
      </w:tr>
      <w:tr w:rsidR="00270D7F" w14:paraId="4FE37392" w14:textId="77777777" w:rsidTr="00D23D0F">
        <w:tc>
          <w:tcPr>
            <w:tcW w:w="2448" w:type="dxa"/>
            <w:shd w:val="clear" w:color="auto" w:fill="auto"/>
          </w:tcPr>
          <w:p w14:paraId="418369D0" w14:textId="77777777" w:rsidR="00270D7F" w:rsidRPr="00D23D0F" w:rsidRDefault="00270D7F" w:rsidP="0033737B">
            <w:pPr>
              <w:rPr>
                <w:b/>
              </w:rPr>
            </w:pPr>
            <w:r>
              <w:rPr>
                <w:b/>
              </w:rPr>
              <w:t>NSI</w:t>
            </w:r>
          </w:p>
        </w:tc>
        <w:tc>
          <w:tcPr>
            <w:tcW w:w="7128" w:type="dxa"/>
            <w:shd w:val="clear" w:color="auto" w:fill="auto"/>
          </w:tcPr>
          <w:p w14:paraId="697F3364" w14:textId="77777777" w:rsidR="00270D7F" w:rsidRPr="00095C4F" w:rsidRDefault="00270D7F" w:rsidP="0033737B">
            <w:r>
              <w:t>Net Scheduled Interchange</w:t>
            </w:r>
          </w:p>
        </w:tc>
      </w:tr>
      <w:tr w:rsidR="00270D7F" w14:paraId="2EFA5212" w14:textId="77777777" w:rsidTr="00D23D0F">
        <w:tc>
          <w:tcPr>
            <w:tcW w:w="2448" w:type="dxa"/>
            <w:shd w:val="clear" w:color="auto" w:fill="auto"/>
          </w:tcPr>
          <w:p w14:paraId="63D5859F" w14:textId="77777777" w:rsidR="00270D7F" w:rsidRPr="00D23D0F" w:rsidRDefault="00270D7F" w:rsidP="0033737B">
            <w:pPr>
              <w:rPr>
                <w:b/>
              </w:rPr>
            </w:pPr>
            <w:r>
              <w:rPr>
                <w:b/>
              </w:rPr>
              <w:t>OCO</w:t>
            </w:r>
          </w:p>
        </w:tc>
        <w:tc>
          <w:tcPr>
            <w:tcW w:w="7128" w:type="dxa"/>
            <w:shd w:val="clear" w:color="auto" w:fill="auto"/>
          </w:tcPr>
          <w:p w14:paraId="11741FF2" w14:textId="77777777" w:rsidR="00270D7F" w:rsidRPr="00095C4F" w:rsidRDefault="00270D7F" w:rsidP="0033737B">
            <w:r>
              <w:t>Outage Coordination Office</w:t>
            </w:r>
          </w:p>
        </w:tc>
      </w:tr>
      <w:tr w:rsidR="00270D7F" w14:paraId="214D7FA1" w14:textId="77777777" w:rsidTr="00D23D0F">
        <w:tc>
          <w:tcPr>
            <w:tcW w:w="2448" w:type="dxa"/>
            <w:shd w:val="clear" w:color="auto" w:fill="auto"/>
          </w:tcPr>
          <w:p w14:paraId="542B3722" w14:textId="77777777" w:rsidR="00270D7F" w:rsidRPr="00190C1B" w:rsidRDefault="00270D7F" w:rsidP="0033737B">
            <w:pPr>
              <w:rPr>
                <w:b/>
                <w:highlight w:val="yellow"/>
              </w:rPr>
            </w:pPr>
            <w:r w:rsidRPr="006C649B" w:rsidDel="00B53E8D">
              <w:rPr>
                <w:b/>
              </w:rPr>
              <w:lastRenderedPageBreak/>
              <w:t>OMS</w:t>
            </w:r>
          </w:p>
        </w:tc>
        <w:tc>
          <w:tcPr>
            <w:tcW w:w="7128" w:type="dxa"/>
            <w:shd w:val="clear" w:color="auto" w:fill="auto"/>
          </w:tcPr>
          <w:p w14:paraId="18EEEED7" w14:textId="32C03FC9" w:rsidR="00270D7F" w:rsidRPr="00095C4F" w:rsidRDefault="00B722C6" w:rsidP="0033737B">
            <w:r>
              <w:t>o</w:t>
            </w:r>
            <w:r w:rsidR="00270D7F" w:rsidDel="00B53E8D">
              <w:t xml:space="preserve">utage </w:t>
            </w:r>
            <w:r>
              <w:t>m</w:t>
            </w:r>
            <w:r w:rsidR="00270D7F" w:rsidDel="00B53E8D">
              <w:t xml:space="preserve">anagement </w:t>
            </w:r>
            <w:r>
              <w:t>s</w:t>
            </w:r>
            <w:r w:rsidR="00270D7F" w:rsidDel="00B53E8D">
              <w:t>ystem</w:t>
            </w:r>
          </w:p>
        </w:tc>
      </w:tr>
      <w:tr w:rsidR="00270D7F" w14:paraId="05452CD3" w14:textId="77777777" w:rsidTr="00D23D0F">
        <w:tc>
          <w:tcPr>
            <w:tcW w:w="2448" w:type="dxa"/>
            <w:shd w:val="clear" w:color="auto" w:fill="auto"/>
          </w:tcPr>
          <w:p w14:paraId="35260EF1" w14:textId="77777777" w:rsidR="00270D7F" w:rsidRPr="00190C1B" w:rsidRDefault="00270D7F" w:rsidP="0033737B">
            <w:pPr>
              <w:rPr>
                <w:b/>
                <w:highlight w:val="yellow"/>
              </w:rPr>
            </w:pPr>
            <w:r w:rsidRPr="001A5070">
              <w:rPr>
                <w:b/>
              </w:rPr>
              <w:t>PSE</w:t>
            </w:r>
          </w:p>
        </w:tc>
        <w:tc>
          <w:tcPr>
            <w:tcW w:w="7128" w:type="dxa"/>
            <w:shd w:val="clear" w:color="auto" w:fill="auto"/>
          </w:tcPr>
          <w:p w14:paraId="10180A05" w14:textId="77777777" w:rsidR="00270D7F" w:rsidRPr="00095C4F" w:rsidRDefault="00270D7F" w:rsidP="0033737B">
            <w:r>
              <w:t>Purchas</w:t>
            </w:r>
            <w:r w:rsidDel="00C51A2E">
              <w:t>e</w:t>
            </w:r>
            <w:r>
              <w:t>ing Selling Entity</w:t>
            </w:r>
          </w:p>
        </w:tc>
      </w:tr>
      <w:tr w:rsidR="00270D7F" w14:paraId="05949DBD" w14:textId="77777777" w:rsidTr="00D23D0F">
        <w:tc>
          <w:tcPr>
            <w:tcW w:w="2448" w:type="dxa"/>
            <w:shd w:val="clear" w:color="auto" w:fill="auto"/>
          </w:tcPr>
          <w:p w14:paraId="49D5474F" w14:textId="77777777" w:rsidR="00270D7F" w:rsidRPr="00190C1B" w:rsidRDefault="00270D7F" w:rsidP="0033737B">
            <w:pPr>
              <w:rPr>
                <w:b/>
                <w:highlight w:val="yellow"/>
              </w:rPr>
            </w:pPr>
            <w:r w:rsidRPr="009762A8">
              <w:rPr>
                <w:b/>
              </w:rPr>
              <w:t>RDT</w:t>
            </w:r>
          </w:p>
        </w:tc>
        <w:tc>
          <w:tcPr>
            <w:tcW w:w="7128" w:type="dxa"/>
            <w:shd w:val="clear" w:color="auto" w:fill="auto"/>
          </w:tcPr>
          <w:p w14:paraId="161D856F" w14:textId="77777777" w:rsidR="00270D7F" w:rsidRPr="00095C4F" w:rsidRDefault="00270D7F" w:rsidP="0033737B">
            <w:r>
              <w:t>Resource Data Template</w:t>
            </w:r>
          </w:p>
        </w:tc>
      </w:tr>
      <w:tr w:rsidR="00270D7F" w14:paraId="1C49BD12" w14:textId="77777777" w:rsidTr="00D23D0F">
        <w:tc>
          <w:tcPr>
            <w:tcW w:w="2448" w:type="dxa"/>
            <w:shd w:val="clear" w:color="auto" w:fill="auto"/>
          </w:tcPr>
          <w:p w14:paraId="317407CB" w14:textId="77777777" w:rsidR="00270D7F" w:rsidRPr="00D23D0F" w:rsidRDefault="00270D7F" w:rsidP="0033737B">
            <w:pPr>
              <w:rPr>
                <w:b/>
              </w:rPr>
            </w:pPr>
            <w:r>
              <w:rPr>
                <w:b/>
              </w:rPr>
              <w:t>RTM</w:t>
            </w:r>
          </w:p>
        </w:tc>
        <w:tc>
          <w:tcPr>
            <w:tcW w:w="7128" w:type="dxa"/>
            <w:shd w:val="clear" w:color="auto" w:fill="auto"/>
          </w:tcPr>
          <w:p w14:paraId="4B5BD00F" w14:textId="77777777" w:rsidR="00270D7F" w:rsidRPr="00095C4F" w:rsidRDefault="00270D7F" w:rsidP="0033737B">
            <w:r>
              <w:t>Real-Time Market</w:t>
            </w:r>
          </w:p>
        </w:tc>
      </w:tr>
      <w:tr w:rsidR="00270D7F" w14:paraId="56900F93" w14:textId="77777777" w:rsidTr="00D23D0F">
        <w:tc>
          <w:tcPr>
            <w:tcW w:w="2448" w:type="dxa"/>
            <w:shd w:val="clear" w:color="auto" w:fill="auto"/>
          </w:tcPr>
          <w:p w14:paraId="53E72B69" w14:textId="77777777" w:rsidR="00270D7F" w:rsidRPr="001A5070" w:rsidRDefault="00270D7F" w:rsidP="0033737B">
            <w:pPr>
              <w:rPr>
                <w:b/>
              </w:rPr>
            </w:pPr>
            <w:r w:rsidRPr="001A5070">
              <w:rPr>
                <w:b/>
              </w:rPr>
              <w:t>WECC RC</w:t>
            </w:r>
          </w:p>
        </w:tc>
        <w:tc>
          <w:tcPr>
            <w:tcW w:w="7128" w:type="dxa"/>
            <w:shd w:val="clear" w:color="auto" w:fill="auto"/>
          </w:tcPr>
          <w:p w14:paraId="66794D1C" w14:textId="77777777" w:rsidR="00270D7F" w:rsidRDefault="00270D7F" w:rsidP="0033737B">
            <w:r>
              <w:t>Western Electricity Coordinating Council Reliability Coordinator</w:t>
            </w:r>
          </w:p>
        </w:tc>
      </w:tr>
    </w:tbl>
    <w:p w14:paraId="6FB26386" w14:textId="77777777" w:rsidR="0033737B" w:rsidRDefault="0033737B" w:rsidP="0033737B"/>
    <w:p w14:paraId="29A105D1" w14:textId="77777777" w:rsidR="009D4F0E" w:rsidRDefault="009D4F0E" w:rsidP="0033737B"/>
    <w:p w14:paraId="2168D967" w14:textId="77777777" w:rsidR="00D723BF" w:rsidRDefault="00D723BF" w:rsidP="00C33762">
      <w:pPr>
        <w:pStyle w:val="Heading2"/>
      </w:pPr>
      <w:bookmarkStart w:id="2282" w:name="_Toc389662619"/>
      <w:bookmarkStart w:id="2283" w:name="_Toc390946313"/>
      <w:bookmarkStart w:id="2284" w:name="_Toc391969878"/>
      <w:bookmarkStart w:id="2285" w:name="_Toc460320492"/>
      <w:r>
        <w:t>Definitions</w:t>
      </w:r>
      <w:bookmarkEnd w:id="2282"/>
      <w:bookmarkEnd w:id="2283"/>
      <w:bookmarkEnd w:id="2284"/>
      <w:bookmarkEnd w:id="2285"/>
    </w:p>
    <w:p w14:paraId="4E68F9EB" w14:textId="77777777" w:rsidR="00D723BF" w:rsidRDefault="00D723BF" w:rsidP="00D723BF">
      <w:r>
        <w:t>In this section you will find terms and definitions that are used in the CAISO EIM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937"/>
      </w:tblGrid>
      <w:tr w:rsidR="00D723BF" w14:paraId="46B0708C" w14:textId="77777777" w:rsidTr="00D23D0F">
        <w:trPr>
          <w:cantSplit/>
          <w:tblHeader/>
        </w:trPr>
        <w:tc>
          <w:tcPr>
            <w:tcW w:w="2448" w:type="dxa"/>
            <w:shd w:val="clear" w:color="auto" w:fill="BFBFBF"/>
          </w:tcPr>
          <w:p w14:paraId="2C487A5F" w14:textId="77777777" w:rsidR="00D723BF" w:rsidRPr="00D23D0F" w:rsidRDefault="00D723BF" w:rsidP="00D23D0F">
            <w:pPr>
              <w:jc w:val="center"/>
              <w:rPr>
                <w:b/>
              </w:rPr>
            </w:pPr>
            <w:r w:rsidRPr="00D23D0F">
              <w:rPr>
                <w:b/>
              </w:rPr>
              <w:t>Term</w:t>
            </w:r>
          </w:p>
        </w:tc>
        <w:tc>
          <w:tcPr>
            <w:tcW w:w="7128" w:type="dxa"/>
            <w:shd w:val="clear" w:color="auto" w:fill="BFBFBF"/>
          </w:tcPr>
          <w:p w14:paraId="738B6BB8" w14:textId="77777777" w:rsidR="00D723BF" w:rsidRPr="00D23D0F" w:rsidRDefault="00D723BF" w:rsidP="00D23D0F">
            <w:pPr>
              <w:jc w:val="center"/>
              <w:rPr>
                <w:b/>
              </w:rPr>
            </w:pPr>
            <w:r w:rsidRPr="00D23D0F">
              <w:rPr>
                <w:b/>
              </w:rPr>
              <w:t>Definition</w:t>
            </w:r>
          </w:p>
        </w:tc>
      </w:tr>
      <w:tr w:rsidR="00C076F3" w14:paraId="4CECFBD2" w14:textId="77777777" w:rsidTr="00D23D0F">
        <w:trPr>
          <w:trHeight w:val="1115"/>
        </w:trPr>
        <w:tc>
          <w:tcPr>
            <w:tcW w:w="2448" w:type="dxa"/>
            <w:shd w:val="clear" w:color="auto" w:fill="auto"/>
          </w:tcPr>
          <w:p w14:paraId="79DA8AB1" w14:textId="77777777" w:rsidR="00C076F3" w:rsidRPr="00D23D0F" w:rsidRDefault="00C076F3" w:rsidP="00D723BF">
            <w:pPr>
              <w:rPr>
                <w:b/>
              </w:rPr>
            </w:pPr>
            <w:r w:rsidRPr="00D23D0F">
              <w:rPr>
                <w:b/>
              </w:rPr>
              <w:t>Base Schedule</w:t>
            </w:r>
          </w:p>
        </w:tc>
        <w:tc>
          <w:tcPr>
            <w:tcW w:w="7128" w:type="dxa"/>
            <w:shd w:val="clear" w:color="auto" w:fill="auto"/>
          </w:tcPr>
          <w:p w14:paraId="50078E5A" w14:textId="77777777" w:rsidR="00C076F3" w:rsidRDefault="00BB16D7" w:rsidP="00D723BF">
            <w:r>
              <w:t xml:space="preserve">A </w:t>
            </w:r>
            <w:r w:rsidR="00C076F3" w:rsidRPr="00416BF8">
              <w:t>forward energy schedule, with hourly granularity, that is the baseline to measure deviations for set</w:t>
            </w:r>
            <w:r w:rsidR="000B6D3C">
              <w:t>tlement through the EIM.  Base S</w:t>
            </w:r>
            <w:r w:rsidR="00C076F3" w:rsidRPr="00416BF8">
              <w:t>chedules include the hourly forecasts of load, hourly generation schedules</w:t>
            </w:r>
            <w:r w:rsidR="00D107C6">
              <w:t>,</w:t>
            </w:r>
            <w:r w:rsidR="00C076F3" w:rsidRPr="00416BF8">
              <w:t xml:space="preserve"> and hourly interchange schedules.</w:t>
            </w:r>
          </w:p>
        </w:tc>
      </w:tr>
      <w:tr w:rsidR="00C076F3" w14:paraId="7153CBA3" w14:textId="77777777" w:rsidTr="00D23D0F">
        <w:tc>
          <w:tcPr>
            <w:tcW w:w="2448" w:type="dxa"/>
            <w:shd w:val="clear" w:color="auto" w:fill="auto"/>
          </w:tcPr>
          <w:p w14:paraId="3A857B0F" w14:textId="77777777" w:rsidR="00C076F3" w:rsidRPr="00D23D0F" w:rsidRDefault="00C076F3" w:rsidP="00D23D0F">
            <w:pPr>
              <w:rPr>
                <w:b/>
              </w:rPr>
            </w:pPr>
            <w:r w:rsidRPr="00D23D0F">
              <w:rPr>
                <w:b/>
              </w:rPr>
              <w:t>EIM Entity</w:t>
            </w:r>
          </w:p>
        </w:tc>
        <w:tc>
          <w:tcPr>
            <w:tcW w:w="7128" w:type="dxa"/>
            <w:shd w:val="clear" w:color="auto" w:fill="auto"/>
          </w:tcPr>
          <w:p w14:paraId="2DCECB23" w14:textId="77777777" w:rsidR="00C076F3" w:rsidRDefault="005819D4" w:rsidP="00D723BF">
            <w:r>
              <w:t>A Balancing Authority that represents one or more EIM Transmission Service Providers and that enters into a</w:t>
            </w:r>
            <w:r w:rsidR="001B06BF">
              <w:t xml:space="preserve">n EIM Entity Agreement with </w:t>
            </w:r>
            <w:r>
              <w:t xml:space="preserve">CAISO to enable the operation of the </w:t>
            </w:r>
            <w:r w:rsidR="00FC30E3">
              <w:t>Real-Time</w:t>
            </w:r>
            <w:r>
              <w:t xml:space="preserve"> Market in its Balancing Authority Area (BAA).  </w:t>
            </w:r>
          </w:p>
        </w:tc>
      </w:tr>
      <w:tr w:rsidR="00C076F3" w14:paraId="52DE7101" w14:textId="77777777" w:rsidTr="00D23D0F">
        <w:tc>
          <w:tcPr>
            <w:tcW w:w="2448" w:type="dxa"/>
            <w:shd w:val="clear" w:color="auto" w:fill="auto"/>
          </w:tcPr>
          <w:p w14:paraId="36B828D2" w14:textId="77777777" w:rsidR="00C076F3" w:rsidRPr="00D23D0F" w:rsidRDefault="00C076F3" w:rsidP="00D23D0F">
            <w:pPr>
              <w:rPr>
                <w:b/>
              </w:rPr>
            </w:pPr>
            <w:r w:rsidRPr="00D23D0F">
              <w:rPr>
                <w:b/>
              </w:rPr>
              <w:t>EIM Entity Scheduling Coordinator</w:t>
            </w:r>
          </w:p>
        </w:tc>
        <w:tc>
          <w:tcPr>
            <w:tcW w:w="7128" w:type="dxa"/>
            <w:shd w:val="clear" w:color="auto" w:fill="auto"/>
          </w:tcPr>
          <w:p w14:paraId="5202DCD3" w14:textId="77777777" w:rsidR="00C076F3" w:rsidRDefault="0052515C" w:rsidP="00D723BF">
            <w:r>
              <w:t xml:space="preserve">The EIM Entity or a third party designated by the EIM </w:t>
            </w:r>
            <w:r w:rsidR="001B06BF">
              <w:t xml:space="preserve">Entity that is certified by </w:t>
            </w:r>
            <w:r>
              <w:t xml:space="preserve">CAISO and that enters into an EIM Entity Scheduling Coordinator Agreement, under which it is a Scheduling Coordinator and a Market Participant and is responsible for meeting the requirements specified in Section 29 on behalf of the EIM Entity.  </w:t>
            </w:r>
          </w:p>
        </w:tc>
      </w:tr>
      <w:tr w:rsidR="00914FDE" w14:paraId="15A9F3ED" w14:textId="77777777" w:rsidTr="00D23D0F">
        <w:trPr>
          <w:trHeight w:val="1520"/>
        </w:trPr>
        <w:tc>
          <w:tcPr>
            <w:tcW w:w="2448" w:type="dxa"/>
            <w:shd w:val="clear" w:color="auto" w:fill="auto"/>
          </w:tcPr>
          <w:p w14:paraId="3AA211D9" w14:textId="77777777" w:rsidR="00914FDE" w:rsidRPr="00D23D0F" w:rsidRDefault="00914FDE" w:rsidP="00D23D0F">
            <w:pPr>
              <w:rPr>
                <w:b/>
              </w:rPr>
            </w:pPr>
            <w:r>
              <w:rPr>
                <w:b/>
              </w:rPr>
              <w:t>EIM BAA</w:t>
            </w:r>
          </w:p>
        </w:tc>
        <w:tc>
          <w:tcPr>
            <w:tcW w:w="7128" w:type="dxa"/>
            <w:shd w:val="clear" w:color="auto" w:fill="auto"/>
          </w:tcPr>
          <w:p w14:paraId="76938D8B" w14:textId="77777777" w:rsidR="00914FDE" w:rsidRDefault="00C57135" w:rsidP="00D723BF">
            <w:r>
              <w:t xml:space="preserve"> I</w:t>
            </w:r>
            <w:r w:rsidR="00DF02D8">
              <w:t>n</w:t>
            </w:r>
            <w:r>
              <w:t xml:space="preserve">dividual EIM BAA, include </w:t>
            </w:r>
            <w:r w:rsidR="0058562B">
              <w:t>CA</w:t>
            </w:r>
            <w:r>
              <w:t>ISO</w:t>
            </w:r>
          </w:p>
        </w:tc>
      </w:tr>
      <w:tr w:rsidR="00914FDE" w14:paraId="4B76FC3C" w14:textId="77777777" w:rsidTr="00D23D0F">
        <w:trPr>
          <w:trHeight w:val="1520"/>
        </w:trPr>
        <w:tc>
          <w:tcPr>
            <w:tcW w:w="2448" w:type="dxa"/>
            <w:shd w:val="clear" w:color="auto" w:fill="auto"/>
          </w:tcPr>
          <w:p w14:paraId="33FF8A43" w14:textId="77777777" w:rsidR="00914FDE" w:rsidRDefault="00914FDE" w:rsidP="00C57135">
            <w:pPr>
              <w:rPr>
                <w:b/>
              </w:rPr>
            </w:pPr>
            <w:r>
              <w:rPr>
                <w:b/>
              </w:rPr>
              <w:t xml:space="preserve">EIM </w:t>
            </w:r>
            <w:r w:rsidR="00C57135">
              <w:rPr>
                <w:b/>
              </w:rPr>
              <w:t>footprint</w:t>
            </w:r>
          </w:p>
        </w:tc>
        <w:tc>
          <w:tcPr>
            <w:tcW w:w="7128" w:type="dxa"/>
            <w:shd w:val="clear" w:color="auto" w:fill="auto"/>
          </w:tcPr>
          <w:p w14:paraId="6D680AE6" w14:textId="145BDE1C" w:rsidR="00914FDE" w:rsidRDefault="00DF02D8" w:rsidP="00C57135">
            <w:r>
              <w:t>I</w:t>
            </w:r>
            <w:r w:rsidR="00C57135">
              <w:t>nclude</w:t>
            </w:r>
            <w:r>
              <w:t>s</w:t>
            </w:r>
            <w:r w:rsidR="00C57135">
              <w:t xml:space="preserve"> all EIM BAAs and </w:t>
            </w:r>
            <w:r w:rsidR="0058562B">
              <w:t>CA</w:t>
            </w:r>
            <w:r w:rsidR="00C57135">
              <w:t>ISO</w:t>
            </w:r>
          </w:p>
        </w:tc>
      </w:tr>
      <w:tr w:rsidR="00C076F3" w14:paraId="09594665" w14:textId="77777777" w:rsidTr="00D23D0F">
        <w:trPr>
          <w:trHeight w:val="1520"/>
        </w:trPr>
        <w:tc>
          <w:tcPr>
            <w:tcW w:w="2448" w:type="dxa"/>
            <w:shd w:val="clear" w:color="auto" w:fill="auto"/>
          </w:tcPr>
          <w:p w14:paraId="2EB76C2E" w14:textId="77777777" w:rsidR="00C076F3" w:rsidRPr="00D23D0F" w:rsidRDefault="00C076F3" w:rsidP="00D23D0F">
            <w:pPr>
              <w:rPr>
                <w:b/>
              </w:rPr>
            </w:pPr>
            <w:r w:rsidRPr="00D23D0F">
              <w:rPr>
                <w:b/>
              </w:rPr>
              <w:lastRenderedPageBreak/>
              <w:t>EIM Net Imbalance Interchange</w:t>
            </w:r>
          </w:p>
        </w:tc>
        <w:tc>
          <w:tcPr>
            <w:tcW w:w="7128" w:type="dxa"/>
            <w:shd w:val="clear" w:color="auto" w:fill="auto"/>
          </w:tcPr>
          <w:p w14:paraId="4DBDE725" w14:textId="77777777" w:rsidR="00C076F3" w:rsidRPr="00D23D0F" w:rsidRDefault="00C076F3" w:rsidP="00D723BF">
            <w:pPr>
              <w:rPr>
                <w:b/>
              </w:rPr>
            </w:pPr>
            <w:r>
              <w:t>T</w:t>
            </w:r>
            <w:r w:rsidRPr="00416BF8">
              <w:t xml:space="preserve">he net energy transfer of real time between an EIM Entity BAA and the </w:t>
            </w:r>
            <w:r w:rsidR="006276DD">
              <w:t>CA</w:t>
            </w:r>
            <w:r w:rsidRPr="00416BF8">
              <w:t>ISO BAA or between EIM Entity BAAs as a result of EIM market optimization. It is calculated after the EIM market optimizatio</w:t>
            </w:r>
            <w:r w:rsidRPr="004E5DE0">
              <w:t>n,</w:t>
            </w:r>
            <w:r>
              <w:rPr>
                <w:color w:val="FF0000"/>
              </w:rPr>
              <w:t xml:space="preserve"> </w:t>
            </w:r>
            <w:r w:rsidR="000B6D3C">
              <w:t>excluding Base S</w:t>
            </w:r>
            <w:r w:rsidRPr="00D04CE6">
              <w:t>chedule.</w:t>
            </w:r>
            <w:r w:rsidRPr="00416BF8">
              <w:t xml:space="preserve"> </w:t>
            </w:r>
            <w:r w:rsidRPr="00D23D0F">
              <w:rPr>
                <w:b/>
              </w:rPr>
              <w:t>EIM</w:t>
            </w:r>
            <w:r w:rsidRPr="00416BF8">
              <w:t xml:space="preserve"> </w:t>
            </w:r>
            <w:r w:rsidR="00373419">
              <w:rPr>
                <w:b/>
              </w:rPr>
              <w:t>T</w:t>
            </w:r>
            <w:r w:rsidRPr="00D23D0F">
              <w:rPr>
                <w:b/>
              </w:rPr>
              <w:t xml:space="preserve">ransfer out </w:t>
            </w:r>
            <w:r w:rsidRPr="00416BF8">
              <w:t>is the net imbalance energy export from the EIM</w:t>
            </w:r>
            <w:r w:rsidR="00204D20">
              <w:t xml:space="preserve"> Entity</w:t>
            </w:r>
            <w:r w:rsidRPr="00416BF8">
              <w:t xml:space="preserve"> BAA</w:t>
            </w:r>
            <w:r w:rsidRPr="00D23D0F">
              <w:rPr>
                <w:b/>
              </w:rPr>
              <w:t>. EIM</w:t>
            </w:r>
            <w:r w:rsidRPr="00416BF8">
              <w:t xml:space="preserve"> </w:t>
            </w:r>
            <w:r w:rsidR="00373419">
              <w:rPr>
                <w:b/>
              </w:rPr>
              <w:t>T</w:t>
            </w:r>
            <w:r w:rsidRPr="00D23D0F">
              <w:rPr>
                <w:b/>
              </w:rPr>
              <w:t xml:space="preserve">ransfer in </w:t>
            </w:r>
            <w:r w:rsidRPr="00416BF8">
              <w:t xml:space="preserve">is the net imbalance energy import to the EIM </w:t>
            </w:r>
            <w:r w:rsidR="00204D20">
              <w:t xml:space="preserve">Entity </w:t>
            </w:r>
            <w:r w:rsidRPr="00416BF8">
              <w:t>BAA</w:t>
            </w:r>
            <w:r w:rsidRPr="00D23D0F">
              <w:rPr>
                <w:b/>
              </w:rPr>
              <w:t>.</w:t>
            </w:r>
          </w:p>
        </w:tc>
      </w:tr>
      <w:tr w:rsidR="00C076F3" w14:paraId="23A2B23E" w14:textId="77777777" w:rsidTr="00D23D0F">
        <w:tc>
          <w:tcPr>
            <w:tcW w:w="2448" w:type="dxa"/>
            <w:shd w:val="clear" w:color="auto" w:fill="auto"/>
          </w:tcPr>
          <w:p w14:paraId="40EE3CE6" w14:textId="77777777" w:rsidR="00C076F3" w:rsidRDefault="00C076F3" w:rsidP="00D23D0F">
            <w:r w:rsidRPr="00D23D0F">
              <w:rPr>
                <w:b/>
                <w:bCs/>
              </w:rPr>
              <w:t>EIM Participating Resource</w:t>
            </w:r>
          </w:p>
        </w:tc>
        <w:tc>
          <w:tcPr>
            <w:tcW w:w="7128" w:type="dxa"/>
            <w:shd w:val="clear" w:color="auto" w:fill="auto"/>
          </w:tcPr>
          <w:p w14:paraId="0EA323D7" w14:textId="77777777" w:rsidR="00C076F3" w:rsidRDefault="0052515C" w:rsidP="00F20C97">
            <w:r>
              <w:t xml:space="preserve">An owner of, operator of, or seller of Energy from an EIM Resource that elects to participate in the </w:t>
            </w:r>
            <w:r w:rsidR="00FC30E3">
              <w:t>Real-Time</w:t>
            </w:r>
            <w:r w:rsidR="007553F5">
              <w:t xml:space="preserve"> Market and enters into an</w:t>
            </w:r>
            <w:r>
              <w:t xml:space="preserve"> EIM Participating Resource Agreement, under which it is responsible for meeting the requirements specified in Section 29</w:t>
            </w:r>
            <w:r w:rsidR="004E5DE0">
              <w:t xml:space="preserve"> of the Tariff</w:t>
            </w:r>
            <w:r>
              <w:t xml:space="preserve">. </w:t>
            </w:r>
          </w:p>
        </w:tc>
      </w:tr>
      <w:tr w:rsidR="00C076F3" w14:paraId="457B4AE3" w14:textId="77777777" w:rsidTr="00D23D0F">
        <w:tc>
          <w:tcPr>
            <w:tcW w:w="2448" w:type="dxa"/>
            <w:shd w:val="clear" w:color="auto" w:fill="auto"/>
          </w:tcPr>
          <w:p w14:paraId="339CC4C6" w14:textId="77777777" w:rsidR="00C076F3" w:rsidRDefault="00C076F3" w:rsidP="00D23D0F">
            <w:r w:rsidRPr="00D23D0F">
              <w:rPr>
                <w:b/>
                <w:bCs/>
              </w:rPr>
              <w:t>EIM Participating Resource Scheduling Coordinator</w:t>
            </w:r>
          </w:p>
        </w:tc>
        <w:tc>
          <w:tcPr>
            <w:tcW w:w="7128" w:type="dxa"/>
            <w:shd w:val="clear" w:color="auto" w:fill="auto"/>
          </w:tcPr>
          <w:p w14:paraId="2035A803" w14:textId="77777777" w:rsidR="00C076F3" w:rsidRDefault="0052515C" w:rsidP="00D723BF">
            <w:r>
              <w:t xml:space="preserve">The EIM Participating Resource, or a third-party designated by the EIM Participating Resource, that is certified by CAISO and enters into an EIM Participating Resource Scheduling Coordinator Agreement, under which it is a Scheduling Coordinator and is responsible for meeting the requirements specified in Section 29 </w:t>
            </w:r>
            <w:r w:rsidR="004E5DE0">
              <w:t xml:space="preserve">of the Tariff </w:t>
            </w:r>
            <w:r>
              <w:t xml:space="preserve">on behalf of the resource.  </w:t>
            </w:r>
          </w:p>
        </w:tc>
      </w:tr>
      <w:tr w:rsidR="00C076F3" w14:paraId="7A27D913" w14:textId="77777777" w:rsidTr="00D23D0F">
        <w:tc>
          <w:tcPr>
            <w:tcW w:w="2448" w:type="dxa"/>
            <w:shd w:val="clear" w:color="auto" w:fill="auto"/>
          </w:tcPr>
          <w:p w14:paraId="25F4D177" w14:textId="77777777" w:rsidR="00C076F3" w:rsidRPr="00D23D0F" w:rsidRDefault="00C076F3" w:rsidP="00D723BF">
            <w:pPr>
              <w:rPr>
                <w:b/>
              </w:rPr>
            </w:pPr>
            <w:r w:rsidRPr="00D23D0F">
              <w:rPr>
                <w:b/>
              </w:rPr>
              <w:t>EIM Transfer</w:t>
            </w:r>
          </w:p>
        </w:tc>
        <w:tc>
          <w:tcPr>
            <w:tcW w:w="7128" w:type="dxa"/>
            <w:shd w:val="clear" w:color="auto" w:fill="auto"/>
          </w:tcPr>
          <w:p w14:paraId="3C148465" w14:textId="77777777" w:rsidR="00C076F3" w:rsidRDefault="004E5DE0" w:rsidP="00D723BF">
            <w:r>
              <w:t xml:space="preserve">The transfer of Energy in Real </w:t>
            </w:r>
            <w:r w:rsidR="0052515C">
              <w:t>Time between an EIM Entity Balancing Authority Area and the CAISO Balancing Authority Area or between EIM Entity Balancing Aut</w:t>
            </w:r>
            <w:r>
              <w:t>hority Areas using</w:t>
            </w:r>
            <w:r w:rsidR="0052515C">
              <w:t xml:space="preserve"> transmission capacity made available to the </w:t>
            </w:r>
            <w:r w:rsidR="00FC30E3">
              <w:t>Real-Time</w:t>
            </w:r>
            <w:r w:rsidR="0052515C">
              <w:t xml:space="preserve"> Market through the Energy Imbalance Market. </w:t>
            </w:r>
          </w:p>
        </w:tc>
      </w:tr>
      <w:tr w:rsidR="00C076F3" w14:paraId="04ABFEAA" w14:textId="77777777" w:rsidTr="009D4F0E">
        <w:trPr>
          <w:cantSplit/>
        </w:trPr>
        <w:tc>
          <w:tcPr>
            <w:tcW w:w="2448" w:type="dxa"/>
            <w:shd w:val="clear" w:color="auto" w:fill="auto"/>
          </w:tcPr>
          <w:p w14:paraId="65BFAB8E" w14:textId="77777777" w:rsidR="00C076F3" w:rsidRPr="00D23D0F" w:rsidRDefault="00C076F3" w:rsidP="00D23D0F">
            <w:pPr>
              <w:rPr>
                <w:b/>
              </w:rPr>
            </w:pPr>
            <w:r w:rsidRPr="00D23D0F">
              <w:rPr>
                <w:b/>
              </w:rPr>
              <w:t>Energy Imbalance Market (EIM)</w:t>
            </w:r>
          </w:p>
        </w:tc>
        <w:tc>
          <w:tcPr>
            <w:tcW w:w="7128" w:type="dxa"/>
            <w:shd w:val="clear" w:color="auto" w:fill="auto"/>
          </w:tcPr>
          <w:p w14:paraId="052557F5" w14:textId="77777777" w:rsidR="00C076F3" w:rsidRPr="00D723BF" w:rsidRDefault="005819D4" w:rsidP="00D723BF">
            <w:r>
              <w:t>The rules and procedur</w:t>
            </w:r>
            <w:r w:rsidR="009D507A">
              <w:t xml:space="preserve">es in </w:t>
            </w:r>
            <w:r w:rsidR="004E5DE0">
              <w:t xml:space="preserve">Tariff </w:t>
            </w:r>
            <w:r w:rsidR="009D507A">
              <w:t xml:space="preserve">Section 29 governing </w:t>
            </w:r>
            <w:r>
              <w:t xml:space="preserve">CAISO’s operation of the </w:t>
            </w:r>
            <w:r w:rsidR="00FC30E3">
              <w:t>Real-Time</w:t>
            </w:r>
            <w:r>
              <w:t xml:space="preserve"> Market in Balancing Authority Areas outside of the CAISO Balancing Authority Area and the participation of EIM Market Participants in the </w:t>
            </w:r>
            <w:r w:rsidR="00FC30E3">
              <w:t>Real-Time</w:t>
            </w:r>
            <w:r>
              <w:t xml:space="preserve"> Market.  </w:t>
            </w:r>
          </w:p>
        </w:tc>
      </w:tr>
      <w:tr w:rsidR="00C076F3" w14:paraId="6E11EC8C" w14:textId="77777777" w:rsidTr="00D23D0F">
        <w:tc>
          <w:tcPr>
            <w:tcW w:w="2448" w:type="dxa"/>
            <w:shd w:val="clear" w:color="auto" w:fill="auto"/>
          </w:tcPr>
          <w:p w14:paraId="55557D20" w14:textId="236494B7" w:rsidR="00C076F3" w:rsidRPr="007F4F6B" w:rsidRDefault="00C076F3" w:rsidP="00D23D0F">
            <w:pPr>
              <w:rPr>
                <w:b/>
              </w:rPr>
            </w:pPr>
          </w:p>
        </w:tc>
        <w:tc>
          <w:tcPr>
            <w:tcW w:w="7128" w:type="dxa"/>
            <w:shd w:val="clear" w:color="auto" w:fill="auto"/>
          </w:tcPr>
          <w:p w14:paraId="4BAE0566" w14:textId="64AA0154" w:rsidR="00C076F3" w:rsidRPr="005449BA" w:rsidRDefault="00C076F3" w:rsidP="00D723BF"/>
        </w:tc>
      </w:tr>
      <w:tr w:rsidR="00C076F3" w14:paraId="50E5E3E0" w14:textId="77777777" w:rsidTr="00C076F3">
        <w:tc>
          <w:tcPr>
            <w:tcW w:w="2448" w:type="dxa"/>
            <w:shd w:val="clear" w:color="auto" w:fill="auto"/>
          </w:tcPr>
          <w:p w14:paraId="40ACB68A" w14:textId="77777777" w:rsidR="00C076F3" w:rsidRPr="00D23D0F" w:rsidRDefault="00C076F3" w:rsidP="00D723BF">
            <w:pPr>
              <w:rPr>
                <w:b/>
              </w:rPr>
            </w:pPr>
            <w:r w:rsidRPr="00D23D0F">
              <w:rPr>
                <w:b/>
              </w:rPr>
              <w:t>Non-Participating Loads</w:t>
            </w:r>
          </w:p>
        </w:tc>
        <w:tc>
          <w:tcPr>
            <w:tcW w:w="7128" w:type="dxa"/>
            <w:shd w:val="clear" w:color="auto" w:fill="auto"/>
          </w:tcPr>
          <w:p w14:paraId="3CE39364" w14:textId="77777777" w:rsidR="00C076F3" w:rsidRPr="00F87F52" w:rsidRDefault="00C076F3" w:rsidP="00F87F52">
            <w:r w:rsidRPr="00F87F52">
              <w:t>The EIM Entity SC shall receive the settlement for the non-participating load</w:t>
            </w:r>
            <w:r w:rsidR="009A4783">
              <w:t xml:space="preserve">.  </w:t>
            </w:r>
            <w:r w:rsidR="001A7FEF">
              <w:t>CAISO will s</w:t>
            </w:r>
            <w:r w:rsidRPr="00F87F52">
              <w:t>ettle EIM non-participating load UIE as the algebraic difference between the hourly</w:t>
            </w:r>
            <w:r w:rsidR="000B6D3C">
              <w:t xml:space="preserve"> meter data and the calculated Base S</w:t>
            </w:r>
            <w:r w:rsidRPr="00F87F52">
              <w:t>chedule</w:t>
            </w:r>
            <w:r w:rsidR="00FC30E3">
              <w:t xml:space="preserve"> at the applicable hourly Real-Time</w:t>
            </w:r>
            <w:r w:rsidRPr="00F87F52">
              <w:t xml:space="preserve"> LAP price</w:t>
            </w:r>
            <w:r w:rsidR="001A7FEF">
              <w:t xml:space="preserve"> using v</w:t>
            </w:r>
            <w:r w:rsidR="00C33986" w:rsidRPr="00F87F52">
              <w:t>olumetric</w:t>
            </w:r>
            <w:r w:rsidR="004E5DE0">
              <w:t xml:space="preserve"> weighted average LMP of 15-minute and 5-</w:t>
            </w:r>
            <w:r w:rsidRPr="00F87F52">
              <w:t>minute markets in that hour for the relevant LAP. T</w:t>
            </w:r>
            <w:r w:rsidR="00A479AD">
              <w:t>he weights in the calculation are as follows</w:t>
            </w:r>
            <w:r w:rsidRPr="00F87F52">
              <w:t>:</w:t>
            </w:r>
          </w:p>
          <w:p w14:paraId="019A3335" w14:textId="77777777" w:rsidR="00C076F3" w:rsidRPr="00F87F52" w:rsidRDefault="004E5DE0" w:rsidP="00F87F52">
            <w:r>
              <w:t>For the 15-</w:t>
            </w:r>
            <w:r w:rsidR="00C076F3" w:rsidRPr="00F87F52">
              <w:t xml:space="preserve">minute LMP, </w:t>
            </w:r>
            <w:r>
              <w:t>it is the difference between 15-</w:t>
            </w:r>
            <w:r w:rsidR="00C076F3" w:rsidRPr="00F87F52">
              <w:t xml:space="preserve">minute demand forecast and the demand forecast </w:t>
            </w:r>
            <w:r>
              <w:t xml:space="preserve">that </w:t>
            </w:r>
            <w:r w:rsidR="00C076F3" w:rsidRPr="00F87F52">
              <w:t>was used to calculated base load a</w:t>
            </w:r>
            <w:r>
              <w:t>t T-40 (Load + Loss). For the 5-</w:t>
            </w:r>
            <w:r w:rsidR="00C076F3" w:rsidRPr="00F87F52">
              <w:t>minute LMP,</w:t>
            </w:r>
            <w:r>
              <w:t xml:space="preserve"> it is the difference between 5-minute and 15-</w:t>
            </w:r>
            <w:r w:rsidR="00C076F3" w:rsidRPr="00F87F52">
              <w:t>minute demand forecast. The LMP is bounded by Max/Min LMP over the hour:</w:t>
            </w:r>
          </w:p>
          <w:p w14:paraId="13AB1D7F" w14:textId="77777777" w:rsidR="00C076F3" w:rsidRPr="00F87F52" w:rsidRDefault="00C076F3" w:rsidP="00F87F52">
            <w:r w:rsidRPr="00F87F52">
              <w:t xml:space="preserve">For Hourly LMP , is the sum of (15-minute LMP * 15-minute demand forecast deviation from the demand forecast that was used to </w:t>
            </w:r>
            <w:r w:rsidR="004E5DE0">
              <w:t>calculate the base load at T-40</w:t>
            </w:r>
            <w:r w:rsidRPr="00F87F52">
              <w:t xml:space="preserve">) over four 15-minute intervals + Sum of (5-minute LMP * 5-minute demand forecast  deviation from </w:t>
            </w:r>
            <w:r w:rsidR="004E5DE0">
              <w:t xml:space="preserve">the 15-minute demand forecast) </w:t>
            </w:r>
            <w:r w:rsidRPr="00F87F52">
              <w:t xml:space="preserve">over twelve 5-minute intervals   </w:t>
            </w:r>
          </w:p>
          <w:p w14:paraId="26974F2E" w14:textId="77777777" w:rsidR="00C076F3" w:rsidRPr="00F87F52" w:rsidRDefault="00C076F3" w:rsidP="00F87F52">
            <w:r w:rsidRPr="00F87F52">
              <w:lastRenderedPageBreak/>
              <w:t>divided by</w:t>
            </w:r>
          </w:p>
          <w:p w14:paraId="15C565FA" w14:textId="77777777" w:rsidR="00C076F3" w:rsidRDefault="004E5DE0" w:rsidP="00F87F52">
            <w:r>
              <w:t>The sum of [</w:t>
            </w:r>
            <w:r w:rsidR="00C076F3" w:rsidRPr="00F87F52">
              <w:t>15-minute demand forecast deviation from the demand forecast that was used to calculate base load at T-40   o</w:t>
            </w:r>
            <w:r>
              <w:t>ver four 15-minute intervals + the s</w:t>
            </w:r>
            <w:r w:rsidR="00C076F3" w:rsidRPr="00F87F52">
              <w:t>um of (5-minute demand forecast deviation from the 15-minute demand forecast) over twelve 5-minut</w:t>
            </w:r>
            <w:r>
              <w:t>e intervals</w:t>
            </w:r>
            <w:r w:rsidR="00C076F3" w:rsidRPr="00F87F52">
              <w:t>]</w:t>
            </w:r>
          </w:p>
        </w:tc>
      </w:tr>
      <w:tr w:rsidR="00270D7F" w14:paraId="0745333E" w14:textId="77777777" w:rsidTr="00D23D0F">
        <w:tc>
          <w:tcPr>
            <w:tcW w:w="2448" w:type="dxa"/>
            <w:shd w:val="clear" w:color="auto" w:fill="auto"/>
          </w:tcPr>
          <w:p w14:paraId="1E63E57A" w14:textId="77777777" w:rsidR="00270D7F" w:rsidRPr="00D23D0F" w:rsidRDefault="00270D7F" w:rsidP="00D723BF">
            <w:pPr>
              <w:rPr>
                <w:b/>
              </w:rPr>
            </w:pPr>
            <w:r w:rsidRPr="00D23D0F">
              <w:rPr>
                <w:b/>
              </w:rPr>
              <w:lastRenderedPageBreak/>
              <w:t>Non-Participating Resource</w:t>
            </w:r>
          </w:p>
        </w:tc>
        <w:tc>
          <w:tcPr>
            <w:tcW w:w="7128" w:type="dxa"/>
            <w:shd w:val="clear" w:color="auto" w:fill="auto"/>
          </w:tcPr>
          <w:p w14:paraId="79673410" w14:textId="77777777" w:rsidR="00270D7F" w:rsidRDefault="00270D7F" w:rsidP="00D723BF">
            <w:r w:rsidRPr="00F87F52">
              <w:t>A resource located within an EIM Entity that chooses not to make its resource available for dispatchin</w:t>
            </w:r>
            <w:r>
              <w:t>g in the Real-Time Market. The Entity Scheduling C</w:t>
            </w:r>
            <w:r w:rsidRPr="00F87F52">
              <w:t>oordinator must ensure that these resources are accounted</w:t>
            </w:r>
            <w:r>
              <w:t xml:space="preserve"> for when determining balanced Base S</w:t>
            </w:r>
            <w:r w:rsidRPr="00F87F52">
              <w:t>chedules.</w:t>
            </w:r>
          </w:p>
        </w:tc>
      </w:tr>
      <w:tr w:rsidR="00270D7F" w14:paraId="514DF9ED" w14:textId="77777777" w:rsidTr="00D23D0F">
        <w:tc>
          <w:tcPr>
            <w:tcW w:w="2448" w:type="dxa"/>
            <w:shd w:val="clear" w:color="auto" w:fill="auto"/>
          </w:tcPr>
          <w:p w14:paraId="04CB7485" w14:textId="77777777" w:rsidR="00270D7F" w:rsidRPr="00190C1B" w:rsidRDefault="00270D7F" w:rsidP="00D723BF">
            <w:pPr>
              <w:rPr>
                <w:b/>
                <w:highlight w:val="yellow"/>
              </w:rPr>
            </w:pPr>
            <w:r w:rsidRPr="0028031A">
              <w:rPr>
                <w:b/>
              </w:rPr>
              <w:t>NSI Forecast</w:t>
            </w:r>
          </w:p>
        </w:tc>
        <w:tc>
          <w:tcPr>
            <w:tcW w:w="7128" w:type="dxa"/>
            <w:shd w:val="clear" w:color="auto" w:fill="auto"/>
          </w:tcPr>
          <w:p w14:paraId="0C41BF21" w14:textId="77777777" w:rsidR="00270D7F" w:rsidRPr="00F87F52" w:rsidRDefault="00270D7F" w:rsidP="00D723BF">
            <w:r>
              <w:t>Net-Scheduled Interchange Forecast</w:t>
            </w:r>
          </w:p>
        </w:tc>
      </w:tr>
      <w:tr w:rsidR="00270D7F" w14:paraId="71909696" w14:textId="77777777" w:rsidTr="0052515C">
        <w:tc>
          <w:tcPr>
            <w:tcW w:w="2448" w:type="dxa"/>
            <w:tcBorders>
              <w:top w:val="single" w:sz="4" w:space="0" w:color="auto"/>
              <w:left w:val="single" w:sz="4" w:space="0" w:color="auto"/>
              <w:bottom w:val="single" w:sz="4" w:space="0" w:color="auto"/>
              <w:right w:val="single" w:sz="4" w:space="0" w:color="auto"/>
            </w:tcBorders>
            <w:hideMark/>
          </w:tcPr>
          <w:p w14:paraId="3779E7FE" w14:textId="77777777" w:rsidR="00270D7F" w:rsidRPr="003D2EC1" w:rsidRDefault="00270D7F">
            <w:pPr>
              <w:rPr>
                <w:b/>
              </w:rPr>
            </w:pPr>
            <w:r w:rsidRPr="003D2EC1">
              <w:rPr>
                <w:b/>
              </w:rPr>
              <w:t xml:space="preserve">Operating Day </w:t>
            </w:r>
          </w:p>
        </w:tc>
        <w:tc>
          <w:tcPr>
            <w:tcW w:w="7128" w:type="dxa"/>
            <w:tcBorders>
              <w:top w:val="single" w:sz="4" w:space="0" w:color="auto"/>
              <w:left w:val="single" w:sz="4" w:space="0" w:color="auto"/>
              <w:bottom w:val="single" w:sz="4" w:space="0" w:color="auto"/>
              <w:right w:val="single" w:sz="4" w:space="0" w:color="auto"/>
            </w:tcBorders>
          </w:tcPr>
          <w:p w14:paraId="5AC5CE84" w14:textId="77777777" w:rsidR="00270D7F" w:rsidRPr="003D2EC1" w:rsidRDefault="00270D7F" w:rsidP="003D2EC1">
            <w:pPr>
              <w:widowControl w:val="0"/>
              <w:rPr>
                <w:rFonts w:cs="Arial"/>
              </w:rPr>
            </w:pPr>
            <w:r>
              <w:rPr>
                <w:rFonts w:cs="Arial"/>
                <w:color w:val="000000"/>
              </w:rPr>
              <w:t>The day when the Real-Time Market runs and Energy is supplied to Load.</w:t>
            </w:r>
          </w:p>
        </w:tc>
      </w:tr>
      <w:tr w:rsidR="00270D7F" w14:paraId="776ECDC5" w14:textId="77777777" w:rsidTr="00D23D0F">
        <w:tc>
          <w:tcPr>
            <w:tcW w:w="2448" w:type="dxa"/>
            <w:shd w:val="clear" w:color="auto" w:fill="auto"/>
          </w:tcPr>
          <w:p w14:paraId="52EDE344" w14:textId="77777777" w:rsidR="00270D7F" w:rsidRPr="00D23D0F" w:rsidRDefault="00270D7F" w:rsidP="00D723BF">
            <w:pPr>
              <w:rPr>
                <w:b/>
              </w:rPr>
            </w:pPr>
            <w:r w:rsidRPr="00D23D0F">
              <w:rPr>
                <w:b/>
              </w:rPr>
              <w:t>Participating Resource</w:t>
            </w:r>
          </w:p>
        </w:tc>
        <w:tc>
          <w:tcPr>
            <w:tcW w:w="7128" w:type="dxa"/>
            <w:shd w:val="clear" w:color="auto" w:fill="auto"/>
          </w:tcPr>
          <w:p w14:paraId="0B347B67" w14:textId="6901CCFA" w:rsidR="00270D7F" w:rsidRDefault="00270D7F" w:rsidP="002462E5">
            <w:r>
              <w:t xml:space="preserve">A resource located within an EIM Entity that elects to participate in the EIM.  Through their Participating Resource Scheduling Coordinator, these resources submit bids to the </w:t>
            </w:r>
            <w:r w:rsidR="002462E5">
              <w:t>CAISO</w:t>
            </w:r>
            <w:r>
              <w:t xml:space="preserve"> which convey their availability in the Real-Time Market.  </w:t>
            </w:r>
          </w:p>
        </w:tc>
      </w:tr>
      <w:tr w:rsidR="00270D7F" w14:paraId="45AEE1DE" w14:textId="77777777" w:rsidTr="00D23D0F">
        <w:tc>
          <w:tcPr>
            <w:tcW w:w="2448" w:type="dxa"/>
            <w:shd w:val="clear" w:color="auto" w:fill="auto"/>
          </w:tcPr>
          <w:p w14:paraId="70D8F6F9" w14:textId="77777777" w:rsidR="00270D7F" w:rsidRPr="00D23D0F" w:rsidRDefault="00270D7F" w:rsidP="00D723BF">
            <w:pPr>
              <w:rPr>
                <w:b/>
              </w:rPr>
            </w:pPr>
            <w:r w:rsidRPr="00D23D0F">
              <w:rPr>
                <w:b/>
              </w:rPr>
              <w:t>Participating Resource Scheduling Coordinator</w:t>
            </w:r>
          </w:p>
        </w:tc>
        <w:tc>
          <w:tcPr>
            <w:tcW w:w="7128" w:type="dxa"/>
            <w:shd w:val="clear" w:color="auto" w:fill="auto"/>
          </w:tcPr>
          <w:p w14:paraId="4E87AAC3" w14:textId="77777777" w:rsidR="00270D7F" w:rsidRDefault="00270D7F" w:rsidP="00D723BF">
            <w:r>
              <w:t xml:space="preserve">An entity certified by CAISO that submits economic bids and is responsible for financial settlements for one or more Participating Resources.  </w:t>
            </w:r>
          </w:p>
        </w:tc>
      </w:tr>
      <w:tr w:rsidR="00270D7F" w14:paraId="00A076B1" w14:textId="77777777" w:rsidTr="00D23D0F">
        <w:tc>
          <w:tcPr>
            <w:tcW w:w="2448" w:type="dxa"/>
            <w:shd w:val="clear" w:color="auto" w:fill="auto"/>
          </w:tcPr>
          <w:p w14:paraId="611BD21F" w14:textId="77777777" w:rsidR="00270D7F" w:rsidRPr="00D23D0F" w:rsidRDefault="00270D7F" w:rsidP="00D723BF">
            <w:pPr>
              <w:rPr>
                <w:b/>
              </w:rPr>
            </w:pPr>
            <w:r w:rsidRPr="00D23D0F">
              <w:rPr>
                <w:b/>
              </w:rPr>
              <w:t xml:space="preserve">Resource Plan  </w:t>
            </w:r>
          </w:p>
        </w:tc>
        <w:tc>
          <w:tcPr>
            <w:tcW w:w="7128" w:type="dxa"/>
            <w:shd w:val="clear" w:color="auto" w:fill="auto"/>
          </w:tcPr>
          <w:p w14:paraId="0358CC40" w14:textId="77777777" w:rsidR="00270D7F" w:rsidRDefault="00270D7F" w:rsidP="00CE0F93">
            <w:r w:rsidRPr="00416BF8">
              <w:t>Hourly resourc</w:t>
            </w:r>
            <w:r>
              <w:t xml:space="preserve">e components </w:t>
            </w:r>
            <w:r w:rsidDel="00CE0F93">
              <w:t xml:space="preserve">must </w:t>
            </w:r>
            <w:r>
              <w:t xml:space="preserve">may cover </w:t>
            </w:r>
            <w:r w:rsidDel="00CE0F93">
              <w:t xml:space="preserve">a </w:t>
            </w:r>
            <w:r>
              <w:t>up to seven-</w:t>
            </w:r>
            <w:r w:rsidRPr="00416BF8">
              <w:t xml:space="preserve">day horizon beginning with </w:t>
            </w:r>
            <w:r>
              <w:t xml:space="preserve">the </w:t>
            </w:r>
            <w:r w:rsidRPr="00DA34CC">
              <w:rPr>
                <w:rFonts w:cs="Arial"/>
              </w:rPr>
              <w:t xml:space="preserve">Operating Day, </w:t>
            </w:r>
            <w:r w:rsidRPr="00FA595A">
              <w:rPr>
                <w:rFonts w:cs="Arial"/>
              </w:rPr>
              <w:t>and must cover at least five hours.</w:t>
            </w:r>
            <w:r w:rsidRPr="00DA34CC" w:rsidDel="00CE0F93">
              <w:rPr>
                <w:rFonts w:cs="Arial"/>
              </w:rPr>
              <w:t>.</w:t>
            </w:r>
            <w:r w:rsidRPr="00DA34CC">
              <w:t xml:space="preserve"> The Resource Plan consists of a combination of load Base Schedules</w:t>
            </w:r>
            <w:r>
              <w:t>, generation Base Schedules, interchange Base S</w:t>
            </w:r>
            <w:r w:rsidRPr="00416BF8">
              <w:t xml:space="preserve">chedules, ancillary services plans of the EIM </w:t>
            </w:r>
            <w:r w:rsidRPr="00DA34CC">
              <w:rPr>
                <w:rFonts w:cs="Arial"/>
              </w:rPr>
              <w:t xml:space="preserve">Entity, </w:t>
            </w:r>
            <w:r w:rsidRPr="00FA595A">
              <w:rPr>
                <w:rFonts w:cs="Arial"/>
              </w:rPr>
              <w:t xml:space="preserve">transmission available for EIM Transfers, </w:t>
            </w:r>
            <w:r w:rsidRPr="00DA34CC">
              <w:rPr>
                <w:rFonts w:cs="Arial"/>
              </w:rPr>
              <w:t>and the bid range voluntarily submitted by EIM Participatin</w:t>
            </w:r>
            <w:r>
              <w:t>g Resources. Also, if an EIM Entity Scheduling C</w:t>
            </w:r>
            <w:r w:rsidRPr="00416BF8">
              <w:t>oordinator is not using CAISO demand forecast, then it incl</w:t>
            </w:r>
            <w:r>
              <w:t>udes demand forecast. Resource P</w:t>
            </w:r>
            <w:r w:rsidRPr="00416BF8">
              <w:t>lans balance demand and supply and are used in the resource sufficiency evaluation.</w:t>
            </w:r>
          </w:p>
        </w:tc>
      </w:tr>
      <w:tr w:rsidR="00270D7F" w14:paraId="4B5D53EC" w14:textId="77777777" w:rsidTr="00C076F3">
        <w:trPr>
          <w:cantSplit/>
        </w:trPr>
        <w:tc>
          <w:tcPr>
            <w:tcW w:w="2448" w:type="dxa"/>
            <w:shd w:val="clear" w:color="auto" w:fill="auto"/>
          </w:tcPr>
          <w:p w14:paraId="26F603B3" w14:textId="77777777" w:rsidR="00270D7F" w:rsidRPr="00D23D0F" w:rsidRDefault="00270D7F" w:rsidP="00D723BF">
            <w:pPr>
              <w:rPr>
                <w:b/>
              </w:rPr>
            </w:pPr>
            <w:r w:rsidRPr="00D23D0F">
              <w:rPr>
                <w:b/>
              </w:rPr>
              <w:t>System Resource</w:t>
            </w:r>
          </w:p>
        </w:tc>
        <w:tc>
          <w:tcPr>
            <w:tcW w:w="7128" w:type="dxa"/>
            <w:shd w:val="clear" w:color="auto" w:fill="auto"/>
          </w:tcPr>
          <w:p w14:paraId="46F8A1A0" w14:textId="77777777" w:rsidR="00270D7F" w:rsidRDefault="00270D7F" w:rsidP="00D723BF">
            <w:r>
              <w:t xml:space="preserve">A group of resources, single resource, or a portion of a resource located outside of the CAISO Balancing Authority Area, or an allocated portion of a Balancing Authority Area’s portfolio of generating resources </w:t>
            </w:r>
            <w:r>
              <w:rPr>
                <w:rFonts w:cs="Arial"/>
                <w:color w:val="000000"/>
              </w:rPr>
              <w:t>that are either a static Interchange Schedule or directly responsive to that Balancing Authority Area’s Automatic Generation Control (AGC) capable of providing Energy and/or Ancillary Services to the CAISO Balancing Authority Area, provided that if the System Resource is providing Regulation to CAISO it is directly responsive to AGC</w:t>
            </w:r>
            <w:r>
              <w:t>.</w:t>
            </w:r>
          </w:p>
        </w:tc>
      </w:tr>
      <w:tr w:rsidR="00322B45" w14:paraId="7664DD4E" w14:textId="77777777" w:rsidTr="00C076F3">
        <w:trPr>
          <w:cantSplit/>
        </w:trPr>
        <w:tc>
          <w:tcPr>
            <w:tcW w:w="2448" w:type="dxa"/>
            <w:shd w:val="clear" w:color="auto" w:fill="auto"/>
          </w:tcPr>
          <w:p w14:paraId="4EAFDBBF" w14:textId="46CE57F4" w:rsidR="00322B45" w:rsidRPr="00322B45" w:rsidRDefault="00322B45" w:rsidP="00322B45">
            <w:pPr>
              <w:rPr>
                <w:b/>
              </w:rPr>
            </w:pPr>
            <w:r w:rsidRPr="00322B45">
              <w:rPr>
                <w:b/>
              </w:rPr>
              <w:t>EIM Reserves to Meet NERC/WECC Contingency Reserves Requirements</w:t>
            </w:r>
          </w:p>
          <w:p w14:paraId="4A6965B3" w14:textId="6DA24F81" w:rsidR="00322B45" w:rsidRPr="00D23D0F" w:rsidRDefault="00322B45" w:rsidP="00322B45">
            <w:pPr>
              <w:rPr>
                <w:b/>
              </w:rPr>
            </w:pPr>
          </w:p>
        </w:tc>
        <w:tc>
          <w:tcPr>
            <w:tcW w:w="7128" w:type="dxa"/>
            <w:shd w:val="clear" w:color="auto" w:fill="auto"/>
          </w:tcPr>
          <w:p w14:paraId="486F7193" w14:textId="7351A3C3" w:rsidR="00322B45" w:rsidRDefault="00322B45">
            <w:r w:rsidRPr="00877DDB">
              <w:t>Any capacity that an EIM Entity Scheduling Coordinator has designated, in the EIM Resource Plan, as</w:t>
            </w:r>
            <w:r>
              <w:t xml:space="preserve"> </w:t>
            </w:r>
            <w:r w:rsidRPr="00877DDB">
              <w:t>necessary to meet its NERC/WECC contingency reserves requirements in the applicable Trading Hour</w:t>
            </w:r>
            <w:r>
              <w:t xml:space="preserve"> </w:t>
            </w:r>
            <w:r w:rsidRPr="00877DDB">
              <w:t>and which does not overlap with capacity designated in other parts of the EIM Resource Plan specified in</w:t>
            </w:r>
            <w:r>
              <w:t xml:space="preserve"> </w:t>
            </w:r>
            <w:r w:rsidRPr="00877DDB">
              <w:t>Section 29.34(e)(3)</w:t>
            </w:r>
            <w:r>
              <w:t xml:space="preserve"> of the CAISO Tariff</w:t>
            </w:r>
            <w:r w:rsidRPr="00877DDB">
              <w:t>.</w:t>
            </w:r>
          </w:p>
        </w:tc>
      </w:tr>
      <w:tr w:rsidR="00322B45" w14:paraId="47BCFE87" w14:textId="77777777" w:rsidTr="00C076F3">
        <w:trPr>
          <w:cantSplit/>
        </w:trPr>
        <w:tc>
          <w:tcPr>
            <w:tcW w:w="2448" w:type="dxa"/>
            <w:shd w:val="clear" w:color="auto" w:fill="auto"/>
          </w:tcPr>
          <w:p w14:paraId="6241B286" w14:textId="4BBA4460" w:rsidR="00E520E4" w:rsidRPr="00E520E4" w:rsidRDefault="00E520E4" w:rsidP="00E520E4">
            <w:pPr>
              <w:rPr>
                <w:b/>
              </w:rPr>
            </w:pPr>
            <w:r w:rsidRPr="00E520E4">
              <w:rPr>
                <w:b/>
              </w:rPr>
              <w:lastRenderedPageBreak/>
              <w:t>EIM Downward Available Balancing Capacity</w:t>
            </w:r>
          </w:p>
          <w:p w14:paraId="0F19379A" w14:textId="623B6825" w:rsidR="00322B45" w:rsidRPr="00322B45" w:rsidRDefault="00322B45" w:rsidP="00E520E4">
            <w:pPr>
              <w:rPr>
                <w:b/>
              </w:rPr>
            </w:pPr>
          </w:p>
        </w:tc>
        <w:tc>
          <w:tcPr>
            <w:tcW w:w="7128" w:type="dxa"/>
            <w:shd w:val="clear" w:color="auto" w:fill="auto"/>
          </w:tcPr>
          <w:p w14:paraId="5576C052" w14:textId="74D911EE" w:rsidR="00322B45" w:rsidRPr="00322B45" w:rsidRDefault="00E520E4">
            <w:r w:rsidRPr="00877DDB">
              <w:t>Any downward capacity from an EIM Participating Resources or a non-participating resource that an EIM</w:t>
            </w:r>
            <w:r>
              <w:t xml:space="preserve"> </w:t>
            </w:r>
            <w:r w:rsidRPr="00877DDB">
              <w:t>Entity Scheduling Coordinator has identified in the EIM Resource Plan as available to address power</w:t>
            </w:r>
            <w:r>
              <w:t xml:space="preserve"> </w:t>
            </w:r>
            <w:r w:rsidRPr="00877DDB">
              <w:t>balance and transmission constraint violations in the EIM Balancing Authority Area.</w:t>
            </w:r>
          </w:p>
        </w:tc>
      </w:tr>
      <w:tr w:rsidR="00E520E4" w14:paraId="269933C0" w14:textId="77777777" w:rsidTr="00C076F3">
        <w:trPr>
          <w:cantSplit/>
        </w:trPr>
        <w:tc>
          <w:tcPr>
            <w:tcW w:w="2448" w:type="dxa"/>
            <w:shd w:val="clear" w:color="auto" w:fill="auto"/>
          </w:tcPr>
          <w:p w14:paraId="03A45C0A" w14:textId="4EFBF4AD" w:rsidR="00E520E4" w:rsidRPr="00E520E4" w:rsidRDefault="00E520E4" w:rsidP="00E520E4">
            <w:pPr>
              <w:rPr>
                <w:b/>
              </w:rPr>
            </w:pPr>
            <w:r w:rsidRPr="00E520E4">
              <w:rPr>
                <w:b/>
              </w:rPr>
              <w:t>EIM Upward Available Balancing Capacity</w:t>
            </w:r>
          </w:p>
          <w:p w14:paraId="7D438C1C" w14:textId="6761EAE5" w:rsidR="00E520E4" w:rsidRPr="00E520E4" w:rsidRDefault="00E520E4" w:rsidP="00E520E4">
            <w:pPr>
              <w:rPr>
                <w:b/>
              </w:rPr>
            </w:pPr>
          </w:p>
        </w:tc>
        <w:tc>
          <w:tcPr>
            <w:tcW w:w="7128" w:type="dxa"/>
            <w:shd w:val="clear" w:color="auto" w:fill="auto"/>
          </w:tcPr>
          <w:p w14:paraId="2362F68D" w14:textId="67F3BF7A" w:rsidR="00E520E4" w:rsidRPr="00E520E4" w:rsidRDefault="00E520E4">
            <w:r w:rsidRPr="00877DDB">
              <w:t>Any upward capacity from an EIM Participating Resources or a non-participating resource that an EIM Entity Scheduling Coordinator has identified in the EIM Resource Plan as available to address power balance and transmission violations in the EIM Balancing Authority Area.</w:t>
            </w:r>
          </w:p>
        </w:tc>
      </w:tr>
    </w:tbl>
    <w:p w14:paraId="56697055" w14:textId="77777777" w:rsidR="00B40FF6" w:rsidRDefault="00B40FF6" w:rsidP="00B40FF6">
      <w:pPr>
        <w:pStyle w:val="Heading1"/>
        <w:numPr>
          <w:ilvl w:val="0"/>
          <w:numId w:val="0"/>
        </w:numPr>
      </w:pPr>
      <w:bookmarkStart w:id="2286" w:name="_Appendix_A"/>
      <w:bookmarkEnd w:id="2286"/>
    </w:p>
    <w:p w14:paraId="2607406D" w14:textId="77777777" w:rsidR="00B40FF6" w:rsidRDefault="00B40FF6" w:rsidP="00B40FF6">
      <w:pPr>
        <w:pStyle w:val="ParaText"/>
        <w:rPr>
          <w:kern w:val="28"/>
          <w:sz w:val="34"/>
        </w:rPr>
      </w:pPr>
      <w:r>
        <w:br w:type="page"/>
      </w:r>
    </w:p>
    <w:p w14:paraId="7F3F5D60" w14:textId="77777777" w:rsidR="00DB1797" w:rsidRDefault="00DB1797" w:rsidP="00B40FF6">
      <w:pPr>
        <w:pStyle w:val="Heading1"/>
        <w:numPr>
          <w:ilvl w:val="0"/>
          <w:numId w:val="0"/>
        </w:numPr>
        <w:rPr>
          <w:rFonts w:eastAsia="Calibri"/>
        </w:rPr>
      </w:pPr>
      <w:bookmarkStart w:id="2287" w:name="_Toc460320493"/>
      <w:r>
        <w:lastRenderedPageBreak/>
        <w:t xml:space="preserve">Appendix A: </w:t>
      </w:r>
      <w:r>
        <w:rPr>
          <w:rFonts w:eastAsia="Calibri"/>
        </w:rPr>
        <w:t>Mathematical Formulation for EIM Transfer</w:t>
      </w:r>
      <w:bookmarkEnd w:id="2287"/>
    </w:p>
    <w:p w14:paraId="3CEE2C87" w14:textId="77777777" w:rsidR="00DB1797" w:rsidRPr="005C7F90" w:rsidRDefault="00DB1797" w:rsidP="00877DDB">
      <w:pPr>
        <w:pStyle w:val="BPM"/>
      </w:pPr>
      <w:r w:rsidRPr="005C7F90">
        <w:t>Energy Transfer Scheduling</w:t>
      </w:r>
      <w:r>
        <w:t xml:space="preserve"> </w:t>
      </w:r>
      <w:r w:rsidRPr="005C7F90">
        <w:t>in</w:t>
      </w:r>
      <w:r>
        <w:t xml:space="preserve"> </w:t>
      </w:r>
      <w:r w:rsidRPr="005C7F90">
        <w:t>Energy Imbalance Market</w:t>
      </w:r>
    </w:p>
    <w:p w14:paraId="182F0C3D" w14:textId="77777777" w:rsidR="00DB1797" w:rsidRDefault="00DB1797" w:rsidP="00F57D97">
      <w:pPr>
        <w:pStyle w:val="Heading5"/>
      </w:pPr>
      <w:r>
        <w:t>Introduction</w:t>
      </w:r>
    </w:p>
    <w:p w14:paraId="5FF547CA" w14:textId="77777777" w:rsidR="00DB1797" w:rsidRPr="00F57D97" w:rsidRDefault="00DB1797" w:rsidP="00877DDB">
      <w:pPr>
        <w:pStyle w:val="BPM"/>
      </w:pPr>
      <w:r w:rsidRPr="00F57D97">
        <w:t>This technical paper describes the calculation of Energy Transfer schedules between Balancing Authority Areas (BAAs) in the Energy Imbalance Market (EIM) Area from the optimal EIM Transfer calculated for each BAA in the EIM Area by the Real-Time Unit Commitment (RTUC) and the Real-Time Dispatch (RTD) applications. The methodology in this document is general to account an arbitrary network configuration of EIM and non-EIM BAAs in the Full Network Model (FNM), such as the example shown below:</w:t>
      </w:r>
    </w:p>
    <w:p w14:paraId="5FD00319" w14:textId="77777777" w:rsidR="00DB1797" w:rsidRPr="00F57D97" w:rsidRDefault="00DB1797" w:rsidP="000B754E">
      <w:pPr>
        <w:pStyle w:val="Figure"/>
        <w:rPr>
          <w:rFonts w:ascii="Arial" w:hAnsi="Arial" w:cs="Arial"/>
        </w:rPr>
      </w:pPr>
      <w:r w:rsidRPr="0066107F">
        <w:rPr>
          <w:rFonts w:ascii="Arial" w:hAnsi="Arial" w:cs="Arial"/>
          <w:noProof/>
        </w:rPr>
        <mc:AlternateContent>
          <mc:Choice Requires="wpc">
            <w:drawing>
              <wp:inline distT="0" distB="0" distL="0" distR="0" wp14:anchorId="71744E0D" wp14:editId="15E34B7A">
                <wp:extent cx="5943600" cy="4314825"/>
                <wp:effectExtent l="0" t="0" r="0" b="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Oval 39"/>
                        <wps:cNvSpPr/>
                        <wps:spPr>
                          <a:xfrm>
                            <a:off x="466725" y="198142"/>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ACB66" w14:textId="77777777" w:rsidR="005C71E4" w:rsidRPr="00955824" w:rsidRDefault="005C71E4"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66725" y="1674495"/>
                            <a:ext cx="1280160" cy="914400"/>
                          </a:xfrm>
                          <a:prstGeom prst="ellipse">
                            <a:avLst/>
                          </a:prstGeom>
                          <a:solidFill>
                            <a:schemeClr val="accent3">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31AE4" w14:textId="77777777" w:rsidR="005C71E4" w:rsidRPr="00A17DC0" w:rsidRDefault="005C71E4" w:rsidP="000B754E">
                              <w:pPr>
                                <w:jc w:val="center"/>
                                <w:rPr>
                                  <w:b/>
                                  <w:color w:val="000000" w:themeColor="text1"/>
                                </w:rPr>
                              </w:pPr>
                              <w:r>
                                <w:rPr>
                                  <w:b/>
                                  <w:color w:val="000000" w:themeColor="text1"/>
                                </w:rP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295525" y="198142"/>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B12B3" w14:textId="77777777" w:rsidR="005C71E4" w:rsidRPr="00955824" w:rsidRDefault="005C71E4"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stCxn id="39" idx="6"/>
                          <a:endCxn id="41" idx="2"/>
                        </wps:cNvCnPr>
                        <wps:spPr>
                          <a:xfrm>
                            <a:off x="1746885" y="655342"/>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39" idx="4"/>
                          <a:endCxn id="40" idx="0"/>
                        </wps:cNvCnPr>
                        <wps:spPr>
                          <a:xfrm>
                            <a:off x="1106805" y="1112542"/>
                            <a:ext cx="0" cy="561953"/>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Oval 44"/>
                        <wps:cNvSpPr/>
                        <wps:spPr>
                          <a:xfrm>
                            <a:off x="4124325" y="198142"/>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FA291" w14:textId="77777777" w:rsidR="005C71E4" w:rsidRPr="00955824" w:rsidRDefault="005C71E4"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a:stCxn id="41" idx="6"/>
                          <a:endCxn id="44" idx="2"/>
                        </wps:cNvCnPr>
                        <wps:spPr>
                          <a:xfrm>
                            <a:off x="3575685" y="655342"/>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Oval 46"/>
                        <wps:cNvSpPr/>
                        <wps:spPr>
                          <a:xfrm>
                            <a:off x="2295525" y="167449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93343" w14:textId="77777777" w:rsidR="005C71E4" w:rsidRPr="00955824" w:rsidRDefault="005C71E4"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a:stCxn id="40" idx="6"/>
                          <a:endCxn id="46" idx="2"/>
                        </wps:cNvCnPr>
                        <wps:spPr>
                          <a:xfrm>
                            <a:off x="1746885" y="213169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44" idx="3"/>
                          <a:endCxn id="46" idx="7"/>
                        </wps:cNvCnPr>
                        <wps:spPr>
                          <a:xfrm flipH="1">
                            <a:off x="3388210" y="978631"/>
                            <a:ext cx="923590" cy="8297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Oval 49"/>
                        <wps:cNvSpPr/>
                        <wps:spPr>
                          <a:xfrm>
                            <a:off x="4124325" y="1674495"/>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6AA21" w14:textId="77777777" w:rsidR="005C71E4" w:rsidRPr="00955824" w:rsidRDefault="005C71E4"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a:stCxn id="44" idx="4"/>
                          <a:endCxn id="49" idx="0"/>
                        </wps:cNvCnPr>
                        <wps:spPr>
                          <a:xfrm>
                            <a:off x="4764405" y="1112542"/>
                            <a:ext cx="0" cy="561953"/>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46" idx="6"/>
                          <a:endCxn id="49" idx="2"/>
                        </wps:cNvCnPr>
                        <wps:spPr>
                          <a:xfrm>
                            <a:off x="3575685" y="213169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Oval 52"/>
                        <wps:cNvSpPr/>
                        <wps:spPr>
                          <a:xfrm>
                            <a:off x="466725" y="3129915"/>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48524" w14:textId="77777777" w:rsidR="005C71E4" w:rsidRPr="00955824" w:rsidRDefault="005C71E4"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2295525" y="312991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9B374" w14:textId="77777777" w:rsidR="005C71E4" w:rsidRPr="00955824" w:rsidRDefault="005C71E4"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a:stCxn id="52" idx="6"/>
                          <a:endCxn id="53" idx="2"/>
                        </wps:cNvCnPr>
                        <wps:spPr>
                          <a:xfrm>
                            <a:off x="1746885" y="358711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0" idx="4"/>
                          <a:endCxn id="52" idx="0"/>
                        </wps:cNvCnPr>
                        <wps:spPr>
                          <a:xfrm>
                            <a:off x="11068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3575685" y="1112542"/>
                            <a:ext cx="736116" cy="643868"/>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3657600" y="548640"/>
                            <a:ext cx="365760" cy="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58" name="Group 58"/>
                        <wpg:cNvGrpSpPr/>
                        <wpg:grpSpPr>
                          <a:xfrm>
                            <a:off x="1188720" y="731520"/>
                            <a:ext cx="1005840" cy="842010"/>
                            <a:chOff x="1188720" y="731520"/>
                            <a:chExt cx="1005840" cy="842010"/>
                          </a:xfrm>
                        </wpg:grpSpPr>
                        <wps:wsp>
                          <wps:cNvPr id="59" name="Straight Arrow Connector 59"/>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g:wgp>
                        <wpg:cNvPr id="62" name="Group 62"/>
                        <wpg:cNvGrpSpPr/>
                        <wpg:grpSpPr>
                          <a:xfrm>
                            <a:off x="1188720" y="2651760"/>
                            <a:ext cx="1005840" cy="842010"/>
                            <a:chOff x="1188720" y="2651760"/>
                            <a:chExt cx="1005840" cy="842010"/>
                          </a:xfrm>
                        </wpg:grpSpPr>
                        <wps:wsp>
                          <wps:cNvPr id="63" name="Straight Arrow Connector 63"/>
                          <wps:cNvCnPr/>
                          <wps:spPr>
                            <a:xfrm flipV="1">
                              <a:off x="1188720" y="265176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flipV="1">
                              <a:off x="1920240" y="349377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flipV="1">
                              <a:off x="1188720" y="283464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66" name="Straight Arrow Connector 66"/>
                        <wps:cNvCnPr/>
                        <wps:spPr>
                          <a:xfrm flipH="1">
                            <a:off x="1828800" y="2213610"/>
                            <a:ext cx="365760" cy="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67" name="Group 67"/>
                        <wpg:cNvGrpSpPr/>
                        <wpg:grpSpPr>
                          <a:xfrm flipH="1" flipV="1">
                            <a:off x="3657600" y="1207770"/>
                            <a:ext cx="1005840" cy="842010"/>
                            <a:chOff x="1188720" y="731520"/>
                            <a:chExt cx="1005840" cy="842010"/>
                          </a:xfrm>
                        </wpg:grpSpPr>
                        <wps:wsp>
                          <wps:cNvPr id="68" name="Straight Arrow Connector 68"/>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71" name="Straight Arrow Connector 71"/>
                        <wps:cNvCnPr>
                          <a:stCxn id="46" idx="4"/>
                          <a:endCxn id="53" idx="0"/>
                        </wps:cNvCnPr>
                        <wps:spPr>
                          <a:xfrm>
                            <a:off x="29356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3017520" y="2651760"/>
                            <a:ext cx="0" cy="39116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Oval 73"/>
                        <wps:cNvSpPr/>
                        <wps:spPr>
                          <a:xfrm>
                            <a:off x="4124325" y="312991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FEE7C" w14:textId="77777777" w:rsidR="005C71E4" w:rsidRPr="00955824" w:rsidRDefault="005C71E4"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a:stCxn id="49" idx="4"/>
                          <a:endCxn id="73" idx="0"/>
                        </wps:cNvCnPr>
                        <wps:spPr>
                          <a:xfrm>
                            <a:off x="47644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75" name="Group 75"/>
                        <wpg:cNvGrpSpPr/>
                        <wpg:grpSpPr>
                          <a:xfrm flipH="1">
                            <a:off x="3657600" y="2194560"/>
                            <a:ext cx="1005840" cy="842010"/>
                            <a:chOff x="1188720" y="731520"/>
                            <a:chExt cx="1005840" cy="842010"/>
                          </a:xfrm>
                        </wpg:grpSpPr>
                        <wps:wsp>
                          <wps:cNvPr id="76" name="Straight Arrow Connector 76"/>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71744E0D" id="Canvas 121" o:spid="_x0000_s1055" editas="canvas" style="width:468pt;height:339.75pt;mso-position-horizontal-relative:char;mso-position-vertical-relative:line" coordsize="59436,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">
                <v:shape id="_x0000_s1056" type="#_x0000_t75" style="position:absolute;width:59436;height:43148;visibility:visible;mso-wrap-style:square">
                  <v:fill o:detectmouseclick="t"/>
                  <v:path o:connecttype="none"/>
                </v:shape>
                <v:oval id="Oval 39" o:spid="_x0000_s1057" style="position:absolute;left:4667;top:1981;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FpsUA&#10;AADbAAAADwAAAGRycy9kb3ducmV2LnhtbESPQWvCQBSE7wX/w/KE3urGNoQmuorYFnvopYkXb8/s&#10;Mwlm34bsmsR/3y0Uehxm5htmvZ1MKwbqXWNZwXIRgSAurW64UnAsPp5eQTiPrLG1TAru5GC7mT2s&#10;MdN25G8acl+JAGGXoYLa+y6T0pU1GXQL2xEH72J7gz7IvpK6xzHATSufoyiRBhsOCzV2tK+pvOY3&#10;o+D6fitKc07jt/YUf8XpgIfTJVHqcT7tViA8Tf4//Nf+1ApeUv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WmxQAAANsAAAAPAAAAAAAAAAAAAAAAAJgCAABkcnMv&#10;ZG93bnJldi54bWxQSwUGAAAAAAQABAD1AAAAigMAAAAA&#10;" fillcolor="#c6d9f1 [671]" strokecolor="black [3213]" strokeweight="1.5pt">
                  <v:textbox>
                    <w:txbxContent>
                      <w:p w14:paraId="388ACB66" w14:textId="77777777" w:rsidR="005C71E4" w:rsidRPr="00955824" w:rsidRDefault="005C71E4" w:rsidP="000B754E">
                        <w:pPr>
                          <w:jc w:val="center"/>
                          <w:rPr>
                            <w:b/>
                            <w:color w:val="000000" w:themeColor="text1"/>
                          </w:rPr>
                        </w:pPr>
                        <w:r>
                          <w:rPr>
                            <w:b/>
                            <w:color w:val="000000" w:themeColor="text1"/>
                          </w:rPr>
                          <w:t>Non-EIM BAA</w:t>
                        </w:r>
                      </w:p>
                    </w:txbxContent>
                  </v:textbox>
                </v:oval>
                <v:oval id="Oval 40" o:spid="_x0000_s1058" style="position:absolute;left:4667;top:16744;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jsAA&#10;AADbAAAADwAAAGRycy9kb3ducmV2LnhtbERPTYvCMBC9C/6HMIIX0XRFRKtRXEFYyoJY9T40Y1tt&#10;JiWJ2v33m8PCHh/ve73tTCNe5HxtWcHHJAFBXFhdc6ngcj6MFyB8QNbYWCYFP+Rhu+n31phq++YT&#10;vfJQihjCPkUFVQhtKqUvKjLoJ7YljtzNOoMhQldK7fAdw00jp0kylwZrjg0VtrSvqHjkT6PA3z4z&#10;e6xno8Po25XZNZ/fl9dMqeGg261ABOrCv/jP/aUVzOL6+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tIjsAAAADbAAAADwAAAAAAAAAAAAAAAACYAgAAZHJzL2Rvd25y&#10;ZXYueG1sUEsFBgAAAAAEAAQA9QAAAIUDAAAAAA==&#10;" fillcolor="#d6e3bc [1302]" strokecolor="black [3213]" strokeweight="1.5pt">
                  <v:textbox>
                    <w:txbxContent>
                      <w:p w14:paraId="70F31AE4" w14:textId="77777777" w:rsidR="005C71E4" w:rsidRPr="00A17DC0" w:rsidRDefault="005C71E4" w:rsidP="000B754E">
                        <w:pPr>
                          <w:jc w:val="center"/>
                          <w:rPr>
                            <w:b/>
                            <w:color w:val="000000" w:themeColor="text1"/>
                          </w:rPr>
                        </w:pPr>
                        <w:r>
                          <w:rPr>
                            <w:b/>
                            <w:color w:val="000000" w:themeColor="text1"/>
                          </w:rPr>
                          <w:t>CISO</w:t>
                        </w:r>
                      </w:p>
                    </w:txbxContent>
                  </v:textbox>
                </v:oval>
                <v:oval id="Oval 41" o:spid="_x0000_s1059" style="position:absolute;left:22955;top:1981;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y68UA&#10;AADbAAAADwAAAGRycy9kb3ducmV2LnhtbESP3WoCMRSE7wu+QziCd5pdkdauRhGhRbDgXym9PGyO&#10;u6ubk7CJur69KQi9HGbmG2Y6b00trtT4yrKCdJCAIM6trrhQ8H346I9B+ICssbZMCu7kYT7rvEwx&#10;0/bGO7ruQyEihH2GCsoQXCalz0sy6AfWEUfvaBuDIcqmkLrBW4SbWg6T5FUarDgulOhoWVJ+3l+M&#10;grX7rQ73dJhu3bt9+9z8jE7rr5VSvW67mIAI1Ib/8LO90gpGK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LrxQAAANsAAAAPAAAAAAAAAAAAAAAAAJgCAABkcnMv&#10;ZG93bnJldi54bWxQSwUGAAAAAAQABAD1AAAAigMAAAAA&#10;" fillcolor="#fbd4b4 [1305]" strokecolor="black [3213]" strokeweight="1.5pt">
                  <v:textbox>
                    <w:txbxContent>
                      <w:p w14:paraId="076B12B3" w14:textId="77777777" w:rsidR="005C71E4" w:rsidRPr="00955824" w:rsidRDefault="005C71E4" w:rsidP="000B754E">
                        <w:pPr>
                          <w:jc w:val="center"/>
                          <w:rPr>
                            <w:b/>
                            <w:color w:val="000000" w:themeColor="text1"/>
                          </w:rPr>
                        </w:pPr>
                        <w:r>
                          <w:rPr>
                            <w:b/>
                            <w:color w:val="000000" w:themeColor="text1"/>
                          </w:rPr>
                          <w:t>EIM BAA</w:t>
                        </w:r>
                      </w:p>
                    </w:txbxContent>
                  </v:textbox>
                </v:oval>
                <v:shape id="Straight Arrow Connector 42" o:spid="_x0000_s1060" type="#_x0000_t32" style="position:absolute;left:17468;top:6553;width: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LVsQAAADbAAAADwAAAGRycy9kb3ducmV2LnhtbESPT4vCMBTE78J+h/CEvWmq+I+uUXYX&#10;FzyosFUQb4/mbVtsXkITtX57Iwh7HGbmN8x82ZpaXKnxlWUFg34Cgji3uuJCwWH/05uB8AFZY22Z&#10;FNzJw3Lx1pljqu2Nf+mahUJECPsUFZQhuFRKn5dk0PetI47en20MhiibQuoGbxFuajlMkok0WHFc&#10;KNHRd0n5ObsYBavtfbabbnbn49jVLvvSp+lFO6Xeu+3nB4hAbfgPv9prrWA0hOe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MtWxAAAANsAAAAPAAAAAAAAAAAA&#10;AAAAAKECAABkcnMvZG93bnJldi54bWxQSwUGAAAAAAQABAD5AAAAkgMAAAAA&#10;" strokecolor="black [3213]" strokeweight="1pt">
                  <v:stroke startarrow="block" endarrow="block"/>
                </v:shape>
                <v:shape id="Straight Arrow Connector 43" o:spid="_x0000_s1061" type="#_x0000_t32" style="position:absolute;left:11068;top:11125;width:0;height:5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uzcUAAADbAAAADwAAAGRycy9kb3ducmV2LnhtbESPQWvCQBSE74X+h+UVequbaq0SXaVK&#10;Cz1YoVEQb4/sMwlm3y7ZNYn/visIPQ4z8w0zX/amFi01vrKs4HWQgCDOra64ULDffb1MQfiArLG2&#10;TAqu5GG5eHyYY6ptx7/UZqEQEcI+RQVlCC6V0uclGfQD64ijd7KNwRBlU0jdYBfhppbDJHmXBiuO&#10;CyU6WpeUn7OLUfD5c51uJ5vt+TB2tctW+ji5aKfU81P/MQMRqA//4Xv7Wyt4G8H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xuzcUAAADbAAAADwAAAAAAAAAA&#10;AAAAAAChAgAAZHJzL2Rvd25yZXYueG1sUEsFBgAAAAAEAAQA+QAAAJMDAAAAAA==&#10;" strokecolor="black [3213]" strokeweight="1pt">
                  <v:stroke startarrow="block" endarrow="block"/>
                </v:shape>
                <v:oval id="Oval 44" o:spid="_x0000_s1062" style="position:absolute;left:41243;top:1981;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c8UA&#10;AADbAAAADwAAAGRycy9kb3ducmV2LnhtbESPQWvCQBSE7wX/w/KE3nQTCbVGVymFFsFCrYp4fGSf&#10;STT7dsluNf77riD0OMzMN8xs0ZlGXKj1tWUF6TABQVxYXXOpYLf9GLyC8AFZY2OZFNzIw2Lee5ph&#10;ru2Vf+iyCaWIEPY5KqhCcLmUvqjIoB9aRxy9o20NhijbUuoWrxFuGjlKkhdpsOa4UKGj94qK8+bX&#10;KFi5Q729paN07SZ2/Pm9z06rr6VSz/3ubQoiUBf+w4/2UivIMr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5FzxQAAANsAAAAPAAAAAAAAAAAAAAAAAJgCAABkcnMv&#10;ZG93bnJldi54bWxQSwUGAAAAAAQABAD1AAAAigMAAAAA&#10;" fillcolor="#fbd4b4 [1305]" strokecolor="black [3213]" strokeweight="1.5pt">
                  <v:textbox>
                    <w:txbxContent>
                      <w:p w14:paraId="22AFA291" w14:textId="77777777" w:rsidR="005C71E4" w:rsidRPr="00955824" w:rsidRDefault="005C71E4" w:rsidP="000B754E">
                        <w:pPr>
                          <w:jc w:val="center"/>
                          <w:rPr>
                            <w:b/>
                            <w:color w:val="000000" w:themeColor="text1"/>
                          </w:rPr>
                        </w:pPr>
                        <w:r>
                          <w:rPr>
                            <w:b/>
                            <w:color w:val="000000" w:themeColor="text1"/>
                          </w:rPr>
                          <w:t>EIM BAA</w:t>
                        </w:r>
                      </w:p>
                    </w:txbxContent>
                  </v:textbox>
                </v:oval>
                <v:shape id="Straight Arrow Connector 45" o:spid="_x0000_s1063" type="#_x0000_t32" style="position:absolute;left:35756;top:6553;width: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TIsUAAADbAAAADwAAAGRycy9kb3ducmV2LnhtbESPT4vCMBTE78J+h/CEvWnqsv6ha5Rd&#10;UfDgClZBvD2at22xeQlN1PrtzYLgcZiZ3zDTeWtqcaXGV5YVDPoJCOLc6ooLBYf9qjcB4QOyxtoy&#10;KbiTh/nsrTPFVNsb7+iahUJECPsUFZQhuFRKn5dk0PetI47en20MhiibQuoGbxFuavmRJCNpsOK4&#10;UKKjRUn5ObsYBcvf+2Q73mzPx6GrXfajT+OLdkq9d9vvLxCB2vAKP9trreBzCP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lTIsUAAADbAAAADwAAAAAAAAAA&#10;AAAAAAChAgAAZHJzL2Rvd25yZXYueG1sUEsFBgAAAAAEAAQA+QAAAJMDAAAAAA==&#10;" strokecolor="black [3213]" strokeweight="1pt">
                  <v:stroke startarrow="block" endarrow="block"/>
                </v:shape>
                <v:oval id="Oval 46" o:spid="_x0000_s1064" style="position:absolute;left:22955;top:16744;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qn8UA&#10;AADbAAAADwAAAGRycy9kb3ducmV2LnhtbESPW2sCMRSE3wv+h3AE3zS7Il62RpFCRbBQL6X08bA5&#10;7q5uTsIm1fXfN4LQx2FmvmHmy9bU4kqNrywrSAcJCOLc6ooLBV/H9/4UhA/IGmvLpOBOHpaLzssc&#10;M21vvKfrIRQiQthnqKAMwWVS+rwkg35gHXH0TrYxGKJsCqkbvEW4qeUwScbSYMVxoURHbyXll8Ov&#10;UbB1P9Xxng7TnZvZyfrze3TefmyU6nXb1SuIQG34Dz/bG61gNIb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aqfxQAAANsAAAAPAAAAAAAAAAAAAAAAAJgCAABkcnMv&#10;ZG93bnJldi54bWxQSwUGAAAAAAQABAD1AAAAigMAAAAA&#10;" fillcolor="#fbd4b4 [1305]" strokecolor="black [3213]" strokeweight="1.5pt">
                  <v:textbox>
                    <w:txbxContent>
                      <w:p w14:paraId="57493343" w14:textId="77777777" w:rsidR="005C71E4" w:rsidRPr="00955824" w:rsidRDefault="005C71E4" w:rsidP="000B754E">
                        <w:pPr>
                          <w:jc w:val="center"/>
                          <w:rPr>
                            <w:b/>
                            <w:color w:val="000000" w:themeColor="text1"/>
                          </w:rPr>
                        </w:pPr>
                        <w:r>
                          <w:rPr>
                            <w:b/>
                            <w:color w:val="000000" w:themeColor="text1"/>
                          </w:rPr>
                          <w:t>EIM BAA</w:t>
                        </w:r>
                      </w:p>
                    </w:txbxContent>
                  </v:textbox>
                </v:oval>
                <v:shape id="Straight Arrow Connector 47" o:spid="_x0000_s1065" type="#_x0000_t32" style="position:absolute;left:17468;top:21316;width: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dozsQAAADbAAAADwAAAGRycy9kb3ducmV2LnhtbESPQWvCQBSE74L/YXlCb7qxVCOpq2hp&#10;wYMVjIXS2yP7TILZt0t21fjv3YLgcZiZb5j5sjONuFDra8sKxqMEBHFhdc2lgp/D13AGwgdkjY1l&#10;UnAjD8tFvzfHTNsr7+mSh1JECPsMFVQhuExKX1Rk0I+sI47e0bYGQ5RtKXWL1wg3jXxNkqk0WHNc&#10;qNDRR0XFKT8bBZ/ft9ku3e5OvxPXuHyt/9Kzdkq9DLrVO4hAXXiGH+2NVvCWwv+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2jOxAAAANsAAAAPAAAAAAAAAAAA&#10;AAAAAKECAABkcnMvZG93bnJldi54bWxQSwUGAAAAAAQABAD5AAAAkgMAAAAA&#10;" strokecolor="black [3213]" strokeweight="1pt">
                  <v:stroke startarrow="block" endarrow="block"/>
                </v:shape>
                <v:shape id="Straight Arrow Connector 48" o:spid="_x0000_s1066" type="#_x0000_t32" style="position:absolute;left:33882;top:9786;width:9236;height:8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IJr8AAADbAAAADwAAAGRycy9kb3ducmV2LnhtbERPTYvCMBC9L/gfwgje1tQii1SjFEEU&#10;RFhbEbwNzdgWm0lpotZ/bw6Cx8f7Xqx604gHda62rGAyjkAQF1bXXCo45ZvfGQjnkTU2lknBixys&#10;loOfBSbaPvlIj8yXIoSwS1BB5X2bSOmKigy6sW2JA3e1nUEfYFdK3eEzhJtGxlH0Jw3WHBoqbGld&#10;UXHL7kYBF6lMp//5Pt6ezod4u67vl0Om1GjYp3MQnnr/FX/cO61gGsaGL+EH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SIJr8AAADbAAAADwAAAAAAAAAAAAAAAACh&#10;AgAAZHJzL2Rvd25yZXYueG1sUEsFBgAAAAAEAAQA+QAAAI0DAAAAAA==&#10;" strokecolor="black [3213]" strokeweight="1pt">
                  <v:stroke startarrow="block" endarrow="block"/>
                </v:shape>
                <v:oval id="Oval 49" o:spid="_x0000_s1067" style="position:absolute;left:41243;top:16744;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228MA&#10;AADbAAAADwAAAGRycy9kb3ducmV2LnhtbESPQYvCMBSE78L+h/AW9qapUsR2jSK7LnrwYvXi7W3z&#10;bIvNS2lirf/eCILHYWa+YebL3tSio9ZVlhWMRxEI4tzqigsFx8PfcAbCeWSNtWVScCcHy8XHYI6p&#10;tjfeU5f5QgQIuxQVlN43qZQuL8mgG9mGOHhn2xr0QbaF1C3eAtzUchJFU2mw4rBQYkM/JeWX7GoU&#10;XNbXQ27+k/i3PsW7OOlwczpPlfr67FffIDz1/h1+tbdaQZz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V228MAAADbAAAADwAAAAAAAAAAAAAAAACYAgAAZHJzL2Rv&#10;d25yZXYueG1sUEsFBgAAAAAEAAQA9QAAAIgDAAAAAA==&#10;" fillcolor="#c6d9f1 [671]" strokecolor="black [3213]" strokeweight="1.5pt">
                  <v:textbox>
                    <w:txbxContent>
                      <w:p w14:paraId="7956AA21" w14:textId="77777777" w:rsidR="005C71E4" w:rsidRPr="00955824" w:rsidRDefault="005C71E4" w:rsidP="000B754E">
                        <w:pPr>
                          <w:jc w:val="center"/>
                          <w:rPr>
                            <w:b/>
                            <w:color w:val="000000" w:themeColor="text1"/>
                          </w:rPr>
                        </w:pPr>
                        <w:r>
                          <w:rPr>
                            <w:b/>
                            <w:color w:val="000000" w:themeColor="text1"/>
                          </w:rPr>
                          <w:t>Non-EIM BAA</w:t>
                        </w:r>
                      </w:p>
                    </w:txbxContent>
                  </v:textbox>
                </v:oval>
                <v:shape id="Straight Arrow Connector 50" o:spid="_x0000_s1068" type="#_x0000_t32" style="position:absolute;left:47644;top:11125;width:0;height:5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mZ8EAAADbAAAADwAAAGRycy9kb3ducmV2LnhtbERPTYvCMBC9L/gfwgje1lTBtVSjqOyC&#10;h13BKoi3oRnbYjMJTdT67zcHwePjfc+XnWnEnVpfW1YwGiYgiAuray4VHA8/nykIH5A1NpZJwZM8&#10;LBe9jzlm2j54T/c8lCKGsM9QQRWCy6T0RUUG/dA64shdbGswRNiWUrf4iOGmkeMk+ZIGa44NFTra&#10;VFRc85tR8P33THfT3931NHGNy9f6PL1pp9Sg361mIAJ14S1+ubdawSSuj1/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2ZnwQAAANsAAAAPAAAAAAAAAAAAAAAA&#10;AKECAABkcnMvZG93bnJldi54bWxQSwUGAAAAAAQABAD5AAAAjwMAAAAA&#10;" strokecolor="black [3213]" strokeweight="1pt">
                  <v:stroke startarrow="block" endarrow="block"/>
                </v:shape>
                <v:shape id="Straight Arrow Connector 51" o:spid="_x0000_s1069" type="#_x0000_t32" style="position:absolute;left:35756;top:21316;width: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D/MUAAADbAAAADwAAAGRycy9kb3ducmV2LnhtbESPzWrDMBCE74W+g9hCb42cQH5wo4Q2&#10;JNBDGohbCLkt1tYysVbCkh3n7atCIcdhZr5hluvBNqKnNtSOFYxHGQji0umaKwXfX7uXBYgQkTU2&#10;jknBjQKsV48PS8y1u/KR+iJWIkE45KjAxOhzKUNpyGIYOU+cvB/XWoxJtpXULV4T3DZykmUzabHm&#10;tGDQ08ZQeSk6q2D7eVsc5vvD5TT1jS/e9Xneaa/U89Pw9goi0hDv4f/2h1YwHcP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vD/MUAAADbAAAADwAAAAAAAAAA&#10;AAAAAAChAgAAZHJzL2Rvd25yZXYueG1sUEsFBgAAAAAEAAQA+QAAAJMDAAAAAA==&#10;" strokecolor="black [3213]" strokeweight="1pt">
                  <v:stroke startarrow="block" endarrow="block"/>
                </v:shape>
                <v:oval id="Oval 52" o:spid="_x0000_s1070" style="position:absolute;left:4667;top:31299;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yd8UA&#10;AADbAAAADwAAAGRycy9kb3ducmV2LnhtbESPQWvCQBSE74X+h+UJvenGEKVJXUPRFnvwYtKLt9fs&#10;Mwlm34bsGtN/3y0Uehxm5htmk0+mEyMNrrWsYLmIQBBXVrdcK/gs3+fPIJxH1thZJgXf5CDfPj5s&#10;MNP2zicaC1+LAGGXoYLG+z6T0lUNGXQL2xMH72IHgz7IoZZ6wHuAm07GUbSWBlsOCw32tGuouhY3&#10;o+D6disr85Um++6cHJN0xMP5slbqaTa9voDwNPn/8F/7QytYxf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HJ3xQAAANsAAAAPAAAAAAAAAAAAAAAAAJgCAABkcnMv&#10;ZG93bnJldi54bWxQSwUGAAAAAAQABAD1AAAAigMAAAAA&#10;" fillcolor="#c6d9f1 [671]" strokecolor="black [3213]" strokeweight="1.5pt">
                  <v:textbox>
                    <w:txbxContent>
                      <w:p w14:paraId="2F048524" w14:textId="77777777" w:rsidR="005C71E4" w:rsidRPr="00955824" w:rsidRDefault="005C71E4" w:rsidP="000B754E">
                        <w:pPr>
                          <w:jc w:val="center"/>
                          <w:rPr>
                            <w:b/>
                            <w:color w:val="000000" w:themeColor="text1"/>
                          </w:rPr>
                        </w:pPr>
                        <w:r>
                          <w:rPr>
                            <w:b/>
                            <w:color w:val="000000" w:themeColor="text1"/>
                          </w:rPr>
                          <w:t>Non-EIM BAA</w:t>
                        </w:r>
                      </w:p>
                    </w:txbxContent>
                  </v:textbox>
                </v:oval>
                <v:oval id="Oval 53" o:spid="_x0000_s1071" style="position:absolute;left:22955;top:31299;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2sYA&#10;AADbAAAADwAAAGRycy9kb3ducmV2LnhtbESP3WoCMRSE7wt9h3CE3tXsqq12axQRKoKC9YfSy8Pm&#10;uLt1cxI2Ude3N4VCL4eZ+YYZT1tTiws1vrKsIO0mIIhzqysuFBz2H88jED4ga6wtk4IbeZhOHh/G&#10;mGl75S1ddqEQEcI+QwVlCC6T0uclGfRd64ijd7SNwRBlU0jd4DXCTS17SfIqDVYcF0p0NC8pP+3O&#10;RsHKfVf7W9pLP92bHS42X4Of1Xqp1FOnnb2DCNSG//Bfe6kVvPTh90v8A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f2sYAAADbAAAADwAAAAAAAAAAAAAAAACYAgAAZHJz&#10;L2Rvd25yZXYueG1sUEsFBgAAAAAEAAQA9QAAAIsDAAAAAA==&#10;" fillcolor="#fbd4b4 [1305]" strokecolor="black [3213]" strokeweight="1.5pt">
                  <v:textbox>
                    <w:txbxContent>
                      <w:p w14:paraId="1FB9B374" w14:textId="77777777" w:rsidR="005C71E4" w:rsidRPr="00955824" w:rsidRDefault="005C71E4" w:rsidP="000B754E">
                        <w:pPr>
                          <w:jc w:val="center"/>
                          <w:rPr>
                            <w:b/>
                            <w:color w:val="000000" w:themeColor="text1"/>
                          </w:rPr>
                        </w:pPr>
                        <w:r>
                          <w:rPr>
                            <w:b/>
                            <w:color w:val="000000" w:themeColor="text1"/>
                          </w:rPr>
                          <w:t>EIM BAA</w:t>
                        </w:r>
                      </w:p>
                    </w:txbxContent>
                  </v:textbox>
                </v:oval>
                <v:shape id="Straight Arrow Connector 54" o:spid="_x0000_s1072" type="#_x0000_t32" style="position:absolute;left:17468;top:35871;width: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gZMUAAADbAAAADwAAAGRycy9kb3ducmV2LnhtbESPT4vCMBTE78J+h/CEvWnqsv6ha5Rd&#10;UfDgClZBvD2at22xeQlN1PrtzYLgcZiZ3zDTeWtqcaXGV5YVDPoJCOLc6ooLBYf9qjcB4QOyxtoy&#10;KbiTh/nsrTPFVNsb7+iahUJECPsUFZQhuFRKn5dk0PetI47en20MhiibQuoGbxFuavmRJCNpsOK4&#10;UKKjRUn5ObsYBcvf+2Q73mzPx6GrXfajT+OLdkq9d9vvLxCB2vAKP9trrWD4Cf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xgZMUAAADbAAAADwAAAAAAAAAA&#10;AAAAAAChAgAAZHJzL2Rvd25yZXYueG1sUEsFBgAAAAAEAAQA+QAAAJMDAAAAAA==&#10;" strokecolor="black [3213]" strokeweight="1pt">
                  <v:stroke startarrow="block" endarrow="block"/>
                </v:shape>
                <v:shape id="Straight Arrow Connector 55" o:spid="_x0000_s1073" type="#_x0000_t32" style="position:absolute;left:11068;top:25888;width:0;height:5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DF/8QAAADbAAAADwAAAGRycy9kb3ducmV2LnhtbESPQWvCQBSE70L/w/IK3symQlRSV2lF&#10;wYMKTQult0f2NQlm3y7ZVeO/dwXB4zAz3zDzZW9acabON5YVvCUpCOLS6oYrBT/fm9EMhA/IGlvL&#10;pOBKHpaLl8Ecc20v/EXnIlQiQtjnqKAOweVS+rImgz6xjjh6/7YzGKLsKqk7vES4aeU4TSfSYMNx&#10;oUZHq5rKY3EyCtb76+ww3R2Ov5lrXfGp/6Yn7ZQavvYf7yAC9eEZfrS3WkGWwf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MX/xAAAANsAAAAPAAAAAAAAAAAA&#10;AAAAAKECAABkcnMvZG93bnJldi54bWxQSwUGAAAAAAQABAD5AAAAkgMAAAAA&#10;" strokecolor="black [3213]" strokeweight="1pt">
                  <v:stroke startarrow="block" endarrow="block"/>
                </v:shape>
                <v:shape id="Straight Arrow Connector 56" o:spid="_x0000_s1074" type="#_x0000_t32" style="position:absolute;left:35756;top:11125;width:7362;height:6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ERTcQAAADbAAAADwAAAGRycy9kb3ducmV2LnhtbESPzWrDMBCE74W8g9hAbo3cQkLtRDZN&#10;oGmvdX4gt421td1YK2Mptvv2VaGQ4zAz3zDrbDSN6KlztWUFT/MIBHFhdc2lgsP+7fEFhPPIGhvL&#10;pOCHHGTp5GGNibYDf1Kf+1IECLsEFVTet4mUrqjIoJvbljh4X7Yz6IPsSqk7HALcNPI5ipbSYM1h&#10;ocKWthUV1/xmFOTn07DH70X5HsVxf7xcdxhvdkrNpuPrCoSn0d/D/+0PrWCxhL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RFNxAAAANsAAAAPAAAAAAAAAAAA&#10;AAAAAKECAABkcnMvZG93bnJldi54bWxQSwUGAAAAAAQABAD5AAAAkgMAAAAA&#10;" strokecolor="red" strokeweight="3pt">
                  <v:stroke startarrow="block" endarrow="block"/>
                </v:shape>
                <v:shape id="Straight Arrow Connector 57" o:spid="_x0000_s1075" type="#_x0000_t32" style="position:absolute;left:36576;top:5486;width:36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01sQAAADbAAAADwAAAGRycy9kb3ducmV2LnhtbESPQWvCQBSE74L/YXmCN90oaJvUVbRQ&#10;7bVRC729Zp9JNPs2ZNck/ffdgtDjMDPfMKtNbyrRUuNKywpm0wgEcWZ1ybmC0/Ft8gzCeWSNlWVS&#10;8EMONuvhYIWJth1/UJv6XAQIuwQVFN7XiZQuK8igm9qaOHgX2xj0QTa51A12AW4qOY+ipTRYclgo&#10;sKbXgrJbejcK0q/P7ojXRX6I4rg9f9/2GO/2So1H/fYFhKfe/4cf7XetYPEE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bTWxAAAANsAAAAPAAAAAAAAAAAA&#10;AAAAAKECAABkcnMvZG93bnJldi54bWxQSwUGAAAAAAQABAD5AAAAkgMAAAAA&#10;" strokecolor="red" strokeweight="3pt">
                  <v:stroke startarrow="block" endarrow="block"/>
                </v:shape>
                <v:group id="Group 58" o:spid="_x0000_s1076" style="position:absolute;left:11887;top:7315;width:10058;height:8420" coordorigin="11887,7315" coordsize="10058,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Straight Arrow Connector 59" o:spid="_x0000_s1077" type="#_x0000_t32" style="position:absolute;left:11887;top:1390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NsMAAADbAAAADwAAAGRycy9kb3ducmV2LnhtbESPS2vCQBSF9wX/w3CF7ppJ+hCNTsSK&#10;lnbZ6CLLS+aaBDN3QmZM4r/vFApdHs7j42y2k2nFQL1rLCtIohgEcWl1w5WC8+n4tAThPLLG1jIp&#10;uJODbTZ72GCq7cjfNOS+EmGEXYoKau+7VEpX1mTQRbYjDt7F9gZ9kH0ldY9jGDetfI7jhTTYcCDU&#10;2NG+pvKa34yC4Th2/PpVJPlLMwZKMV0/Du9KPc6n3RqEp8n/h//an1rB2wp+v4Qf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7/jbDAAAA2wAAAA8AAAAAAAAAAAAA&#10;AAAAoQIAAGRycy9kb3ducmV2LnhtbFBLBQYAAAAABAAEAPkAAACRAwAAAAA=&#10;" strokecolor="red" strokeweight="3pt">
                    <v:stroke endarrow="block"/>
                  </v:shape>
                  <v:shape id="Straight Arrow Connector 60" o:spid="_x0000_s1078" type="#_x0000_t32" style="position:absolute;left:19202;top:7315;width:27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0rcUAAADbAAAADwAAAGRycy9kb3ducmV2LnhtbESPwU7DMAyG70h7h8iTuLEUJlWoLJvY&#10;EGgHONCuB25WY5qKxumasJa3xwckjtbv//PnzW72vbrQGLvABm5XGSjiJtiOWwOn6vnmHlRMyBb7&#10;wGTghyLstourDRY2TPxOlzK1SiAcCzTgUhoKrWPjyGNchYFYss8wekwyjq22I04C972+y7Jce+xY&#10;Ljgc6OCo+Sq/vWisX6qS39bVPq8/nqbzqzvW9d6Y6+X8+AAq0Zz+l//aR2sgF3v5RQC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60rcUAAADbAAAADwAAAAAAAAAA&#10;AAAAAAChAgAAZHJzL2Rvd25yZXYueG1sUEsFBgAAAAAEAAQA+QAAAJMDAAAAAA==&#10;" strokecolor="red" strokeweight="3pt">
                    <v:stroke startarrow="block"/>
                  </v:shape>
                  <v:line id="Straight Connector 61" o:spid="_x0000_s1079" style="position:absolute;flip:x;visibility:visible;mso-wrap-style:square" from="11887,7315" to="1920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isQ8MAAADbAAAADwAAAGRycy9kb3ducmV2LnhtbESPQYvCMBSE74L/ITxhL6Kpe6hSjSLK&#10;lr0o6C54fTTPtti8lCZq6683guBxmJlvmMWqNZW4UeNKywom4wgEcWZ1ybmC/7+f0QyE88gaK8uk&#10;oCMHq2W/t8BE2zsf6Hb0uQgQdgkqKLyvEyldVpBBN7Y1cfDOtjHog2xyqRu8B7ip5HcUxdJgyWGh&#10;wJo2BWWX49UoSKvNfn/ZprtuNj11cRo/sqHdKvU1aNdzEJ5a/wm/279aQTyB15f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orEPDAAAA2wAAAA8AAAAAAAAAAAAA&#10;AAAAoQIAAGRycy9kb3ducmV2LnhtbFBLBQYAAAAABAAEAPkAAACRAwAAAAA=&#10;" strokecolor="red" strokeweight="3pt"/>
                </v:group>
                <v:group id="Group 62" o:spid="_x0000_s1080" style="position:absolute;left:11887;top:26517;width:10058;height:8420" coordorigin="11887,26517" coordsize="10058,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Straight Arrow Connector 63" o:spid="_x0000_s1081" type="#_x0000_t32" style="position:absolute;left:11887;top:26517;width:0;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X8MAAADbAAAADwAAAGRycy9kb3ducmV2LnhtbESPT4vCMBTE74LfITxhb5q6qyLVWOqy&#10;K3r0z8Hjo3m2pc1LbbLa/fZGEDwOM/MbZpl0phY3al1pWcF4FIEgzqwuOVdwOv4O5yCcR9ZYWyYF&#10;/+QgWfV7S4y1vfOebgefiwBhF6OCwvsmltJlBRl0I9sQB+9iW4M+yDaXusV7gJtafkbRTBosOSwU&#10;2NB3QVl1+DMKrtM6qmzpq3yddtn5BzfT3WSj1MegSxcgPHX+HX61t1rB7AueX8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j7l/DAAAA2wAAAA8AAAAAAAAAAAAA&#10;AAAAoQIAAGRycy9kb3ducmV2LnhtbFBLBQYAAAAABAAEAPkAAACRAwAAAAA=&#10;" strokecolor="red" strokeweight="3pt">
                    <v:stroke endarrow="block"/>
                  </v:shape>
                  <v:shape id="Straight Arrow Connector 64" o:spid="_x0000_s1082" type="#_x0000_t32" style="position:absolute;left:19202;top:34937;width:2743;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ApcQAAADbAAAADwAAAGRycy9kb3ducmV2LnhtbESPQWvCQBSE70L/w/IKXqTZKEVCmjUU&#10;weDBS21pry/ZZxLNvl2yq6b/vlso9DjMzDdMUU5mEDcafW9ZwTJJQRA3VvfcKvh43z1lIHxA1jhY&#10;JgXf5KHcPMwKzLW98xvdjqEVEcI+RwVdCC6X0jcdGfSJdcTRO9nRYIhybKUe8R7hZpCrNF1Lgz3H&#10;hQ4dbTtqLserUbCwn7qqendxdf11wvM5O8g2U2r+OL2+gAg0hf/wX3uvFayf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8ClxAAAANsAAAAPAAAAAAAAAAAA&#10;AAAAAKECAABkcnMvZG93bnJldi54bWxQSwUGAAAAAAQABAD5AAAAkgMAAAAA&#10;" strokecolor="red" strokeweight="3pt">
                    <v:stroke startarrow="block"/>
                  </v:shape>
                  <v:line id="Straight Connector 65" o:spid="_x0000_s1083" style="position:absolute;flip:x y;visibility:visible;mso-wrap-style:square" from="11887,28346" to="19202,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dS8QAAADbAAAADwAAAGRycy9kb3ducmV2LnhtbESPzWrDMBCE74W8g9hCLyWRW0hSnCgh&#10;mBZy6MWOL70t1vqHWitjrRP37aNCocdhZr5h9sfZ9epKY+g8G3hZJaCIK287bgyUl4/lG6ggyBZ7&#10;z2TghwIcD4uHPabW3zinayGNihAOKRpoRYZU61C15DCs/EAcvdqPDiXKsdF2xFuEu16/JslGO+w4&#10;LrQ4UNZS9V1MzkD9uS5lkuTructD/Z5XhdA2M+bpcT7tQAnN8h/+a5+tgc0afr/EH6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J1LxAAAANsAAAAPAAAAAAAAAAAA&#10;AAAAAKECAABkcnMvZG93bnJldi54bWxQSwUGAAAAAAQABAD5AAAAkgMAAAAA&#10;" strokecolor="red" strokeweight="3pt"/>
                </v:group>
                <v:shape id="Straight Arrow Connector 66" o:spid="_x0000_s1084" type="#_x0000_t32" style="position:absolute;left:18288;top:22136;width:36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b8MQAAADbAAAADwAAAGRycy9kb3ducmV2LnhtbESPzWrDMBCE74W+g9hCbrXcQEztRglt&#10;ID/XOGmht621td1YK2MptvP2UaCQ4zAz3zDz5Wga0VPnassKXqIYBHFhdc2lguNh/fwKwnlkjY1l&#10;UnAhB8vF48McM20H3lOf+1IECLsMFVTet5mUrqjIoItsSxy8X9sZ9EF2pdQdDgFuGjmN40QarDks&#10;VNjSqqLilJ+Ngvz7azjg36zcxmnaf/6cNph+bJSaPI3vbyA8jf4e/m/vtIIkgduX8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vwxAAAANsAAAAPAAAAAAAAAAAA&#10;AAAAAKECAABkcnMvZG93bnJldi54bWxQSwUGAAAAAAQABAD5AAAAkgMAAAAA&#10;" strokecolor="red" strokeweight="3pt">
                  <v:stroke startarrow="block" endarrow="block"/>
                </v:shape>
                <v:group id="Group 67" o:spid="_x0000_s1085" style="position:absolute;left:36576;top:12077;width:10058;height:8420;flip:x y" coordorigin="11887,7315" coordsize="10058,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c0Y3FAAAA2wAA&#10;AA8AAAAAAAAAAAAAAAAAqgIAAGRycy9kb3ducmV2LnhtbFBLBQYAAAAABAAEAPoAAACcAwAAAAA=&#10;">
                  <v:shape id="Straight Arrow Connector 68" o:spid="_x0000_s1086" type="#_x0000_t32" style="position:absolute;left:11887;top:1390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REL8AAADbAAAADwAAAGRycy9kb3ducmV2LnhtbERPTWvCQBC9F/oflil4qxttEYluxJZa&#10;2mOjB49DdkxCsrMhuybx33cOgsfH+97uJteqgfpQezawmCegiAtvay4NnI6H1zWoEJEttp7JwI0C&#10;7LLnpy2m1o/8R0MeSyUhHFI0UMXYpVqHoiKHYe47YuEuvncYBfaltj2OEu5avUySlXZYszRU2NFn&#10;RUWTX52B4TB2/P57XuRv9Sgt56n5/vowZvYy7TegIk3xIb67f6yBlYyVL/IDd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xuREL8AAADbAAAADwAAAAAAAAAAAAAAAACh&#10;AgAAZHJzL2Rvd25yZXYueG1sUEsFBgAAAAAEAAQA+QAAAI0DAAAAAA==&#10;" strokecolor="red" strokeweight="3pt">
                    <v:stroke endarrow="block"/>
                  </v:shape>
                  <v:shape id="Straight Arrow Connector 69" o:spid="_x0000_s1087" type="#_x0000_t32" style="position:absolute;left:19202;top:7315;width:27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dMMYAAADbAAAADwAAAGRycy9kb3ducmV2LnhtbESPwW7CMBBE75X6D9ZW6g2cFikqAYNK&#10;q1Yc2gMJOXBbxUscEa/T2CXh73ElpB5Hs/NmZ7kebSvO1PvGsYKnaQKCuHK64VrBvviYvIDwAVlj&#10;65gUXMjDenV/t8RMu4F3dM5DLSKEfYYKTAhdJqWvDFn0U9cRR+/oeoshyr6Wuschwm0rn5MklRYb&#10;jg0GO3ozVJ3yXxvfmH0WOX/Pik1aHt6Hny+zLcuNUo8P4+sCRKAx/B/f0lutIJ3D35YIAL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EHTDGAAAA2wAAAA8AAAAAAAAA&#10;AAAAAAAAoQIAAGRycy9kb3ducmV2LnhtbFBLBQYAAAAABAAEAPkAAACUAwAAAAA=&#10;" strokecolor="red" strokeweight="3pt">
                    <v:stroke startarrow="block"/>
                  </v:shape>
                  <v:line id="Straight Connector 70" o:spid="_x0000_s1088" style="position:absolute;flip:x;visibility:visible;mso-wrap-style:square" from="11887,7315" to="1920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fBcAAAADbAAAADwAAAGRycy9kb3ducmV2LnhtbERPTYvCMBC9C/6HMIIX0dQ9VKlGEWWL&#10;F4VVwevQjG2xmZQmauuvNwdhj4/3vVy3phJPalxpWcF0EoEgzqwuOVdwOf+O5yCcR9ZYWSYFHTlY&#10;r/q9JSbavviPniefixDCLkEFhfd1IqXLCjLoJrYmDtzNNgZ9gE0udYOvEG4q+RNFsTRYcmgosKZt&#10;Qdn99DAK0mp7PN536aGbz65dnMbvbGR3Sg0H7WYBwlPr/8Vf914rmIX14Uv4AX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9nwXAAAAA2wAAAA8AAAAAAAAAAAAAAAAA&#10;oQIAAGRycy9kb3ducmV2LnhtbFBLBQYAAAAABAAEAPkAAACOAwAAAAA=&#10;" strokecolor="red" strokeweight="3pt"/>
                </v:group>
                <v:shape id="Straight Arrow Connector 71" o:spid="_x0000_s1089" type="#_x0000_t32" style="position:absolute;left:29356;top:25888;width:0;height:5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6fnMUAAADbAAAADwAAAGRycy9kb3ducmV2LnhtbESPQWvCQBSE7wX/w/IEb3WjYCOpa2iL&#10;gocqNC2U3h7Z1ySYfbtk1xj/vSsIHoeZ+YZZ5YNpRU+dbywrmE0TEMSl1Q1XCn6+t89LED4ga2wt&#10;k4ILecjXo6cVZtqe+Yv6IlQiQthnqKAOwWVS+rImg35qHXH0/m1nMETZVVJ3eI5w08p5krxIgw3H&#10;hRodfdRUHouTUbDZX5aH9PNw/F241hXv+i89aafUZDy8vYIINIRH+N7eaQXpDG5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6fnMUAAADbAAAADwAAAAAAAAAA&#10;AAAAAAChAgAAZHJzL2Rvd25yZXYueG1sUEsFBgAAAAAEAAQA+QAAAJMDAAAAAA==&#10;" strokecolor="black [3213]" strokeweight="1pt">
                  <v:stroke startarrow="block" endarrow="block"/>
                </v:shape>
                <v:shape id="Straight Arrow Connector 72" o:spid="_x0000_s1090" type="#_x0000_t32" style="position:absolute;left:30175;top:26517;width:0;height:3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9LLsQAAADbAAAADwAAAGRycy9kb3ducmV2LnhtbESPQWvCQBSE74L/YXmCN90o1Dapq6hQ&#10;7bVRC729Zp9JNPs2ZNck/ffdgtDjMDPfMMt1byrRUuNKywpm0wgEcWZ1ybmC0/Ft8gLCeWSNlWVS&#10;8EMO1qvhYImJth1/UJv6XAQIuwQVFN7XiZQuK8igm9qaOHgX2xj0QTa51A12AW4qOY+ihTRYclgo&#10;sKZdQdktvRsF6ddnd8TrU36I4rg9f9/2GG/3So1H/eYVhKfe/4cf7Xet4HkOf1/C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0suxAAAANsAAAAPAAAAAAAAAAAA&#10;AAAAAKECAABkcnMvZG93bnJldi54bWxQSwUGAAAAAAQABAD5AAAAkgMAAAAA&#10;" strokecolor="red" strokeweight="3pt">
                  <v:stroke startarrow="block" endarrow="block"/>
                </v:shape>
                <v:oval id="Oval 73" o:spid="_x0000_s1091" style="position:absolute;left:41243;top:31299;width:128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DusYA&#10;AADbAAAADwAAAGRycy9kb3ducmV2LnhtbESP3WoCMRSE7wXfIRzBO82uFm1Xo5RCi6BQf0rx8rA5&#10;7q7dnIRNquvbN4LQy2FmvmHmy9bU4kKNrywrSIcJCOLc6ooLBV+H98EzCB+QNdaWScGNPCwX3c4c&#10;M22vvKPLPhQiQthnqKAMwWVS+rwkg35oHXH0TrYxGKJsCqkbvEa4qeUoSSbSYMVxoURHbyXlP/tf&#10;o2DtjtXhlo7SrXux04/P76fzerNSqt9rX2cgArXhP/xor7SC6Rj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rDusYAAADbAAAADwAAAAAAAAAAAAAAAACYAgAAZHJz&#10;L2Rvd25yZXYueG1sUEsFBgAAAAAEAAQA9QAAAIsDAAAAAA==&#10;" fillcolor="#fbd4b4 [1305]" strokecolor="black [3213]" strokeweight="1.5pt">
                  <v:textbox>
                    <w:txbxContent>
                      <w:p w14:paraId="7D9FEE7C" w14:textId="77777777" w:rsidR="005C71E4" w:rsidRPr="00955824" w:rsidRDefault="005C71E4" w:rsidP="000B754E">
                        <w:pPr>
                          <w:jc w:val="center"/>
                          <w:rPr>
                            <w:b/>
                            <w:color w:val="000000" w:themeColor="text1"/>
                          </w:rPr>
                        </w:pPr>
                        <w:r>
                          <w:rPr>
                            <w:b/>
                            <w:color w:val="000000" w:themeColor="text1"/>
                          </w:rPr>
                          <w:t>EIM BAA</w:t>
                        </w:r>
                      </w:p>
                    </w:txbxContent>
                  </v:textbox>
                </v:oval>
                <v:shape id="Straight Arrow Connector 74" o:spid="_x0000_s1092" type="#_x0000_t32" style="position:absolute;left:47644;top:25888;width:0;height:5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8BMQAAADbAAAADwAAAGRycy9kb3ducmV2LnhtbESPQWvCQBSE74L/YXlCb7qxVCOpq2hp&#10;wYMVjIXS2yP7TILZt0t21fjv3YLgcZiZb5j5sjONuFDra8sKxqMEBHFhdc2lgp/D13AGwgdkjY1l&#10;UnAjD8tFvzfHTNsr7+mSh1JECPsMFVQhuExKX1Rk0I+sI47e0bYGQ5RtKXWL1wg3jXxNkqk0WHNc&#10;qNDRR0XFKT8bBZ/ft9ku3e5OvxPXuHyt/9Kzdkq9DLrVO4hAXXiGH+2NVpC+wf+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TwExAAAANsAAAAPAAAAAAAAAAAA&#10;AAAAAKECAABkcnMvZG93bnJldi54bWxQSwUGAAAAAAQABAD5AAAAkgMAAAAA&#10;" strokecolor="black [3213]" strokeweight="1pt">
                  <v:stroke startarrow="block" endarrow="block"/>
                </v:shape>
                <v:group id="Group 75" o:spid="_x0000_s1093" style="position:absolute;left:36576;top:21945;width:10058;height:8420;flip:x" coordorigin="11887,7315" coordsize="10058,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LgCMIAAADbAAAADwAAAGRycy9kb3ducmV2LnhtbESPQWvCQBSE7wX/w/IE&#10;b3WjxFpSVxFBEfHS1BaPj+wzWcy+DdlV4793BaHHYWa+YWaLztbiSq03jhWMhgkI4sJpw6WCw8/6&#10;/ROED8gaa8ek4E4eFvPe2wwz7W78Tdc8lCJC2GeooAqhyaT0RUUW/dA1xNE7udZiiLItpW7xFuG2&#10;luMk+ZAWDceFChtaVVSc84tV8Ls0KaV/x90+KYi2Wh43uUmVGvS75ReIQF34D7/aW61gOo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C4AjCAAAA2wAAAA8A&#10;AAAAAAAAAAAAAAAAqgIAAGRycy9kb3ducmV2LnhtbFBLBQYAAAAABAAEAPoAAACZAwAAAAA=&#10;">
                  <v:shape id="Straight Arrow Connector 76" o:spid="_x0000_s1094" type="#_x0000_t32" style="position:absolute;left:11887;top:1390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E2JMIAAADbAAAADwAAAGRycy9kb3ducmV2LnhtbESPzWrCQBSF9wXfYbgFd3USLalEx6Bi&#10;il027cLlJXObBDN3QmZM4tt3CkKXh/PzcbbZZFoxUO8aywriRQSCuLS64UrB91f+sgbhPLLG1jIp&#10;uJODbDd72mKq7cifNBS+EmGEXYoKau+7VEpX1mTQLWxHHLwf2xv0QfaV1D2OYdy0chlFiTTYcCDU&#10;2NGxpvJa3IyCIR87fv24xMWqGQPlMl3fTwel5s/TfgPC0+T/w4/2WSt4S+DvS/g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E2JMIAAADbAAAADwAAAAAAAAAAAAAA&#10;AAChAgAAZHJzL2Rvd25yZXYueG1sUEsFBgAAAAAEAAQA+QAAAJADAAAAAA==&#10;" strokecolor="red" strokeweight="3pt">
                    <v:stroke endarrow="block"/>
                  </v:shape>
                  <v:shape id="Straight Arrow Connector 118" o:spid="_x0000_s1095" type="#_x0000_t32" style="position:absolute;left:19202;top:7315;width:27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O8YAAADcAAAADwAAAGRycy9kb3ducmV2LnhtbESPQU/DMAyF70j8h8hI3Fg6Jk2oLJu2&#10;oaEd4EBLD9ysxjTVGqdrsrX8e3xA4uYnv+/5ebWZfKeuNMQ2sIH5LANFXAfbcmPgszw8PIGKCdli&#10;F5gM/FCEzfr2ZoW5DSN/0LVIjZIQjjkacCn1udaxduQxzkJPLLvvMHhMIodG2wFHCfedfsyypfbY&#10;slxw2NPeUX0qLl5qLF7Lgt8X5W5Zfb2M5zd3rKqdMfd30/YZVKIp/Zv/6KMVbi5t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rDvGAAAA3AAAAA8AAAAAAAAA&#10;AAAAAAAAoQIAAGRycy9kb3ducmV2LnhtbFBLBQYAAAAABAAEAPkAAACUAwAAAAA=&#10;" strokecolor="red" strokeweight="3pt">
                    <v:stroke startarrow="block"/>
                  </v:shape>
                  <v:line id="Straight Connector 120" o:spid="_x0000_s1096" style="position:absolute;flip:x;visibility:visible;mso-wrap-style:square" from="11887,7315" to="1920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B28cAAADcAAAADwAAAGRycy9kb3ducmV2LnhtbESPQWvCQBCF70L/wzKFXkQ39ZBKdCNF&#10;aehFoVrodchOk5DsbMhuNemvdw6F3mZ4b977ZrsbXaeuNITGs4HnZQKKuPS24crA5+VtsQYVIrLF&#10;zjMZmCjALn+YbTGz/sYfdD3HSkkIhwwN1DH2mdahrMlhWPqeWLRvPziMsg6VtgPeJNx1epUkqXbY&#10;sDTU2NO+prI9/zgDRbc/ndpDcZzWL19TWqS/5dwfjHl6HF83oCKN8d/8d/1uBX8l+PKMTK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5MHbxwAAANwAAAAPAAAAAAAA&#10;AAAAAAAAAKECAABkcnMvZG93bnJldi54bWxQSwUGAAAAAAQABAD5AAAAlQMAAAAA&#10;" strokecolor="red" strokeweight="3pt"/>
                </v:group>
                <w10:anchorlock/>
              </v:group>
            </w:pict>
          </mc:Fallback>
        </mc:AlternateContent>
      </w:r>
    </w:p>
    <w:p w14:paraId="4A13B371" w14:textId="77777777" w:rsidR="00DB1797" w:rsidRPr="00F57D97" w:rsidRDefault="00DB1797" w:rsidP="00877DDB">
      <w:pPr>
        <w:pStyle w:val="BPM"/>
      </w:pPr>
      <w:r w:rsidRPr="00F57D97">
        <w:t xml:space="preserve">EIM BAAs may be interconnected with the CISO directly, through another EIM BAA, through a Non-EIM BAA, or a combination thereof. The EIM Entity for an EIM BAA may have made available transmission rights on a direct interconnection with the CISO, on a direct interconnection with another </w:t>
      </w:r>
      <w:r w:rsidRPr="00F57D97">
        <w:lastRenderedPageBreak/>
        <w:t>EIM BAA, or on an indirect interconnection with the CISO or another EIM BAA through one or more non-EIM BAAs. The red arrows in the example above illustrate such transmission rights. These transmission rights are essential to the EIM Transfers for each BAA in the EIM Area as they both allow and constrain the optimal exchange of imbalance energy among the BAAs in the EIM Area.</w:t>
      </w:r>
    </w:p>
    <w:p w14:paraId="70D7DC53" w14:textId="77777777" w:rsidR="00DB1797" w:rsidRPr="00F57D97" w:rsidRDefault="00DB1797" w:rsidP="00877DDB">
      <w:pPr>
        <w:pStyle w:val="BPM"/>
      </w:pPr>
      <w:r w:rsidRPr="00F57D97">
        <w:t>The EIM Transfer is an algebraic quantity (positive for export and negative for import) for the net energy exchange between a given BAA and the remaining BAAs in the EIM Area. The problem at hand is to determine the Energy Transfer schedules among the EIM BAAs and the CISO from the optimal EIM Transfers of the BAAs in the EIM Area using the available transmission rights without violating them. These Energy Transfer schedules can then be tagged to the relevant interties among the BAAs.</w:t>
      </w:r>
    </w:p>
    <w:p w14:paraId="242C5A09" w14:textId="77777777" w:rsidR="00225179" w:rsidRDefault="00225179" w:rsidP="000B754E">
      <w:pPr>
        <w:pStyle w:val="Paragraph"/>
      </w:pPr>
    </w:p>
    <w:p w14:paraId="5486C4BD" w14:textId="77777777" w:rsidR="00DB1797" w:rsidRDefault="00DB1797" w:rsidP="00F57D97">
      <w:pPr>
        <w:pStyle w:val="Heading5"/>
      </w:pPr>
      <w:r>
        <w:t>Energy Transfer System Resources</w:t>
      </w:r>
    </w:p>
    <w:p w14:paraId="51366CB6" w14:textId="77777777" w:rsidR="00DB1797" w:rsidRPr="00F57D97" w:rsidRDefault="00DB1797" w:rsidP="00877DDB">
      <w:pPr>
        <w:pStyle w:val="BPM"/>
      </w:pPr>
      <w:r w:rsidRPr="00F57D97">
        <w:t>Although not necessary for implementation, it is convenient to define dedicated System Resources in each EIM BAA to anchor the Energy Transfer schedules from that BAA to other BAAs in the EIM Area for tracking, tagging, and settlement. These Energy Transfer System Resources (ETSRs) are defined as aggregate resources at the EIM BAA Default Generation Aggregation Point (DGAP), which is an aggregation of all supply resources in the BAA. Each ETSR is defined as either an import or an export resource, and it is associated with an EIM intertie with another EIM BAA, or a CISO intertie with the CISO. The associated intertie is one where the EIM Entity for the relevant EIM BAA has made transmission rights available for scheduling Energy Transfers from/to the other EIM BAA or the CISO.</w:t>
      </w:r>
    </w:p>
    <w:p w14:paraId="2FF56B18" w14:textId="77777777" w:rsidR="00DB1797" w:rsidRPr="00F57D97" w:rsidRDefault="00DB1797" w:rsidP="00877DDB">
      <w:pPr>
        <w:pStyle w:val="BPM"/>
      </w:pPr>
      <w:r w:rsidRPr="00F57D97">
        <w:t>At least two ETSRs must be defined in a BAA for each Energy Transfer schedule with another BAA in the EIM Area: one for import, and the other for export. An aggregate intertie may be used if there are multiple interties under the transmission rights that are made available. It may be necessary to define ETSRs for each intertie separately if the transmission rights are different for each one of them. It may also be necessary to define multiple ETSRs for each Transmission Service Provider (TSP) whose transmission rights are made available. Finally, it may be necessary to define different ETSRs for static 15min Energy Transfer schedules and dynamic 5min Energy Transfer schedules. The applicable transmission right limits can then be modeled as upper operating limits on the corresponding ETSRs.</w:t>
      </w:r>
    </w:p>
    <w:p w14:paraId="751A3D8D" w14:textId="77777777" w:rsidR="00DB1797" w:rsidRPr="00F57D97" w:rsidRDefault="00DB1797" w:rsidP="00877DDB">
      <w:pPr>
        <w:pStyle w:val="BPM"/>
      </w:pPr>
      <w:r w:rsidRPr="00F57D97">
        <w:lastRenderedPageBreak/>
        <w:t>For Energy Transfer schedules between BAAs in the EIM Area, the relevant ETSRs in these BAAs must be associated in import-export pairs since an Energy Transfer schedule between the BAAs is an import to one and an export to the other.</w:t>
      </w:r>
    </w:p>
    <w:p w14:paraId="0AB82F28" w14:textId="77777777" w:rsidR="00F57D97" w:rsidRDefault="00F57D97" w:rsidP="000B754E">
      <w:pPr>
        <w:pStyle w:val="Paragraph"/>
      </w:pPr>
    </w:p>
    <w:p w14:paraId="56F5B86B" w14:textId="77777777" w:rsidR="002815A0" w:rsidRDefault="002815A0" w:rsidP="00B96223">
      <w:pPr>
        <w:pStyle w:val="Heading5"/>
      </w:pPr>
      <w:r>
        <w:t>Notation</w:t>
      </w:r>
    </w:p>
    <w:p w14:paraId="2BB0C520" w14:textId="77777777" w:rsidR="002815A0" w:rsidRDefault="002815A0" w:rsidP="002815A0">
      <w:pPr>
        <w:pStyle w:val="Paragraph"/>
      </w:pPr>
      <w:r>
        <w:t>The following mathematical notation is used in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314"/>
      </w:tblGrid>
      <w:tr w:rsidR="002815A0" w14:paraId="78F09D56" w14:textId="77777777" w:rsidTr="00CF1AB9">
        <w:trPr>
          <w:cantSplit/>
        </w:trPr>
        <w:tc>
          <w:tcPr>
            <w:tcW w:w="0" w:type="auto"/>
          </w:tcPr>
          <w:p w14:paraId="378737D0" w14:textId="77777777" w:rsidR="002815A0" w:rsidRPr="003D6191" w:rsidRDefault="002815A0" w:rsidP="00CF1AB9">
            <w:pPr>
              <w:pStyle w:val="Paragraph"/>
              <w:jc w:val="left"/>
              <w:rPr>
                <w:i/>
              </w:rPr>
            </w:pPr>
            <w:r>
              <w:rPr>
                <w:i/>
              </w:rPr>
              <w:t>i</w:t>
            </w:r>
          </w:p>
        </w:tc>
        <w:tc>
          <w:tcPr>
            <w:tcW w:w="0" w:type="auto"/>
          </w:tcPr>
          <w:p w14:paraId="59750293" w14:textId="77777777" w:rsidR="002815A0" w:rsidRDefault="002815A0" w:rsidP="00CF1AB9">
            <w:pPr>
              <w:pStyle w:val="Paragraph"/>
              <w:jc w:val="left"/>
            </w:pPr>
            <w:r>
              <w:t>Node index.</w:t>
            </w:r>
          </w:p>
        </w:tc>
      </w:tr>
      <w:tr w:rsidR="002815A0" w14:paraId="64A1393A" w14:textId="77777777" w:rsidTr="00CF1AB9">
        <w:trPr>
          <w:cantSplit/>
        </w:trPr>
        <w:tc>
          <w:tcPr>
            <w:tcW w:w="0" w:type="auto"/>
          </w:tcPr>
          <w:p w14:paraId="41D0E793" w14:textId="77777777" w:rsidR="002815A0" w:rsidRPr="00E86E57" w:rsidRDefault="002815A0" w:rsidP="00CF1AB9">
            <w:pPr>
              <w:pStyle w:val="Paragraph"/>
              <w:jc w:val="left"/>
              <w:rPr>
                <w:i/>
              </w:rPr>
            </w:pPr>
            <w:r>
              <w:rPr>
                <w:i/>
              </w:rPr>
              <w:t>j</w:t>
            </w:r>
            <w:r>
              <w:t xml:space="preserve">, </w:t>
            </w:r>
            <w:r>
              <w:rPr>
                <w:i/>
              </w:rPr>
              <w:t>k</w:t>
            </w:r>
          </w:p>
        </w:tc>
        <w:tc>
          <w:tcPr>
            <w:tcW w:w="0" w:type="auto"/>
          </w:tcPr>
          <w:p w14:paraId="0650CBA5" w14:textId="77777777" w:rsidR="002815A0" w:rsidRDefault="002815A0" w:rsidP="00CF1AB9">
            <w:pPr>
              <w:pStyle w:val="Paragraph"/>
              <w:jc w:val="left"/>
            </w:pPr>
            <w:r>
              <w:t>BAA indexes; zero (0) is used for the CISO.</w:t>
            </w:r>
          </w:p>
        </w:tc>
      </w:tr>
      <w:tr w:rsidR="002815A0" w14:paraId="0C31445E" w14:textId="77777777" w:rsidTr="00CF1AB9">
        <w:trPr>
          <w:cantSplit/>
        </w:trPr>
        <w:tc>
          <w:tcPr>
            <w:tcW w:w="0" w:type="auto"/>
          </w:tcPr>
          <w:p w14:paraId="181D606E" w14:textId="77777777" w:rsidR="002815A0" w:rsidRDefault="002815A0" w:rsidP="00CF1AB9">
            <w:pPr>
              <w:pStyle w:val="Paragraph"/>
              <w:jc w:val="left"/>
              <w:rPr>
                <w:i/>
              </w:rPr>
            </w:pPr>
            <w:r>
              <w:rPr>
                <w:i/>
              </w:rPr>
              <w:t>l</w:t>
            </w:r>
          </w:p>
        </w:tc>
        <w:tc>
          <w:tcPr>
            <w:tcW w:w="0" w:type="auto"/>
          </w:tcPr>
          <w:p w14:paraId="3A092731" w14:textId="77777777" w:rsidR="002815A0" w:rsidRDefault="002815A0" w:rsidP="00CF1AB9">
            <w:pPr>
              <w:pStyle w:val="Paragraph"/>
              <w:jc w:val="left"/>
            </w:pPr>
            <w:r>
              <w:t>Intertie or Energy Transfer schedule index; in the latter case, it is the corresponding ETSR index (ETSR pair for Energy Transfers between BAAs in the EIM Area).</w:t>
            </w:r>
          </w:p>
        </w:tc>
      </w:tr>
      <w:tr w:rsidR="002815A0" w14:paraId="021AA91C" w14:textId="77777777" w:rsidTr="00CF1AB9">
        <w:trPr>
          <w:cantSplit/>
        </w:trPr>
        <w:tc>
          <w:tcPr>
            <w:tcW w:w="0" w:type="auto"/>
          </w:tcPr>
          <w:p w14:paraId="59187B26" w14:textId="77777777" w:rsidR="002815A0" w:rsidRPr="00F7649B" w:rsidRDefault="00AE7E55" w:rsidP="00CF1AB9">
            <w:pPr>
              <w:pStyle w:val="Paragraph"/>
              <w:jc w:val="left"/>
            </w:pPr>
            <m:oMathPara>
              <m:oMathParaPr>
                <m:jc m:val="left"/>
              </m:oMathParaPr>
              <m:oMath>
                <m:acc>
                  <m:accPr>
                    <m:chr m:val="̅"/>
                    <m:ctrlPr>
                      <w:rPr>
                        <w:rFonts w:ascii="Cambria Math" w:hAnsi="Cambria Math"/>
                        <w:i/>
                      </w:rPr>
                    </m:ctrlPr>
                  </m:accPr>
                  <m:e/>
                </m:acc>
              </m:oMath>
            </m:oMathPara>
          </w:p>
        </w:tc>
        <w:tc>
          <w:tcPr>
            <w:tcW w:w="0" w:type="auto"/>
          </w:tcPr>
          <w:p w14:paraId="1B395911" w14:textId="77777777" w:rsidR="002815A0" w:rsidRDefault="002815A0" w:rsidP="00CF1AB9">
            <w:pPr>
              <w:pStyle w:val="Paragraph"/>
              <w:jc w:val="left"/>
            </w:pPr>
            <w:r>
              <w:t>Accent denoting base schedule (RUC schedule for the ISO BAA).</w:t>
            </w:r>
          </w:p>
        </w:tc>
      </w:tr>
      <w:tr w:rsidR="002815A0" w14:paraId="02DB3939" w14:textId="77777777" w:rsidTr="00CF1AB9">
        <w:trPr>
          <w:cantSplit/>
        </w:trPr>
        <w:tc>
          <w:tcPr>
            <w:tcW w:w="0" w:type="auto"/>
          </w:tcPr>
          <w:p w14:paraId="53D65908" w14:textId="77777777" w:rsidR="002815A0" w:rsidRPr="00F7649B" w:rsidRDefault="00AE7E55" w:rsidP="00CF1AB9">
            <w:pPr>
              <w:pStyle w:val="Paragraph"/>
              <w:jc w:val="left"/>
            </w:pPr>
            <m:oMathPara>
              <m:oMathParaPr>
                <m:jc m:val="left"/>
              </m:oMathParaPr>
              <m:oMath>
                <m:acc>
                  <m:accPr>
                    <m:ctrlPr>
                      <w:rPr>
                        <w:rFonts w:ascii="Cambria Math" w:hAnsi="Cambria Math"/>
                        <w:i/>
                      </w:rPr>
                    </m:ctrlPr>
                  </m:accPr>
                  <m:e/>
                </m:acc>
              </m:oMath>
            </m:oMathPara>
          </w:p>
        </w:tc>
        <w:tc>
          <w:tcPr>
            <w:tcW w:w="0" w:type="auto"/>
          </w:tcPr>
          <w:p w14:paraId="61227B26" w14:textId="77777777" w:rsidR="002815A0" w:rsidRDefault="002815A0" w:rsidP="00CF1AB9">
            <w:pPr>
              <w:pStyle w:val="Paragraph"/>
              <w:jc w:val="left"/>
            </w:pPr>
            <w:r>
              <w:t>Accent denoting gross tagged or forecasted interchange schedule between non-EIM BAAs.</w:t>
            </w:r>
          </w:p>
        </w:tc>
      </w:tr>
      <w:tr w:rsidR="002815A0" w14:paraId="7D9B6BF8" w14:textId="77777777" w:rsidTr="00CF1AB9">
        <w:trPr>
          <w:cantSplit/>
        </w:trPr>
        <w:tc>
          <w:tcPr>
            <w:tcW w:w="0" w:type="auto"/>
          </w:tcPr>
          <w:p w14:paraId="2F2F0012" w14:textId="77777777" w:rsidR="002815A0" w:rsidRPr="00F7649B" w:rsidRDefault="00AE7E55" w:rsidP="00CF1AB9">
            <w:pPr>
              <w:pStyle w:val="Paragraph"/>
              <w:jc w:val="left"/>
            </w:pPr>
            <m:oMathPara>
              <m:oMathParaPr>
                <m:jc m:val="left"/>
              </m:oMathParaPr>
              <m:oMath>
                <m:acc>
                  <m:accPr>
                    <m:chr m:val="̃"/>
                    <m:ctrlPr>
                      <w:rPr>
                        <w:rFonts w:ascii="Cambria Math" w:hAnsi="Cambria Math"/>
                        <w:i/>
                      </w:rPr>
                    </m:ctrlPr>
                  </m:accPr>
                  <m:e/>
                </m:acc>
              </m:oMath>
            </m:oMathPara>
          </w:p>
        </w:tc>
        <w:tc>
          <w:tcPr>
            <w:tcW w:w="0" w:type="auto"/>
          </w:tcPr>
          <w:p w14:paraId="39228D81" w14:textId="77777777" w:rsidR="002815A0" w:rsidRDefault="002815A0" w:rsidP="00CF1AB9">
            <w:pPr>
              <w:pStyle w:val="Paragraph"/>
              <w:jc w:val="left"/>
            </w:pPr>
            <w:r>
              <w:t>Accent denoting initial values from the last AC Power Flow (ACPF) solution.</w:t>
            </w:r>
          </w:p>
        </w:tc>
      </w:tr>
      <w:tr w:rsidR="002815A0" w14:paraId="58979D8B" w14:textId="77777777" w:rsidTr="00CF1AB9">
        <w:trPr>
          <w:cantSplit/>
        </w:trPr>
        <w:tc>
          <w:tcPr>
            <w:tcW w:w="0" w:type="auto"/>
          </w:tcPr>
          <w:p w14:paraId="4E8A0EB1" w14:textId="77777777" w:rsidR="002815A0" w:rsidRPr="00F7649B" w:rsidRDefault="002815A0" w:rsidP="00CF1AB9">
            <w:pPr>
              <w:pStyle w:val="Paragraph"/>
              <w:jc w:val="left"/>
            </w:pPr>
            <w:r>
              <w:sym w:font="Symbol" w:char="F044"/>
            </w:r>
          </w:p>
        </w:tc>
        <w:tc>
          <w:tcPr>
            <w:tcW w:w="0" w:type="auto"/>
          </w:tcPr>
          <w:p w14:paraId="2162710C" w14:textId="77777777" w:rsidR="002815A0" w:rsidRDefault="002815A0" w:rsidP="00CF1AB9">
            <w:pPr>
              <w:pStyle w:val="Paragraph"/>
              <w:jc w:val="left"/>
            </w:pPr>
            <w:r>
              <w:t>Denotes incremental values from the last ACPF solution.</w:t>
            </w:r>
          </w:p>
        </w:tc>
      </w:tr>
      <w:tr w:rsidR="002815A0" w14:paraId="730608FE" w14:textId="77777777" w:rsidTr="00CF1AB9">
        <w:trPr>
          <w:cantSplit/>
        </w:trPr>
        <w:tc>
          <w:tcPr>
            <w:tcW w:w="0" w:type="auto"/>
          </w:tcPr>
          <w:p w14:paraId="4B83C293" w14:textId="77777777" w:rsidR="002815A0" w:rsidRPr="00430730" w:rsidRDefault="002815A0" w:rsidP="00CF1AB9">
            <w:pPr>
              <w:pStyle w:val="Paragraph"/>
              <w:jc w:val="left"/>
            </w:pPr>
            <w:r w:rsidRPr="00430730">
              <w:sym w:font="Symbol" w:char="F022"/>
            </w:r>
          </w:p>
        </w:tc>
        <w:tc>
          <w:tcPr>
            <w:tcW w:w="0" w:type="auto"/>
          </w:tcPr>
          <w:p w14:paraId="18CC5C85" w14:textId="77777777" w:rsidR="002815A0" w:rsidRDefault="002815A0" w:rsidP="00CF1AB9">
            <w:pPr>
              <w:pStyle w:val="Paragraph"/>
              <w:jc w:val="left"/>
            </w:pPr>
            <w:r>
              <w:t>For all…</w:t>
            </w:r>
          </w:p>
        </w:tc>
      </w:tr>
      <w:tr w:rsidR="002815A0" w14:paraId="5F54CB54" w14:textId="77777777" w:rsidTr="00CF1AB9">
        <w:trPr>
          <w:cantSplit/>
        </w:trPr>
        <w:tc>
          <w:tcPr>
            <w:tcW w:w="0" w:type="auto"/>
          </w:tcPr>
          <w:p w14:paraId="4993FEB2" w14:textId="77777777" w:rsidR="002815A0" w:rsidRDefault="002815A0" w:rsidP="00CF1AB9">
            <w:pPr>
              <w:pStyle w:val="Paragraph"/>
              <w:jc w:val="left"/>
            </w:pPr>
            <w:r>
              <w:sym w:font="Symbol" w:char="F0CE"/>
            </w:r>
          </w:p>
        </w:tc>
        <w:tc>
          <w:tcPr>
            <w:tcW w:w="0" w:type="auto"/>
          </w:tcPr>
          <w:p w14:paraId="4D9EC768" w14:textId="77777777" w:rsidR="002815A0" w:rsidRDefault="002815A0" w:rsidP="00CF1AB9">
            <w:pPr>
              <w:pStyle w:val="Paragraph"/>
              <w:jc w:val="left"/>
            </w:pPr>
            <w:r>
              <w:t>Member of…</w:t>
            </w:r>
          </w:p>
        </w:tc>
      </w:tr>
      <w:tr w:rsidR="002815A0" w14:paraId="0927F5ED" w14:textId="77777777" w:rsidTr="00CF1AB9">
        <w:trPr>
          <w:cantSplit/>
        </w:trPr>
        <w:tc>
          <w:tcPr>
            <w:tcW w:w="0" w:type="auto"/>
          </w:tcPr>
          <w:p w14:paraId="53093A98" w14:textId="77777777" w:rsidR="002815A0" w:rsidRDefault="002815A0" w:rsidP="00CF1AB9">
            <w:pPr>
              <w:pStyle w:val="Paragraph"/>
              <w:jc w:val="left"/>
            </w:pPr>
            <w:r>
              <w:sym w:font="Symbol" w:char="F0D9"/>
            </w:r>
          </w:p>
        </w:tc>
        <w:tc>
          <w:tcPr>
            <w:tcW w:w="0" w:type="auto"/>
          </w:tcPr>
          <w:p w14:paraId="2419B455" w14:textId="77777777" w:rsidR="002815A0" w:rsidRDefault="002815A0" w:rsidP="00CF1AB9">
            <w:pPr>
              <w:pStyle w:val="Paragraph"/>
              <w:jc w:val="left"/>
            </w:pPr>
            <w:r>
              <w:t>…and…</w:t>
            </w:r>
          </w:p>
        </w:tc>
      </w:tr>
      <w:tr w:rsidR="002815A0" w14:paraId="3268D438" w14:textId="77777777" w:rsidTr="00CF1AB9">
        <w:trPr>
          <w:cantSplit/>
        </w:trPr>
        <w:tc>
          <w:tcPr>
            <w:tcW w:w="0" w:type="auto"/>
          </w:tcPr>
          <w:p w14:paraId="5D123ECA" w14:textId="77777777" w:rsidR="002815A0" w:rsidRDefault="002815A0" w:rsidP="00CF1AB9">
            <w:pPr>
              <w:pStyle w:val="Paragraph"/>
              <w:jc w:val="left"/>
              <w:rPr>
                <w:i/>
              </w:rPr>
            </w:pPr>
            <w:r>
              <w:rPr>
                <w:i/>
              </w:rPr>
              <w:t>EIM</w:t>
            </w:r>
          </w:p>
        </w:tc>
        <w:tc>
          <w:tcPr>
            <w:tcW w:w="0" w:type="auto"/>
          </w:tcPr>
          <w:p w14:paraId="1FFFC658" w14:textId="77777777" w:rsidR="002815A0" w:rsidRDefault="002815A0" w:rsidP="00CF1AB9">
            <w:pPr>
              <w:pStyle w:val="Paragraph"/>
              <w:jc w:val="left"/>
            </w:pPr>
            <w:r>
              <w:t>The set of CISO and all EIM BAAs.</w:t>
            </w:r>
          </w:p>
        </w:tc>
      </w:tr>
      <w:tr w:rsidR="002815A0" w14:paraId="28D7FA7B" w14:textId="77777777" w:rsidTr="00CF1AB9">
        <w:trPr>
          <w:cantSplit/>
        </w:trPr>
        <w:tc>
          <w:tcPr>
            <w:tcW w:w="0" w:type="auto"/>
          </w:tcPr>
          <w:p w14:paraId="7AA22F4C" w14:textId="77777777" w:rsidR="002815A0" w:rsidRPr="00275705" w:rsidRDefault="002815A0" w:rsidP="00CF1AB9">
            <w:pPr>
              <w:pStyle w:val="Paragraph"/>
              <w:jc w:val="left"/>
              <w:rPr>
                <w:i/>
                <w:vertAlign w:val="subscript"/>
              </w:rPr>
            </w:pPr>
            <w:r>
              <w:rPr>
                <w:i/>
              </w:rPr>
              <w:t>BAA</w:t>
            </w:r>
            <w:r>
              <w:rPr>
                <w:i/>
                <w:vertAlign w:val="subscript"/>
              </w:rPr>
              <w:t>j</w:t>
            </w:r>
          </w:p>
        </w:tc>
        <w:tc>
          <w:tcPr>
            <w:tcW w:w="0" w:type="auto"/>
          </w:tcPr>
          <w:p w14:paraId="3AFD7756" w14:textId="77777777" w:rsidR="002815A0" w:rsidRDefault="002815A0" w:rsidP="00CF1AB9">
            <w:pPr>
              <w:pStyle w:val="Paragraph"/>
              <w:jc w:val="left"/>
            </w:pPr>
            <w:r>
              <w:t xml:space="preserve">The set of nodes in BAA </w:t>
            </w:r>
            <w:r>
              <w:rPr>
                <w:i/>
              </w:rPr>
              <w:t>j</w:t>
            </w:r>
            <w:r>
              <w:t>.</w:t>
            </w:r>
          </w:p>
        </w:tc>
      </w:tr>
      <w:tr w:rsidR="002815A0" w14:paraId="3B0E8280" w14:textId="77777777" w:rsidTr="00CF1AB9">
        <w:trPr>
          <w:cantSplit/>
        </w:trPr>
        <w:tc>
          <w:tcPr>
            <w:tcW w:w="0" w:type="auto"/>
          </w:tcPr>
          <w:p w14:paraId="00B10B2B" w14:textId="77777777" w:rsidR="002815A0" w:rsidRDefault="002815A0" w:rsidP="00CF1AB9">
            <w:pPr>
              <w:pStyle w:val="Paragraph"/>
              <w:jc w:val="left"/>
              <w:rPr>
                <w:i/>
              </w:rPr>
            </w:pPr>
            <w:r>
              <w:rPr>
                <w:i/>
              </w:rPr>
              <w:t>G</w:t>
            </w:r>
            <w:r>
              <w:rPr>
                <w:i/>
                <w:vertAlign w:val="subscript"/>
              </w:rPr>
              <w:t>i</w:t>
            </w:r>
          </w:p>
        </w:tc>
        <w:tc>
          <w:tcPr>
            <w:tcW w:w="0" w:type="auto"/>
          </w:tcPr>
          <w:p w14:paraId="230612DE" w14:textId="77777777" w:rsidR="002815A0" w:rsidRPr="00F7649B" w:rsidRDefault="002815A0" w:rsidP="00CF1AB9">
            <w:pPr>
              <w:pStyle w:val="Paragraph"/>
              <w:jc w:val="left"/>
            </w:pPr>
            <w:r>
              <w:t xml:space="preserve">The generation at node </w:t>
            </w:r>
            <w:r>
              <w:rPr>
                <w:i/>
              </w:rPr>
              <w:t>i</w:t>
            </w:r>
            <w:r>
              <w:t>.</w:t>
            </w:r>
          </w:p>
        </w:tc>
      </w:tr>
      <w:tr w:rsidR="002815A0" w14:paraId="43364564" w14:textId="77777777" w:rsidTr="00CF1AB9">
        <w:trPr>
          <w:cantSplit/>
        </w:trPr>
        <w:tc>
          <w:tcPr>
            <w:tcW w:w="0" w:type="auto"/>
          </w:tcPr>
          <w:p w14:paraId="36B14227" w14:textId="77777777" w:rsidR="002815A0" w:rsidRDefault="002815A0" w:rsidP="00CF1AB9">
            <w:pPr>
              <w:pStyle w:val="Paragraph"/>
              <w:jc w:val="left"/>
              <w:rPr>
                <w:i/>
              </w:rPr>
            </w:pPr>
            <w:r>
              <w:rPr>
                <w:i/>
              </w:rPr>
              <w:t>L</w:t>
            </w:r>
            <w:r>
              <w:rPr>
                <w:i/>
                <w:vertAlign w:val="subscript"/>
              </w:rPr>
              <w:t>i</w:t>
            </w:r>
          </w:p>
        </w:tc>
        <w:tc>
          <w:tcPr>
            <w:tcW w:w="0" w:type="auto"/>
          </w:tcPr>
          <w:p w14:paraId="4943A5A3" w14:textId="77777777" w:rsidR="002815A0" w:rsidRPr="00F7649B" w:rsidRDefault="002815A0" w:rsidP="00CF1AB9">
            <w:pPr>
              <w:pStyle w:val="Paragraph"/>
              <w:jc w:val="left"/>
            </w:pPr>
            <w:r>
              <w:t xml:space="preserve">The load at node </w:t>
            </w:r>
            <w:r>
              <w:rPr>
                <w:i/>
              </w:rPr>
              <w:t>i</w:t>
            </w:r>
            <w:r>
              <w:t>.</w:t>
            </w:r>
          </w:p>
        </w:tc>
      </w:tr>
      <w:tr w:rsidR="002815A0" w14:paraId="28A107F8" w14:textId="77777777" w:rsidTr="00CF1AB9">
        <w:trPr>
          <w:cantSplit/>
        </w:trPr>
        <w:tc>
          <w:tcPr>
            <w:tcW w:w="0" w:type="auto"/>
          </w:tcPr>
          <w:p w14:paraId="1410EBBE" w14:textId="77777777" w:rsidR="002815A0" w:rsidRPr="001A7D38" w:rsidRDefault="002815A0" w:rsidP="00CF1AB9">
            <w:pPr>
              <w:pStyle w:val="Paragraph"/>
              <w:jc w:val="left"/>
              <w:rPr>
                <w:i/>
              </w:rPr>
            </w:pPr>
            <w:r>
              <w:rPr>
                <w:i/>
              </w:rPr>
              <w:t>I</w:t>
            </w:r>
            <w:r>
              <w:rPr>
                <w:i/>
                <w:vertAlign w:val="subscript"/>
              </w:rPr>
              <w:t>j</w:t>
            </w:r>
            <w:r>
              <w:rPr>
                <w:vertAlign w:val="subscript"/>
              </w:rPr>
              <w:t>,</w:t>
            </w:r>
            <w:r>
              <w:rPr>
                <w:i/>
                <w:vertAlign w:val="subscript"/>
              </w:rPr>
              <w:t>k,l</w:t>
            </w:r>
          </w:p>
        </w:tc>
        <w:tc>
          <w:tcPr>
            <w:tcW w:w="0" w:type="auto"/>
          </w:tcPr>
          <w:p w14:paraId="68308667" w14:textId="77777777" w:rsidR="002815A0" w:rsidRPr="00F7649B" w:rsidRDefault="002815A0" w:rsidP="00CF1AB9">
            <w:pPr>
              <w:pStyle w:val="Paragraph"/>
              <w:jc w:val="left"/>
            </w:pPr>
            <w:r>
              <w:t xml:space="preserve">The import schedule </w:t>
            </w:r>
            <w:r>
              <w:rPr>
                <w:i/>
              </w:rPr>
              <w:t>l</w:t>
            </w:r>
            <w:r>
              <w:t xml:space="preserve"> into EIM BAA </w:t>
            </w:r>
            <w:r>
              <w:rPr>
                <w:i/>
              </w:rPr>
              <w:t>j</w:t>
            </w:r>
            <w:r>
              <w:t xml:space="preserve"> from BAA </w:t>
            </w:r>
            <w:r>
              <w:rPr>
                <w:i/>
              </w:rPr>
              <w:t>k</w:t>
            </w:r>
            <w:r>
              <w:t>.</w:t>
            </w:r>
          </w:p>
        </w:tc>
      </w:tr>
      <w:tr w:rsidR="002815A0" w14:paraId="255D7D1C" w14:textId="77777777" w:rsidTr="00CF1AB9">
        <w:trPr>
          <w:cantSplit/>
        </w:trPr>
        <w:tc>
          <w:tcPr>
            <w:tcW w:w="0" w:type="auto"/>
          </w:tcPr>
          <w:p w14:paraId="44BB73CF" w14:textId="77777777" w:rsidR="002815A0" w:rsidRDefault="002815A0" w:rsidP="00CF1AB9">
            <w:pPr>
              <w:pStyle w:val="Paragraph"/>
              <w:jc w:val="left"/>
              <w:rPr>
                <w:i/>
              </w:rPr>
            </w:pPr>
            <w:r>
              <w:rPr>
                <w:i/>
              </w:rPr>
              <w:t>E</w:t>
            </w:r>
            <w:r>
              <w:rPr>
                <w:i/>
                <w:vertAlign w:val="subscript"/>
              </w:rPr>
              <w:t>j</w:t>
            </w:r>
            <w:r>
              <w:rPr>
                <w:vertAlign w:val="subscript"/>
              </w:rPr>
              <w:t>,</w:t>
            </w:r>
            <w:r>
              <w:rPr>
                <w:i/>
                <w:vertAlign w:val="subscript"/>
              </w:rPr>
              <w:t>k,l</w:t>
            </w:r>
          </w:p>
        </w:tc>
        <w:tc>
          <w:tcPr>
            <w:tcW w:w="0" w:type="auto"/>
          </w:tcPr>
          <w:p w14:paraId="6656A74F" w14:textId="77777777" w:rsidR="002815A0" w:rsidRPr="00F7649B" w:rsidRDefault="002815A0" w:rsidP="00CF1AB9">
            <w:pPr>
              <w:pStyle w:val="Paragraph"/>
              <w:jc w:val="left"/>
            </w:pPr>
            <w:r>
              <w:t xml:space="preserve">The export schedule </w:t>
            </w:r>
            <w:r>
              <w:rPr>
                <w:i/>
              </w:rPr>
              <w:t>l</w:t>
            </w:r>
            <w:r>
              <w:t xml:space="preserve"> from EIM BAA </w:t>
            </w:r>
            <w:r>
              <w:rPr>
                <w:i/>
              </w:rPr>
              <w:t>j</w:t>
            </w:r>
            <w:r>
              <w:t xml:space="preserve"> to BAA </w:t>
            </w:r>
            <w:r>
              <w:rPr>
                <w:i/>
              </w:rPr>
              <w:t>k</w:t>
            </w:r>
            <w:r>
              <w:t>.</w:t>
            </w:r>
          </w:p>
        </w:tc>
      </w:tr>
      <w:tr w:rsidR="002815A0" w14:paraId="30CE3023" w14:textId="77777777" w:rsidTr="00CF1AB9">
        <w:trPr>
          <w:cantSplit/>
        </w:trPr>
        <w:tc>
          <w:tcPr>
            <w:tcW w:w="0" w:type="auto"/>
          </w:tcPr>
          <w:p w14:paraId="0E9554DF" w14:textId="77777777" w:rsidR="002815A0" w:rsidRPr="00F7649B" w:rsidRDefault="002815A0" w:rsidP="00CF1AB9">
            <w:pPr>
              <w:pStyle w:val="Paragraph"/>
              <w:jc w:val="left"/>
              <w:rPr>
                <w:i/>
                <w:vertAlign w:val="subscript"/>
              </w:rPr>
            </w:pPr>
            <w:r>
              <w:rPr>
                <w:i/>
              </w:rPr>
              <w:t>D</w:t>
            </w:r>
            <w:r>
              <w:rPr>
                <w:i/>
                <w:vertAlign w:val="subscript"/>
              </w:rPr>
              <w:t>j</w:t>
            </w:r>
          </w:p>
        </w:tc>
        <w:tc>
          <w:tcPr>
            <w:tcW w:w="0" w:type="auto"/>
          </w:tcPr>
          <w:p w14:paraId="11E59D3F" w14:textId="77777777" w:rsidR="002815A0" w:rsidRDefault="002815A0" w:rsidP="00CF1AB9">
            <w:pPr>
              <w:pStyle w:val="Paragraph"/>
              <w:jc w:val="left"/>
            </w:pPr>
            <w:r>
              <w:t xml:space="preserve">The demand (load plus losses) forecast in BAA </w:t>
            </w:r>
            <w:r>
              <w:rPr>
                <w:i/>
              </w:rPr>
              <w:t>j</w:t>
            </w:r>
            <w:r>
              <w:t>.</w:t>
            </w:r>
          </w:p>
        </w:tc>
      </w:tr>
      <w:tr w:rsidR="002815A0" w14:paraId="17535E12" w14:textId="77777777" w:rsidTr="00CF1AB9">
        <w:trPr>
          <w:cantSplit/>
        </w:trPr>
        <w:tc>
          <w:tcPr>
            <w:tcW w:w="0" w:type="auto"/>
          </w:tcPr>
          <w:p w14:paraId="711975AB" w14:textId="77777777" w:rsidR="002815A0" w:rsidRPr="00F7649B" w:rsidRDefault="002815A0" w:rsidP="00CF1AB9">
            <w:pPr>
              <w:pStyle w:val="Paragraph"/>
              <w:jc w:val="left"/>
              <w:rPr>
                <w:i/>
                <w:vertAlign w:val="subscript"/>
              </w:rPr>
            </w:pPr>
            <w:r>
              <w:rPr>
                <w:i/>
              </w:rPr>
              <w:lastRenderedPageBreak/>
              <w:t>Loss</w:t>
            </w:r>
            <w:r>
              <w:rPr>
                <w:i/>
                <w:vertAlign w:val="subscript"/>
              </w:rPr>
              <w:t>j</w:t>
            </w:r>
          </w:p>
        </w:tc>
        <w:tc>
          <w:tcPr>
            <w:tcW w:w="0" w:type="auto"/>
          </w:tcPr>
          <w:p w14:paraId="78C421D8" w14:textId="77777777" w:rsidR="002815A0" w:rsidRDefault="002815A0" w:rsidP="00CF1AB9">
            <w:pPr>
              <w:pStyle w:val="Paragraph"/>
              <w:jc w:val="left"/>
            </w:pPr>
            <w:r>
              <w:t xml:space="preserve">The transmission loss in BAA </w:t>
            </w:r>
            <w:r>
              <w:rPr>
                <w:i/>
              </w:rPr>
              <w:t>j</w:t>
            </w:r>
            <w:r>
              <w:t>.</w:t>
            </w:r>
          </w:p>
        </w:tc>
      </w:tr>
      <w:tr w:rsidR="002815A0" w14:paraId="6100D67D" w14:textId="77777777" w:rsidTr="00CF1AB9">
        <w:trPr>
          <w:cantSplit/>
        </w:trPr>
        <w:tc>
          <w:tcPr>
            <w:tcW w:w="0" w:type="auto"/>
          </w:tcPr>
          <w:p w14:paraId="744CA317" w14:textId="77777777" w:rsidR="002815A0" w:rsidRPr="00F7649B" w:rsidRDefault="002815A0" w:rsidP="00CF1AB9">
            <w:pPr>
              <w:pStyle w:val="Paragraph"/>
              <w:jc w:val="left"/>
              <w:rPr>
                <w:i/>
                <w:vertAlign w:val="subscript"/>
              </w:rPr>
            </w:pPr>
            <w:r>
              <w:rPr>
                <w:i/>
              </w:rPr>
              <w:t>LPF</w:t>
            </w:r>
            <w:r>
              <w:rPr>
                <w:i/>
                <w:vertAlign w:val="subscript"/>
              </w:rPr>
              <w:t>i</w:t>
            </w:r>
          </w:p>
        </w:tc>
        <w:tc>
          <w:tcPr>
            <w:tcW w:w="0" w:type="auto"/>
          </w:tcPr>
          <w:p w14:paraId="3B199F4B" w14:textId="77777777" w:rsidR="002815A0" w:rsidRDefault="002815A0" w:rsidP="00CF1AB9">
            <w:pPr>
              <w:pStyle w:val="Paragraph"/>
              <w:jc w:val="left"/>
            </w:pPr>
            <w:r>
              <w:t xml:space="preserve">The loss penalty factor at node </w:t>
            </w:r>
            <w:r>
              <w:rPr>
                <w:i/>
              </w:rPr>
              <w:t>i</w:t>
            </w:r>
            <w:r>
              <w:t>.</w:t>
            </w:r>
          </w:p>
        </w:tc>
      </w:tr>
      <w:tr w:rsidR="002815A0" w14:paraId="0F65A460" w14:textId="77777777" w:rsidTr="00CF1AB9">
        <w:trPr>
          <w:cantSplit/>
        </w:trPr>
        <w:tc>
          <w:tcPr>
            <w:tcW w:w="0" w:type="auto"/>
          </w:tcPr>
          <w:p w14:paraId="783155DE" w14:textId="77777777" w:rsidR="002815A0" w:rsidRPr="00F7649B" w:rsidRDefault="002815A0" w:rsidP="00CF1AB9">
            <w:pPr>
              <w:pStyle w:val="Paragraph"/>
              <w:jc w:val="left"/>
              <w:rPr>
                <w:i/>
                <w:vertAlign w:val="subscript"/>
              </w:rPr>
            </w:pPr>
            <w:r>
              <w:rPr>
                <w:i/>
              </w:rPr>
              <w:t>LPF</w:t>
            </w:r>
            <w:r>
              <w:rPr>
                <w:i/>
                <w:vertAlign w:val="subscript"/>
              </w:rPr>
              <w:t>j,k,l</w:t>
            </w:r>
          </w:p>
        </w:tc>
        <w:tc>
          <w:tcPr>
            <w:tcW w:w="0" w:type="auto"/>
          </w:tcPr>
          <w:p w14:paraId="17B82B66" w14:textId="77777777" w:rsidR="002815A0" w:rsidRDefault="002815A0" w:rsidP="00CF1AB9">
            <w:pPr>
              <w:pStyle w:val="Paragraph"/>
              <w:jc w:val="left"/>
            </w:pPr>
            <w:r>
              <w:t xml:space="preserve">The loss penalty factor at the Scheduling Point for intertie schedule </w:t>
            </w:r>
            <w:r w:rsidRPr="00551B0F">
              <w:rPr>
                <w:i/>
              </w:rPr>
              <w:t>l</w:t>
            </w:r>
            <w:r>
              <w:t xml:space="preserve"> between BAA </w:t>
            </w:r>
            <w:r>
              <w:rPr>
                <w:i/>
              </w:rPr>
              <w:t>j</w:t>
            </w:r>
            <w:r>
              <w:t xml:space="preserve"> in the EIM Area and non-EIM BAA </w:t>
            </w:r>
            <w:r>
              <w:rPr>
                <w:i/>
              </w:rPr>
              <w:t>k</w:t>
            </w:r>
            <w:r>
              <w:t>.</w:t>
            </w:r>
          </w:p>
        </w:tc>
      </w:tr>
      <w:tr w:rsidR="002815A0" w14:paraId="1AF07D2F" w14:textId="77777777" w:rsidTr="00CF1AB9">
        <w:trPr>
          <w:cantSplit/>
        </w:trPr>
        <w:tc>
          <w:tcPr>
            <w:tcW w:w="0" w:type="auto"/>
          </w:tcPr>
          <w:p w14:paraId="495FB2D1" w14:textId="77777777" w:rsidR="002815A0" w:rsidRPr="00F7649B" w:rsidRDefault="002815A0" w:rsidP="00CF1AB9">
            <w:pPr>
              <w:pStyle w:val="Paragraph"/>
              <w:jc w:val="left"/>
              <w:rPr>
                <w:i/>
                <w:vertAlign w:val="subscript"/>
              </w:rPr>
            </w:pPr>
            <w:r>
              <w:rPr>
                <w:i/>
              </w:rPr>
              <w:t>NSI</w:t>
            </w:r>
            <w:r>
              <w:rPr>
                <w:i/>
                <w:vertAlign w:val="subscript"/>
              </w:rPr>
              <w:t>j</w:t>
            </w:r>
          </w:p>
        </w:tc>
        <w:tc>
          <w:tcPr>
            <w:tcW w:w="0" w:type="auto"/>
          </w:tcPr>
          <w:p w14:paraId="775BE1C0" w14:textId="77777777" w:rsidR="002815A0" w:rsidRDefault="002815A0" w:rsidP="00CF1AB9">
            <w:pPr>
              <w:pStyle w:val="Paragraph"/>
              <w:jc w:val="left"/>
            </w:pPr>
            <w:r>
              <w:t xml:space="preserve">The Net Scheduled Interchange of BAA </w:t>
            </w:r>
            <w:r>
              <w:rPr>
                <w:i/>
              </w:rPr>
              <w:t>j</w:t>
            </w:r>
            <w:r>
              <w:t>; positive for export and negative for import.</w:t>
            </w:r>
          </w:p>
        </w:tc>
      </w:tr>
      <w:tr w:rsidR="002815A0" w14:paraId="00E31E8A" w14:textId="77777777" w:rsidTr="00CF1AB9">
        <w:trPr>
          <w:cantSplit/>
        </w:trPr>
        <w:tc>
          <w:tcPr>
            <w:tcW w:w="0" w:type="auto"/>
          </w:tcPr>
          <w:p w14:paraId="16FF466C" w14:textId="77777777" w:rsidR="002815A0" w:rsidRDefault="002815A0" w:rsidP="00CF1AB9">
            <w:pPr>
              <w:pStyle w:val="Paragraph"/>
              <w:jc w:val="left"/>
              <w:rPr>
                <w:i/>
              </w:rPr>
            </w:pPr>
            <w:r>
              <w:rPr>
                <w:i/>
              </w:rPr>
              <w:t>T</w:t>
            </w:r>
            <w:r>
              <w:rPr>
                <w:i/>
                <w:vertAlign w:val="subscript"/>
              </w:rPr>
              <w:t>j</w:t>
            </w:r>
          </w:p>
        </w:tc>
        <w:tc>
          <w:tcPr>
            <w:tcW w:w="0" w:type="auto"/>
          </w:tcPr>
          <w:p w14:paraId="5A3D689C" w14:textId="77777777" w:rsidR="002815A0" w:rsidRDefault="002815A0" w:rsidP="00CF1AB9">
            <w:pPr>
              <w:pStyle w:val="Paragraph"/>
              <w:jc w:val="left"/>
            </w:pPr>
            <w:r>
              <w:t xml:space="preserve">The EIM Transfer of EIM BAA </w:t>
            </w:r>
            <w:r>
              <w:rPr>
                <w:i/>
              </w:rPr>
              <w:t>j</w:t>
            </w:r>
            <w:r>
              <w:t>; positive for export and negative for import.</w:t>
            </w:r>
          </w:p>
        </w:tc>
      </w:tr>
      <w:tr w:rsidR="002815A0" w14:paraId="3C08D77F" w14:textId="77777777" w:rsidTr="00CF1AB9">
        <w:trPr>
          <w:cantSplit/>
        </w:trPr>
        <w:tc>
          <w:tcPr>
            <w:tcW w:w="0" w:type="auto"/>
          </w:tcPr>
          <w:p w14:paraId="24173CE5" w14:textId="77777777" w:rsidR="002815A0" w:rsidRDefault="002815A0" w:rsidP="00CF1AB9">
            <w:pPr>
              <w:pStyle w:val="Paragraph"/>
              <w:jc w:val="left"/>
              <w:rPr>
                <w:i/>
              </w:rPr>
            </w:pPr>
            <w:r>
              <w:rPr>
                <w:i/>
              </w:rPr>
              <w:t>IT</w:t>
            </w:r>
            <w:r>
              <w:rPr>
                <w:i/>
                <w:vertAlign w:val="subscript"/>
              </w:rPr>
              <w:t>j</w:t>
            </w:r>
            <w:r>
              <w:rPr>
                <w:vertAlign w:val="subscript"/>
              </w:rPr>
              <w:t>,</w:t>
            </w:r>
            <w:r>
              <w:rPr>
                <w:i/>
                <w:vertAlign w:val="subscript"/>
              </w:rPr>
              <w:t>k,l</w:t>
            </w:r>
          </w:p>
        </w:tc>
        <w:tc>
          <w:tcPr>
            <w:tcW w:w="0" w:type="auto"/>
          </w:tcPr>
          <w:p w14:paraId="2A87EFD7" w14:textId="77777777" w:rsidR="002815A0" w:rsidRDefault="002815A0" w:rsidP="00CF1AB9">
            <w:pPr>
              <w:pStyle w:val="Paragraph"/>
              <w:jc w:val="left"/>
            </w:pPr>
            <w:r>
              <w:t xml:space="preserve">The import Energy Transfer schedule </w:t>
            </w:r>
            <w:r>
              <w:rPr>
                <w:i/>
              </w:rPr>
              <w:t>l</w:t>
            </w:r>
            <w:r>
              <w:t xml:space="preserve"> of EIM BAA </w:t>
            </w:r>
            <w:r>
              <w:rPr>
                <w:i/>
              </w:rPr>
              <w:t>j</w:t>
            </w:r>
            <w:r>
              <w:t xml:space="preserve"> from BAA </w:t>
            </w:r>
            <w:r>
              <w:rPr>
                <w:i/>
              </w:rPr>
              <w:t>k</w:t>
            </w:r>
            <w:r>
              <w:t xml:space="preserve"> in the EIM Area.</w:t>
            </w:r>
          </w:p>
        </w:tc>
      </w:tr>
      <w:tr w:rsidR="002815A0" w14:paraId="70ABF7DD" w14:textId="77777777" w:rsidTr="00CF1AB9">
        <w:trPr>
          <w:cantSplit/>
        </w:trPr>
        <w:tc>
          <w:tcPr>
            <w:tcW w:w="0" w:type="auto"/>
          </w:tcPr>
          <w:p w14:paraId="3A3FF0CD" w14:textId="77777777" w:rsidR="002815A0" w:rsidRDefault="002815A0" w:rsidP="00CF1AB9">
            <w:pPr>
              <w:pStyle w:val="Paragraph"/>
              <w:jc w:val="left"/>
              <w:rPr>
                <w:i/>
              </w:rPr>
            </w:pPr>
            <w:r>
              <w:rPr>
                <w:i/>
              </w:rPr>
              <w:t>ET</w:t>
            </w:r>
            <w:r>
              <w:rPr>
                <w:i/>
                <w:vertAlign w:val="subscript"/>
              </w:rPr>
              <w:t>j</w:t>
            </w:r>
            <w:r>
              <w:rPr>
                <w:vertAlign w:val="subscript"/>
              </w:rPr>
              <w:t>,</w:t>
            </w:r>
            <w:r>
              <w:rPr>
                <w:i/>
                <w:vertAlign w:val="subscript"/>
              </w:rPr>
              <w:t>k,l</w:t>
            </w:r>
          </w:p>
        </w:tc>
        <w:tc>
          <w:tcPr>
            <w:tcW w:w="0" w:type="auto"/>
          </w:tcPr>
          <w:p w14:paraId="4205B98C" w14:textId="77777777" w:rsidR="002815A0" w:rsidRDefault="002815A0" w:rsidP="00CF1AB9">
            <w:pPr>
              <w:pStyle w:val="Paragraph"/>
              <w:jc w:val="left"/>
            </w:pPr>
            <w:r>
              <w:t xml:space="preserve">The export Energy Transfer schedule </w:t>
            </w:r>
            <w:r>
              <w:rPr>
                <w:i/>
              </w:rPr>
              <w:t>l</w:t>
            </w:r>
            <w:r>
              <w:t xml:space="preserve"> of EIM BAA </w:t>
            </w:r>
            <w:r>
              <w:rPr>
                <w:i/>
              </w:rPr>
              <w:t>j</w:t>
            </w:r>
            <w:r>
              <w:t xml:space="preserve"> to BAA </w:t>
            </w:r>
            <w:r>
              <w:rPr>
                <w:i/>
              </w:rPr>
              <w:t>k</w:t>
            </w:r>
            <w:r>
              <w:t xml:space="preserve"> in the EIM Area.</w:t>
            </w:r>
          </w:p>
        </w:tc>
      </w:tr>
      <w:tr w:rsidR="002815A0" w14:paraId="42B3B3D7" w14:textId="77777777" w:rsidTr="00CF1AB9">
        <w:trPr>
          <w:cantSplit/>
        </w:trPr>
        <w:tc>
          <w:tcPr>
            <w:tcW w:w="0" w:type="auto"/>
          </w:tcPr>
          <w:p w14:paraId="1050C87B" w14:textId="77777777" w:rsidR="002815A0" w:rsidRDefault="002815A0" w:rsidP="00CF1AB9">
            <w:pPr>
              <w:pStyle w:val="Paragraph"/>
              <w:jc w:val="left"/>
              <w:rPr>
                <w:i/>
              </w:rPr>
            </w:pPr>
            <w:r>
              <w:rPr>
                <w:i/>
              </w:rPr>
              <w:t>IT</w:t>
            </w:r>
            <w:r w:rsidRPr="00882385">
              <w:rPr>
                <w:i/>
                <w:vertAlign w:val="subscript"/>
              </w:rPr>
              <w:t>MAX</w:t>
            </w:r>
            <w:r>
              <w:rPr>
                <w:i/>
                <w:vertAlign w:val="subscript"/>
              </w:rPr>
              <w:t>j</w:t>
            </w:r>
            <w:r>
              <w:rPr>
                <w:vertAlign w:val="subscript"/>
              </w:rPr>
              <w:t>,</w:t>
            </w:r>
            <w:r>
              <w:rPr>
                <w:i/>
                <w:vertAlign w:val="subscript"/>
              </w:rPr>
              <w:t>k,l</w:t>
            </w:r>
          </w:p>
        </w:tc>
        <w:tc>
          <w:tcPr>
            <w:tcW w:w="0" w:type="auto"/>
          </w:tcPr>
          <w:p w14:paraId="0627DF71" w14:textId="77777777" w:rsidR="002815A0" w:rsidRDefault="002815A0" w:rsidP="00CF1AB9">
            <w:pPr>
              <w:pStyle w:val="Paragraph"/>
              <w:jc w:val="left"/>
            </w:pPr>
            <w:r>
              <w:t xml:space="preserve">The applicable limit of the import Energy Transfer schedule </w:t>
            </w:r>
            <w:r>
              <w:rPr>
                <w:i/>
              </w:rPr>
              <w:t>l</w:t>
            </w:r>
            <w:r>
              <w:t xml:space="preserve"> of EIM BAA </w:t>
            </w:r>
            <w:r>
              <w:rPr>
                <w:i/>
              </w:rPr>
              <w:t>j</w:t>
            </w:r>
            <w:r>
              <w:t xml:space="preserve"> from BAA </w:t>
            </w:r>
            <w:r>
              <w:rPr>
                <w:i/>
              </w:rPr>
              <w:t>k</w:t>
            </w:r>
            <w:r>
              <w:t xml:space="preserve"> in the EIM Area.</w:t>
            </w:r>
          </w:p>
        </w:tc>
      </w:tr>
      <w:tr w:rsidR="002815A0" w14:paraId="3535C5F8" w14:textId="77777777" w:rsidTr="00CF1AB9">
        <w:trPr>
          <w:cantSplit/>
        </w:trPr>
        <w:tc>
          <w:tcPr>
            <w:tcW w:w="0" w:type="auto"/>
          </w:tcPr>
          <w:p w14:paraId="03070505" w14:textId="77777777" w:rsidR="002815A0" w:rsidRDefault="002815A0" w:rsidP="00CF1AB9">
            <w:pPr>
              <w:pStyle w:val="Paragraph"/>
              <w:jc w:val="left"/>
              <w:rPr>
                <w:i/>
              </w:rPr>
            </w:pPr>
            <w:r>
              <w:rPr>
                <w:i/>
              </w:rPr>
              <w:t>ET</w:t>
            </w:r>
            <w:r w:rsidRPr="00882385">
              <w:rPr>
                <w:i/>
                <w:vertAlign w:val="subscript"/>
              </w:rPr>
              <w:t>MAX</w:t>
            </w:r>
            <w:r>
              <w:rPr>
                <w:i/>
                <w:vertAlign w:val="subscript"/>
              </w:rPr>
              <w:t>j</w:t>
            </w:r>
            <w:r>
              <w:rPr>
                <w:vertAlign w:val="subscript"/>
              </w:rPr>
              <w:t>,</w:t>
            </w:r>
            <w:r>
              <w:rPr>
                <w:i/>
                <w:vertAlign w:val="subscript"/>
              </w:rPr>
              <w:t>k,l</w:t>
            </w:r>
          </w:p>
        </w:tc>
        <w:tc>
          <w:tcPr>
            <w:tcW w:w="0" w:type="auto"/>
          </w:tcPr>
          <w:p w14:paraId="3F582FFD" w14:textId="77777777" w:rsidR="002815A0" w:rsidRDefault="002815A0" w:rsidP="00CF1AB9">
            <w:pPr>
              <w:pStyle w:val="Paragraph"/>
              <w:jc w:val="left"/>
            </w:pPr>
            <w:r>
              <w:t xml:space="preserve">The applicable limit of the export Energy Transfer schedule </w:t>
            </w:r>
            <w:r>
              <w:rPr>
                <w:i/>
              </w:rPr>
              <w:t>l</w:t>
            </w:r>
            <w:r>
              <w:t xml:space="preserve"> of EIM BAA </w:t>
            </w:r>
            <w:r>
              <w:rPr>
                <w:i/>
              </w:rPr>
              <w:t>j</w:t>
            </w:r>
            <w:r>
              <w:t xml:space="preserve"> to BAA </w:t>
            </w:r>
            <w:r>
              <w:rPr>
                <w:i/>
              </w:rPr>
              <w:t>k</w:t>
            </w:r>
            <w:r>
              <w:t xml:space="preserve"> in the EIM Area.</w:t>
            </w:r>
          </w:p>
        </w:tc>
      </w:tr>
      <w:tr w:rsidR="002815A0" w14:paraId="4BEB3C5D" w14:textId="77777777" w:rsidTr="00CF1AB9">
        <w:trPr>
          <w:cantSplit/>
        </w:trPr>
        <w:tc>
          <w:tcPr>
            <w:tcW w:w="0" w:type="auto"/>
          </w:tcPr>
          <w:p w14:paraId="6AF88964" w14:textId="77777777" w:rsidR="002815A0" w:rsidRDefault="002815A0" w:rsidP="00CF1AB9">
            <w:pPr>
              <w:pStyle w:val="Paragraph"/>
              <w:jc w:val="left"/>
              <w:rPr>
                <w:i/>
              </w:rPr>
            </w:pPr>
            <w:r>
              <w:rPr>
                <w:i/>
              </w:rPr>
              <w:t>IT</w:t>
            </w:r>
            <w:r>
              <w:rPr>
                <w:i/>
                <w:vertAlign w:val="subscript"/>
              </w:rPr>
              <w:t>TRj</w:t>
            </w:r>
            <w:r>
              <w:rPr>
                <w:vertAlign w:val="subscript"/>
              </w:rPr>
              <w:t>,</w:t>
            </w:r>
            <w:r>
              <w:rPr>
                <w:i/>
                <w:vertAlign w:val="subscript"/>
              </w:rPr>
              <w:t>k,l</w:t>
            </w:r>
          </w:p>
        </w:tc>
        <w:tc>
          <w:tcPr>
            <w:tcW w:w="0" w:type="auto"/>
          </w:tcPr>
          <w:p w14:paraId="5BBBBA69" w14:textId="77777777" w:rsidR="002815A0" w:rsidRDefault="002815A0" w:rsidP="00CF1AB9">
            <w:pPr>
              <w:pStyle w:val="Paragraph"/>
              <w:jc w:val="left"/>
            </w:pPr>
            <w:r>
              <w:t xml:space="preserve">The transmission right for the import Energy Transfer schedule </w:t>
            </w:r>
            <w:r>
              <w:rPr>
                <w:i/>
              </w:rPr>
              <w:t>l</w:t>
            </w:r>
            <w:r>
              <w:t xml:space="preserve"> of EIM BAA </w:t>
            </w:r>
            <w:r>
              <w:rPr>
                <w:i/>
              </w:rPr>
              <w:t>j</w:t>
            </w:r>
            <w:r>
              <w:t xml:space="preserve"> from BAA </w:t>
            </w:r>
            <w:r>
              <w:rPr>
                <w:i/>
              </w:rPr>
              <w:t>k</w:t>
            </w:r>
            <w:r>
              <w:t xml:space="preserve"> in the EIM Area.</w:t>
            </w:r>
          </w:p>
        </w:tc>
      </w:tr>
      <w:tr w:rsidR="002815A0" w14:paraId="4ECB1AAD" w14:textId="77777777" w:rsidTr="00CF1AB9">
        <w:trPr>
          <w:cantSplit/>
        </w:trPr>
        <w:tc>
          <w:tcPr>
            <w:tcW w:w="0" w:type="auto"/>
          </w:tcPr>
          <w:p w14:paraId="1A779D0B" w14:textId="77777777" w:rsidR="002815A0" w:rsidRDefault="002815A0" w:rsidP="00CF1AB9">
            <w:pPr>
              <w:pStyle w:val="Paragraph"/>
              <w:jc w:val="left"/>
              <w:rPr>
                <w:i/>
              </w:rPr>
            </w:pPr>
            <w:r>
              <w:rPr>
                <w:i/>
              </w:rPr>
              <w:t>ET</w:t>
            </w:r>
            <w:r>
              <w:rPr>
                <w:i/>
                <w:vertAlign w:val="subscript"/>
              </w:rPr>
              <w:t>TRj</w:t>
            </w:r>
            <w:r>
              <w:rPr>
                <w:vertAlign w:val="subscript"/>
              </w:rPr>
              <w:t>,</w:t>
            </w:r>
            <w:r>
              <w:rPr>
                <w:i/>
                <w:vertAlign w:val="subscript"/>
              </w:rPr>
              <w:t>k,l</w:t>
            </w:r>
          </w:p>
        </w:tc>
        <w:tc>
          <w:tcPr>
            <w:tcW w:w="0" w:type="auto"/>
          </w:tcPr>
          <w:p w14:paraId="79D07FFE" w14:textId="77777777" w:rsidR="002815A0" w:rsidRDefault="002815A0" w:rsidP="00CF1AB9">
            <w:pPr>
              <w:pStyle w:val="Paragraph"/>
              <w:jc w:val="left"/>
            </w:pPr>
            <w:r>
              <w:t xml:space="preserve">The transmission right of the export Energy Transfer schedule </w:t>
            </w:r>
            <w:r>
              <w:rPr>
                <w:i/>
              </w:rPr>
              <w:t>l</w:t>
            </w:r>
            <w:r>
              <w:t xml:space="preserve"> of EIM BAA </w:t>
            </w:r>
            <w:r>
              <w:rPr>
                <w:i/>
              </w:rPr>
              <w:t>j</w:t>
            </w:r>
            <w:r>
              <w:t xml:space="preserve"> to BAA </w:t>
            </w:r>
            <w:r>
              <w:rPr>
                <w:i/>
              </w:rPr>
              <w:t>k</w:t>
            </w:r>
            <w:r>
              <w:t xml:space="preserve"> in the EIM Area.</w:t>
            </w:r>
          </w:p>
        </w:tc>
      </w:tr>
      <w:tr w:rsidR="002815A0" w14:paraId="023ED9DF" w14:textId="77777777" w:rsidTr="00CF1AB9">
        <w:trPr>
          <w:cantSplit/>
        </w:trPr>
        <w:tc>
          <w:tcPr>
            <w:tcW w:w="0" w:type="auto"/>
          </w:tcPr>
          <w:p w14:paraId="60CB2BCC" w14:textId="77777777" w:rsidR="002815A0" w:rsidRDefault="002815A0" w:rsidP="00CF1AB9">
            <w:pPr>
              <w:pStyle w:val="Paragraph"/>
              <w:jc w:val="left"/>
              <w:rPr>
                <w:i/>
              </w:rPr>
            </w:pPr>
            <w:r>
              <w:rPr>
                <w:i/>
              </w:rPr>
              <w:t>IT</w:t>
            </w:r>
            <w:r>
              <w:rPr>
                <w:i/>
                <w:vertAlign w:val="subscript"/>
              </w:rPr>
              <w:t>MAX15j</w:t>
            </w:r>
            <w:r>
              <w:rPr>
                <w:vertAlign w:val="subscript"/>
              </w:rPr>
              <w:t>,</w:t>
            </w:r>
            <w:r>
              <w:rPr>
                <w:i/>
                <w:vertAlign w:val="subscript"/>
              </w:rPr>
              <w:t>k,l</w:t>
            </w:r>
          </w:p>
        </w:tc>
        <w:tc>
          <w:tcPr>
            <w:tcW w:w="0" w:type="auto"/>
          </w:tcPr>
          <w:p w14:paraId="6D5C1FDA" w14:textId="77777777" w:rsidR="002815A0" w:rsidRDefault="002815A0" w:rsidP="00CF1AB9">
            <w:pPr>
              <w:pStyle w:val="Paragraph"/>
              <w:jc w:val="left"/>
            </w:pPr>
            <w:r>
              <w:t xml:space="preserve">The static limit for the import Energy Transfer schedule </w:t>
            </w:r>
            <w:r>
              <w:rPr>
                <w:i/>
              </w:rPr>
              <w:t>l</w:t>
            </w:r>
            <w:r>
              <w:t xml:space="preserve"> of EIM BAA </w:t>
            </w:r>
            <w:r>
              <w:rPr>
                <w:i/>
              </w:rPr>
              <w:t>j</w:t>
            </w:r>
            <w:r>
              <w:t xml:space="preserve"> from BAA </w:t>
            </w:r>
            <w:r>
              <w:rPr>
                <w:i/>
              </w:rPr>
              <w:t>k</w:t>
            </w:r>
            <w:r>
              <w:t xml:space="preserve"> in the EIM Area.</w:t>
            </w:r>
          </w:p>
        </w:tc>
      </w:tr>
      <w:tr w:rsidR="002815A0" w14:paraId="38523CEE" w14:textId="77777777" w:rsidTr="00CF1AB9">
        <w:trPr>
          <w:cantSplit/>
        </w:trPr>
        <w:tc>
          <w:tcPr>
            <w:tcW w:w="0" w:type="auto"/>
          </w:tcPr>
          <w:p w14:paraId="4038F43D" w14:textId="77777777" w:rsidR="002815A0" w:rsidRDefault="002815A0" w:rsidP="00CF1AB9">
            <w:pPr>
              <w:pStyle w:val="Paragraph"/>
              <w:jc w:val="left"/>
              <w:rPr>
                <w:i/>
              </w:rPr>
            </w:pPr>
            <w:r>
              <w:rPr>
                <w:i/>
              </w:rPr>
              <w:t>ET</w:t>
            </w:r>
            <w:r>
              <w:rPr>
                <w:i/>
                <w:vertAlign w:val="subscript"/>
              </w:rPr>
              <w:t>MAX15j</w:t>
            </w:r>
            <w:r>
              <w:rPr>
                <w:vertAlign w:val="subscript"/>
              </w:rPr>
              <w:t>,</w:t>
            </w:r>
            <w:r>
              <w:rPr>
                <w:i/>
                <w:vertAlign w:val="subscript"/>
              </w:rPr>
              <w:t>k,l</w:t>
            </w:r>
          </w:p>
        </w:tc>
        <w:tc>
          <w:tcPr>
            <w:tcW w:w="0" w:type="auto"/>
          </w:tcPr>
          <w:p w14:paraId="63FE92CA" w14:textId="77777777" w:rsidR="002815A0" w:rsidRDefault="002815A0" w:rsidP="00CF1AB9">
            <w:pPr>
              <w:pStyle w:val="Paragraph"/>
              <w:jc w:val="left"/>
            </w:pPr>
            <w:r>
              <w:t xml:space="preserve">The static limit of the export Energy Transfer schedule </w:t>
            </w:r>
            <w:r>
              <w:rPr>
                <w:i/>
              </w:rPr>
              <w:t>l</w:t>
            </w:r>
            <w:r>
              <w:t xml:space="preserve"> of EIM BAA </w:t>
            </w:r>
            <w:r>
              <w:rPr>
                <w:i/>
              </w:rPr>
              <w:t>j</w:t>
            </w:r>
            <w:r>
              <w:t xml:space="preserve"> to BAA </w:t>
            </w:r>
            <w:r>
              <w:rPr>
                <w:i/>
              </w:rPr>
              <w:t>k</w:t>
            </w:r>
            <w:r>
              <w:t xml:space="preserve"> in the EIM Area.</w:t>
            </w:r>
          </w:p>
        </w:tc>
      </w:tr>
      <w:tr w:rsidR="002815A0" w14:paraId="295DF70B" w14:textId="77777777" w:rsidTr="00CF1AB9">
        <w:trPr>
          <w:cantSplit/>
        </w:trPr>
        <w:tc>
          <w:tcPr>
            <w:tcW w:w="0" w:type="auto"/>
          </w:tcPr>
          <w:p w14:paraId="45F83F5E" w14:textId="77777777" w:rsidR="002815A0" w:rsidRDefault="002815A0" w:rsidP="00CF1AB9">
            <w:pPr>
              <w:pStyle w:val="Paragraph"/>
              <w:jc w:val="left"/>
              <w:rPr>
                <w:i/>
              </w:rPr>
            </w:pPr>
            <w:r>
              <w:rPr>
                <w:i/>
              </w:rPr>
              <w:t>IT</w:t>
            </w:r>
            <w:r>
              <w:rPr>
                <w:i/>
                <w:vertAlign w:val="subscript"/>
              </w:rPr>
              <w:t>MAX5j</w:t>
            </w:r>
            <w:r>
              <w:rPr>
                <w:vertAlign w:val="subscript"/>
              </w:rPr>
              <w:t>,</w:t>
            </w:r>
            <w:r>
              <w:rPr>
                <w:i/>
                <w:vertAlign w:val="subscript"/>
              </w:rPr>
              <w:t>k,l</w:t>
            </w:r>
          </w:p>
        </w:tc>
        <w:tc>
          <w:tcPr>
            <w:tcW w:w="0" w:type="auto"/>
          </w:tcPr>
          <w:p w14:paraId="5FA3C8DF" w14:textId="77777777" w:rsidR="002815A0" w:rsidRDefault="002815A0" w:rsidP="00CF1AB9">
            <w:pPr>
              <w:pStyle w:val="Paragraph"/>
              <w:jc w:val="left"/>
            </w:pPr>
            <w:r>
              <w:t xml:space="preserve">The dynamic incremental limit for the import Energy Transfer schedule </w:t>
            </w:r>
            <w:r>
              <w:rPr>
                <w:i/>
              </w:rPr>
              <w:t>l</w:t>
            </w:r>
            <w:r>
              <w:t xml:space="preserve"> of EIM BAA </w:t>
            </w:r>
            <w:r>
              <w:rPr>
                <w:i/>
              </w:rPr>
              <w:t>j</w:t>
            </w:r>
            <w:r>
              <w:t xml:space="preserve"> from BAA </w:t>
            </w:r>
            <w:r>
              <w:rPr>
                <w:i/>
              </w:rPr>
              <w:t>k</w:t>
            </w:r>
            <w:r>
              <w:t xml:space="preserve"> in the EIM Area.</w:t>
            </w:r>
          </w:p>
        </w:tc>
      </w:tr>
      <w:tr w:rsidR="002815A0" w14:paraId="3645C76F" w14:textId="77777777" w:rsidTr="00CF1AB9">
        <w:trPr>
          <w:cantSplit/>
        </w:trPr>
        <w:tc>
          <w:tcPr>
            <w:tcW w:w="0" w:type="auto"/>
          </w:tcPr>
          <w:p w14:paraId="14DB2748" w14:textId="77777777" w:rsidR="002815A0" w:rsidRDefault="002815A0" w:rsidP="00CF1AB9">
            <w:pPr>
              <w:pStyle w:val="Paragraph"/>
              <w:jc w:val="left"/>
              <w:rPr>
                <w:i/>
              </w:rPr>
            </w:pPr>
            <w:r>
              <w:rPr>
                <w:i/>
              </w:rPr>
              <w:t>ET</w:t>
            </w:r>
            <w:r>
              <w:rPr>
                <w:i/>
                <w:vertAlign w:val="subscript"/>
              </w:rPr>
              <w:t>MAX5j</w:t>
            </w:r>
            <w:r>
              <w:rPr>
                <w:vertAlign w:val="subscript"/>
              </w:rPr>
              <w:t>,</w:t>
            </w:r>
            <w:r>
              <w:rPr>
                <w:i/>
                <w:vertAlign w:val="subscript"/>
              </w:rPr>
              <w:t>k,l</w:t>
            </w:r>
          </w:p>
        </w:tc>
        <w:tc>
          <w:tcPr>
            <w:tcW w:w="0" w:type="auto"/>
          </w:tcPr>
          <w:p w14:paraId="367EB72B" w14:textId="77777777" w:rsidR="002815A0" w:rsidRDefault="002815A0" w:rsidP="00CF1AB9">
            <w:pPr>
              <w:pStyle w:val="Paragraph"/>
              <w:jc w:val="left"/>
            </w:pPr>
            <w:r>
              <w:t xml:space="preserve">The dynamic incremental limit of the export Energy Transfer schedule </w:t>
            </w:r>
            <w:r>
              <w:rPr>
                <w:i/>
              </w:rPr>
              <w:t>l</w:t>
            </w:r>
            <w:r>
              <w:t xml:space="preserve"> of EIM BAA </w:t>
            </w:r>
            <w:r>
              <w:rPr>
                <w:i/>
              </w:rPr>
              <w:t>j</w:t>
            </w:r>
            <w:r>
              <w:t xml:space="preserve"> to BAA </w:t>
            </w:r>
            <w:r>
              <w:rPr>
                <w:i/>
              </w:rPr>
              <w:t>k</w:t>
            </w:r>
            <w:r>
              <w:t xml:space="preserve"> in the EIM Area.</w:t>
            </w:r>
          </w:p>
        </w:tc>
      </w:tr>
      <w:tr w:rsidR="002815A0" w14:paraId="2EB85E8B" w14:textId="77777777" w:rsidTr="00CF1AB9">
        <w:trPr>
          <w:cantSplit/>
        </w:trPr>
        <w:tc>
          <w:tcPr>
            <w:tcW w:w="0" w:type="auto"/>
          </w:tcPr>
          <w:p w14:paraId="2E00CCDC" w14:textId="77777777" w:rsidR="002815A0" w:rsidRDefault="002815A0" w:rsidP="00CF1AB9">
            <w:pPr>
              <w:pStyle w:val="Paragraph"/>
              <w:jc w:val="left"/>
              <w:rPr>
                <w:i/>
              </w:rPr>
            </w:pPr>
            <w:r>
              <w:rPr>
                <w:i/>
              </w:rPr>
              <w:t>C</w:t>
            </w:r>
            <w:r>
              <w:rPr>
                <w:i/>
                <w:vertAlign w:val="subscript"/>
              </w:rPr>
              <w:t>j</w:t>
            </w:r>
            <w:r>
              <w:rPr>
                <w:vertAlign w:val="subscript"/>
              </w:rPr>
              <w:t>,</w:t>
            </w:r>
            <w:r>
              <w:rPr>
                <w:i/>
                <w:vertAlign w:val="subscript"/>
              </w:rPr>
              <w:t>k</w:t>
            </w:r>
          </w:p>
        </w:tc>
        <w:tc>
          <w:tcPr>
            <w:tcW w:w="0" w:type="auto"/>
          </w:tcPr>
          <w:p w14:paraId="6FBFDE19" w14:textId="77777777" w:rsidR="002815A0" w:rsidRDefault="002815A0" w:rsidP="00CF1AB9">
            <w:pPr>
              <w:pStyle w:val="Paragraph"/>
              <w:jc w:val="left"/>
            </w:pPr>
            <w:r>
              <w:t xml:space="preserve">The transmission cost of the Energy Transfer schedules of EIM BAA </w:t>
            </w:r>
            <w:r>
              <w:rPr>
                <w:i/>
              </w:rPr>
              <w:t>j</w:t>
            </w:r>
            <w:r>
              <w:t xml:space="preserve"> from/to BAA </w:t>
            </w:r>
            <w:r>
              <w:rPr>
                <w:i/>
              </w:rPr>
              <w:t>k</w:t>
            </w:r>
            <w:r>
              <w:t xml:space="preserve"> in the EIM Area.</w:t>
            </w:r>
          </w:p>
        </w:tc>
      </w:tr>
      <w:tr w:rsidR="00F57D97" w14:paraId="7B8575AA" w14:textId="77777777" w:rsidTr="00CF1AB9">
        <w:trPr>
          <w:cantSplit/>
        </w:trPr>
        <w:tc>
          <w:tcPr>
            <w:tcW w:w="0" w:type="auto"/>
          </w:tcPr>
          <w:p w14:paraId="720FBEE7" w14:textId="77777777" w:rsidR="00F57D97" w:rsidRDefault="00F57D97" w:rsidP="00CF1AB9">
            <w:pPr>
              <w:pStyle w:val="Paragraph"/>
              <w:jc w:val="left"/>
              <w:rPr>
                <w:i/>
              </w:rPr>
            </w:pPr>
          </w:p>
        </w:tc>
        <w:tc>
          <w:tcPr>
            <w:tcW w:w="0" w:type="auto"/>
          </w:tcPr>
          <w:p w14:paraId="611B9DE6" w14:textId="77777777" w:rsidR="00F57D97" w:rsidRDefault="00F57D97" w:rsidP="00CF1AB9">
            <w:pPr>
              <w:pStyle w:val="Paragraph"/>
              <w:jc w:val="left"/>
            </w:pPr>
          </w:p>
        </w:tc>
      </w:tr>
    </w:tbl>
    <w:p w14:paraId="49FFF74A" w14:textId="77777777" w:rsidR="002815A0" w:rsidRDefault="002815A0" w:rsidP="00B96223">
      <w:pPr>
        <w:pStyle w:val="Heading5"/>
      </w:pPr>
      <w:r>
        <w:t>Mathematical Formulation</w:t>
      </w:r>
    </w:p>
    <w:p w14:paraId="7BBEA786" w14:textId="77777777" w:rsidR="002815A0" w:rsidRPr="00F57D97" w:rsidRDefault="002815A0" w:rsidP="00877DDB">
      <w:pPr>
        <w:pStyle w:val="BPM"/>
      </w:pPr>
      <w:r w:rsidRPr="00F57D97">
        <w:t>This section describes the relevant calculations and mathematical formulae.</w:t>
      </w:r>
    </w:p>
    <w:p w14:paraId="5C2DB11F" w14:textId="77777777" w:rsidR="00F57D97" w:rsidRDefault="00F57D97" w:rsidP="00B96223">
      <w:pPr>
        <w:pStyle w:val="Heading6"/>
      </w:pPr>
    </w:p>
    <w:p w14:paraId="5FF0CC66" w14:textId="77777777" w:rsidR="002815A0" w:rsidRPr="000D137E" w:rsidRDefault="002815A0" w:rsidP="00B96223">
      <w:pPr>
        <w:pStyle w:val="Heading6"/>
      </w:pPr>
      <w:r>
        <w:t>Base Schedules</w:t>
      </w:r>
    </w:p>
    <w:p w14:paraId="33DE529A" w14:textId="77777777" w:rsidR="002815A0" w:rsidRDefault="002815A0" w:rsidP="00877DDB">
      <w:pPr>
        <w:pStyle w:val="BPM"/>
      </w:pPr>
      <w:r>
        <w:t xml:space="preserve">The base Energy Transfer schedules between EIM BAAs are submitted along with the generation and intertie base schedules ahead of the market run. The base Energy Transfer schedules between EIM </w:t>
      </w:r>
      <w:r>
        <w:lastRenderedPageBreak/>
        <w:t>BAAs and the CISO are the corresponding intertie schedules from the Residual Unit Commitment (RUC)</w:t>
      </w:r>
      <w:r>
        <w:rPr>
          <w:rStyle w:val="FootnoteReference"/>
        </w:rPr>
        <w:footnoteReference w:id="2"/>
      </w:r>
      <w:r>
        <w:t xml:space="preserve"> and need not be submitted since they are known:</w:t>
      </w:r>
    </w:p>
    <w:p w14:paraId="7313A6D9" w14:textId="77777777" w:rsidR="002815A0" w:rsidRDefault="00AE7E55">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j,0,l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0,j,l</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j,0,l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0,j,l</m:t>
                        </m:r>
                      </m:sub>
                    </m:sSub>
                  </m:e>
                </m:mr>
              </m:m>
            </m:e>
          </m:d>
          <m:r>
            <w:rPr>
              <w:rFonts w:ascii="Cambria Math" w:hAnsi="Cambria Math"/>
            </w:rPr>
            <m:t xml:space="preserve">  ∀j∈EIM∧j&gt;0</m:t>
          </m:r>
        </m:oMath>
      </m:oMathPara>
    </w:p>
    <w:p w14:paraId="53F4C8EB" w14:textId="77777777" w:rsidR="002815A0" w:rsidRDefault="002815A0" w:rsidP="00877DDB">
      <w:pPr>
        <w:pStyle w:val="BPM"/>
      </w:pPr>
      <w:r>
        <w:t>The base Energy Transfer schedules between EIM BAAs on the same intertie must be matching:</w:t>
      </w:r>
    </w:p>
    <w:p w14:paraId="70CCC366"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k,j,l</m:t>
              </m:r>
            </m:sub>
          </m:sSub>
          <m:r>
            <w:rPr>
              <w:rFonts w:ascii="Cambria Math" w:hAnsi="Cambria Math"/>
            </w:rPr>
            <m:t xml:space="preserve">  ∀j,k∈EIM∧j≠k∧j,k&gt;0</m:t>
          </m:r>
        </m:oMath>
      </m:oMathPara>
    </w:p>
    <w:p w14:paraId="7A710CB3" w14:textId="77777777" w:rsidR="002815A0" w:rsidRDefault="002815A0" w:rsidP="00877DDB">
      <w:pPr>
        <w:pStyle w:val="BPM"/>
      </w:pPr>
      <w:r>
        <w:t>The base Energy Transfer schedules on a given intertie between two BAAs are submitted only for the ETSRs of one BAA, whereas the base Energy Transfer schedules for their ETSR counterparts of the other BAA are set to match. An ETSR attribute in the Master File is used to designate the ETSRs for which base Energy Transfer schedules are submitted and used for tagging, as explained in §</w:t>
      </w:r>
      <w:r>
        <w:fldChar w:fldCharType="begin"/>
      </w:r>
      <w:r>
        <w:instrText xml:space="preserve"> REF _Ref409597401 \n \h </w:instrText>
      </w:r>
      <w:r w:rsidR="00DF02D8">
        <w:instrText xml:space="preserve"> \* MERGEFORMAT </w:instrText>
      </w:r>
      <w:r>
        <w:fldChar w:fldCharType="separate"/>
      </w:r>
      <w:r w:rsidR="00476B3D">
        <w:t>0</w:t>
      </w:r>
      <w:r>
        <w:fldChar w:fldCharType="end"/>
      </w:r>
      <w:r>
        <w:t>.</w:t>
      </w:r>
    </w:p>
    <w:p w14:paraId="5E01178D" w14:textId="77777777" w:rsidR="002815A0" w:rsidRDefault="002815A0" w:rsidP="00877DDB">
      <w:pPr>
        <w:pStyle w:val="BPM"/>
      </w:pPr>
      <w:r>
        <w:t>It is assumed that the base Energy Transfer schedules are feasible:</w:t>
      </w:r>
    </w:p>
    <w:p w14:paraId="6AF1650C" w14:textId="77777777" w:rsidR="002815A0" w:rsidRDefault="00AE7E55">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r>
                      <w:rPr>
                        <w:rFonts w:ascii="Cambria Math" w:hAnsi="Cambria Math"/>
                      </w:rPr>
                      <m:t>0≤</m:t>
                    </m:r>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MAXj,k,l</m:t>
                        </m:r>
                      </m:sub>
                    </m:sSub>
                  </m:e>
                </m:mr>
                <m:mr>
                  <m:e>
                    <m:r>
                      <w:rPr>
                        <w:rFonts w:ascii="Cambria Math" w:hAnsi="Cambria Math"/>
                      </w:rPr>
                      <m:t>0≤</m:t>
                    </m:r>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MAXj,k,l</m:t>
                        </m:r>
                      </m:sub>
                    </m:sSub>
                  </m:e>
                </m:mr>
              </m:m>
            </m:e>
          </m:d>
          <m:r>
            <w:rPr>
              <w:rFonts w:ascii="Cambria Math" w:hAnsi="Cambria Math"/>
            </w:rPr>
            <m:t xml:space="preserve">  ∀j,k∈EIM∧j≠k∧j&gt;0</m:t>
          </m:r>
        </m:oMath>
      </m:oMathPara>
    </w:p>
    <w:p w14:paraId="49BE5B9E" w14:textId="77777777" w:rsidR="002815A0" w:rsidRDefault="002815A0" w:rsidP="00877DDB">
      <w:pPr>
        <w:pStyle w:val="BPM"/>
      </w:pPr>
      <w:r>
        <w:t>For efficiency, there should not be both an import and an export base Energy Transfer schedule on a given intertie; at least one of them ought to be zero.</w:t>
      </w:r>
    </w:p>
    <w:p w14:paraId="26CDA9B8" w14:textId="77777777" w:rsidR="002815A0" w:rsidRDefault="002815A0" w:rsidP="00877DDB">
      <w:pPr>
        <w:pStyle w:val="BPM"/>
      </w:pPr>
      <w:r>
        <w:t>The base EIM Transfer for each EIM BAA is the net of all base Energy Transfer schedules:</w:t>
      </w:r>
    </w:p>
    <w:p w14:paraId="3AF4D235" w14:textId="77777777" w:rsidR="002815A0" w:rsidRPr="00726F7E"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e>
                  </m:d>
                </m:e>
              </m:nary>
            </m:e>
          </m:nary>
          <m:r>
            <w:rPr>
              <w:rFonts w:ascii="Cambria Math" w:hAnsi="Cambria Math"/>
            </w:rPr>
            <m:t xml:space="preserve">  ∀j∈EIM∧j&gt;0</m:t>
          </m:r>
        </m:oMath>
      </m:oMathPara>
    </w:p>
    <w:p w14:paraId="5D311757" w14:textId="77777777" w:rsidR="002815A0" w:rsidRDefault="002815A0" w:rsidP="00877DDB">
      <w:pPr>
        <w:pStyle w:val="BPM"/>
      </w:pPr>
      <w:r>
        <w:lastRenderedPageBreak/>
        <w:t>The base EIM Transfer for the CISO is simply the negative sum of the base EIM Transfers of all EIM BAAs:</w:t>
      </w:r>
      <w:r w:rsidRPr="001E6D71">
        <w:rPr>
          <w:vertAlign w:val="superscript"/>
        </w:rPr>
        <w:t>1</w:t>
      </w:r>
    </w:p>
    <w:p w14:paraId="3F594783" w14:textId="77777777" w:rsidR="002815A0" w:rsidRPr="00726F7E"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j∈EIM</m:t>
                    </m:r>
                  </m:e>
                </m:mr>
                <m:mr>
                  <m:e>
                    <m:r>
                      <w:rPr>
                        <w:rFonts w:ascii="Cambria Math" w:hAnsi="Cambria Math"/>
                      </w:rPr>
                      <m:t>j&gt;0</m:t>
                    </m:r>
                  </m:e>
                </m:mr>
              </m:m>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e>
          </m:nary>
        </m:oMath>
      </m:oMathPara>
    </w:p>
    <w:p w14:paraId="5F193D70" w14:textId="77777777" w:rsidR="002815A0" w:rsidRDefault="002815A0" w:rsidP="00877DDB">
      <w:pPr>
        <w:pStyle w:val="BPM"/>
      </w:pPr>
      <w:r>
        <w:t>The base NSI</w:t>
      </w:r>
      <w:r w:rsidRPr="00726F7E">
        <w:t xml:space="preserve"> </w:t>
      </w:r>
      <w:r>
        <w:t>for each EIM BAA is the net of the EIM Transfer and the submitted base intertie schedules with non-EIM BAAs:</w:t>
      </w:r>
    </w:p>
    <w:p w14:paraId="6656CB26"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k∉EIM</m:t>
              </m:r>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j,k,l</m:t>
                          </m:r>
                        </m:sub>
                      </m:sSub>
                    </m:e>
                  </m:d>
                </m:e>
              </m:nary>
            </m:e>
          </m:nary>
          <m:r>
            <w:rPr>
              <w:rFonts w:ascii="Cambria Math" w:hAnsi="Cambria Math"/>
            </w:rPr>
            <m:t xml:space="preserve">  ∀j∈EIM∧j&gt;0</m:t>
          </m:r>
        </m:oMath>
      </m:oMathPara>
    </w:p>
    <w:p w14:paraId="2ABC6C5D" w14:textId="77777777" w:rsidR="002815A0" w:rsidRDefault="002815A0" w:rsidP="00877DDB">
      <w:pPr>
        <w:pStyle w:val="BPM"/>
      </w:pPr>
      <w:r>
        <w:t>The base demand in each EIM BAA is derived to achieve power balance with the submitted base generation schedules and the base NSI:</w:t>
      </w:r>
    </w:p>
    <w:p w14:paraId="1995F36B"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 xml:space="preserve">  ∀j∈EIM∧j&gt;0</m:t>
          </m:r>
        </m:oMath>
      </m:oMathPara>
    </w:p>
    <w:p w14:paraId="28A81C3A" w14:textId="77777777" w:rsidR="002815A0" w:rsidRDefault="002815A0" w:rsidP="00877DDB">
      <w:pPr>
        <w:pStyle w:val="BPM"/>
      </w:pPr>
      <w:r>
        <w:t>The base load in each EIM BAA is obtained initially by reducing the base demand with an assumed initial transmission loss and then distributing it to the load nodes in the BAA using Load Distribution Factors (LDFs); the base load is then adjusted to absorb the loss error by an AC Power Flow (ACPF) using distributed load slack and Area Interchange Control (AIC) to maintain the base NSI:</w:t>
      </w:r>
    </w:p>
    <w:p w14:paraId="544F9411"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L</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Loss</m:t>
                  </m:r>
                </m:e>
              </m:acc>
            </m:e>
            <m:sub>
              <m:r>
                <w:rPr>
                  <w:rFonts w:ascii="Cambria Math" w:hAnsi="Cambria Math"/>
                </w:rPr>
                <m:t>j</m:t>
              </m:r>
            </m:sub>
          </m:sSub>
          <m:r>
            <w:rPr>
              <w:rFonts w:ascii="Cambria Math" w:hAnsi="Cambria Math"/>
            </w:rPr>
            <m:t xml:space="preserve">  ∀j∈EIM∧j&gt;0</m:t>
          </m:r>
        </m:oMath>
      </m:oMathPara>
    </w:p>
    <w:p w14:paraId="0BF03675" w14:textId="77777777" w:rsidR="002815A0" w:rsidRDefault="002815A0" w:rsidP="00877DDB">
      <w:pPr>
        <w:pStyle w:val="BPM"/>
      </w:pPr>
      <w:r>
        <w:t>The base generation and load for the CISO are initialized at the RUC schedules; the CISO base load is also adjusted in the ACPF to account for generation and transmission outages occurred after RUC, and to absorb loss error as the CISO base NSI is maintained.</w:t>
      </w:r>
    </w:p>
    <w:p w14:paraId="1965D7A9" w14:textId="77777777" w:rsidR="002815A0" w:rsidRDefault="002815A0" w:rsidP="00877DDB">
      <w:pPr>
        <w:pStyle w:val="BPM"/>
      </w:pPr>
      <w:r>
        <w:t xml:space="preserve">The base load for EIM BAAs is significant because it is used as a reference for imbalance energy settlement; however, the base load for the CISO is not important since for the CISO the reference for imbalance energy settlement is the day-ahead schedules from the Integrated Forward Market (IFM); nevertheless, it is used in the ACPF to balance the CISO, and the FNM overall, for calculating the </w:t>
      </w:r>
      <w:r>
        <w:lastRenderedPageBreak/>
        <w:t>power flows on EIM BAA transmission branches to identify any transmission limit violations for the feasibility test.</w:t>
      </w:r>
    </w:p>
    <w:p w14:paraId="730F27DD" w14:textId="77777777" w:rsidR="002815A0" w:rsidRDefault="002815A0" w:rsidP="00877DDB">
      <w:pPr>
        <w:pStyle w:val="BPM"/>
      </w:pPr>
      <w:r>
        <w:t>For the same reason, base schedules are also calculated for non-EIM BAAs to model unscheduled loop flow through the EIM Area. The approach for the non-EIM BAA base schedules is somewhat different because they are not submitted; instead, the demand forecast and the tagged or forecasted interchange schedules with other non-EIM BAAs are used to supplement the information available for the EIM BAAs and the CISO. Specifically, the base NSI for non-EIM BAAs is derived as follows:</w:t>
      </w:r>
    </w:p>
    <w:p w14:paraId="27792F57"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j,k,l</m:t>
                          </m:r>
                        </m:sub>
                      </m:sSub>
                    </m:e>
                  </m:d>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k∈EIM</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k,j,l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k,j,l</m:t>
                      </m:r>
                    </m:sub>
                  </m:sSub>
                </m:e>
              </m:d>
            </m:e>
          </m:nary>
          <m:r>
            <w:rPr>
              <w:rFonts w:ascii="Cambria Math" w:hAnsi="Cambria Math"/>
            </w:rPr>
            <m:t xml:space="preserve">  ∀j∉EIM</m:t>
          </m:r>
        </m:oMath>
      </m:oMathPara>
    </w:p>
    <w:p w14:paraId="6F19DF5D" w14:textId="77777777" w:rsidR="002815A0" w:rsidRDefault="002815A0" w:rsidP="00877DDB">
      <w:pPr>
        <w:pStyle w:val="BPM"/>
      </w:pPr>
      <w:r>
        <w:t>The base generation in each non-EIM BAA is derived as the sum of the demand forecast</w:t>
      </w:r>
      <w:r w:rsidRPr="006828A6">
        <w:t xml:space="preserve"> </w:t>
      </w:r>
      <w:r>
        <w:t>and the base NSI, and it is distributed to the generating resources in the BAA using Generation Distribution Factors (GDFs), renormalized for generation outages:</w:t>
      </w:r>
    </w:p>
    <w:p w14:paraId="4E9AECEB" w14:textId="77777777" w:rsidR="002815A0" w:rsidRDefault="00AE7E55">
      <w:pPr>
        <w:pStyle w:val="Equation"/>
      </w:pPr>
      <m:oMathPara>
        <m:oMath>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 xml:space="preserve">  ∀j∉EIM</m:t>
          </m:r>
        </m:oMath>
      </m:oMathPara>
    </w:p>
    <w:p w14:paraId="287FD036" w14:textId="77777777" w:rsidR="002815A0" w:rsidRDefault="002815A0" w:rsidP="00877DDB">
      <w:pPr>
        <w:pStyle w:val="BPM"/>
      </w:pPr>
      <w:r>
        <w:t>The base load in each non-EIM BAA is calculated similarly to the base load in EIM BAAs.</w:t>
      </w:r>
    </w:p>
    <w:p w14:paraId="4A635D1E" w14:textId="77777777" w:rsidR="002815A0" w:rsidRDefault="002815A0" w:rsidP="00877DDB">
      <w:pPr>
        <w:pStyle w:val="BPM"/>
      </w:pPr>
      <w:r>
        <w:t>The base NSI for the CISO is simply the negative sum of the base NSIs of all BAAs in the FNM:</w:t>
      </w:r>
    </w:p>
    <w:p w14:paraId="60F815E6" w14:textId="77777777" w:rsidR="002815A0" w:rsidRDefault="00AE7E55">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j&gt;0</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e>
          </m:nary>
        </m:oMath>
      </m:oMathPara>
    </w:p>
    <w:p w14:paraId="286CF5C4" w14:textId="77777777" w:rsidR="002815A0" w:rsidRDefault="002815A0" w:rsidP="00F60F2C">
      <w:pPr>
        <w:pStyle w:val="Heading6"/>
      </w:pPr>
      <w:r>
        <w:t>Optimal NSI and EIM Transfers</w:t>
      </w:r>
    </w:p>
    <w:p w14:paraId="771D388A" w14:textId="77777777" w:rsidR="002815A0" w:rsidRDefault="002815A0" w:rsidP="00877DDB">
      <w:pPr>
        <w:pStyle w:val="BPM"/>
      </w:pPr>
      <w:r>
        <w:t>The optimal NSI for each BAA in the EIM Area, as calculated by RTUC and RTD, is the result of the optimal dispatch of resources within the BAA:</w:t>
      </w:r>
    </w:p>
    <w:p w14:paraId="370F0C41" w14:textId="77777777" w:rsidR="002815A0" w:rsidRPr="00A56EF7" w:rsidRDefault="00AE7E55">
      <w:pPr>
        <w:pStyle w:val="Equation"/>
      </w:pPr>
      <m:oMathPara>
        <m:oMathParaPr>
          <m:jc m:val="center"/>
        </m:oMathParaPr>
        <m:oMath>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cs="Calibri"/>
                    </w:rPr>
                  </m:ctrlPr>
                </m:dPr>
                <m:e>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e>
          </m:nary>
          <m:r>
            <m:rPr>
              <m:sty m:val="p"/>
            </m:rPr>
            <w:rPr>
              <w:rFonts w:ascii="Cambria Math" w:hAnsi="Cambria Math"/>
            </w:rPr>
            <m:t>-</m:t>
          </m:r>
          <m:sSub>
            <m:sSubPr>
              <m:ctrlPr>
                <w:rPr>
                  <w:rFonts w:ascii="Cambria Math" w:hAnsi="Cambria Math"/>
                  <w:i/>
                </w:rPr>
              </m:ctrlPr>
            </m:sSubPr>
            <m:e>
              <m:r>
                <w:rPr>
                  <w:rFonts w:ascii="Cambria Math" w:hAnsi="Cambria Math"/>
                </w:rPr>
                <m:t>Loss</m:t>
              </m:r>
            </m:e>
            <m:sub>
              <m:r>
                <w:rPr>
                  <w:rFonts w:ascii="Cambria Math" w:hAnsi="Cambria Math"/>
                </w:rPr>
                <m:t>j</m:t>
              </m:r>
            </m:sub>
          </m:sSub>
          <m:r>
            <w:rPr>
              <w:rFonts w:ascii="Cambria Math" w:hAnsi="Cambria Math"/>
            </w:rPr>
            <m:t xml:space="preserve">  ∀j∈EIM∧j&gt;0</m:t>
          </m:r>
        </m:oMath>
      </m:oMathPara>
    </w:p>
    <w:p w14:paraId="5755F8D9" w14:textId="77777777" w:rsidR="002815A0" w:rsidRPr="00A56EF7" w:rsidRDefault="002815A0" w:rsidP="00877DDB">
      <w:pPr>
        <w:pStyle w:val="BPM"/>
      </w:pPr>
      <w:r>
        <w:t>Linearizing from the previous ACPF solution:</w:t>
      </w:r>
    </w:p>
    <w:p w14:paraId="18387181" w14:textId="77777777" w:rsidR="002815A0" w:rsidRPr="00A56EF7" w:rsidRDefault="00AE7E55">
      <w:pPr>
        <w:pStyle w:val="Equation"/>
      </w:pPr>
      <m:oMathPara>
        <m:oMathParaPr>
          <m:jc m:val="center"/>
        </m:oMathParaPr>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e>
                </m:mr>
                <m:mr>
                  <m:e>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cs="Calibri"/>
                              </w:rPr>
                            </m:ctrlPr>
                          </m:dPr>
                          <m:e>
                            <m:sSub>
                              <m:sSubPr>
                                <m:ctrlPr>
                                  <w:rPr>
                                    <w:rFonts w:ascii="Cambria Math" w:hAnsi="Cambria Math" w:cs="Calibr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i/>
                                      </w:rPr>
                                    </m:ctrlPr>
                                  </m:accPr>
                                  <m:e>
                                    <m:r>
                                      <w:rPr>
                                        <w:rFonts w:ascii="Cambria Math" w:hAnsi="Cambria Math"/>
                                      </w:rPr>
                                      <m:t>L</m:t>
                                    </m:r>
                                  </m:e>
                                </m:acc>
                              </m:e>
                              <m:sub>
                                <m:r>
                                  <w:rPr>
                                    <w:rFonts w:ascii="Cambria Math" w:hAnsi="Cambria Math"/>
                                  </w:rPr>
                                  <m:t>i</m:t>
                                </m:r>
                              </m:sub>
                            </m:sSub>
                          </m:e>
                        </m:d>
                      </m:e>
                    </m:nary>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Loss</m:t>
                            </m:r>
                          </m:e>
                        </m:acc>
                      </m:e>
                      <m:sub>
                        <m:r>
                          <w:rPr>
                            <w:rFonts w:ascii="Cambria Math" w:hAnsi="Cambria Math"/>
                          </w:rPr>
                          <m:t>j</m:t>
                        </m:r>
                      </m:sub>
                    </m:sSub>
                  </m:e>
                </m:mr>
                <m:mr>
                  <m:e>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i</m:t>
                                </m:r>
                              </m:sub>
                            </m:sSub>
                          </m:den>
                        </m:f>
                      </m:e>
                    </m:nary>
                  </m:e>
                </m:mr>
              </m:m>
            </m:e>
          </m:d>
          <m:r>
            <w:rPr>
              <w:rFonts w:ascii="Cambria Math" w:hAnsi="Cambria Math"/>
            </w:rPr>
            <m:t xml:space="preserve"> ∀j∈EIM</m:t>
          </m:r>
        </m:oMath>
      </m:oMathPara>
    </w:p>
    <w:p w14:paraId="48671F14" w14:textId="77777777" w:rsidR="002815A0" w:rsidRDefault="002815A0" w:rsidP="00877DDB">
      <w:pPr>
        <w:pStyle w:val="BPM"/>
      </w:pPr>
      <w:r>
        <w:t>Where the optimal changes in generation and load are adjusted for marginal losses. Note that the load is not dispatched unless there is an outage or it is a dispatchable load, e.g., a hydro pump.</w:t>
      </w:r>
    </w:p>
    <w:p w14:paraId="37202B77" w14:textId="77777777" w:rsidR="002815A0" w:rsidRDefault="002815A0" w:rsidP="00877DDB">
      <w:pPr>
        <w:pStyle w:val="BPM"/>
      </w:pPr>
      <w:r>
        <w:t>The optimal EIM Transfer</w:t>
      </w:r>
      <w:r w:rsidRPr="005A13DF">
        <w:t xml:space="preserve"> </w:t>
      </w:r>
      <w:r>
        <w:t>for each EIM BAA is derived from the optimal NSI by subtracting the next export interchange with non-EIM BAAs:</w:t>
      </w:r>
    </w:p>
    <w:p w14:paraId="68304EF7" w14:textId="77777777" w:rsidR="002815A0" w:rsidRPr="00607FAC" w:rsidRDefault="00AE7E55">
      <w:pPr>
        <w:pStyle w:val="Equation"/>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sSub>
                        <m:sSubPr>
                          <m:ctrlPr>
                            <w:rPr>
                              <w:rFonts w:ascii="Cambria Math" w:hAnsi="Cambria Math" w:cs="Calibri"/>
                            </w:rPr>
                          </m:ctrlPr>
                        </m:sSubPr>
                        <m:e>
                          <m:r>
                            <w:rPr>
                              <w:rFonts w:ascii="Cambria Math" w:hAnsi="Cambria Math"/>
                            </w:rPr>
                            <m:t>E</m:t>
                          </m:r>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j,k,l</m:t>
                          </m:r>
                        </m:sub>
                      </m:sSub>
                    </m:e>
                  </m:d>
                </m:e>
              </m:nary>
            </m:e>
          </m:nary>
          <m:r>
            <w:rPr>
              <w:rFonts w:ascii="Cambria Math" w:hAnsi="Cambria Math"/>
            </w:rPr>
            <m:t xml:space="preserve">  ∀j∈EIM∧j&gt;0</m:t>
          </m:r>
        </m:oMath>
      </m:oMathPara>
    </w:p>
    <w:p w14:paraId="205258A9" w14:textId="77777777" w:rsidR="002815A0" w:rsidRPr="00A56EF7" w:rsidRDefault="002815A0" w:rsidP="00877DDB">
      <w:pPr>
        <w:pStyle w:val="BPM"/>
      </w:pPr>
      <w:r>
        <w:t>Linearizing from the previous ACPF solution:</w:t>
      </w:r>
    </w:p>
    <w:p w14:paraId="122019B3" w14:textId="77777777" w:rsidR="002815A0" w:rsidRPr="00A56EF7" w:rsidRDefault="00AE7E55">
      <w:pPr>
        <w:pStyle w:val="Equation"/>
      </w:pPr>
      <m:oMathPara>
        <m:oMathParaPr>
          <m:jc m:val="center"/>
        </m:oMathParaPr>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T</m:t>
                            </m:r>
                          </m:e>
                        </m:acc>
                      </m:e>
                      <m:sub>
                        <m:r>
                          <w:rPr>
                            <w:rFonts w:ascii="Cambria Math" w:hAnsi="Cambria Math" w:cs="Calibri"/>
                          </w:rPr>
                          <m:t>j</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mr>
                <m:mr>
                  <m:e>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T</m:t>
                            </m:r>
                          </m:e>
                        </m:acc>
                      </m:e>
                      <m:sub>
                        <m:r>
                          <w:rPr>
                            <w:rFonts w:ascii="Cambria Math" w:hAnsi="Cambria Math" w:cs="Calibri"/>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sSub>
                                  <m:sSubPr>
                                    <m:ctrlPr>
                                      <w:rPr>
                                        <w:rFonts w:ascii="Cambria Math" w:hAnsi="Cambria Math" w:cs="Calibri"/>
                                      </w:rPr>
                                    </m:ctrlPr>
                                  </m:sSubPr>
                                  <m:e>
                                    <m:acc>
                                      <m:accPr>
                                        <m:chr m:val="̃"/>
                                        <m:ctrlPr>
                                          <w:rPr>
                                            <w:rFonts w:ascii="Cambria Math" w:hAnsi="Cambria Math"/>
                                            <w:i/>
                                          </w:rPr>
                                        </m:ctrlPr>
                                      </m:accPr>
                                      <m:e>
                                        <m:r>
                                          <w:rPr>
                                            <w:rFonts w:ascii="Cambria Math" w:hAnsi="Cambria Math"/>
                                          </w:rPr>
                                          <m:t>E</m:t>
                                        </m:r>
                                      </m:e>
                                    </m:acc>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i/>
                                          </w:rPr>
                                        </m:ctrlPr>
                                      </m:accPr>
                                      <m:e>
                                        <m:r>
                                          <w:rPr>
                                            <w:rFonts w:ascii="Cambria Math" w:hAnsi="Cambria Math"/>
                                          </w:rPr>
                                          <m:t>I</m:t>
                                        </m:r>
                                      </m:e>
                                    </m:acc>
                                  </m:e>
                                  <m:sub>
                                    <m:r>
                                      <w:rPr>
                                        <w:rFonts w:ascii="Cambria Math" w:hAnsi="Cambria Math"/>
                                      </w:rPr>
                                      <m:t>j,k,l</m:t>
                                    </m:r>
                                  </m:sub>
                                </m:sSub>
                              </m:e>
                            </m:d>
                          </m:e>
                        </m:nary>
                      </m:e>
                    </m:nary>
                  </m:e>
                </m:mr>
                <m:mr>
                  <m:e>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i</m:t>
                                </m:r>
                              </m:sub>
                            </m:sSub>
                          </m:den>
                        </m:f>
                      </m:e>
                    </m:nary>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E</m:t>
                                        </m:r>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j,k,l</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j,k,l</m:t>
                                    </m:r>
                                  </m:sub>
                                </m:sSub>
                              </m:den>
                            </m:f>
                          </m:e>
                        </m:nary>
                      </m:e>
                    </m:nary>
                  </m:e>
                </m:mr>
              </m:m>
            </m:e>
          </m:d>
          <m:r>
            <w:rPr>
              <w:rFonts w:ascii="Cambria Math" w:hAnsi="Cambria Math"/>
            </w:rPr>
            <m:t xml:space="preserve"> ∀j∈EIM∧j&gt;0</m:t>
          </m:r>
        </m:oMath>
      </m:oMathPara>
    </w:p>
    <w:p w14:paraId="74869462" w14:textId="77777777" w:rsidR="002815A0" w:rsidRDefault="002815A0" w:rsidP="00877DDB">
      <w:pPr>
        <w:pStyle w:val="BPM"/>
      </w:pPr>
      <w:r>
        <w:t>Note that marginal loss contributions from network branches external to the EIM Area are ignored in the Loss Penalty Factors; consequently, the effect of intertie schedules between non-EIM BAAs and BAAs in the EIM Area on the EIM Area losses is the same as if the energy was generated or consumed at the EIM Area boundary.</w:t>
      </w:r>
    </w:p>
    <w:p w14:paraId="69F761D2" w14:textId="77777777" w:rsidR="002815A0" w:rsidRDefault="002815A0" w:rsidP="00877DDB">
      <w:pPr>
        <w:pStyle w:val="BPM"/>
      </w:pPr>
      <w:r>
        <w:t>The optimal EIM Transfer for the CISO is simply the negative sum of the optimal EIM Transfers of all EIM BAAs:</w:t>
      </w:r>
    </w:p>
    <w:p w14:paraId="5270969F" w14:textId="77777777" w:rsidR="002815A0" w:rsidRPr="00726F7E" w:rsidRDefault="00AE7E55">
      <w:pPr>
        <w:pStyle w:val="Equation"/>
      </w:pPr>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j∈EIM</m:t>
                    </m:r>
                  </m:e>
                </m:mr>
                <m:mr>
                  <m:e>
                    <m:r>
                      <w:rPr>
                        <w:rFonts w:ascii="Cambria Math" w:hAnsi="Cambria Math"/>
                      </w:rPr>
                      <m:t>j&gt;0</m:t>
                    </m:r>
                  </m:e>
                </m:mr>
              </m:m>
            </m:sub>
            <m:sup/>
            <m:e>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444F29BA" w14:textId="77777777" w:rsidR="002815A0" w:rsidRDefault="002815A0" w:rsidP="00877DDB">
      <w:pPr>
        <w:pStyle w:val="BPM"/>
      </w:pPr>
      <w:r>
        <w:lastRenderedPageBreak/>
        <w:t>The aggregate interchange dispatch</w:t>
      </w:r>
      <w:r w:rsidRPr="00607FAC">
        <w:t xml:space="preserve"> </w:t>
      </w:r>
      <w:r>
        <w:t>at non-EIM BAA Scheduling Points/Hubs determines the NSI deviation (from the base NSI) of non-EIM BAAs and it is distributed to the generating resources</w:t>
      </w:r>
      <w:r w:rsidRPr="00C81B79">
        <w:t xml:space="preserve"> </w:t>
      </w:r>
      <w:r>
        <w:t>of the relevant Generation Aggregation Point (GAP) using the applicable GDFs:</w:t>
      </w:r>
    </w:p>
    <w:p w14:paraId="2C00A7DA" w14:textId="77777777" w:rsidR="002815A0" w:rsidRDefault="00AE7E55">
      <w:pPr>
        <w:pStyle w:val="Equation"/>
      </w:pPr>
      <m:oMathPara>
        <m:oMath>
          <m:sSub>
            <m:sSubPr>
              <m:ctrlPr>
                <w:rPr>
                  <w:rFonts w:ascii="Cambria Math" w:hAnsi="Cambria Math"/>
                  <w:i/>
                </w:rPr>
              </m:ctrlPr>
            </m:sSubPr>
            <m:e>
              <m:r>
                <w:rPr>
                  <w:rFonts w:ascii="Cambria Math" w:hAnsi="Cambria Math"/>
                </w:rPr>
                <m:t>NSI</m:t>
              </m:r>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E</m:t>
                          </m:r>
                        </m:e>
                        <m:sub>
                          <m:r>
                            <w:rPr>
                              <w:rFonts w:ascii="Cambria Math" w:hAnsi="Cambria Math"/>
                            </w:rPr>
                            <m:t>k,j,l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k,j,l</m:t>
                          </m:r>
                        </m:sub>
                      </m:sSub>
                    </m:e>
                  </m:d>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i/>
                    </w:rPr>
                  </m:ctrlPr>
                </m:dPr>
                <m:e>
                  <m:sSub>
                    <m:sSubPr>
                      <m:ctrlPr>
                        <w:rPr>
                          <w:rFonts w:ascii="Cambria Math" w:hAnsi="Cambria Math" w:cs="Calibri"/>
                        </w:rPr>
                      </m:ctrlPr>
                    </m:sSubPr>
                    <m:e>
                      <m:r>
                        <w:rPr>
                          <w:rFonts w:ascii="Cambria Math" w:hAnsi="Cambria Math"/>
                        </w:rPr>
                        <m:t>G</m:t>
                      </m:r>
                    </m:e>
                    <m:sub>
                      <m:r>
                        <w:rPr>
                          <w:rFonts w:ascii="Cambria Math" w:hAnsi="Cambria Math"/>
                        </w:rPr>
                        <m:t>i</m:t>
                      </m:r>
                    </m:sub>
                  </m:sSub>
                  <m:r>
                    <w:rPr>
                      <w:rFonts w:ascii="Cambria Math" w:hAnsi="Cambria Math" w:cs="Calibri"/>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d>
            </m:e>
          </m:nary>
          <m:r>
            <w:rPr>
              <w:rFonts w:ascii="Cambria Math" w:hAnsi="Cambria Math"/>
            </w:rPr>
            <m:t xml:space="preserve">  ∀j∉EIM</m:t>
          </m:r>
        </m:oMath>
      </m:oMathPara>
    </w:p>
    <w:p w14:paraId="30342386" w14:textId="77777777" w:rsidR="002815A0" w:rsidRDefault="002815A0" w:rsidP="00877DDB">
      <w:pPr>
        <w:pStyle w:val="BPM"/>
      </w:pPr>
      <w:r>
        <w:t>The NSI is maintained for each BAA in the ACPF by adjusting the load using distributed load slack and AIC. Therefore, the NSI, EIM Transfer, and generation for EIM BAAs in the ACPF solution are always equal to the optimal solution in the last iteration.</w:t>
      </w:r>
    </w:p>
    <w:p w14:paraId="5B43908A" w14:textId="77777777" w:rsidR="00713C13" w:rsidRDefault="00713C13">
      <w:pPr>
        <w:pStyle w:val="Paragraph"/>
      </w:pPr>
    </w:p>
    <w:p w14:paraId="4A0CD533" w14:textId="77777777" w:rsidR="002815A0" w:rsidRDefault="002815A0" w:rsidP="00F60F2C">
      <w:pPr>
        <w:pStyle w:val="Heading6"/>
      </w:pPr>
      <w:r>
        <w:t>Energy Transfer Schedules</w:t>
      </w:r>
    </w:p>
    <w:p w14:paraId="695BE1E9" w14:textId="77777777" w:rsidR="002815A0" w:rsidRDefault="002815A0" w:rsidP="00877DDB">
      <w:pPr>
        <w:pStyle w:val="BPM"/>
      </w:pPr>
      <w:r>
        <w:t>The EIM Transfer for each EIM BAA is distributed optimally to the applicable Energy Transfer Schedules:</w:t>
      </w:r>
    </w:p>
    <w:p w14:paraId="04F6A66D" w14:textId="77777777" w:rsidR="002815A0" w:rsidRPr="00DC1056" w:rsidRDefault="00AE7E55">
      <w:pPr>
        <w:pStyle w:val="Equation"/>
      </w:pPr>
      <m:oMathPara>
        <m:oMath>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-IT</m:t>
                          </m:r>
                        </m:e>
                        <m:sub>
                          <m:r>
                            <w:rPr>
                              <w:rFonts w:ascii="Cambria Math" w:hAnsi="Cambria Math"/>
                            </w:rPr>
                            <m:t>j,k,l</m:t>
                          </m:r>
                        </m:sub>
                      </m:sSub>
                    </m:e>
                  </m:d>
                </m:e>
              </m:nary>
            </m:e>
          </m:nary>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∀j∈EIM∧j&gt;0</m:t>
          </m:r>
        </m:oMath>
      </m:oMathPara>
    </w:p>
    <w:p w14:paraId="055B63F7" w14:textId="77777777" w:rsidR="002815A0" w:rsidRPr="00DC1056" w:rsidRDefault="002815A0" w:rsidP="00877DDB">
      <w:pPr>
        <w:pStyle w:val="BPM"/>
      </w:pPr>
      <w:r>
        <w:t>Where:</w:t>
      </w:r>
    </w:p>
    <w:p w14:paraId="1E16AF55" w14:textId="77777777" w:rsidR="002815A0" w:rsidRDefault="00AE7E55">
      <w:pPr>
        <w:pStyle w:val="Equation"/>
      </w:pPr>
      <m:oMathPara>
        <m:oMath>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k,j,l</m:t>
              </m:r>
            </m:sub>
          </m:sSub>
          <m:r>
            <w:rPr>
              <w:rFonts w:ascii="Cambria Math" w:hAnsi="Cambria Math"/>
            </w:rPr>
            <m:t xml:space="preserve">  ∀j,k∈EIM∧j≠k∧j,k&gt;0</m:t>
          </m:r>
        </m:oMath>
      </m:oMathPara>
    </w:p>
    <w:p w14:paraId="675116FC" w14:textId="77777777" w:rsidR="002815A0" w:rsidRDefault="002815A0" w:rsidP="00877DDB">
      <w:pPr>
        <w:pStyle w:val="BPM"/>
      </w:pPr>
      <w:r>
        <w:t>Without violating the applicable transmission right limits:</w:t>
      </w:r>
    </w:p>
    <w:p w14:paraId="2CEBA9D9" w14:textId="77777777" w:rsidR="002815A0" w:rsidRPr="00DC1056" w:rsidRDefault="00AE7E55">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r>
                      <w:rPr>
                        <w:rFonts w:ascii="Cambria Math" w:hAnsi="Cambria Math"/>
                      </w:rPr>
                      <m:t>0≤</m:t>
                    </m:r>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MAXj,k,l</m:t>
                        </m:r>
                      </m:sub>
                    </m:sSub>
                  </m:e>
                </m:mr>
                <m:mr>
                  <m:e>
                    <m:r>
                      <w:rPr>
                        <w:rFonts w:ascii="Cambria Math" w:hAnsi="Cambria Math"/>
                      </w:rPr>
                      <m:t>0≤</m:t>
                    </m:r>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MAXj,k,l</m:t>
                        </m:r>
                      </m:sub>
                    </m:sSub>
                  </m:e>
                </m:mr>
              </m:m>
            </m:e>
          </m:d>
          <m:r>
            <w:rPr>
              <w:rFonts w:ascii="Cambria Math" w:hAnsi="Cambria Math"/>
            </w:rPr>
            <m:t xml:space="preserve">  ∀j,k∈EIM∧j≠k∧j&gt;0</m:t>
          </m:r>
        </m:oMath>
      </m:oMathPara>
    </w:p>
    <w:p w14:paraId="67DFBDAD" w14:textId="77777777" w:rsidR="002815A0" w:rsidRDefault="002815A0" w:rsidP="00877DDB">
      <w:pPr>
        <w:pStyle w:val="BPM"/>
      </w:pPr>
      <w:r>
        <w:t>For efficiency, there should not be both an import and an export Energy Transfer schedule on a given intertie; at least one of them should be zero.</w:t>
      </w:r>
    </w:p>
    <w:p w14:paraId="0D7C7981" w14:textId="77777777" w:rsidR="002815A0" w:rsidRPr="00DC1056" w:rsidRDefault="002815A0" w:rsidP="00877DDB">
      <w:pPr>
        <w:pStyle w:val="BPM"/>
      </w:pPr>
      <w:r>
        <w:t>It is assumed that the transmission limits are symmetric:</w:t>
      </w:r>
    </w:p>
    <w:p w14:paraId="7B4E13AA" w14:textId="77777777" w:rsidR="002815A0" w:rsidRDefault="00AE7E55">
      <w:pPr>
        <w:pStyle w:val="Equation"/>
      </w:pPr>
      <m:oMathPara>
        <m:oMath>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MAXk,j,l</m:t>
              </m:r>
            </m:sub>
          </m:sSub>
          <m:r>
            <w:rPr>
              <w:rFonts w:ascii="Cambria Math" w:hAnsi="Cambria Math"/>
            </w:rPr>
            <m:t xml:space="preserve">  ∀j,k∈EIM∧j≠k∧j,k&gt;0</m:t>
          </m:r>
        </m:oMath>
      </m:oMathPara>
    </w:p>
    <w:p w14:paraId="7D555DBC" w14:textId="77777777" w:rsidR="002815A0" w:rsidRDefault="002815A0" w:rsidP="00877DDB">
      <w:pPr>
        <w:pStyle w:val="BPM"/>
      </w:pPr>
      <w:r>
        <w:lastRenderedPageBreak/>
        <w:t xml:space="preserve">To clarify, Energy Transfer schedules are variables in the market optimization calculated optimally subject to the above constraints. The base Energy Transfer schedule is included in the optimal Energy Transfer schedule; in other words, the optimal Energy Transfer schedule on any given intertie may completely back down a base Energy Transfer schedule and the energy transfer may reverse, resulting in efficient use of interconnecting transmission capacity. </w:t>
      </w:r>
    </w:p>
    <w:p w14:paraId="4EF9F499" w14:textId="77777777" w:rsidR="002815A0" w:rsidRDefault="002815A0" w:rsidP="00877DDB">
      <w:pPr>
        <w:pStyle w:val="BPM"/>
      </w:pPr>
      <w:r>
        <w:t>To reduce the problem dimensionality and potential degeneracy, for Energy Transfer schedules between two BAAs on a given intertie, only the ETSRs of one BAA are included in the problem formulation; their ETSR counterparts of the other BAA can be eliminated. An ETSR attribute in the Master File is used to designate the ETSRs that are optimized and used for tagging, as explained in §</w:t>
      </w:r>
      <w:r>
        <w:fldChar w:fldCharType="begin"/>
      </w:r>
      <w:r>
        <w:instrText xml:space="preserve"> REF _Ref409597401 \n \h </w:instrText>
      </w:r>
      <w:r w:rsidR="00DF02D8">
        <w:instrText xml:space="preserve"> \* MERGEFORMAT </w:instrText>
      </w:r>
      <w:r>
        <w:fldChar w:fldCharType="separate"/>
      </w:r>
      <w:r w:rsidR="00476B3D">
        <w:t>0</w:t>
      </w:r>
      <w:r>
        <w:fldChar w:fldCharType="end"/>
      </w:r>
      <w:r>
        <w:t>.</w:t>
      </w:r>
    </w:p>
    <w:p w14:paraId="662982CC" w14:textId="77777777" w:rsidR="002815A0" w:rsidRDefault="002815A0" w:rsidP="00F60F2C">
      <w:pPr>
        <w:pStyle w:val="Heading6"/>
      </w:pPr>
      <w:r>
        <w:t>Energy Transfer Schedule Limits</w:t>
      </w:r>
    </w:p>
    <w:p w14:paraId="618BB78E" w14:textId="77777777" w:rsidR="002815A0" w:rsidRPr="00EA7E69" w:rsidRDefault="002815A0" w:rsidP="00877DDB">
      <w:pPr>
        <w:pStyle w:val="BPM"/>
      </w:pPr>
      <w:r>
        <w:t>Normally, Energy Transfer schedules are dynamic and the same ETSRs and transmission limits are used in both RTUC and RTD. However, if some Energy Transfer schedules must be differentiated between RTUC and RTD, static ETSRs will be used for the 15min Energy Transfer schedules in RTUC and dynamic ETSRs will be used for the incremental 5min Energy Transfer schedules in RTD. In this case, the base Energy Transfer schedule is included in the 15min Energy Transfer schedule, and the transmission limit for the 5min Energy Transfer schedule is zero in RTUC and incremental (from the optimal 15min Energy Transfer schedule) in RTD. For a uniform treatment of all ETSRs to simplify implementation, the applicable Energy Transfer schedule limits in RTUC and RTD can be derived from the transmission right, static limit, and incremental dynamic limit, as follows:</w:t>
      </w:r>
    </w:p>
    <w:p w14:paraId="480DAE8F" w14:textId="77777777" w:rsidR="002815A0" w:rsidRPr="00EA7E69" w:rsidRDefault="002815A0">
      <w:pPr>
        <w:pStyle w:val="Equation"/>
      </w:pPr>
      <m:oMathPara>
        <m:oMath>
          <m:r>
            <m:rPr>
              <m:nor/>
            </m:rPr>
            <w:rPr>
              <w:rFonts w:ascii="Cambria Math" w:hAnsi="Cambria Math"/>
            </w:rPr>
            <m:t xml:space="preserve">RTUC: </m:t>
          </m:r>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IT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MAX15j,k,l</m:t>
                                </m:r>
                              </m:sub>
                            </m:sSub>
                          </m:e>
                        </m:d>
                      </m:e>
                    </m:func>
                  </m:e>
                </m:mr>
                <m:mr>
                  <m:e>
                    <m:sSub>
                      <m:sSubPr>
                        <m:ctrlPr>
                          <w:rPr>
                            <w:rFonts w:ascii="Cambria Math" w:hAnsi="Cambria Math"/>
                            <w:i/>
                          </w:rPr>
                        </m:ctrlPr>
                      </m:sSubPr>
                      <m:e>
                        <m:r>
                          <w:rPr>
                            <w:rFonts w:ascii="Cambria Math" w:hAnsi="Cambria Math"/>
                          </w:rPr>
                          <m:t>ET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MAX15j,k,l</m:t>
                                </m:r>
                              </m:sub>
                            </m:sSub>
                          </m:e>
                        </m:d>
                      </m:e>
                    </m:func>
                  </m:e>
                </m:mr>
              </m:m>
            </m:e>
          </m:d>
          <m:r>
            <w:rPr>
              <w:rFonts w:ascii="Cambria Math" w:hAnsi="Cambria Math"/>
            </w:rPr>
            <m:t xml:space="preserve"> ∀j,k∈EIM∧j≠k∧j&gt;0</m:t>
          </m:r>
          <m:r>
            <m:rPr>
              <m:sty m:val="p"/>
            </m:rPr>
            <w:rPr>
              <w:rFonts w:ascii="Cambria Math" w:hAnsi="Cambria Math"/>
            </w:rPr>
            <w:br/>
          </m:r>
        </m:oMath>
        <m:oMath>
          <m:r>
            <m:rPr>
              <m:nor/>
            </m:rPr>
            <w:rPr>
              <w:rFonts w:ascii="Cambria Math" w:hAnsi="Cambria Math"/>
            </w:rPr>
            <m:t xml:space="preserve">RTD: </m:t>
          </m:r>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IT</m:t>
                                </m:r>
                              </m:e>
                              <m:sub>
                                <m:r>
                                  <w:rPr>
                                    <w:rFonts w:ascii="Cambria Math" w:hAnsi="Cambria Math"/>
                                  </w:rPr>
                                  <m:t>TRj,k,l</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+IT</m:t>
                                </m:r>
                              </m:e>
                              <m:sub>
                                <m:r>
                                  <w:rPr>
                                    <w:rFonts w:ascii="Cambria Math" w:hAnsi="Cambria Math"/>
                                  </w:rPr>
                                  <m:t>MAX5j,k,l</m:t>
                                </m:r>
                              </m:sub>
                            </m:sSub>
                          </m:e>
                        </m:d>
                      </m:e>
                    </m:func>
                  </m:e>
                </m:mr>
                <m:mr>
                  <m:e>
                    <m:sSub>
                      <m:sSubPr>
                        <m:ctrlPr>
                          <w:rPr>
                            <w:rFonts w:ascii="Cambria Math" w:hAnsi="Cambria Math"/>
                            <w:i/>
                          </w:rPr>
                        </m:ctrlPr>
                      </m:sSubPr>
                      <m:e>
                        <m:r>
                          <w:rPr>
                            <w:rFonts w:ascii="Cambria Math" w:hAnsi="Cambria Math"/>
                          </w:rPr>
                          <m:t>ET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MAX5j,k,l</m:t>
                                </m:r>
                              </m:sub>
                            </m:sSub>
                          </m:e>
                        </m:d>
                      </m:e>
                    </m:func>
                  </m:e>
                </m:mr>
              </m:m>
            </m:e>
          </m:d>
          <m:r>
            <w:rPr>
              <w:rFonts w:ascii="Cambria Math" w:hAnsi="Cambria Math"/>
            </w:rPr>
            <m:t xml:space="preserve"> ∀j,k∈EIM∧j≠k∧j&gt;0</m:t>
          </m:r>
        </m:oMath>
      </m:oMathPara>
    </w:p>
    <w:p w14:paraId="4FEE73F9" w14:textId="77777777" w:rsidR="002815A0" w:rsidRDefault="002815A0" w:rsidP="00877DDB">
      <w:pPr>
        <w:pStyle w:val="BPM"/>
      </w:pPr>
      <w:r>
        <w:t>Where the Energy Transfer schedules used in the calculation of the applicable Energy Transfer schedule limit in RTD are the optimal 15min Energy Transfer schedules from RTUC. With these generic for</w:t>
      </w:r>
      <w:r>
        <w:lastRenderedPageBreak/>
        <w:t>mulae, the static limit is what is made available from the transmission right in RTUC, and the dynamic limit is additional transmission capacity that can be used in RTD. If there is no distinction between static and dynamic Energy Transfer schedules, both static and dynamic limits should be equal to the transmission right to maximize transmission capacity use across RTUC and RTD.</w:t>
      </w:r>
    </w:p>
    <w:p w14:paraId="09E3F100" w14:textId="77777777" w:rsidR="002815A0" w:rsidRDefault="002815A0" w:rsidP="00877DDB">
      <w:pPr>
        <w:pStyle w:val="BPM"/>
      </w:pPr>
      <w:r>
        <w:t>For Energy Transfer schedules between two BAAs on a given intertie, the Energy Transfer schedule limits are submitted only for the ETSRs of one BAA. The EIM Entity of that BAA is responsible for submitting base Energy Transfer schedules and the associated Energy Transfer schedule limits, as well as for tagging base and optimal Energy transfer schedules between the relevant BAAs. An ETSR attribute in the Master File is used to designate the ETSRs that are used for tagging and for which Energy Transfer schedule limits are submitted, as explained in §</w:t>
      </w:r>
      <w:r>
        <w:fldChar w:fldCharType="begin"/>
      </w:r>
      <w:r>
        <w:instrText xml:space="preserve"> REF _Ref409597401 \n \h </w:instrText>
      </w:r>
      <w:r w:rsidR="00DF02D8">
        <w:instrText xml:space="preserve"> \* MERGEFORMAT </w:instrText>
      </w:r>
      <w:r>
        <w:fldChar w:fldCharType="separate"/>
      </w:r>
      <w:r w:rsidR="00476B3D">
        <w:t>0</w:t>
      </w:r>
      <w:r>
        <w:fldChar w:fldCharType="end"/>
      </w:r>
      <w:r>
        <w:t>.</w:t>
      </w:r>
    </w:p>
    <w:p w14:paraId="08A142CD" w14:textId="77777777" w:rsidR="00F57D97" w:rsidRDefault="00F57D97" w:rsidP="00F60F2C">
      <w:pPr>
        <w:pStyle w:val="Heading6"/>
      </w:pPr>
      <w:bookmarkStart w:id="2288" w:name="_Ref409597401"/>
    </w:p>
    <w:p w14:paraId="2D8C75FC" w14:textId="77777777" w:rsidR="002815A0" w:rsidRDefault="002815A0" w:rsidP="00F60F2C">
      <w:pPr>
        <w:pStyle w:val="Heading6"/>
      </w:pPr>
      <w:r>
        <w:t>Energy Transfer Schedule Tags</w:t>
      </w:r>
      <w:bookmarkEnd w:id="2288"/>
    </w:p>
    <w:p w14:paraId="00971147" w14:textId="77777777" w:rsidR="007671EB" w:rsidRPr="001B6889" w:rsidRDefault="002815A0" w:rsidP="00877DDB">
      <w:pPr>
        <w:pStyle w:val="BPM"/>
      </w:pPr>
      <w:r w:rsidRPr="001B6889">
        <w:t xml:space="preserve">The base and optimal Energy Transfer schedules are assigned to the corresponding ETSRs and are tagged </w:t>
      </w:r>
      <w:r w:rsidR="00851C51" w:rsidRPr="001B6889">
        <w:t xml:space="preserve">by the EIM Entity Scheduling Coordinator </w:t>
      </w:r>
      <w:r w:rsidRPr="001B6889">
        <w:t xml:space="preserve">to the associated intertie using the corresponding ETSR identification. </w:t>
      </w:r>
      <w:r w:rsidR="002B4954" w:rsidRPr="001B6889">
        <w:t>The EIM Entity Scheduling Coordinator should obtain a unique identifier to list as the “Purchasing Selling Entity” if at all possible.  If that is not possible, d</w:t>
      </w:r>
      <w:r w:rsidR="00851C51" w:rsidRPr="001B6889">
        <w:t>esignated agents</w:t>
      </w:r>
      <w:r w:rsidR="00B62472" w:rsidRPr="001B6889">
        <w:t>, e.g., the EIM Entity Scheduling Coordinator,</w:t>
      </w:r>
      <w:r w:rsidR="00851C51" w:rsidRPr="001B6889">
        <w:t xml:space="preserve"> may </w:t>
      </w:r>
      <w:r w:rsidR="002719B4" w:rsidRPr="001B6889">
        <w:t xml:space="preserve">list </w:t>
      </w:r>
      <w:r w:rsidR="00851C51" w:rsidRPr="001B6889">
        <w:t xml:space="preserve">the EIM Entity as the “Purchasing </w:t>
      </w:r>
      <w:r w:rsidR="002719B4" w:rsidRPr="001B6889">
        <w:t xml:space="preserve">Selling Entity” on such tags </w:t>
      </w:r>
      <w:r w:rsidR="00B62472" w:rsidRPr="001B6889">
        <w:t xml:space="preserve">for convenience </w:t>
      </w:r>
      <w:r w:rsidR="002719B4" w:rsidRPr="001B6889">
        <w:t xml:space="preserve">provided the EIM Entity </w:t>
      </w:r>
      <w:r w:rsidR="00FF5A89" w:rsidRPr="001B6889">
        <w:t xml:space="preserve">has authorized its agent </w:t>
      </w:r>
      <w:r w:rsidR="002719B4" w:rsidRPr="001B6889">
        <w:t xml:space="preserve">to do so and the tag </w:t>
      </w:r>
      <w:r w:rsidR="00D200FC" w:rsidRPr="001B6889">
        <w:t>identifies th</w:t>
      </w:r>
      <w:r w:rsidR="00FF5A89" w:rsidRPr="001B6889">
        <w:t>at</w:t>
      </w:r>
      <w:r w:rsidR="00D200FC" w:rsidRPr="001B6889">
        <w:t xml:space="preserve"> </w:t>
      </w:r>
      <w:r w:rsidR="002719B4" w:rsidRPr="001B6889">
        <w:t>relationship</w:t>
      </w:r>
      <w:r w:rsidR="00FF5A89" w:rsidRPr="001B6889">
        <w:t xml:space="preserve"> as the basis for doing so</w:t>
      </w:r>
      <w:r w:rsidR="002719B4" w:rsidRPr="001B6889">
        <w:t xml:space="preserve">.  </w:t>
      </w:r>
    </w:p>
    <w:p w14:paraId="3E7E8445" w14:textId="77777777" w:rsidR="002815A0" w:rsidRPr="003D1045" w:rsidRDefault="002815A0" w:rsidP="00877DDB">
      <w:pPr>
        <w:pStyle w:val="BPM"/>
      </w:pPr>
      <w:r w:rsidRPr="001B6889">
        <w:t>For static ETSRs, the tag is a static 15</w:t>
      </w:r>
      <w:r w:rsidR="002B4954" w:rsidRPr="001B6889">
        <w:t>-</w:t>
      </w:r>
      <w:r w:rsidRPr="001B6889">
        <w:t>min</w:t>
      </w:r>
      <w:r w:rsidR="002B4954" w:rsidRPr="001B6889">
        <w:t>ute</w:t>
      </w:r>
      <w:r w:rsidRPr="001B6889">
        <w:t xml:space="preserve"> tag that includes the base Energy Transfer. For dynamic ETSRs, the tag is a dynamic 5</w:t>
      </w:r>
      <w:r w:rsidR="002B4954" w:rsidRPr="001B6889">
        <w:t>-</w:t>
      </w:r>
      <w:r w:rsidRPr="001B6889">
        <w:t>min</w:t>
      </w:r>
      <w:r w:rsidR="002B4954" w:rsidRPr="001B6889">
        <w:t>ute</w:t>
      </w:r>
      <w:r w:rsidRPr="001B6889">
        <w:t xml:space="preserve"> tag; if there is no distinction between static and dynamic Energy Transfers on a given intertie, there is no static tag and the base Energy Transfer schedule is included in the dynamic 5</w:t>
      </w:r>
      <w:r w:rsidR="002B4954" w:rsidRPr="001B6889">
        <w:t>-</w:t>
      </w:r>
      <w:r w:rsidRPr="001B6889">
        <w:t>min</w:t>
      </w:r>
      <w:r w:rsidR="002B4954" w:rsidRPr="001B6889">
        <w:t>ute</w:t>
      </w:r>
      <w:r w:rsidRPr="001B6889">
        <w:t xml:space="preserve"> tag. Because the Energy </w:t>
      </w:r>
      <w:r w:rsidR="00851C51" w:rsidRPr="001B6889">
        <w:t>T</w:t>
      </w:r>
      <w:r w:rsidRPr="001B6889">
        <w:t xml:space="preserve">ransfer schedules between two </w:t>
      </w:r>
      <w:r w:rsidR="00851C51" w:rsidRPr="001B6889">
        <w:t xml:space="preserve">EIM </w:t>
      </w:r>
      <w:r w:rsidRPr="001B6889">
        <w:t xml:space="preserve">BAAs are duplicated as import and export counterparts seen from each </w:t>
      </w:r>
      <w:r w:rsidR="00851C51" w:rsidRPr="001B6889">
        <w:t xml:space="preserve">EIM </w:t>
      </w:r>
      <w:r w:rsidRPr="001B6889">
        <w:t xml:space="preserve">BAA, only the ETSRs of one </w:t>
      </w:r>
      <w:r w:rsidR="00851C51" w:rsidRPr="001B6889">
        <w:t xml:space="preserve">EIM </w:t>
      </w:r>
      <w:r w:rsidRPr="001B6889">
        <w:t xml:space="preserve">BAA will be tagged between the two </w:t>
      </w:r>
      <w:r w:rsidR="00851C51" w:rsidRPr="001B6889">
        <w:t xml:space="preserve">EIM </w:t>
      </w:r>
      <w:r w:rsidRPr="001B6889">
        <w:t xml:space="preserve">BAAs. An ETSR attribute in the Master File is used to designate the ETSRs that are used for tagging. The same attribute is used to indicate the ETSRs for </w:t>
      </w:r>
      <w:r w:rsidRPr="001B6889">
        <w:lastRenderedPageBreak/>
        <w:t>which base Energy Transfer schedules and limits are submitted, as well as the ones that are included in the problem formulation</w:t>
      </w:r>
      <w:r>
        <w:t>.</w:t>
      </w:r>
    </w:p>
    <w:p w14:paraId="16A51CBE" w14:textId="77777777" w:rsidR="004B5C2B" w:rsidRDefault="004B5C2B" w:rsidP="00F60F2C">
      <w:pPr>
        <w:pStyle w:val="Heading6"/>
      </w:pPr>
    </w:p>
    <w:p w14:paraId="574C6383" w14:textId="77777777" w:rsidR="002815A0" w:rsidRPr="005F0214" w:rsidRDefault="002815A0" w:rsidP="00F60F2C">
      <w:pPr>
        <w:pStyle w:val="Heading6"/>
      </w:pPr>
      <w:r>
        <w:t>Intertie Transmission Cost</w:t>
      </w:r>
    </w:p>
    <w:p w14:paraId="2892852A" w14:textId="77777777" w:rsidR="002815A0" w:rsidRDefault="002815A0" w:rsidP="00877DDB">
      <w:pPr>
        <w:pStyle w:val="BPM"/>
      </w:pPr>
      <w:r>
        <w:t>The distribution of the Energy Transfer for a BAA over the various interties to adjacent BAAs in the EIM Area is not influenced by network impedance or transmission losses, and as such it does not represent actual power flows on these interties; it resembles the classical problem of transferring goods from supply centers to demand centers over a road network. The Energy Transfer schedule limits are scheduling limits and they resemble road throughput capacity. Physical intertie limits need to be enforced separately to constrain actual power flows on the interties, including loop flow contributions from base schedules in non-EIM BAAs.</w:t>
      </w:r>
    </w:p>
    <w:p w14:paraId="180B574E" w14:textId="77777777" w:rsidR="002815A0" w:rsidRDefault="002815A0" w:rsidP="00877DDB">
      <w:pPr>
        <w:pStyle w:val="BPM"/>
      </w:pPr>
      <w:r>
        <w:t>In a problem like that, there is often not a unique solution, particularly if many intertie scheduling limits are not binding, i.e., there may be multiple ways to transfer the goods from the supply centers to the demand centers without violating any road constraints. To obtain a robust and efficient solution without circulating Energy Transfer schedules, a small nominal cost should be included in the objective function for each ETSR, as follows:</w:t>
      </w:r>
    </w:p>
    <w:p w14:paraId="062103E9" w14:textId="77777777" w:rsidR="002815A0" w:rsidRDefault="00AE7E55">
      <w:pPr>
        <w:pStyle w:val="Equation"/>
      </w:pPr>
      <m:oMathPara>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j,k∈EIM</m:t>
                            </m:r>
                          </m:e>
                        </m:mr>
                        <m:mr>
                          <m:e>
                            <m:r>
                              <w:rPr>
                                <w:rFonts w:ascii="Cambria Math" w:hAnsi="Cambria Math"/>
                              </w:rPr>
                              <m:t>k≠j</m:t>
                            </m:r>
                            <m:ctrlPr>
                              <w:rPr>
                                <w:rFonts w:ascii="Cambria Math" w:eastAsia="Cambria Math" w:hAnsi="Cambria Math" w:cs="Cambria Math"/>
                                <w:i/>
                              </w:rPr>
                            </m:ctrlPr>
                          </m:e>
                        </m:mr>
                        <m:mr>
                          <m:e>
                            <m:r>
                              <w:rPr>
                                <w:rFonts w:ascii="Cambria Math" w:eastAsia="Cambria Math" w:hAnsi="Cambria Math" w:cs="Cambria Math"/>
                              </w:rPr>
                              <m:t>j&gt;0</m:t>
                            </m:r>
                          </m:e>
                        </m:mr>
                      </m:m>
                    </m:sub>
                    <m:sup/>
                    <m:e>
                      <m:sSub>
                        <m:sSubPr>
                          <m:ctrlPr>
                            <w:rPr>
                              <w:rFonts w:ascii="Cambria Math" w:hAnsi="Cambria Math"/>
                              <w:i/>
                            </w:rPr>
                          </m:ctrlPr>
                        </m:sSubPr>
                        <m:e>
                          <m:r>
                            <w:rPr>
                              <w:rFonts w:ascii="Cambria Math" w:hAnsi="Cambria Math"/>
                            </w:rPr>
                            <m:t>C</m:t>
                          </m:r>
                        </m:e>
                        <m:sub>
                          <m:r>
                            <w:rPr>
                              <w:rFonts w:ascii="Cambria Math" w:hAnsi="Cambria Math"/>
                            </w:rPr>
                            <m:t>j,k</m:t>
                          </m:r>
                        </m:sub>
                      </m:sSub>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j,k,l</m:t>
                                  </m:r>
                                </m:sub>
                              </m:sSub>
                            </m:e>
                          </m:d>
                        </m:e>
                      </m:nary>
                    </m:e>
                  </m:nary>
                </m:e>
              </m:d>
            </m:e>
          </m:func>
        </m:oMath>
      </m:oMathPara>
    </w:p>
    <w:p w14:paraId="3B9FBA71" w14:textId="77777777" w:rsidR="002815A0" w:rsidRDefault="002815A0" w:rsidP="00877DDB">
      <w:pPr>
        <w:pStyle w:val="BPM"/>
      </w:pPr>
      <w:r>
        <w:t>This cost resembles tolls paid on the roads connecting the supply and demand centers. Introducing this cost will also guarantee that Energy Transfer schedules between two BAAs in the EIM Area will always be unidirectional, i.e., either the export or the import will take value, but never both. This cost may ultimately reflect applicable wheeling or transmission access</w:t>
      </w:r>
      <w:r w:rsidRPr="005F0214">
        <w:t xml:space="preserve"> </w:t>
      </w:r>
      <w:r>
        <w:t>fees depending on agreed transmission pricing methods among the BAAs in the EIM Area.</w:t>
      </w:r>
    </w:p>
    <w:p w14:paraId="79C04EC0" w14:textId="77777777" w:rsidR="00823235" w:rsidRDefault="00823235" w:rsidP="00823235">
      <w:pPr>
        <w:pStyle w:val="Heading6"/>
      </w:pPr>
    </w:p>
    <w:p w14:paraId="619A0373" w14:textId="77777777" w:rsidR="002815A0" w:rsidRDefault="002815A0" w:rsidP="00823235">
      <w:pPr>
        <w:pStyle w:val="Heading6"/>
      </w:pPr>
      <w:r>
        <w:t xml:space="preserve">Energy Transfer </w:t>
      </w:r>
      <w:r w:rsidR="00085157">
        <w:rPr>
          <w:rFonts w:cs="Arial"/>
        </w:rPr>
        <w:t>F</w:t>
      </w:r>
      <w:r w:rsidR="00085157" w:rsidRPr="00CA47FC">
        <w:rPr>
          <w:rFonts w:cs="Arial"/>
        </w:rPr>
        <w:t>inancial</w:t>
      </w:r>
      <w:r w:rsidR="00085157" w:rsidRPr="00CA47FC" w:rsidDel="00085157">
        <w:rPr>
          <w:sz w:val="40"/>
        </w:rPr>
        <w:t xml:space="preserve"> </w:t>
      </w:r>
      <w:r>
        <w:t>Value</w:t>
      </w:r>
    </w:p>
    <w:p w14:paraId="6C833B9A" w14:textId="77777777" w:rsidR="002815A0" w:rsidRDefault="002815A0" w:rsidP="00877DDB">
      <w:pPr>
        <w:pStyle w:val="BPM"/>
      </w:pPr>
      <w:r>
        <w:t xml:space="preserve">In calculating real-time neutrality by BAA, </w:t>
      </w:r>
      <w:r w:rsidR="00DA1271">
        <w:t>a</w:t>
      </w:r>
      <w:r>
        <w:t xml:space="preserve"> </w:t>
      </w:r>
      <w:r w:rsidR="00085157">
        <w:rPr>
          <w:rFonts w:cs="Arial"/>
        </w:rPr>
        <w:t>financial</w:t>
      </w:r>
      <w:r w:rsidR="00085157" w:rsidDel="00085157">
        <w:t xml:space="preserve"> </w:t>
      </w:r>
      <w:r>
        <w:t xml:space="preserve">value is required for the Energy Transfer, which must be considered to balance the BAA. Currently, the </w:t>
      </w:r>
      <w:r w:rsidR="00085157">
        <w:rPr>
          <w:rFonts w:cs="Arial"/>
        </w:rPr>
        <w:t>financial</w:t>
      </w:r>
      <w:r w:rsidR="00085157" w:rsidDel="00085157">
        <w:t xml:space="preserve"> </w:t>
      </w:r>
      <w:r>
        <w:t xml:space="preserve">value is determined by pricing the EIM Transfer at the LMP of the metered end of the intertie used for tagging the relevant EIM Transfer schedule. With the introduction of multiple interties (multiple ETSRs) for a given BAA where the Energy Transfer can be optimally distributed based on the presented methodology, a more robust and uniform price </w:t>
      </w:r>
      <w:r w:rsidR="00CA47FC">
        <w:t>is</w:t>
      </w:r>
      <w:r>
        <w:t xml:space="preserve"> the System Marginal Energy Cost (SMEC), which is the same in any location in the network and does not include the marginal cost of losses or congestion. This is a more appropriate price because it is independent from the particular way an Energy Transfer is distributed to Energy Transfer schedules on the various interties.</w:t>
      </w:r>
    </w:p>
    <w:p w14:paraId="01926136" w14:textId="77777777" w:rsidR="00204905" w:rsidRDefault="00204905" w:rsidP="002815A0">
      <w:pPr>
        <w:pStyle w:val="Paragraph"/>
      </w:pPr>
    </w:p>
    <w:p w14:paraId="67A7F535" w14:textId="77777777" w:rsidR="00204905" w:rsidRPr="00823235" w:rsidRDefault="00204905" w:rsidP="002815A0">
      <w:pPr>
        <w:pStyle w:val="Paragraph"/>
        <w:rPr>
          <w:b/>
          <w:sz w:val="32"/>
          <w:szCs w:val="32"/>
        </w:rPr>
      </w:pPr>
      <w:r w:rsidRPr="00823235">
        <w:rPr>
          <w:b/>
          <w:sz w:val="32"/>
          <w:szCs w:val="32"/>
        </w:rPr>
        <w:t>Examples</w:t>
      </w:r>
    </w:p>
    <w:p w14:paraId="3176F2FC" w14:textId="77777777" w:rsidR="00204905" w:rsidRDefault="00204905" w:rsidP="002815A0">
      <w:pPr>
        <w:pStyle w:val="Paragraph"/>
        <w:rPr>
          <w:b/>
        </w:rPr>
      </w:pPr>
    </w:p>
    <w:p w14:paraId="3B546EBC" w14:textId="77777777" w:rsidR="00204905" w:rsidRPr="00823235" w:rsidRDefault="00204905" w:rsidP="00204905">
      <w:pPr>
        <w:jc w:val="center"/>
        <w:rPr>
          <w:b/>
        </w:rPr>
      </w:pPr>
      <w:r w:rsidRPr="00823235">
        <w:rPr>
          <w:b/>
        </w:rPr>
        <w:t xml:space="preserve">EIM Transfer Constraint Congested/Intertie Scheduling Limit Not Congested </w:t>
      </w:r>
    </w:p>
    <w:p w14:paraId="3128FD30" w14:textId="77777777" w:rsidR="00204905" w:rsidRDefault="00204905" w:rsidP="00204905"/>
    <w:p w14:paraId="0C85DA94" w14:textId="77777777" w:rsidR="00204905" w:rsidRDefault="00204905" w:rsidP="00204905">
      <w:r>
        <w:rPr>
          <w:noProof/>
        </w:rPr>
        <mc:AlternateContent>
          <mc:Choice Requires="wps">
            <w:drawing>
              <wp:anchor distT="0" distB="0" distL="114300" distR="114300" simplePos="0" relativeHeight="251658242" behindDoc="0" locked="0" layoutInCell="1" allowOverlap="1" wp14:anchorId="4BD33972" wp14:editId="014FB81D">
                <wp:simplePos x="0" y="0"/>
                <wp:positionH relativeFrom="margin">
                  <wp:align>right</wp:align>
                </wp:positionH>
                <wp:positionV relativeFrom="paragraph">
                  <wp:posOffset>9525</wp:posOffset>
                </wp:positionV>
                <wp:extent cx="2023730" cy="2157573"/>
                <wp:effectExtent l="0" t="0" r="15240" b="14605"/>
                <wp:wrapNone/>
                <wp:docPr id="37" name="Flowchart: Connector 37"/>
                <wp:cNvGraphicFramePr/>
                <a:graphic xmlns:a="http://schemas.openxmlformats.org/drawingml/2006/main">
                  <a:graphicData uri="http://schemas.microsoft.com/office/word/2010/wordprocessingShape">
                    <wps:wsp>
                      <wps:cNvSpPr/>
                      <wps:spPr>
                        <a:xfrm>
                          <a:off x="0" y="0"/>
                          <a:ext cx="2023730" cy="215757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277A5" w14:textId="77777777" w:rsidR="005C71E4" w:rsidRDefault="005C71E4" w:rsidP="00204905">
                            <w:pPr>
                              <w:jc w:val="center"/>
                            </w:pPr>
                            <w:r>
                              <w:t>EIM1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397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97" type="#_x0000_t120" style="position:absolute;margin-left:108.15pt;margin-top:.75pt;width:159.35pt;height:169.9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" fillcolor="#4f81bd [3204]" strokecolor="#243f60 [1604]" strokeweight="2pt">
                <v:textbox>
                  <w:txbxContent>
                    <w:p w14:paraId="6E6277A5" w14:textId="77777777" w:rsidR="005C71E4" w:rsidRDefault="005C71E4" w:rsidP="00204905">
                      <w:pPr>
                        <w:jc w:val="center"/>
                      </w:pPr>
                      <w:r>
                        <w:t>EIM1</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56E103" wp14:editId="22031DF0">
                <wp:simplePos x="0" y="0"/>
                <wp:positionH relativeFrom="margin">
                  <wp:align>left</wp:align>
                </wp:positionH>
                <wp:positionV relativeFrom="paragraph">
                  <wp:posOffset>19949</wp:posOffset>
                </wp:positionV>
                <wp:extent cx="2126750" cy="2137025"/>
                <wp:effectExtent l="0" t="0" r="26035" b="15875"/>
                <wp:wrapNone/>
                <wp:docPr id="38" name="Oval 38"/>
                <wp:cNvGraphicFramePr/>
                <a:graphic xmlns:a="http://schemas.openxmlformats.org/drawingml/2006/main">
                  <a:graphicData uri="http://schemas.microsoft.com/office/word/2010/wordprocessingShape">
                    <wps:wsp>
                      <wps:cNvSpPr/>
                      <wps:spPr>
                        <a:xfrm>
                          <a:off x="0" y="0"/>
                          <a:ext cx="2126750" cy="2137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E3F154" w14:textId="77777777" w:rsidR="005C71E4" w:rsidRDefault="005C71E4" w:rsidP="00204905">
                            <w:pPr>
                              <w:jc w:val="center"/>
                            </w:pPr>
                            <w: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6E103" id="Oval 38" o:spid="_x0000_s1098" style="position:absolute;margin-left:0;margin-top:1.55pt;width:167.45pt;height:168.25pt;z-index:25165824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" fillcolor="#4f81bd [3204]" strokecolor="#243f60 [1604]" strokeweight="2pt">
                <v:textbox>
                  <w:txbxContent>
                    <w:p w14:paraId="35E3F154" w14:textId="77777777" w:rsidR="005C71E4" w:rsidRDefault="005C71E4" w:rsidP="00204905">
                      <w:pPr>
                        <w:jc w:val="center"/>
                      </w:pPr>
                      <w:r>
                        <w:t>CISO</w:t>
                      </w:r>
                    </w:p>
                  </w:txbxContent>
                </v:textbox>
                <w10:wrap anchorx="margin"/>
              </v:oval>
            </w:pict>
          </mc:Fallback>
        </mc:AlternateContent>
      </w:r>
    </w:p>
    <w:p w14:paraId="061F25D4" w14:textId="77777777" w:rsidR="00204905" w:rsidRDefault="00204905" w:rsidP="00204905"/>
    <w:p w14:paraId="73FAE31F" w14:textId="77777777" w:rsidR="00204905" w:rsidRDefault="00204905" w:rsidP="00204905"/>
    <w:p w14:paraId="7AE8036F" w14:textId="77777777" w:rsidR="00204905" w:rsidRDefault="00204905" w:rsidP="00204905"/>
    <w:p w14:paraId="31D8BE2C" w14:textId="77777777" w:rsidR="00204905" w:rsidRDefault="00204905" w:rsidP="00204905">
      <w:r>
        <w:rPr>
          <w:noProof/>
        </w:rPr>
        <mc:AlternateContent>
          <mc:Choice Requires="wps">
            <w:drawing>
              <wp:anchor distT="0" distB="0" distL="114300" distR="114300" simplePos="0" relativeHeight="251658243" behindDoc="0" locked="0" layoutInCell="1" allowOverlap="1" wp14:anchorId="6CA04A10" wp14:editId="5C464BC3">
                <wp:simplePos x="0" y="0"/>
                <wp:positionH relativeFrom="margin">
                  <wp:posOffset>1815957</wp:posOffset>
                </wp:positionH>
                <wp:positionV relativeFrom="paragraph">
                  <wp:posOffset>48374</wp:posOffset>
                </wp:positionV>
                <wp:extent cx="1849334" cy="729465"/>
                <wp:effectExtent l="57150" t="38100" r="74930" b="90170"/>
                <wp:wrapNone/>
                <wp:docPr id="77" name="Left Arrow 77"/>
                <wp:cNvGraphicFramePr/>
                <a:graphic xmlns:a="http://schemas.openxmlformats.org/drawingml/2006/main">
                  <a:graphicData uri="http://schemas.microsoft.com/office/word/2010/wordprocessingShape">
                    <wps:wsp>
                      <wps:cNvSpPr/>
                      <wps:spPr>
                        <a:xfrm>
                          <a:off x="0" y="0"/>
                          <a:ext cx="1849334" cy="729465"/>
                        </a:xfrm>
                        <a:prstGeom prst="leftArrow">
                          <a:avLst/>
                        </a:prstGeom>
                      </wps:spPr>
                      <wps:style>
                        <a:lnRef idx="1">
                          <a:schemeClr val="accent2"/>
                        </a:lnRef>
                        <a:fillRef idx="2">
                          <a:schemeClr val="accent2"/>
                        </a:fillRef>
                        <a:effectRef idx="1">
                          <a:schemeClr val="accent2"/>
                        </a:effectRef>
                        <a:fontRef idx="minor">
                          <a:schemeClr val="dk1"/>
                        </a:fontRef>
                      </wps:style>
                      <wps:txbx>
                        <w:txbxContent>
                          <w:p w14:paraId="2241F935" w14:textId="77777777" w:rsidR="005C71E4" w:rsidRPr="00F3574D" w:rsidRDefault="005C71E4" w:rsidP="00204905">
                            <w:pPr>
                              <w:jc w:val="center"/>
                              <w:rPr>
                                <w:sz w:val="20"/>
                              </w:rPr>
                            </w:pPr>
                            <w:r w:rsidRPr="00F3574D">
                              <w:rPr>
                                <w:sz w:val="20"/>
                              </w:rPr>
                              <w:t>EIM Transfer ATC Limit (100 MW)</w:t>
                            </w:r>
                          </w:p>
                          <w:p w14:paraId="5802227F" w14:textId="77777777" w:rsidR="005C71E4" w:rsidRPr="00836232" w:rsidRDefault="005C71E4" w:rsidP="00204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04A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7" o:spid="_x0000_s1099" type="#_x0000_t66" style="position:absolute;margin-left:143pt;margin-top:3.8pt;width:145.6pt;height:57.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" adj="4260" fillcolor="#dfa7a6 [1621]" strokecolor="#bc4542 [3045]">
                <v:fill color2="#f5e4e4 [501]" rotate="t" angle="180" colors="0 #ffa2a1;22938f #ffbebd;1 #ffe5e5" focus="100%" type="gradient"/>
                <v:shadow on="t" color="black" opacity="24903f" origin=",.5" offset="0,.55556mm"/>
                <v:textbox>
                  <w:txbxContent>
                    <w:p w14:paraId="2241F935" w14:textId="77777777" w:rsidR="005C71E4" w:rsidRPr="00F3574D" w:rsidRDefault="005C71E4" w:rsidP="00204905">
                      <w:pPr>
                        <w:jc w:val="center"/>
                        <w:rPr>
                          <w:sz w:val="20"/>
                        </w:rPr>
                      </w:pPr>
                      <w:r w:rsidRPr="00F3574D">
                        <w:rPr>
                          <w:sz w:val="20"/>
                        </w:rPr>
                        <w:t>EIM Transfer ATC Limit (100 MW)</w:t>
                      </w:r>
                    </w:p>
                    <w:p w14:paraId="5802227F" w14:textId="77777777" w:rsidR="005C71E4" w:rsidRPr="00836232" w:rsidRDefault="005C71E4" w:rsidP="00204905">
                      <w:pPr>
                        <w:jc w:val="center"/>
                      </w:pPr>
                    </w:p>
                  </w:txbxContent>
                </v:textbox>
                <w10:wrap anchorx="margin"/>
              </v:shape>
            </w:pict>
          </mc:Fallback>
        </mc:AlternateContent>
      </w:r>
    </w:p>
    <w:p w14:paraId="630479C5" w14:textId="77777777" w:rsidR="00204905" w:rsidRDefault="00204905" w:rsidP="00204905"/>
    <w:p w14:paraId="3DC067F6" w14:textId="77777777" w:rsidR="00204905" w:rsidRDefault="00204905" w:rsidP="00204905"/>
    <w:p w14:paraId="196129B4" w14:textId="77777777" w:rsidR="00204905" w:rsidRDefault="00204905" w:rsidP="00204905"/>
    <w:p w14:paraId="3F898FFE" w14:textId="77777777" w:rsidR="00204905" w:rsidRDefault="00204905" w:rsidP="00204905"/>
    <w:p w14:paraId="1B65E68E" w14:textId="77777777" w:rsidR="00204905" w:rsidRDefault="00204905" w:rsidP="00204905"/>
    <w:p w14:paraId="2F4AA2EA" w14:textId="77777777" w:rsidR="00204905" w:rsidRDefault="00204905" w:rsidP="00204905"/>
    <w:p w14:paraId="5D58AFDE" w14:textId="77777777" w:rsidR="00204905" w:rsidRDefault="00204905" w:rsidP="00204905"/>
    <w:p w14:paraId="2E5FAEB7" w14:textId="77777777" w:rsidR="00204905" w:rsidRDefault="00204905" w:rsidP="00204905"/>
    <w:p w14:paraId="27BE7EDE" w14:textId="77777777" w:rsidR="00204905" w:rsidRPr="00875E26" w:rsidRDefault="00204905" w:rsidP="00877DDB">
      <w:pPr>
        <w:pStyle w:val="BPM"/>
      </w:pPr>
      <w:r w:rsidRPr="00875E26">
        <w:t>In the example presented below, the Real Time Market receives Bids from EIM1 Generator and CISO Generator in order to serve EIM1 Load and CISO Load. The Real Time Market Conditions have determined that there is 100 MWs Available Transmission Capacity between EIM1 and CISO with a</w:t>
      </w:r>
      <w:r>
        <w:t>n</w:t>
      </w:r>
      <w:r w:rsidRPr="00875E26">
        <w:t xml:space="preserve"> EIM Transfer Cost of $0.01.  Based upon these conditions, the Real Time Market has dispatched a Generator in the EIM1 Balancing Authority Area (BAA) to serve 50 MWs of EIM1 Load and 100 MWs of CISO Load. The Real Time Market also dispatched a Generator in the CISO BAA to serve an additional 100 MWs of internal Load. Market Conditions has determined that marginal unit is CISO Generator, the EIM Transfer Constraint is congested, and the Intertie scheduling Limit Constraint is not congested.     </w:t>
      </w:r>
    </w:p>
    <w:p w14:paraId="5215E310" w14:textId="77777777" w:rsidR="00204905" w:rsidRPr="00875E26" w:rsidRDefault="00204905" w:rsidP="00877DDB">
      <w:pPr>
        <w:pStyle w:val="BPM"/>
      </w:pPr>
      <w:r w:rsidRPr="00875E26">
        <w:t xml:space="preserve"> Based upon the above mentioned Market Conditions, Settlement calculations will be as follows:</w:t>
      </w:r>
    </w:p>
    <w:p w14:paraId="2CB4C38A" w14:textId="77777777" w:rsidR="00204905" w:rsidRPr="00875E26" w:rsidRDefault="00204905" w:rsidP="00204905">
      <w:pPr>
        <w:ind w:firstLine="720"/>
      </w:pPr>
    </w:p>
    <w:p w14:paraId="2DBE6019" w14:textId="77777777" w:rsidR="00204905" w:rsidRPr="00875E26" w:rsidRDefault="00204905" w:rsidP="00204905">
      <w:r w:rsidRPr="00875E26">
        <w:t>Bids</w:t>
      </w:r>
    </w:p>
    <w:tbl>
      <w:tblPr>
        <w:tblW w:w="8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1739"/>
        <w:gridCol w:w="1739"/>
        <w:gridCol w:w="1713"/>
      </w:tblGrid>
      <w:tr w:rsidR="00204905" w:rsidRPr="00875E26" w14:paraId="386F4AC5" w14:textId="77777777" w:rsidTr="00954C07">
        <w:trPr>
          <w:trHeight w:val="602"/>
        </w:trPr>
        <w:tc>
          <w:tcPr>
            <w:tcW w:w="1662" w:type="dxa"/>
            <w:shd w:val="clear" w:color="auto" w:fill="auto"/>
            <w:noWrap/>
            <w:vAlign w:val="bottom"/>
            <w:hideMark/>
          </w:tcPr>
          <w:p w14:paraId="7B796630" w14:textId="77777777" w:rsidR="00204905" w:rsidRPr="00875E26" w:rsidRDefault="00204905" w:rsidP="00954C07">
            <w:pPr>
              <w:jc w:val="center"/>
              <w:rPr>
                <w:color w:val="000000"/>
              </w:rPr>
            </w:pPr>
            <w:r w:rsidRPr="00875E26">
              <w:rPr>
                <w:color w:val="000000"/>
              </w:rPr>
              <w:t>Resource</w:t>
            </w:r>
          </w:p>
        </w:tc>
        <w:tc>
          <w:tcPr>
            <w:tcW w:w="1892" w:type="dxa"/>
            <w:shd w:val="clear" w:color="auto" w:fill="auto"/>
            <w:noWrap/>
            <w:vAlign w:val="bottom"/>
            <w:hideMark/>
          </w:tcPr>
          <w:p w14:paraId="7B5227BC" w14:textId="77777777" w:rsidR="00204905" w:rsidRPr="00875E26" w:rsidRDefault="00204905" w:rsidP="00954C07">
            <w:pPr>
              <w:jc w:val="center"/>
              <w:rPr>
                <w:color w:val="000000"/>
              </w:rPr>
            </w:pPr>
            <w:r w:rsidRPr="00875E26">
              <w:rPr>
                <w:color w:val="000000"/>
              </w:rPr>
              <w:t>Quantity (MW)</w:t>
            </w:r>
          </w:p>
        </w:tc>
        <w:tc>
          <w:tcPr>
            <w:tcW w:w="1739" w:type="dxa"/>
            <w:shd w:val="clear" w:color="auto" w:fill="auto"/>
            <w:vAlign w:val="bottom"/>
            <w:hideMark/>
          </w:tcPr>
          <w:p w14:paraId="19CB5182" w14:textId="77777777" w:rsidR="00204905" w:rsidRPr="00875E26" w:rsidRDefault="00204905" w:rsidP="00954C07">
            <w:pPr>
              <w:jc w:val="center"/>
              <w:rPr>
                <w:color w:val="000000"/>
              </w:rPr>
            </w:pPr>
            <w:r w:rsidRPr="00875E26">
              <w:rPr>
                <w:color w:val="000000"/>
              </w:rPr>
              <w:t>Energy Bid</w:t>
            </w:r>
            <w:r w:rsidRPr="00875E26">
              <w:rPr>
                <w:color w:val="000000"/>
              </w:rPr>
              <w:br/>
              <w:t>Price ($/MW)</w:t>
            </w:r>
          </w:p>
        </w:tc>
        <w:tc>
          <w:tcPr>
            <w:tcW w:w="1739" w:type="dxa"/>
            <w:shd w:val="clear" w:color="auto" w:fill="auto"/>
            <w:vAlign w:val="bottom"/>
            <w:hideMark/>
          </w:tcPr>
          <w:p w14:paraId="2802A598" w14:textId="77777777" w:rsidR="00204905" w:rsidRPr="00875E26" w:rsidRDefault="00204905" w:rsidP="00954C07">
            <w:pPr>
              <w:jc w:val="center"/>
              <w:rPr>
                <w:color w:val="000000"/>
              </w:rPr>
            </w:pPr>
            <w:r w:rsidRPr="00875E26">
              <w:rPr>
                <w:color w:val="000000"/>
              </w:rPr>
              <w:t>GHG Bid</w:t>
            </w:r>
            <w:r w:rsidRPr="00875E26">
              <w:rPr>
                <w:color w:val="000000"/>
              </w:rPr>
              <w:br/>
              <w:t>Price ($/MW)</w:t>
            </w:r>
          </w:p>
        </w:tc>
        <w:tc>
          <w:tcPr>
            <w:tcW w:w="1713" w:type="dxa"/>
            <w:shd w:val="clear" w:color="auto" w:fill="auto"/>
            <w:vAlign w:val="bottom"/>
            <w:hideMark/>
          </w:tcPr>
          <w:p w14:paraId="089788FF" w14:textId="77777777" w:rsidR="00204905" w:rsidRPr="00875E26" w:rsidRDefault="00204905" w:rsidP="00954C07">
            <w:pPr>
              <w:jc w:val="center"/>
              <w:rPr>
                <w:color w:val="000000"/>
              </w:rPr>
            </w:pPr>
            <w:r w:rsidRPr="00875E26">
              <w:rPr>
                <w:color w:val="000000"/>
              </w:rPr>
              <w:t>All-in Bid</w:t>
            </w:r>
            <w:r w:rsidRPr="00875E26">
              <w:rPr>
                <w:color w:val="000000"/>
              </w:rPr>
              <w:br/>
              <w:t>Price ($/MW)</w:t>
            </w:r>
          </w:p>
        </w:tc>
      </w:tr>
      <w:tr w:rsidR="00204905" w:rsidRPr="00875E26" w14:paraId="2515E1E0" w14:textId="77777777" w:rsidTr="00954C07">
        <w:trPr>
          <w:trHeight w:val="313"/>
        </w:trPr>
        <w:tc>
          <w:tcPr>
            <w:tcW w:w="1662" w:type="dxa"/>
            <w:shd w:val="clear" w:color="auto" w:fill="auto"/>
            <w:noWrap/>
            <w:vAlign w:val="bottom"/>
          </w:tcPr>
          <w:p w14:paraId="209440E2" w14:textId="77777777" w:rsidR="00204905" w:rsidRPr="00875E26" w:rsidRDefault="00204905" w:rsidP="00954C07">
            <w:pPr>
              <w:rPr>
                <w:color w:val="000000"/>
              </w:rPr>
            </w:pPr>
            <w:r w:rsidRPr="00875E26">
              <w:rPr>
                <w:color w:val="000000"/>
              </w:rPr>
              <w:t>EIM1Gen</w:t>
            </w:r>
          </w:p>
        </w:tc>
        <w:tc>
          <w:tcPr>
            <w:tcW w:w="1892" w:type="dxa"/>
            <w:shd w:val="clear" w:color="auto" w:fill="auto"/>
            <w:noWrap/>
            <w:vAlign w:val="bottom"/>
          </w:tcPr>
          <w:p w14:paraId="7289E55B" w14:textId="77777777" w:rsidR="00204905" w:rsidRPr="00875E26" w:rsidRDefault="00204905" w:rsidP="00954C07">
            <w:pPr>
              <w:jc w:val="right"/>
              <w:rPr>
                <w:color w:val="000000"/>
              </w:rPr>
            </w:pPr>
            <w:r w:rsidRPr="00875E26">
              <w:rPr>
                <w:color w:val="000000"/>
              </w:rPr>
              <w:t>200</w:t>
            </w:r>
          </w:p>
        </w:tc>
        <w:tc>
          <w:tcPr>
            <w:tcW w:w="1739" w:type="dxa"/>
            <w:shd w:val="clear" w:color="auto" w:fill="auto"/>
            <w:noWrap/>
            <w:vAlign w:val="bottom"/>
          </w:tcPr>
          <w:p w14:paraId="2F30CA4C" w14:textId="77777777" w:rsidR="00204905" w:rsidRPr="00875E26" w:rsidRDefault="00204905" w:rsidP="00954C07">
            <w:pPr>
              <w:rPr>
                <w:color w:val="000000"/>
              </w:rPr>
            </w:pPr>
            <w:r w:rsidRPr="00875E26">
              <w:rPr>
                <w:color w:val="000000"/>
              </w:rPr>
              <w:t xml:space="preserve"> $         35.00 </w:t>
            </w:r>
          </w:p>
        </w:tc>
        <w:tc>
          <w:tcPr>
            <w:tcW w:w="1739" w:type="dxa"/>
            <w:shd w:val="clear" w:color="auto" w:fill="auto"/>
            <w:noWrap/>
            <w:vAlign w:val="bottom"/>
          </w:tcPr>
          <w:p w14:paraId="7DCD915C" w14:textId="77777777" w:rsidR="00204905" w:rsidRPr="00875E26" w:rsidRDefault="00204905" w:rsidP="00954C07">
            <w:pPr>
              <w:rPr>
                <w:color w:val="000000"/>
              </w:rPr>
            </w:pPr>
            <w:r w:rsidRPr="00875E26">
              <w:rPr>
                <w:color w:val="000000"/>
              </w:rPr>
              <w:t xml:space="preserve"> $              -   </w:t>
            </w:r>
          </w:p>
        </w:tc>
        <w:tc>
          <w:tcPr>
            <w:tcW w:w="1713" w:type="dxa"/>
            <w:shd w:val="clear" w:color="auto" w:fill="auto"/>
            <w:noWrap/>
            <w:vAlign w:val="bottom"/>
          </w:tcPr>
          <w:p w14:paraId="524E68C3" w14:textId="77777777" w:rsidR="00204905" w:rsidRPr="00875E26" w:rsidRDefault="00204905" w:rsidP="00954C07">
            <w:pPr>
              <w:rPr>
                <w:color w:val="000000"/>
              </w:rPr>
            </w:pPr>
            <w:r w:rsidRPr="00875E26">
              <w:rPr>
                <w:color w:val="000000"/>
              </w:rPr>
              <w:t xml:space="preserve"> $         35.00 </w:t>
            </w:r>
          </w:p>
        </w:tc>
      </w:tr>
      <w:tr w:rsidR="00204905" w:rsidRPr="00875E26" w14:paraId="78D0D210" w14:textId="77777777" w:rsidTr="00954C07">
        <w:trPr>
          <w:trHeight w:val="313"/>
        </w:trPr>
        <w:tc>
          <w:tcPr>
            <w:tcW w:w="1662" w:type="dxa"/>
            <w:shd w:val="clear" w:color="auto" w:fill="auto"/>
            <w:noWrap/>
            <w:vAlign w:val="bottom"/>
          </w:tcPr>
          <w:p w14:paraId="53870A77" w14:textId="77777777" w:rsidR="00204905" w:rsidRPr="00875E26" w:rsidRDefault="00204905" w:rsidP="00954C07">
            <w:pPr>
              <w:rPr>
                <w:color w:val="000000"/>
              </w:rPr>
            </w:pPr>
            <w:r w:rsidRPr="00875E26">
              <w:rPr>
                <w:color w:val="000000"/>
              </w:rPr>
              <w:t>CISOGen</w:t>
            </w:r>
          </w:p>
        </w:tc>
        <w:tc>
          <w:tcPr>
            <w:tcW w:w="1892" w:type="dxa"/>
            <w:shd w:val="clear" w:color="auto" w:fill="auto"/>
            <w:noWrap/>
            <w:vAlign w:val="bottom"/>
          </w:tcPr>
          <w:p w14:paraId="7EA96AFE" w14:textId="77777777" w:rsidR="00204905" w:rsidRPr="00875E26" w:rsidRDefault="00204905" w:rsidP="00954C07">
            <w:pPr>
              <w:jc w:val="right"/>
              <w:rPr>
                <w:color w:val="000000"/>
              </w:rPr>
            </w:pPr>
            <w:r w:rsidRPr="00875E26">
              <w:rPr>
                <w:color w:val="000000"/>
              </w:rPr>
              <w:t>300</w:t>
            </w:r>
          </w:p>
        </w:tc>
        <w:tc>
          <w:tcPr>
            <w:tcW w:w="1739" w:type="dxa"/>
            <w:shd w:val="clear" w:color="auto" w:fill="auto"/>
            <w:noWrap/>
            <w:vAlign w:val="bottom"/>
          </w:tcPr>
          <w:p w14:paraId="447A8477" w14:textId="77777777" w:rsidR="00204905" w:rsidRPr="00875E26" w:rsidRDefault="00204905" w:rsidP="00954C07">
            <w:pPr>
              <w:rPr>
                <w:color w:val="000000"/>
              </w:rPr>
            </w:pPr>
            <w:r w:rsidRPr="00875E26">
              <w:rPr>
                <w:color w:val="000000"/>
              </w:rPr>
              <w:t xml:space="preserve"> $         50.00 </w:t>
            </w:r>
          </w:p>
        </w:tc>
        <w:tc>
          <w:tcPr>
            <w:tcW w:w="1739" w:type="dxa"/>
            <w:shd w:val="clear" w:color="auto" w:fill="auto"/>
            <w:noWrap/>
            <w:vAlign w:val="bottom"/>
          </w:tcPr>
          <w:p w14:paraId="2B389C2D" w14:textId="77777777" w:rsidR="00204905" w:rsidRPr="00875E26" w:rsidRDefault="00204905" w:rsidP="00954C07">
            <w:pPr>
              <w:rPr>
                <w:color w:val="000000"/>
              </w:rPr>
            </w:pPr>
            <w:r w:rsidRPr="00875E26">
              <w:rPr>
                <w:color w:val="000000"/>
              </w:rPr>
              <w:t xml:space="preserve"> $              -   </w:t>
            </w:r>
          </w:p>
        </w:tc>
        <w:tc>
          <w:tcPr>
            <w:tcW w:w="1713" w:type="dxa"/>
            <w:shd w:val="clear" w:color="auto" w:fill="auto"/>
            <w:noWrap/>
            <w:vAlign w:val="bottom"/>
          </w:tcPr>
          <w:p w14:paraId="35CC471C" w14:textId="77777777" w:rsidR="00204905" w:rsidRPr="00875E26" w:rsidRDefault="00204905" w:rsidP="00954C07">
            <w:pPr>
              <w:rPr>
                <w:color w:val="000000"/>
              </w:rPr>
            </w:pPr>
            <w:r w:rsidRPr="00875E26">
              <w:rPr>
                <w:color w:val="000000"/>
              </w:rPr>
              <w:t xml:space="preserve"> $         50.00 </w:t>
            </w:r>
          </w:p>
        </w:tc>
      </w:tr>
    </w:tbl>
    <w:p w14:paraId="7E17A84B" w14:textId="77777777" w:rsidR="00204905" w:rsidRPr="00875E26" w:rsidRDefault="00204905" w:rsidP="00204905"/>
    <w:p w14:paraId="6CA04871" w14:textId="77777777" w:rsidR="00204905" w:rsidRPr="00875E26" w:rsidRDefault="00204905" w:rsidP="00204905">
      <w:r w:rsidRPr="00875E26">
        <w:t>Load Forecast</w:t>
      </w:r>
    </w:p>
    <w:tbl>
      <w:tblPr>
        <w:tblW w:w="3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tblGrid>
      <w:tr w:rsidR="00204905" w:rsidRPr="00875E26" w14:paraId="3F8F40B8" w14:textId="77777777" w:rsidTr="00954C07">
        <w:trPr>
          <w:trHeight w:val="341"/>
        </w:trPr>
        <w:tc>
          <w:tcPr>
            <w:tcW w:w="1662" w:type="dxa"/>
            <w:shd w:val="clear" w:color="auto" w:fill="auto"/>
            <w:noWrap/>
            <w:vAlign w:val="bottom"/>
            <w:hideMark/>
          </w:tcPr>
          <w:p w14:paraId="5C08195A" w14:textId="77777777" w:rsidR="00204905" w:rsidRPr="00875E26" w:rsidRDefault="00204905" w:rsidP="00954C07">
            <w:pPr>
              <w:jc w:val="center"/>
              <w:rPr>
                <w:color w:val="000000"/>
              </w:rPr>
            </w:pPr>
            <w:r w:rsidRPr="00875E26">
              <w:rPr>
                <w:color w:val="000000"/>
              </w:rPr>
              <w:t>Resource</w:t>
            </w:r>
          </w:p>
        </w:tc>
        <w:tc>
          <w:tcPr>
            <w:tcW w:w="1892" w:type="dxa"/>
            <w:shd w:val="clear" w:color="auto" w:fill="auto"/>
            <w:noWrap/>
            <w:vAlign w:val="bottom"/>
            <w:hideMark/>
          </w:tcPr>
          <w:p w14:paraId="3DC166BD" w14:textId="77777777" w:rsidR="00204905" w:rsidRPr="00875E26" w:rsidRDefault="00204905" w:rsidP="00954C07">
            <w:pPr>
              <w:jc w:val="center"/>
              <w:rPr>
                <w:color w:val="000000"/>
              </w:rPr>
            </w:pPr>
            <w:r w:rsidRPr="00875E26">
              <w:rPr>
                <w:color w:val="000000"/>
              </w:rPr>
              <w:t>Quantity (MW)</w:t>
            </w:r>
          </w:p>
        </w:tc>
      </w:tr>
      <w:tr w:rsidR="00204905" w:rsidRPr="00875E26" w14:paraId="42EB60EE" w14:textId="77777777" w:rsidTr="00954C07">
        <w:trPr>
          <w:trHeight w:val="313"/>
        </w:trPr>
        <w:tc>
          <w:tcPr>
            <w:tcW w:w="1662" w:type="dxa"/>
            <w:shd w:val="clear" w:color="auto" w:fill="auto"/>
            <w:noWrap/>
            <w:vAlign w:val="bottom"/>
          </w:tcPr>
          <w:p w14:paraId="75B2A76F" w14:textId="77777777" w:rsidR="00204905" w:rsidRPr="00875E26" w:rsidRDefault="00204905" w:rsidP="00954C07">
            <w:pPr>
              <w:rPr>
                <w:color w:val="000000"/>
              </w:rPr>
            </w:pPr>
            <w:r w:rsidRPr="00875E26">
              <w:rPr>
                <w:color w:val="000000"/>
              </w:rPr>
              <w:t>EIM1Load</w:t>
            </w:r>
          </w:p>
        </w:tc>
        <w:tc>
          <w:tcPr>
            <w:tcW w:w="1892" w:type="dxa"/>
            <w:shd w:val="clear" w:color="auto" w:fill="auto"/>
            <w:noWrap/>
            <w:vAlign w:val="bottom"/>
          </w:tcPr>
          <w:p w14:paraId="61CE504C" w14:textId="77777777" w:rsidR="00204905" w:rsidRPr="00875E26" w:rsidRDefault="00204905" w:rsidP="00954C07">
            <w:pPr>
              <w:jc w:val="right"/>
              <w:rPr>
                <w:color w:val="000000"/>
              </w:rPr>
            </w:pPr>
            <w:r w:rsidRPr="00875E26">
              <w:rPr>
                <w:color w:val="000000"/>
              </w:rPr>
              <w:t>50</w:t>
            </w:r>
          </w:p>
        </w:tc>
      </w:tr>
      <w:tr w:rsidR="00204905" w:rsidRPr="00875E26" w14:paraId="0C920B92" w14:textId="77777777" w:rsidTr="00954C07">
        <w:trPr>
          <w:trHeight w:val="313"/>
        </w:trPr>
        <w:tc>
          <w:tcPr>
            <w:tcW w:w="1662" w:type="dxa"/>
            <w:shd w:val="clear" w:color="auto" w:fill="auto"/>
            <w:noWrap/>
            <w:vAlign w:val="bottom"/>
          </w:tcPr>
          <w:p w14:paraId="5AF264D3" w14:textId="77777777" w:rsidR="00204905" w:rsidRPr="00875E26" w:rsidRDefault="00204905" w:rsidP="00954C07">
            <w:pPr>
              <w:rPr>
                <w:color w:val="000000"/>
              </w:rPr>
            </w:pPr>
            <w:r w:rsidRPr="00875E26">
              <w:rPr>
                <w:color w:val="000000"/>
              </w:rPr>
              <w:t>CISOLoad</w:t>
            </w:r>
          </w:p>
        </w:tc>
        <w:tc>
          <w:tcPr>
            <w:tcW w:w="1892" w:type="dxa"/>
            <w:shd w:val="clear" w:color="auto" w:fill="auto"/>
            <w:noWrap/>
            <w:vAlign w:val="bottom"/>
          </w:tcPr>
          <w:p w14:paraId="2012CEBE" w14:textId="77777777" w:rsidR="00204905" w:rsidRPr="00875E26" w:rsidRDefault="00204905" w:rsidP="00954C07">
            <w:pPr>
              <w:jc w:val="right"/>
              <w:rPr>
                <w:color w:val="000000"/>
              </w:rPr>
            </w:pPr>
            <w:r w:rsidRPr="00875E26">
              <w:rPr>
                <w:color w:val="000000"/>
              </w:rPr>
              <w:t>200</w:t>
            </w:r>
          </w:p>
        </w:tc>
      </w:tr>
    </w:tbl>
    <w:p w14:paraId="59D28A86" w14:textId="77777777" w:rsidR="00204905" w:rsidRPr="00875E26" w:rsidRDefault="00204905" w:rsidP="00204905"/>
    <w:p w14:paraId="7D191024" w14:textId="77777777" w:rsidR="00204905" w:rsidRPr="00875E26" w:rsidRDefault="00204905" w:rsidP="00204905">
      <w:r w:rsidRPr="00875E26">
        <w:t>Market Dispatch (RTD)</w:t>
      </w: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2026"/>
      </w:tblGrid>
      <w:tr w:rsidR="00204905" w:rsidRPr="00875E26" w14:paraId="6FB28353" w14:textId="77777777" w:rsidTr="00954C07">
        <w:trPr>
          <w:trHeight w:val="368"/>
        </w:trPr>
        <w:tc>
          <w:tcPr>
            <w:tcW w:w="1662" w:type="dxa"/>
            <w:shd w:val="clear" w:color="auto" w:fill="auto"/>
            <w:noWrap/>
            <w:vAlign w:val="bottom"/>
            <w:hideMark/>
          </w:tcPr>
          <w:p w14:paraId="458D30A3" w14:textId="77777777" w:rsidR="00204905" w:rsidRPr="00875E26" w:rsidRDefault="00204905" w:rsidP="00954C07">
            <w:pPr>
              <w:jc w:val="center"/>
              <w:rPr>
                <w:color w:val="000000"/>
              </w:rPr>
            </w:pPr>
            <w:r w:rsidRPr="00875E26">
              <w:rPr>
                <w:color w:val="000000"/>
              </w:rPr>
              <w:lastRenderedPageBreak/>
              <w:t>Resource</w:t>
            </w:r>
          </w:p>
        </w:tc>
        <w:tc>
          <w:tcPr>
            <w:tcW w:w="1892" w:type="dxa"/>
            <w:shd w:val="clear" w:color="auto" w:fill="auto"/>
            <w:noWrap/>
            <w:vAlign w:val="bottom"/>
            <w:hideMark/>
          </w:tcPr>
          <w:p w14:paraId="548FA4EC" w14:textId="77777777" w:rsidR="00204905" w:rsidRPr="00875E26" w:rsidRDefault="00204905" w:rsidP="00954C07">
            <w:pPr>
              <w:jc w:val="center"/>
              <w:rPr>
                <w:color w:val="000000"/>
              </w:rPr>
            </w:pPr>
            <w:r w:rsidRPr="00875E26">
              <w:rPr>
                <w:color w:val="000000"/>
              </w:rPr>
              <w:t>Quantity (MW)</w:t>
            </w:r>
          </w:p>
        </w:tc>
        <w:tc>
          <w:tcPr>
            <w:tcW w:w="2026" w:type="dxa"/>
            <w:shd w:val="clear" w:color="auto" w:fill="auto"/>
            <w:vAlign w:val="bottom"/>
            <w:hideMark/>
          </w:tcPr>
          <w:p w14:paraId="25B6C50E" w14:textId="77777777" w:rsidR="00204905" w:rsidRPr="00875E26" w:rsidRDefault="00204905" w:rsidP="00954C07">
            <w:pPr>
              <w:jc w:val="center"/>
              <w:rPr>
                <w:color w:val="000000"/>
              </w:rPr>
            </w:pPr>
            <w:r w:rsidRPr="00875E26">
              <w:rPr>
                <w:color w:val="000000"/>
              </w:rPr>
              <w:t>LMP</w:t>
            </w:r>
          </w:p>
        </w:tc>
      </w:tr>
      <w:tr w:rsidR="00204905" w:rsidRPr="00875E26" w14:paraId="77CC772A" w14:textId="77777777" w:rsidTr="00954C07">
        <w:trPr>
          <w:trHeight w:val="313"/>
        </w:trPr>
        <w:tc>
          <w:tcPr>
            <w:tcW w:w="1662" w:type="dxa"/>
            <w:shd w:val="clear" w:color="auto" w:fill="auto"/>
            <w:noWrap/>
            <w:vAlign w:val="bottom"/>
            <w:hideMark/>
          </w:tcPr>
          <w:p w14:paraId="2E64EDCE" w14:textId="77777777" w:rsidR="00204905" w:rsidRPr="00875E26" w:rsidRDefault="00204905" w:rsidP="00954C07">
            <w:pPr>
              <w:rPr>
                <w:color w:val="000000"/>
              </w:rPr>
            </w:pPr>
            <w:r w:rsidRPr="00875E26">
              <w:rPr>
                <w:color w:val="000000"/>
              </w:rPr>
              <w:t>EIM1Gen</w:t>
            </w:r>
          </w:p>
        </w:tc>
        <w:tc>
          <w:tcPr>
            <w:tcW w:w="1892" w:type="dxa"/>
            <w:shd w:val="clear" w:color="auto" w:fill="auto"/>
            <w:noWrap/>
            <w:vAlign w:val="bottom"/>
            <w:hideMark/>
          </w:tcPr>
          <w:p w14:paraId="7103CBFA" w14:textId="77777777" w:rsidR="00204905" w:rsidRPr="00875E26" w:rsidRDefault="00204905" w:rsidP="00954C07">
            <w:pPr>
              <w:jc w:val="right"/>
              <w:rPr>
                <w:color w:val="000000"/>
              </w:rPr>
            </w:pPr>
            <w:r w:rsidRPr="00875E26">
              <w:rPr>
                <w:color w:val="000000"/>
              </w:rPr>
              <w:t>150</w:t>
            </w:r>
          </w:p>
        </w:tc>
        <w:tc>
          <w:tcPr>
            <w:tcW w:w="2026" w:type="dxa"/>
            <w:shd w:val="clear" w:color="auto" w:fill="auto"/>
            <w:noWrap/>
            <w:vAlign w:val="bottom"/>
            <w:hideMark/>
          </w:tcPr>
          <w:p w14:paraId="39B53559" w14:textId="77777777" w:rsidR="00204905" w:rsidRPr="00875E26" w:rsidRDefault="00204905" w:rsidP="00954C07">
            <w:pPr>
              <w:rPr>
                <w:color w:val="000000"/>
              </w:rPr>
            </w:pPr>
            <w:r w:rsidRPr="00875E26">
              <w:rPr>
                <w:color w:val="000000"/>
              </w:rPr>
              <w:t xml:space="preserve"> $              34.99   </w:t>
            </w:r>
          </w:p>
        </w:tc>
      </w:tr>
      <w:tr w:rsidR="00204905" w:rsidRPr="00875E26" w14:paraId="7A1868CA" w14:textId="77777777" w:rsidTr="00954C07">
        <w:trPr>
          <w:trHeight w:val="313"/>
        </w:trPr>
        <w:tc>
          <w:tcPr>
            <w:tcW w:w="1662" w:type="dxa"/>
            <w:shd w:val="clear" w:color="auto" w:fill="auto"/>
            <w:noWrap/>
            <w:vAlign w:val="bottom"/>
          </w:tcPr>
          <w:p w14:paraId="7A046C4F" w14:textId="77777777" w:rsidR="00204905" w:rsidRPr="00875E26" w:rsidRDefault="00204905" w:rsidP="00954C07">
            <w:pPr>
              <w:rPr>
                <w:color w:val="000000"/>
              </w:rPr>
            </w:pPr>
            <w:r w:rsidRPr="00875E26">
              <w:rPr>
                <w:color w:val="000000"/>
              </w:rPr>
              <w:t>CISOGen</w:t>
            </w:r>
          </w:p>
        </w:tc>
        <w:tc>
          <w:tcPr>
            <w:tcW w:w="1892" w:type="dxa"/>
            <w:shd w:val="clear" w:color="auto" w:fill="auto"/>
            <w:noWrap/>
            <w:vAlign w:val="bottom"/>
          </w:tcPr>
          <w:p w14:paraId="16BBFBD4" w14:textId="77777777" w:rsidR="00204905" w:rsidRPr="00875E26" w:rsidRDefault="00204905" w:rsidP="00954C07">
            <w:pPr>
              <w:jc w:val="right"/>
              <w:rPr>
                <w:color w:val="000000"/>
              </w:rPr>
            </w:pPr>
            <w:r w:rsidRPr="00875E26">
              <w:rPr>
                <w:color w:val="000000"/>
              </w:rPr>
              <w:t>100</w:t>
            </w:r>
          </w:p>
        </w:tc>
        <w:tc>
          <w:tcPr>
            <w:tcW w:w="2026" w:type="dxa"/>
            <w:shd w:val="clear" w:color="auto" w:fill="auto"/>
            <w:noWrap/>
            <w:vAlign w:val="bottom"/>
          </w:tcPr>
          <w:p w14:paraId="44B8A17F" w14:textId="77777777" w:rsidR="00204905" w:rsidRPr="00875E26" w:rsidRDefault="00204905" w:rsidP="00954C07">
            <w:pPr>
              <w:rPr>
                <w:color w:val="000000"/>
              </w:rPr>
            </w:pPr>
            <w:r w:rsidRPr="00875E26">
              <w:rPr>
                <w:color w:val="000000"/>
              </w:rPr>
              <w:t xml:space="preserve"> $              50.00  </w:t>
            </w:r>
          </w:p>
        </w:tc>
      </w:tr>
    </w:tbl>
    <w:p w14:paraId="1578FD8E" w14:textId="77777777" w:rsidR="00204905" w:rsidRPr="00875E26" w:rsidRDefault="00204905" w:rsidP="00204905"/>
    <w:p w14:paraId="5DA3E0EA" w14:textId="77777777" w:rsidR="00204905" w:rsidRDefault="00204905" w:rsidP="00204905">
      <w:r w:rsidRPr="00875E26">
        <w:t xml:space="preserve">  </w:t>
      </w:r>
    </w:p>
    <w:p w14:paraId="72F850EA" w14:textId="77777777" w:rsidR="00204905" w:rsidRDefault="00204905" w:rsidP="00204905"/>
    <w:p w14:paraId="3B450E07" w14:textId="77777777" w:rsidR="00204905" w:rsidRPr="00875E26" w:rsidRDefault="00204905" w:rsidP="00204905"/>
    <w:p w14:paraId="63380778" w14:textId="77777777" w:rsidR="00204905" w:rsidRPr="00875E26" w:rsidRDefault="00204905" w:rsidP="00204905">
      <w:r w:rsidRPr="00875E26">
        <w:t>Location Marginal Pricing (RTD)</w:t>
      </w: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0"/>
        <w:gridCol w:w="1360"/>
        <w:gridCol w:w="1360"/>
        <w:gridCol w:w="1340"/>
        <w:gridCol w:w="1260"/>
      </w:tblGrid>
      <w:tr w:rsidR="00204905" w:rsidRPr="00875E26" w14:paraId="131AEF70" w14:textId="77777777" w:rsidTr="00954C07">
        <w:trPr>
          <w:trHeight w:val="464"/>
        </w:trPr>
        <w:tc>
          <w:tcPr>
            <w:tcW w:w="1440" w:type="dxa"/>
            <w:shd w:val="clear" w:color="auto" w:fill="auto"/>
            <w:noWrap/>
            <w:vAlign w:val="bottom"/>
            <w:hideMark/>
          </w:tcPr>
          <w:p w14:paraId="77837A21" w14:textId="77777777" w:rsidR="00204905" w:rsidRPr="00875E26" w:rsidRDefault="00204905" w:rsidP="00954C07">
            <w:pPr>
              <w:rPr>
                <w:color w:val="000000"/>
              </w:rPr>
            </w:pPr>
            <w:r w:rsidRPr="00875E26">
              <w:rPr>
                <w:color w:val="000000"/>
              </w:rPr>
              <w:t>Location</w:t>
            </w:r>
          </w:p>
        </w:tc>
        <w:tc>
          <w:tcPr>
            <w:tcW w:w="1340" w:type="dxa"/>
            <w:shd w:val="clear" w:color="auto" w:fill="auto"/>
            <w:noWrap/>
            <w:vAlign w:val="bottom"/>
            <w:hideMark/>
          </w:tcPr>
          <w:p w14:paraId="09F147A4" w14:textId="77777777" w:rsidR="00204905" w:rsidRPr="00875E26" w:rsidRDefault="00204905" w:rsidP="00954C07">
            <w:pPr>
              <w:rPr>
                <w:color w:val="000000"/>
              </w:rPr>
            </w:pPr>
            <w:r w:rsidRPr="00875E26">
              <w:rPr>
                <w:color w:val="000000"/>
              </w:rPr>
              <w:t>Energy</w:t>
            </w:r>
          </w:p>
        </w:tc>
        <w:tc>
          <w:tcPr>
            <w:tcW w:w="1360" w:type="dxa"/>
            <w:shd w:val="clear" w:color="auto" w:fill="auto"/>
            <w:noWrap/>
            <w:vAlign w:val="bottom"/>
            <w:hideMark/>
          </w:tcPr>
          <w:p w14:paraId="0856179A" w14:textId="77777777" w:rsidR="00204905" w:rsidRPr="00875E26" w:rsidRDefault="00204905" w:rsidP="00954C07">
            <w:pPr>
              <w:rPr>
                <w:color w:val="000000"/>
              </w:rPr>
            </w:pPr>
            <w:r w:rsidRPr="00875E26">
              <w:rPr>
                <w:color w:val="000000"/>
              </w:rPr>
              <w:t>Congestion*</w:t>
            </w:r>
          </w:p>
        </w:tc>
        <w:tc>
          <w:tcPr>
            <w:tcW w:w="1360" w:type="dxa"/>
            <w:shd w:val="clear" w:color="auto" w:fill="auto"/>
            <w:noWrap/>
            <w:vAlign w:val="bottom"/>
            <w:hideMark/>
          </w:tcPr>
          <w:p w14:paraId="69D42B2F" w14:textId="77777777" w:rsidR="00204905" w:rsidRPr="00875E26" w:rsidRDefault="00204905" w:rsidP="00954C07">
            <w:pPr>
              <w:rPr>
                <w:color w:val="000000"/>
              </w:rPr>
            </w:pPr>
            <w:r w:rsidRPr="00875E26">
              <w:rPr>
                <w:color w:val="000000"/>
              </w:rPr>
              <w:t>Losses</w:t>
            </w:r>
          </w:p>
        </w:tc>
        <w:tc>
          <w:tcPr>
            <w:tcW w:w="1340" w:type="dxa"/>
            <w:shd w:val="clear" w:color="auto" w:fill="auto"/>
            <w:noWrap/>
            <w:vAlign w:val="bottom"/>
            <w:hideMark/>
          </w:tcPr>
          <w:p w14:paraId="0B89ABC7" w14:textId="77777777" w:rsidR="00204905" w:rsidRPr="00875E26" w:rsidRDefault="00204905" w:rsidP="00954C07">
            <w:pPr>
              <w:rPr>
                <w:color w:val="000000"/>
              </w:rPr>
            </w:pPr>
            <w:r w:rsidRPr="00875E26">
              <w:rPr>
                <w:color w:val="000000"/>
              </w:rPr>
              <w:t>GHG</w:t>
            </w:r>
          </w:p>
        </w:tc>
        <w:tc>
          <w:tcPr>
            <w:tcW w:w="1260" w:type="dxa"/>
            <w:shd w:val="clear" w:color="auto" w:fill="auto"/>
            <w:noWrap/>
            <w:vAlign w:val="bottom"/>
            <w:hideMark/>
          </w:tcPr>
          <w:p w14:paraId="3B8FB4E1" w14:textId="77777777" w:rsidR="00204905" w:rsidRPr="00875E26" w:rsidRDefault="00204905" w:rsidP="00954C07">
            <w:pPr>
              <w:rPr>
                <w:color w:val="000000"/>
              </w:rPr>
            </w:pPr>
            <w:r w:rsidRPr="00875E26">
              <w:rPr>
                <w:color w:val="000000"/>
              </w:rPr>
              <w:t>Price</w:t>
            </w:r>
          </w:p>
        </w:tc>
      </w:tr>
      <w:tr w:rsidR="00204905" w:rsidRPr="00875E26" w14:paraId="2FE99ADA" w14:textId="77777777" w:rsidTr="00954C07">
        <w:trPr>
          <w:trHeight w:val="464"/>
        </w:trPr>
        <w:tc>
          <w:tcPr>
            <w:tcW w:w="1440" w:type="dxa"/>
            <w:shd w:val="clear" w:color="auto" w:fill="auto"/>
            <w:noWrap/>
            <w:vAlign w:val="bottom"/>
            <w:hideMark/>
          </w:tcPr>
          <w:p w14:paraId="0B604B0C" w14:textId="77777777" w:rsidR="00204905" w:rsidRPr="00875E26" w:rsidRDefault="00204905" w:rsidP="00954C07">
            <w:pPr>
              <w:rPr>
                <w:color w:val="000000"/>
              </w:rPr>
            </w:pPr>
            <w:r w:rsidRPr="00875E26">
              <w:rPr>
                <w:color w:val="000000"/>
              </w:rPr>
              <w:t>EIM1Gen</w:t>
            </w:r>
          </w:p>
        </w:tc>
        <w:tc>
          <w:tcPr>
            <w:tcW w:w="1340" w:type="dxa"/>
            <w:shd w:val="clear" w:color="auto" w:fill="auto"/>
            <w:noWrap/>
            <w:vAlign w:val="bottom"/>
            <w:hideMark/>
          </w:tcPr>
          <w:p w14:paraId="082BB70C" w14:textId="77777777" w:rsidR="00204905" w:rsidRPr="00875E26" w:rsidRDefault="00204905" w:rsidP="00954C07">
            <w:pPr>
              <w:jc w:val="right"/>
              <w:rPr>
                <w:color w:val="000000"/>
              </w:rPr>
            </w:pPr>
            <w:r w:rsidRPr="00875E26">
              <w:rPr>
                <w:color w:val="000000"/>
              </w:rPr>
              <w:t>50</w:t>
            </w:r>
          </w:p>
        </w:tc>
        <w:tc>
          <w:tcPr>
            <w:tcW w:w="1360" w:type="dxa"/>
            <w:shd w:val="clear" w:color="auto" w:fill="auto"/>
            <w:noWrap/>
            <w:vAlign w:val="bottom"/>
            <w:hideMark/>
          </w:tcPr>
          <w:p w14:paraId="1019F6DE" w14:textId="77777777" w:rsidR="00204905" w:rsidRPr="00875E26" w:rsidRDefault="00204905" w:rsidP="00954C07">
            <w:pPr>
              <w:jc w:val="right"/>
              <w:rPr>
                <w:color w:val="000000"/>
              </w:rPr>
            </w:pPr>
            <w:r w:rsidRPr="00875E26">
              <w:rPr>
                <w:color w:val="000000"/>
              </w:rPr>
              <w:t xml:space="preserve">      (15.01)</w:t>
            </w:r>
          </w:p>
        </w:tc>
        <w:tc>
          <w:tcPr>
            <w:tcW w:w="1360" w:type="dxa"/>
            <w:shd w:val="clear" w:color="auto" w:fill="auto"/>
            <w:noWrap/>
            <w:vAlign w:val="bottom"/>
            <w:hideMark/>
          </w:tcPr>
          <w:p w14:paraId="4F205C45"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278090B2"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0A3BB709" w14:textId="77777777" w:rsidR="00204905" w:rsidRPr="00875E26" w:rsidRDefault="00204905" w:rsidP="00954C07">
            <w:pPr>
              <w:jc w:val="right"/>
              <w:rPr>
                <w:color w:val="000000"/>
              </w:rPr>
            </w:pPr>
            <w:r w:rsidRPr="00875E26">
              <w:rPr>
                <w:color w:val="000000"/>
              </w:rPr>
              <w:t xml:space="preserve">       34.99 </w:t>
            </w:r>
          </w:p>
        </w:tc>
      </w:tr>
      <w:tr w:rsidR="00204905" w:rsidRPr="00875E26" w14:paraId="14198078" w14:textId="77777777" w:rsidTr="00954C07">
        <w:trPr>
          <w:trHeight w:val="464"/>
        </w:trPr>
        <w:tc>
          <w:tcPr>
            <w:tcW w:w="1440" w:type="dxa"/>
            <w:shd w:val="clear" w:color="auto" w:fill="auto"/>
            <w:noWrap/>
            <w:vAlign w:val="bottom"/>
            <w:hideMark/>
          </w:tcPr>
          <w:p w14:paraId="2FE67B15" w14:textId="77777777" w:rsidR="00204905" w:rsidRPr="00875E26" w:rsidRDefault="00204905" w:rsidP="00954C07">
            <w:pPr>
              <w:rPr>
                <w:color w:val="000000"/>
              </w:rPr>
            </w:pPr>
            <w:r w:rsidRPr="00875E26">
              <w:rPr>
                <w:color w:val="000000"/>
              </w:rPr>
              <w:t>CISOGen</w:t>
            </w:r>
          </w:p>
        </w:tc>
        <w:tc>
          <w:tcPr>
            <w:tcW w:w="1340" w:type="dxa"/>
            <w:shd w:val="clear" w:color="auto" w:fill="auto"/>
            <w:noWrap/>
            <w:vAlign w:val="bottom"/>
            <w:hideMark/>
          </w:tcPr>
          <w:p w14:paraId="380C9EF5"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573AFE09"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hideMark/>
          </w:tcPr>
          <w:p w14:paraId="0D3081BB"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18ED89F9"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6BD2E148" w14:textId="77777777" w:rsidR="00204905" w:rsidRPr="00875E26" w:rsidRDefault="00204905" w:rsidP="00954C07">
            <w:pPr>
              <w:jc w:val="right"/>
              <w:rPr>
                <w:color w:val="000000"/>
              </w:rPr>
            </w:pPr>
            <w:r w:rsidRPr="00875E26">
              <w:rPr>
                <w:color w:val="000000"/>
              </w:rPr>
              <w:t xml:space="preserve"> 50 </w:t>
            </w:r>
          </w:p>
        </w:tc>
      </w:tr>
      <w:tr w:rsidR="00204905" w:rsidRPr="00875E26" w14:paraId="4C40472E" w14:textId="77777777" w:rsidTr="00954C07">
        <w:trPr>
          <w:trHeight w:val="464"/>
        </w:trPr>
        <w:tc>
          <w:tcPr>
            <w:tcW w:w="1440" w:type="dxa"/>
            <w:shd w:val="clear" w:color="auto" w:fill="auto"/>
            <w:noWrap/>
            <w:vAlign w:val="bottom"/>
            <w:hideMark/>
          </w:tcPr>
          <w:p w14:paraId="31623211" w14:textId="77777777" w:rsidR="00204905" w:rsidRPr="00875E26" w:rsidRDefault="00204905" w:rsidP="00954C07">
            <w:pPr>
              <w:rPr>
                <w:color w:val="000000"/>
              </w:rPr>
            </w:pPr>
            <w:r w:rsidRPr="00875E26">
              <w:rPr>
                <w:color w:val="000000"/>
              </w:rPr>
              <w:t>PACLoad</w:t>
            </w:r>
          </w:p>
        </w:tc>
        <w:tc>
          <w:tcPr>
            <w:tcW w:w="1340" w:type="dxa"/>
            <w:shd w:val="clear" w:color="auto" w:fill="auto"/>
            <w:noWrap/>
            <w:vAlign w:val="bottom"/>
            <w:hideMark/>
          </w:tcPr>
          <w:p w14:paraId="1F27920A"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4C1A57A2" w14:textId="77777777" w:rsidR="00204905" w:rsidRPr="00875E26" w:rsidRDefault="00204905" w:rsidP="00954C07">
            <w:pPr>
              <w:jc w:val="right"/>
              <w:rPr>
                <w:color w:val="000000"/>
              </w:rPr>
            </w:pPr>
            <w:r w:rsidRPr="00875E26">
              <w:rPr>
                <w:color w:val="000000"/>
              </w:rPr>
              <w:t xml:space="preserve"> (15.01)</w:t>
            </w:r>
          </w:p>
        </w:tc>
        <w:tc>
          <w:tcPr>
            <w:tcW w:w="1360" w:type="dxa"/>
            <w:shd w:val="clear" w:color="auto" w:fill="auto"/>
            <w:noWrap/>
            <w:vAlign w:val="bottom"/>
            <w:hideMark/>
          </w:tcPr>
          <w:p w14:paraId="29A0BF10"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16CEA128"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100934EE" w14:textId="77777777" w:rsidR="00204905" w:rsidRPr="00875E26" w:rsidRDefault="00204905" w:rsidP="00954C07">
            <w:pPr>
              <w:jc w:val="right"/>
              <w:rPr>
                <w:color w:val="000000"/>
              </w:rPr>
            </w:pPr>
            <w:r w:rsidRPr="00875E26">
              <w:rPr>
                <w:color w:val="000000"/>
              </w:rPr>
              <w:t xml:space="preserve">        34.99 </w:t>
            </w:r>
          </w:p>
        </w:tc>
      </w:tr>
      <w:tr w:rsidR="00204905" w:rsidRPr="00875E26" w14:paraId="5DD7EEB6" w14:textId="77777777" w:rsidTr="00954C07">
        <w:trPr>
          <w:trHeight w:val="464"/>
        </w:trPr>
        <w:tc>
          <w:tcPr>
            <w:tcW w:w="1440" w:type="dxa"/>
            <w:shd w:val="clear" w:color="auto" w:fill="auto"/>
            <w:noWrap/>
            <w:vAlign w:val="bottom"/>
            <w:hideMark/>
          </w:tcPr>
          <w:p w14:paraId="58F79CCE" w14:textId="77777777" w:rsidR="00204905" w:rsidRPr="00875E26" w:rsidRDefault="00204905" w:rsidP="00954C07">
            <w:pPr>
              <w:rPr>
                <w:color w:val="000000"/>
              </w:rPr>
            </w:pPr>
            <w:r w:rsidRPr="00875E26">
              <w:rPr>
                <w:color w:val="000000"/>
              </w:rPr>
              <w:t>CISOLoad</w:t>
            </w:r>
          </w:p>
        </w:tc>
        <w:tc>
          <w:tcPr>
            <w:tcW w:w="1340" w:type="dxa"/>
            <w:shd w:val="clear" w:color="auto" w:fill="auto"/>
            <w:noWrap/>
            <w:vAlign w:val="bottom"/>
            <w:hideMark/>
          </w:tcPr>
          <w:p w14:paraId="2E4776A9"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069FF37C"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hideMark/>
          </w:tcPr>
          <w:p w14:paraId="414C9777"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325B8BA5"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7D09037E" w14:textId="77777777" w:rsidR="00204905" w:rsidRPr="00875E26" w:rsidRDefault="00204905" w:rsidP="00954C07">
            <w:pPr>
              <w:jc w:val="right"/>
              <w:rPr>
                <w:color w:val="000000"/>
              </w:rPr>
            </w:pPr>
            <w:r w:rsidRPr="00875E26">
              <w:rPr>
                <w:color w:val="000000"/>
              </w:rPr>
              <w:t xml:space="preserve">          50 </w:t>
            </w:r>
          </w:p>
        </w:tc>
      </w:tr>
      <w:tr w:rsidR="00204905" w:rsidRPr="00875E26" w14:paraId="0442B5C3" w14:textId="77777777" w:rsidTr="00954C07">
        <w:trPr>
          <w:trHeight w:val="464"/>
        </w:trPr>
        <w:tc>
          <w:tcPr>
            <w:tcW w:w="1440" w:type="dxa"/>
            <w:shd w:val="clear" w:color="auto" w:fill="auto"/>
            <w:noWrap/>
            <w:vAlign w:val="bottom"/>
          </w:tcPr>
          <w:p w14:paraId="3FED925C" w14:textId="77777777" w:rsidR="00204905" w:rsidRPr="00875E26" w:rsidRDefault="00204905" w:rsidP="00954C07">
            <w:pPr>
              <w:rPr>
                <w:color w:val="000000"/>
              </w:rPr>
            </w:pPr>
            <w:r w:rsidRPr="00875E26">
              <w:rPr>
                <w:color w:val="000000"/>
              </w:rPr>
              <w:t>EIM Transfer</w:t>
            </w:r>
          </w:p>
        </w:tc>
        <w:tc>
          <w:tcPr>
            <w:tcW w:w="1340" w:type="dxa"/>
            <w:shd w:val="clear" w:color="auto" w:fill="auto"/>
            <w:noWrap/>
            <w:vAlign w:val="bottom"/>
          </w:tcPr>
          <w:p w14:paraId="1814AFE3"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tcPr>
          <w:p w14:paraId="6CAC507C"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tcPr>
          <w:p w14:paraId="299887A7"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tcPr>
          <w:p w14:paraId="5B98ED01"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tcPr>
          <w:p w14:paraId="14C92951" w14:textId="77777777" w:rsidR="00204905" w:rsidRPr="00875E26" w:rsidRDefault="00204905" w:rsidP="00954C07">
            <w:pPr>
              <w:jc w:val="right"/>
              <w:rPr>
                <w:color w:val="000000"/>
              </w:rPr>
            </w:pPr>
            <w:r w:rsidRPr="00875E26">
              <w:rPr>
                <w:color w:val="000000"/>
              </w:rPr>
              <w:t xml:space="preserve">          50 </w:t>
            </w:r>
          </w:p>
        </w:tc>
      </w:tr>
    </w:tbl>
    <w:p w14:paraId="0E43A933" w14:textId="77777777" w:rsidR="00204905" w:rsidRPr="00875E26" w:rsidRDefault="00204905" w:rsidP="00204905">
      <w:pPr>
        <w:rPr>
          <w:sz w:val="18"/>
        </w:rPr>
      </w:pPr>
      <w:r w:rsidRPr="00875E26">
        <w:rPr>
          <w:sz w:val="18"/>
        </w:rPr>
        <w:t xml:space="preserve">* Congestion is based upon the EIM Constraint ($15) plus Intertie Scheduling Limit ($0) plus the EIM Transfer Costs ($0.01).  </w:t>
      </w:r>
    </w:p>
    <w:p w14:paraId="54BEB536" w14:textId="77777777" w:rsidR="00204905" w:rsidRPr="00875E26" w:rsidRDefault="00204905" w:rsidP="00204905"/>
    <w:p w14:paraId="333AAE7C" w14:textId="77777777" w:rsidR="00204905" w:rsidRPr="00875E26" w:rsidRDefault="00204905" w:rsidP="00204905">
      <w:r w:rsidRPr="00875E26">
        <w:t>Settlement:</w:t>
      </w:r>
    </w:p>
    <w:tbl>
      <w:tblPr>
        <w:tblW w:w="8100" w:type="dxa"/>
        <w:tblInd w:w="-5" w:type="dxa"/>
        <w:tblLook w:val="04A0" w:firstRow="1" w:lastRow="0" w:firstColumn="1" w:lastColumn="0" w:noHBand="0" w:noVBand="1"/>
      </w:tblPr>
      <w:tblGrid>
        <w:gridCol w:w="2140"/>
        <w:gridCol w:w="1182"/>
        <w:gridCol w:w="1088"/>
        <w:gridCol w:w="1572"/>
        <w:gridCol w:w="2118"/>
      </w:tblGrid>
      <w:tr w:rsidR="00204905" w:rsidRPr="00875E26" w14:paraId="43512760"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4AB07" w14:textId="77777777" w:rsidR="00204905" w:rsidRPr="00875E26" w:rsidRDefault="00204905" w:rsidP="00954C07">
            <w:pPr>
              <w:rPr>
                <w:color w:val="000000"/>
              </w:rPr>
            </w:pPr>
            <w:r w:rsidRPr="00875E26">
              <w:rPr>
                <w:color w:val="000000"/>
              </w:rPr>
              <w:t>Charge Code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7E621F87" w14:textId="77777777" w:rsidR="00204905" w:rsidRPr="00875E26" w:rsidRDefault="00204905" w:rsidP="00954C07">
            <w:pPr>
              <w:rPr>
                <w:color w:val="000000"/>
              </w:rPr>
            </w:pPr>
            <w:r w:rsidRPr="00875E26">
              <w:rPr>
                <w:color w:val="000000"/>
              </w:rPr>
              <w:t>Resource</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15608524" w14:textId="77777777" w:rsidR="00204905" w:rsidRPr="00875E26" w:rsidRDefault="00204905" w:rsidP="00954C07">
            <w:pPr>
              <w:rPr>
                <w:color w:val="000000"/>
              </w:rPr>
            </w:pPr>
            <w:r w:rsidRPr="00875E26">
              <w:rPr>
                <w:color w:val="000000"/>
              </w:rPr>
              <w:t>Qty</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32E07CBD" w14:textId="77777777" w:rsidR="00204905" w:rsidRPr="00875E26" w:rsidRDefault="00204905" w:rsidP="00954C07">
            <w:pPr>
              <w:rPr>
                <w:color w:val="000000"/>
              </w:rPr>
            </w:pPr>
            <w:r w:rsidRPr="00875E26">
              <w:rPr>
                <w:color w:val="000000"/>
              </w:rPr>
              <w:t>Price</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691E1D26" w14:textId="77777777" w:rsidR="00204905" w:rsidRPr="00875E26" w:rsidRDefault="00204905" w:rsidP="00954C07">
            <w:pPr>
              <w:rPr>
                <w:color w:val="000000"/>
              </w:rPr>
            </w:pPr>
            <w:r w:rsidRPr="00875E26">
              <w:rPr>
                <w:color w:val="000000"/>
              </w:rPr>
              <w:t>(Payment)/Charge</w:t>
            </w:r>
          </w:p>
        </w:tc>
      </w:tr>
      <w:tr w:rsidR="00204905" w:rsidRPr="00875E26" w14:paraId="0783A2D9"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B606F49" w14:textId="77777777" w:rsidR="00204905" w:rsidRPr="00875E26" w:rsidRDefault="00204905" w:rsidP="00954C07">
            <w:pPr>
              <w:rPr>
                <w:color w:val="000000"/>
              </w:rPr>
            </w:pPr>
            <w:r w:rsidRPr="00875E26">
              <w:rPr>
                <w:color w:val="000000"/>
              </w:rPr>
              <w:t>CC 64700</w:t>
            </w:r>
          </w:p>
        </w:tc>
        <w:tc>
          <w:tcPr>
            <w:tcW w:w="1182" w:type="dxa"/>
            <w:tcBorders>
              <w:top w:val="nil"/>
              <w:left w:val="nil"/>
              <w:bottom w:val="single" w:sz="4" w:space="0" w:color="auto"/>
              <w:right w:val="single" w:sz="4" w:space="0" w:color="auto"/>
            </w:tcBorders>
            <w:shd w:val="clear" w:color="auto" w:fill="auto"/>
            <w:noWrap/>
            <w:vAlign w:val="bottom"/>
            <w:hideMark/>
          </w:tcPr>
          <w:p w14:paraId="5D99FC17" w14:textId="77777777" w:rsidR="00204905" w:rsidRPr="00875E26" w:rsidRDefault="00204905" w:rsidP="00954C07">
            <w:pPr>
              <w:rPr>
                <w:color w:val="000000"/>
              </w:rPr>
            </w:pPr>
            <w:r w:rsidRPr="00875E26">
              <w:rPr>
                <w:color w:val="000000"/>
              </w:rPr>
              <w:t>EIM1Gen</w:t>
            </w:r>
          </w:p>
        </w:tc>
        <w:tc>
          <w:tcPr>
            <w:tcW w:w="1088" w:type="dxa"/>
            <w:tcBorders>
              <w:top w:val="nil"/>
              <w:left w:val="nil"/>
              <w:bottom w:val="single" w:sz="4" w:space="0" w:color="auto"/>
              <w:right w:val="single" w:sz="4" w:space="0" w:color="auto"/>
            </w:tcBorders>
            <w:shd w:val="clear" w:color="auto" w:fill="auto"/>
            <w:noWrap/>
            <w:vAlign w:val="bottom"/>
            <w:hideMark/>
          </w:tcPr>
          <w:p w14:paraId="7768DD83" w14:textId="77777777" w:rsidR="00204905" w:rsidRPr="00875E26" w:rsidRDefault="00204905" w:rsidP="00954C07">
            <w:pPr>
              <w:jc w:val="right"/>
              <w:rPr>
                <w:color w:val="000000"/>
              </w:rPr>
            </w:pPr>
            <w:r w:rsidRPr="00875E26">
              <w:rPr>
                <w:color w:val="000000"/>
              </w:rPr>
              <w:t>150</w:t>
            </w:r>
          </w:p>
        </w:tc>
        <w:tc>
          <w:tcPr>
            <w:tcW w:w="1572" w:type="dxa"/>
            <w:tcBorders>
              <w:top w:val="nil"/>
              <w:left w:val="nil"/>
              <w:bottom w:val="single" w:sz="4" w:space="0" w:color="auto"/>
              <w:right w:val="single" w:sz="4" w:space="0" w:color="auto"/>
            </w:tcBorders>
            <w:shd w:val="clear" w:color="auto" w:fill="auto"/>
            <w:noWrap/>
            <w:vAlign w:val="bottom"/>
            <w:hideMark/>
          </w:tcPr>
          <w:p w14:paraId="0D06DEA8" w14:textId="77777777" w:rsidR="00204905" w:rsidRPr="00875E26" w:rsidRDefault="00204905" w:rsidP="00954C07">
            <w:pPr>
              <w:rPr>
                <w:color w:val="000000"/>
              </w:rPr>
            </w:pPr>
            <w:r w:rsidRPr="00875E26">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5B989471" w14:textId="77777777" w:rsidR="00204905" w:rsidRPr="00875E26" w:rsidRDefault="00204905" w:rsidP="00954C07">
            <w:pPr>
              <w:rPr>
                <w:color w:val="000000"/>
              </w:rPr>
            </w:pPr>
            <w:r w:rsidRPr="00875E26">
              <w:rPr>
                <w:color w:val="000000"/>
              </w:rPr>
              <w:t xml:space="preserve"> $          (5,248.50)</w:t>
            </w:r>
          </w:p>
        </w:tc>
      </w:tr>
      <w:tr w:rsidR="00204905" w:rsidRPr="00875E26" w14:paraId="0B58F7C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00B129B" w14:textId="77777777" w:rsidR="00204905" w:rsidRPr="00875E26" w:rsidRDefault="00204905" w:rsidP="00954C07">
            <w:pPr>
              <w:rPr>
                <w:color w:val="000000"/>
              </w:rPr>
            </w:pPr>
            <w:r w:rsidRPr="00875E26">
              <w:rPr>
                <w:color w:val="000000"/>
              </w:rPr>
              <w:t>CC 6470</w:t>
            </w:r>
          </w:p>
        </w:tc>
        <w:tc>
          <w:tcPr>
            <w:tcW w:w="1182" w:type="dxa"/>
            <w:tcBorders>
              <w:top w:val="nil"/>
              <w:left w:val="nil"/>
              <w:bottom w:val="single" w:sz="4" w:space="0" w:color="auto"/>
              <w:right w:val="single" w:sz="4" w:space="0" w:color="auto"/>
            </w:tcBorders>
            <w:shd w:val="clear" w:color="auto" w:fill="auto"/>
            <w:noWrap/>
            <w:vAlign w:val="bottom"/>
            <w:hideMark/>
          </w:tcPr>
          <w:p w14:paraId="23D5B1DB" w14:textId="77777777" w:rsidR="00204905" w:rsidRPr="00875E26" w:rsidRDefault="00204905" w:rsidP="00954C07">
            <w:pPr>
              <w:rPr>
                <w:color w:val="000000"/>
              </w:rPr>
            </w:pPr>
            <w:r w:rsidRPr="00875E26">
              <w:rPr>
                <w:color w:val="000000"/>
              </w:rPr>
              <w:t>CISOGen</w:t>
            </w:r>
          </w:p>
        </w:tc>
        <w:tc>
          <w:tcPr>
            <w:tcW w:w="1088" w:type="dxa"/>
            <w:tcBorders>
              <w:top w:val="nil"/>
              <w:left w:val="nil"/>
              <w:bottom w:val="single" w:sz="4" w:space="0" w:color="auto"/>
              <w:right w:val="single" w:sz="4" w:space="0" w:color="auto"/>
            </w:tcBorders>
            <w:shd w:val="clear" w:color="auto" w:fill="auto"/>
            <w:noWrap/>
            <w:vAlign w:val="bottom"/>
            <w:hideMark/>
          </w:tcPr>
          <w:p w14:paraId="5814E776" w14:textId="77777777" w:rsidR="00204905" w:rsidRPr="00875E26" w:rsidRDefault="00204905" w:rsidP="00954C07">
            <w:pPr>
              <w:jc w:val="right"/>
              <w:rPr>
                <w:color w:val="000000"/>
              </w:rPr>
            </w:pPr>
            <w:r w:rsidRPr="00875E26">
              <w:rPr>
                <w:color w:val="000000"/>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35008FF5" w14:textId="77777777" w:rsidR="00204905" w:rsidRPr="00875E26" w:rsidRDefault="00204905" w:rsidP="00954C07">
            <w:pPr>
              <w:rPr>
                <w:color w:val="000000"/>
              </w:rPr>
            </w:pPr>
            <w:r w:rsidRPr="00875E26">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19F67AB" w14:textId="77777777" w:rsidR="00204905" w:rsidRPr="00875E26" w:rsidRDefault="00204905" w:rsidP="00954C07">
            <w:pPr>
              <w:rPr>
                <w:color w:val="000000"/>
              </w:rPr>
            </w:pPr>
            <w:r w:rsidRPr="00875E26">
              <w:rPr>
                <w:color w:val="000000"/>
              </w:rPr>
              <w:t xml:space="preserve"> $          (5,000.00)</w:t>
            </w:r>
          </w:p>
        </w:tc>
      </w:tr>
      <w:tr w:rsidR="00204905" w:rsidRPr="00875E26" w14:paraId="4214D142"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F2602BA" w14:textId="77777777" w:rsidR="00204905" w:rsidRPr="00875E26" w:rsidRDefault="00204905" w:rsidP="00954C07">
            <w:pPr>
              <w:rPr>
                <w:color w:val="000000"/>
              </w:rPr>
            </w:pPr>
            <w:r w:rsidRPr="00875E26">
              <w:rPr>
                <w:color w:val="000000"/>
              </w:rPr>
              <w:t>CC 64750</w:t>
            </w:r>
          </w:p>
        </w:tc>
        <w:tc>
          <w:tcPr>
            <w:tcW w:w="1182" w:type="dxa"/>
            <w:tcBorders>
              <w:top w:val="nil"/>
              <w:left w:val="nil"/>
              <w:bottom w:val="single" w:sz="4" w:space="0" w:color="auto"/>
              <w:right w:val="single" w:sz="4" w:space="0" w:color="auto"/>
            </w:tcBorders>
            <w:shd w:val="clear" w:color="auto" w:fill="auto"/>
            <w:noWrap/>
            <w:vAlign w:val="bottom"/>
            <w:hideMark/>
          </w:tcPr>
          <w:p w14:paraId="20438253" w14:textId="77777777" w:rsidR="00204905" w:rsidRPr="00875E26" w:rsidRDefault="00204905" w:rsidP="00954C07">
            <w:pPr>
              <w:rPr>
                <w:color w:val="000000"/>
              </w:rPr>
            </w:pPr>
            <w:r w:rsidRPr="00875E26">
              <w:rPr>
                <w:color w:val="000000"/>
              </w:rPr>
              <w:t>EIM1Load</w:t>
            </w:r>
          </w:p>
        </w:tc>
        <w:tc>
          <w:tcPr>
            <w:tcW w:w="1088" w:type="dxa"/>
            <w:tcBorders>
              <w:top w:val="nil"/>
              <w:left w:val="nil"/>
              <w:bottom w:val="single" w:sz="4" w:space="0" w:color="auto"/>
              <w:right w:val="single" w:sz="4" w:space="0" w:color="auto"/>
            </w:tcBorders>
            <w:shd w:val="clear" w:color="auto" w:fill="auto"/>
            <w:noWrap/>
            <w:vAlign w:val="bottom"/>
            <w:hideMark/>
          </w:tcPr>
          <w:p w14:paraId="58EB5B3B" w14:textId="77777777" w:rsidR="00204905" w:rsidRPr="00875E26" w:rsidRDefault="00204905" w:rsidP="00954C07">
            <w:pPr>
              <w:jc w:val="right"/>
              <w:rPr>
                <w:color w:val="000000"/>
              </w:rPr>
            </w:pPr>
            <w:r w:rsidRPr="00875E26">
              <w:rPr>
                <w:color w:val="000000"/>
              </w:rPr>
              <w:t>50</w:t>
            </w:r>
          </w:p>
        </w:tc>
        <w:tc>
          <w:tcPr>
            <w:tcW w:w="1572" w:type="dxa"/>
            <w:tcBorders>
              <w:top w:val="nil"/>
              <w:left w:val="nil"/>
              <w:bottom w:val="single" w:sz="4" w:space="0" w:color="auto"/>
              <w:right w:val="single" w:sz="4" w:space="0" w:color="auto"/>
            </w:tcBorders>
            <w:shd w:val="clear" w:color="auto" w:fill="auto"/>
            <w:noWrap/>
            <w:vAlign w:val="bottom"/>
            <w:hideMark/>
          </w:tcPr>
          <w:p w14:paraId="5817BF4C" w14:textId="77777777" w:rsidR="00204905" w:rsidRPr="00875E26" w:rsidRDefault="00204905" w:rsidP="00954C07">
            <w:pPr>
              <w:rPr>
                <w:color w:val="000000"/>
              </w:rPr>
            </w:pPr>
            <w:r w:rsidRPr="00875E26">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2212B0C9" w14:textId="77777777" w:rsidR="00204905" w:rsidRPr="00875E26" w:rsidRDefault="00204905" w:rsidP="00954C07">
            <w:pPr>
              <w:rPr>
                <w:color w:val="000000"/>
              </w:rPr>
            </w:pPr>
            <w:r w:rsidRPr="00875E26">
              <w:rPr>
                <w:color w:val="000000"/>
              </w:rPr>
              <w:t xml:space="preserve"> $            1,749.50 </w:t>
            </w:r>
          </w:p>
        </w:tc>
      </w:tr>
      <w:tr w:rsidR="00204905" w:rsidRPr="00875E26" w14:paraId="631A7EF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3AC9A55" w14:textId="77777777" w:rsidR="00204905" w:rsidRPr="00875E26" w:rsidRDefault="00204905" w:rsidP="00954C07">
            <w:pPr>
              <w:rPr>
                <w:color w:val="000000"/>
              </w:rPr>
            </w:pPr>
            <w:r w:rsidRPr="00875E26">
              <w:rPr>
                <w:color w:val="000000"/>
              </w:rPr>
              <w:t>CC 6475</w:t>
            </w:r>
          </w:p>
        </w:tc>
        <w:tc>
          <w:tcPr>
            <w:tcW w:w="1182" w:type="dxa"/>
            <w:tcBorders>
              <w:top w:val="nil"/>
              <w:left w:val="nil"/>
              <w:bottom w:val="single" w:sz="4" w:space="0" w:color="auto"/>
              <w:right w:val="single" w:sz="4" w:space="0" w:color="auto"/>
            </w:tcBorders>
            <w:shd w:val="clear" w:color="auto" w:fill="auto"/>
            <w:noWrap/>
            <w:vAlign w:val="bottom"/>
            <w:hideMark/>
          </w:tcPr>
          <w:p w14:paraId="7FA9820C" w14:textId="77777777" w:rsidR="00204905" w:rsidRPr="00875E26" w:rsidRDefault="00204905" w:rsidP="00954C07">
            <w:pPr>
              <w:rPr>
                <w:color w:val="000000"/>
              </w:rPr>
            </w:pPr>
            <w:r w:rsidRPr="00875E26">
              <w:rPr>
                <w:color w:val="000000"/>
              </w:rPr>
              <w:t>CISOLoad</w:t>
            </w:r>
          </w:p>
        </w:tc>
        <w:tc>
          <w:tcPr>
            <w:tcW w:w="1088" w:type="dxa"/>
            <w:tcBorders>
              <w:top w:val="nil"/>
              <w:left w:val="nil"/>
              <w:bottom w:val="single" w:sz="4" w:space="0" w:color="auto"/>
              <w:right w:val="single" w:sz="4" w:space="0" w:color="auto"/>
            </w:tcBorders>
            <w:shd w:val="clear" w:color="auto" w:fill="auto"/>
            <w:noWrap/>
            <w:vAlign w:val="bottom"/>
            <w:hideMark/>
          </w:tcPr>
          <w:p w14:paraId="24EEF807" w14:textId="77777777" w:rsidR="00204905" w:rsidRPr="00875E26" w:rsidRDefault="00204905" w:rsidP="00954C07">
            <w:pPr>
              <w:jc w:val="right"/>
              <w:rPr>
                <w:color w:val="000000"/>
              </w:rPr>
            </w:pPr>
            <w:r w:rsidRPr="00875E26">
              <w:rPr>
                <w:color w:val="000000"/>
              </w:rPr>
              <w:t>200</w:t>
            </w:r>
          </w:p>
        </w:tc>
        <w:tc>
          <w:tcPr>
            <w:tcW w:w="1572" w:type="dxa"/>
            <w:tcBorders>
              <w:top w:val="nil"/>
              <w:left w:val="nil"/>
              <w:bottom w:val="single" w:sz="4" w:space="0" w:color="auto"/>
              <w:right w:val="single" w:sz="4" w:space="0" w:color="auto"/>
            </w:tcBorders>
            <w:shd w:val="clear" w:color="auto" w:fill="auto"/>
            <w:noWrap/>
            <w:vAlign w:val="bottom"/>
            <w:hideMark/>
          </w:tcPr>
          <w:p w14:paraId="7EADED25" w14:textId="77777777" w:rsidR="00204905" w:rsidRPr="00875E26" w:rsidRDefault="00204905" w:rsidP="00954C07">
            <w:pPr>
              <w:rPr>
                <w:color w:val="000000"/>
              </w:rPr>
            </w:pPr>
            <w:r w:rsidRPr="00875E26">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16FA504" w14:textId="77777777" w:rsidR="00204905" w:rsidRPr="00875E26" w:rsidRDefault="00204905" w:rsidP="00954C07">
            <w:pPr>
              <w:rPr>
                <w:color w:val="000000"/>
              </w:rPr>
            </w:pPr>
            <w:r w:rsidRPr="00875E26">
              <w:rPr>
                <w:color w:val="000000"/>
              </w:rPr>
              <w:t xml:space="preserve"> $          10,000.00 </w:t>
            </w:r>
          </w:p>
        </w:tc>
      </w:tr>
    </w:tbl>
    <w:p w14:paraId="0A85B4F5" w14:textId="77777777" w:rsidR="00204905" w:rsidRPr="00875E26" w:rsidRDefault="00204905" w:rsidP="00204905"/>
    <w:tbl>
      <w:tblPr>
        <w:tblW w:w="9151" w:type="dxa"/>
        <w:tblLook w:val="04A0" w:firstRow="1" w:lastRow="0" w:firstColumn="1" w:lastColumn="0" w:noHBand="0" w:noVBand="1"/>
      </w:tblPr>
      <w:tblGrid>
        <w:gridCol w:w="2140"/>
        <w:gridCol w:w="830"/>
        <w:gridCol w:w="1620"/>
        <w:gridCol w:w="1440"/>
        <w:gridCol w:w="1800"/>
        <w:gridCol w:w="1321"/>
      </w:tblGrid>
      <w:tr w:rsidR="00204905" w:rsidRPr="00875E26" w14:paraId="25955C8B" w14:textId="77777777" w:rsidTr="00954C07">
        <w:trPr>
          <w:trHeight w:val="300"/>
        </w:trPr>
        <w:tc>
          <w:tcPr>
            <w:tcW w:w="2140" w:type="dxa"/>
            <w:tcBorders>
              <w:top w:val="nil"/>
              <w:left w:val="nil"/>
              <w:bottom w:val="nil"/>
              <w:right w:val="nil"/>
            </w:tcBorders>
            <w:shd w:val="clear" w:color="auto" w:fill="auto"/>
            <w:noWrap/>
            <w:vAlign w:val="bottom"/>
            <w:hideMark/>
          </w:tcPr>
          <w:p w14:paraId="467BCBB5" w14:textId="77777777" w:rsidR="00204905" w:rsidRPr="00875E26" w:rsidRDefault="00204905" w:rsidP="00954C07">
            <w:pPr>
              <w:rPr>
                <w:color w:val="000000"/>
              </w:rPr>
            </w:pPr>
            <w:r w:rsidRPr="00875E26">
              <w:rPr>
                <w:color w:val="000000"/>
              </w:rPr>
              <w:t>RTCO Calculation</w:t>
            </w:r>
          </w:p>
        </w:tc>
        <w:tc>
          <w:tcPr>
            <w:tcW w:w="830" w:type="dxa"/>
            <w:tcBorders>
              <w:top w:val="nil"/>
              <w:left w:val="nil"/>
              <w:bottom w:val="nil"/>
              <w:right w:val="nil"/>
            </w:tcBorders>
            <w:shd w:val="clear" w:color="auto" w:fill="auto"/>
            <w:noWrap/>
            <w:vAlign w:val="bottom"/>
            <w:hideMark/>
          </w:tcPr>
          <w:p w14:paraId="1642BB25" w14:textId="77777777" w:rsidR="00204905" w:rsidRPr="00875E26" w:rsidRDefault="00204905" w:rsidP="00954C07">
            <w:pPr>
              <w:rPr>
                <w:color w:val="000000"/>
              </w:rPr>
            </w:pPr>
            <w:r w:rsidRPr="00875E26">
              <w:rPr>
                <w:color w:val="000000"/>
              </w:rPr>
              <w:t>QTY</w:t>
            </w:r>
          </w:p>
        </w:tc>
        <w:tc>
          <w:tcPr>
            <w:tcW w:w="1620" w:type="dxa"/>
            <w:tcBorders>
              <w:top w:val="nil"/>
              <w:left w:val="nil"/>
              <w:bottom w:val="nil"/>
              <w:right w:val="nil"/>
            </w:tcBorders>
            <w:shd w:val="clear" w:color="auto" w:fill="auto"/>
            <w:noWrap/>
            <w:vAlign w:val="bottom"/>
            <w:hideMark/>
          </w:tcPr>
          <w:p w14:paraId="19122C7F" w14:textId="77777777" w:rsidR="00204905" w:rsidRPr="00875E26" w:rsidRDefault="00204905" w:rsidP="00954C07">
            <w:pPr>
              <w:rPr>
                <w:color w:val="000000"/>
              </w:rPr>
            </w:pPr>
            <w:r w:rsidRPr="00875E26">
              <w:rPr>
                <w:color w:val="000000"/>
              </w:rPr>
              <w:t>MCC(EIM1)*</w:t>
            </w:r>
          </w:p>
        </w:tc>
        <w:tc>
          <w:tcPr>
            <w:tcW w:w="1440" w:type="dxa"/>
            <w:tcBorders>
              <w:top w:val="nil"/>
              <w:left w:val="nil"/>
              <w:bottom w:val="nil"/>
              <w:right w:val="nil"/>
            </w:tcBorders>
            <w:shd w:val="clear" w:color="auto" w:fill="auto"/>
            <w:noWrap/>
            <w:vAlign w:val="bottom"/>
            <w:hideMark/>
          </w:tcPr>
          <w:p w14:paraId="6941C47F" w14:textId="77777777" w:rsidR="00204905" w:rsidRPr="00875E26" w:rsidRDefault="00204905" w:rsidP="00954C07">
            <w:pPr>
              <w:rPr>
                <w:color w:val="000000"/>
              </w:rPr>
            </w:pPr>
            <w:r w:rsidRPr="00875E26">
              <w:rPr>
                <w:color w:val="000000"/>
              </w:rPr>
              <w:t>Amount</w:t>
            </w:r>
          </w:p>
        </w:tc>
        <w:tc>
          <w:tcPr>
            <w:tcW w:w="1800" w:type="dxa"/>
            <w:tcBorders>
              <w:top w:val="nil"/>
              <w:left w:val="nil"/>
              <w:bottom w:val="nil"/>
              <w:right w:val="nil"/>
            </w:tcBorders>
            <w:shd w:val="clear" w:color="auto" w:fill="auto"/>
            <w:noWrap/>
            <w:vAlign w:val="bottom"/>
            <w:hideMark/>
          </w:tcPr>
          <w:p w14:paraId="1B1C3D77" w14:textId="77777777" w:rsidR="00204905" w:rsidRPr="00875E26" w:rsidRDefault="00204905" w:rsidP="00954C07">
            <w:pPr>
              <w:rPr>
                <w:color w:val="000000"/>
              </w:rPr>
            </w:pPr>
            <w:r w:rsidRPr="00875E26">
              <w:rPr>
                <w:color w:val="000000"/>
              </w:rPr>
              <w:t>MCC(CISO)</w:t>
            </w:r>
          </w:p>
        </w:tc>
        <w:tc>
          <w:tcPr>
            <w:tcW w:w="1321" w:type="dxa"/>
            <w:tcBorders>
              <w:top w:val="nil"/>
              <w:left w:val="nil"/>
              <w:bottom w:val="nil"/>
              <w:right w:val="nil"/>
            </w:tcBorders>
            <w:shd w:val="clear" w:color="auto" w:fill="auto"/>
            <w:noWrap/>
            <w:vAlign w:val="bottom"/>
            <w:hideMark/>
          </w:tcPr>
          <w:p w14:paraId="256EC557" w14:textId="77777777" w:rsidR="00204905" w:rsidRPr="00875E26" w:rsidRDefault="00204905" w:rsidP="00954C07">
            <w:pPr>
              <w:rPr>
                <w:color w:val="000000"/>
              </w:rPr>
            </w:pPr>
            <w:r w:rsidRPr="00875E26">
              <w:rPr>
                <w:color w:val="000000"/>
              </w:rPr>
              <w:t>Amount</w:t>
            </w:r>
          </w:p>
        </w:tc>
      </w:tr>
      <w:tr w:rsidR="00204905" w:rsidRPr="00875E26" w14:paraId="0DDB1D0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1457" w14:textId="77777777" w:rsidR="00204905" w:rsidRPr="00875E26" w:rsidRDefault="00204905" w:rsidP="00954C07">
            <w:pPr>
              <w:rPr>
                <w:color w:val="000000"/>
              </w:rPr>
            </w:pPr>
            <w:r w:rsidRPr="00875E26">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60753142" w14:textId="77777777" w:rsidR="00204905" w:rsidRPr="00875E26" w:rsidRDefault="00204905" w:rsidP="00954C07">
            <w:pPr>
              <w:jc w:val="right"/>
              <w:rPr>
                <w:color w:val="000000"/>
              </w:rPr>
            </w:pPr>
            <w:r w:rsidRPr="00875E26">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AEFA14C" w14:textId="77777777" w:rsidR="00204905" w:rsidRPr="00875E26" w:rsidRDefault="00204905" w:rsidP="00954C07">
            <w:pPr>
              <w:rPr>
                <w:color w:val="000000"/>
              </w:rPr>
            </w:pPr>
            <w:r w:rsidRPr="00875E26">
              <w:rPr>
                <w:color w:val="000000"/>
              </w:rPr>
              <w:t xml:space="preserve"> $          (15.01)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0B9ECD" w14:textId="77777777" w:rsidR="00204905" w:rsidRPr="00875E26" w:rsidRDefault="00204905" w:rsidP="00954C07">
            <w:pPr>
              <w:rPr>
                <w:color w:val="000000"/>
              </w:rPr>
            </w:pPr>
            <w:r w:rsidRPr="00875E26">
              <w:rPr>
                <w:color w:val="000000"/>
              </w:rPr>
              <w:t xml:space="preserve"> $  2,251.50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D7EF2C" w14:textId="77777777" w:rsidR="00204905" w:rsidRPr="00875E26" w:rsidRDefault="00204905" w:rsidP="00954C07">
            <w:pPr>
              <w:rPr>
                <w:color w:val="000000"/>
              </w:rPr>
            </w:pPr>
            <w:r w:rsidRPr="00875E26">
              <w:rPr>
                <w:color w:val="000000"/>
              </w:rPr>
              <w:t xml:space="preserve"> $                     -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44FF3683" w14:textId="77777777" w:rsidR="00204905" w:rsidRPr="00875E26" w:rsidRDefault="00204905" w:rsidP="00954C07">
            <w:pPr>
              <w:rPr>
                <w:color w:val="000000"/>
              </w:rPr>
            </w:pPr>
            <w:r w:rsidRPr="00875E26">
              <w:rPr>
                <w:color w:val="000000"/>
              </w:rPr>
              <w:t xml:space="preserve"> $           -   </w:t>
            </w:r>
          </w:p>
        </w:tc>
      </w:tr>
      <w:tr w:rsidR="00204905" w:rsidRPr="00875E26" w14:paraId="0524BE0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9F55C6D" w14:textId="77777777" w:rsidR="00204905" w:rsidRPr="00875E26" w:rsidRDefault="00204905" w:rsidP="00954C07">
            <w:pPr>
              <w:rPr>
                <w:color w:val="000000"/>
              </w:rPr>
            </w:pPr>
            <w:r w:rsidRPr="00875E26">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44E794FE" w14:textId="77777777" w:rsidR="00204905" w:rsidRPr="00875E26" w:rsidRDefault="00204905" w:rsidP="00954C07">
            <w:pPr>
              <w:jc w:val="right"/>
              <w:rPr>
                <w:color w:val="000000"/>
              </w:rPr>
            </w:pPr>
            <w:r w:rsidRPr="00875E26">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034BB47C"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0A57B538"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61CFD35A"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7CEC0264" w14:textId="77777777" w:rsidR="00204905" w:rsidRPr="00875E26" w:rsidRDefault="00204905" w:rsidP="00954C07">
            <w:pPr>
              <w:rPr>
                <w:color w:val="000000"/>
              </w:rPr>
            </w:pPr>
            <w:r w:rsidRPr="00875E26">
              <w:rPr>
                <w:color w:val="000000"/>
              </w:rPr>
              <w:t xml:space="preserve"> $           -   </w:t>
            </w:r>
          </w:p>
        </w:tc>
      </w:tr>
      <w:tr w:rsidR="00204905" w:rsidRPr="00875E26" w14:paraId="00BD19C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D9AC438" w14:textId="77777777" w:rsidR="00204905" w:rsidRPr="00875E26" w:rsidRDefault="00204905" w:rsidP="00954C07">
            <w:pPr>
              <w:rPr>
                <w:color w:val="000000"/>
              </w:rPr>
            </w:pPr>
            <w:r w:rsidRPr="00875E26">
              <w:rPr>
                <w:color w:val="000000"/>
              </w:rPr>
              <w:lastRenderedPageBreak/>
              <w:t>EIM1Load</w:t>
            </w:r>
          </w:p>
        </w:tc>
        <w:tc>
          <w:tcPr>
            <w:tcW w:w="830" w:type="dxa"/>
            <w:tcBorders>
              <w:top w:val="nil"/>
              <w:left w:val="nil"/>
              <w:bottom w:val="single" w:sz="4" w:space="0" w:color="auto"/>
              <w:right w:val="single" w:sz="4" w:space="0" w:color="auto"/>
            </w:tcBorders>
            <w:shd w:val="clear" w:color="auto" w:fill="auto"/>
            <w:noWrap/>
            <w:vAlign w:val="bottom"/>
            <w:hideMark/>
          </w:tcPr>
          <w:p w14:paraId="65668297" w14:textId="77777777" w:rsidR="00204905" w:rsidRPr="00875E26" w:rsidRDefault="00204905" w:rsidP="00954C07">
            <w:pPr>
              <w:jc w:val="right"/>
              <w:rPr>
                <w:color w:val="000000"/>
              </w:rPr>
            </w:pPr>
            <w:r w:rsidRPr="00875E26">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28ACCA93" w14:textId="77777777" w:rsidR="00204905" w:rsidRPr="00875E26" w:rsidRDefault="00204905" w:rsidP="00954C07">
            <w:pPr>
              <w:rPr>
                <w:color w:val="000000"/>
              </w:rPr>
            </w:pPr>
            <w:r w:rsidRPr="00875E26">
              <w:rPr>
                <w:color w:val="000000"/>
              </w:rPr>
              <w:t xml:space="preserve"> $          (15.01)</w:t>
            </w:r>
          </w:p>
        </w:tc>
        <w:tc>
          <w:tcPr>
            <w:tcW w:w="1440" w:type="dxa"/>
            <w:tcBorders>
              <w:top w:val="nil"/>
              <w:left w:val="nil"/>
              <w:bottom w:val="single" w:sz="4" w:space="0" w:color="auto"/>
              <w:right w:val="single" w:sz="4" w:space="0" w:color="auto"/>
            </w:tcBorders>
            <w:shd w:val="clear" w:color="auto" w:fill="auto"/>
            <w:noWrap/>
            <w:vAlign w:val="bottom"/>
            <w:hideMark/>
          </w:tcPr>
          <w:p w14:paraId="07E43C94" w14:textId="77777777" w:rsidR="00204905" w:rsidRPr="00875E26" w:rsidRDefault="00204905" w:rsidP="00954C07">
            <w:pPr>
              <w:rPr>
                <w:color w:val="000000"/>
              </w:rPr>
            </w:pPr>
            <w:r w:rsidRPr="00875E26">
              <w:rPr>
                <w:color w:val="000000"/>
              </w:rPr>
              <w:t xml:space="preserve"> $   (750.50)</w:t>
            </w:r>
          </w:p>
        </w:tc>
        <w:tc>
          <w:tcPr>
            <w:tcW w:w="1800" w:type="dxa"/>
            <w:tcBorders>
              <w:top w:val="nil"/>
              <w:left w:val="nil"/>
              <w:bottom w:val="single" w:sz="4" w:space="0" w:color="auto"/>
              <w:right w:val="single" w:sz="4" w:space="0" w:color="auto"/>
            </w:tcBorders>
            <w:shd w:val="clear" w:color="auto" w:fill="auto"/>
            <w:noWrap/>
            <w:vAlign w:val="bottom"/>
            <w:hideMark/>
          </w:tcPr>
          <w:p w14:paraId="59F49EB4"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18794E4A" w14:textId="77777777" w:rsidR="00204905" w:rsidRPr="00875E26" w:rsidRDefault="00204905" w:rsidP="00954C07">
            <w:pPr>
              <w:rPr>
                <w:color w:val="000000"/>
              </w:rPr>
            </w:pPr>
            <w:r w:rsidRPr="00875E26">
              <w:rPr>
                <w:color w:val="000000"/>
              </w:rPr>
              <w:t xml:space="preserve"> $           -   </w:t>
            </w:r>
          </w:p>
        </w:tc>
      </w:tr>
      <w:tr w:rsidR="00204905" w:rsidRPr="00875E26" w14:paraId="42FC01B2"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71924679" w14:textId="77777777" w:rsidR="00204905" w:rsidRPr="00875E26" w:rsidRDefault="00204905" w:rsidP="00954C07">
            <w:pPr>
              <w:rPr>
                <w:color w:val="000000"/>
              </w:rPr>
            </w:pPr>
            <w:r w:rsidRPr="00875E26">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13A67ABC" w14:textId="77777777" w:rsidR="00204905" w:rsidRPr="00875E26" w:rsidRDefault="00204905" w:rsidP="00954C07">
            <w:pPr>
              <w:jc w:val="right"/>
              <w:rPr>
                <w:color w:val="000000"/>
              </w:rPr>
            </w:pPr>
            <w:r w:rsidRPr="00875E26">
              <w:rPr>
                <w:color w:val="000000"/>
              </w:rPr>
              <w:t>-200</w:t>
            </w:r>
          </w:p>
        </w:tc>
        <w:tc>
          <w:tcPr>
            <w:tcW w:w="1620" w:type="dxa"/>
            <w:tcBorders>
              <w:top w:val="nil"/>
              <w:left w:val="nil"/>
              <w:bottom w:val="nil"/>
              <w:right w:val="single" w:sz="4" w:space="0" w:color="auto"/>
            </w:tcBorders>
            <w:shd w:val="clear" w:color="auto" w:fill="auto"/>
            <w:noWrap/>
            <w:vAlign w:val="bottom"/>
            <w:hideMark/>
          </w:tcPr>
          <w:p w14:paraId="74BF372A"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6B4414A"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2C39979D"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387A32CF" w14:textId="77777777" w:rsidR="00204905" w:rsidRPr="00875E26" w:rsidRDefault="00204905" w:rsidP="00954C07">
            <w:pPr>
              <w:rPr>
                <w:color w:val="000000"/>
              </w:rPr>
            </w:pPr>
            <w:r w:rsidRPr="00875E26">
              <w:rPr>
                <w:color w:val="000000"/>
              </w:rPr>
              <w:t xml:space="preserve"> $           -   </w:t>
            </w:r>
          </w:p>
        </w:tc>
      </w:tr>
      <w:tr w:rsidR="00204905" w:rsidRPr="00875E26" w14:paraId="0266CED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E2FA" w14:textId="77777777" w:rsidR="00204905" w:rsidRPr="00875E26" w:rsidRDefault="00204905" w:rsidP="00954C07">
            <w:pPr>
              <w:rPr>
                <w:color w:val="000000"/>
              </w:rPr>
            </w:pPr>
            <w:r w:rsidRPr="00875E26">
              <w:rPr>
                <w:color w:val="000000"/>
              </w:rPr>
              <w:t>Total</w:t>
            </w:r>
          </w:p>
        </w:tc>
        <w:tc>
          <w:tcPr>
            <w:tcW w:w="830" w:type="dxa"/>
            <w:tcBorders>
              <w:top w:val="single" w:sz="4" w:space="0" w:color="auto"/>
              <w:left w:val="nil"/>
              <w:bottom w:val="single" w:sz="4" w:space="0" w:color="auto"/>
              <w:right w:val="nil"/>
            </w:tcBorders>
            <w:shd w:val="clear" w:color="auto" w:fill="auto"/>
            <w:noWrap/>
            <w:vAlign w:val="bottom"/>
            <w:hideMark/>
          </w:tcPr>
          <w:p w14:paraId="39E57E71" w14:textId="77777777" w:rsidR="00204905" w:rsidRPr="00875E26" w:rsidRDefault="00204905" w:rsidP="00954C07">
            <w:pPr>
              <w:rPr>
                <w:color w:val="000000"/>
              </w:rPr>
            </w:pPr>
            <w:r w:rsidRPr="00875E26">
              <w:rPr>
                <w:color w:val="000000"/>
              </w:rPr>
              <w:t> </w:t>
            </w:r>
          </w:p>
        </w:tc>
        <w:tc>
          <w:tcPr>
            <w:tcW w:w="1620" w:type="dxa"/>
            <w:tcBorders>
              <w:top w:val="single" w:sz="4" w:space="0" w:color="auto"/>
              <w:left w:val="nil"/>
              <w:bottom w:val="single" w:sz="4" w:space="0" w:color="auto"/>
              <w:right w:val="nil"/>
            </w:tcBorders>
            <w:shd w:val="clear" w:color="auto" w:fill="auto"/>
            <w:noWrap/>
            <w:vAlign w:val="bottom"/>
            <w:hideMark/>
          </w:tcPr>
          <w:p w14:paraId="343084ED" w14:textId="77777777" w:rsidR="00204905" w:rsidRPr="00875E26" w:rsidRDefault="00204905" w:rsidP="00954C07">
            <w:pPr>
              <w:rPr>
                <w:color w:val="000000"/>
              </w:rPr>
            </w:pPr>
            <w:r w:rsidRPr="00875E26">
              <w:rPr>
                <w:color w:val="000000"/>
              </w:rPr>
              <w:t> </w:t>
            </w:r>
          </w:p>
        </w:tc>
        <w:tc>
          <w:tcPr>
            <w:tcW w:w="1440" w:type="dxa"/>
            <w:tcBorders>
              <w:top w:val="nil"/>
              <w:left w:val="nil"/>
              <w:bottom w:val="single" w:sz="4" w:space="0" w:color="auto"/>
              <w:right w:val="nil"/>
            </w:tcBorders>
            <w:shd w:val="clear" w:color="auto" w:fill="auto"/>
            <w:noWrap/>
            <w:vAlign w:val="bottom"/>
            <w:hideMark/>
          </w:tcPr>
          <w:p w14:paraId="446843B3" w14:textId="77777777" w:rsidR="00204905" w:rsidRPr="00875E26" w:rsidRDefault="00204905" w:rsidP="00954C07">
            <w:pPr>
              <w:rPr>
                <w:color w:val="000000"/>
              </w:rPr>
            </w:pPr>
            <w:r w:rsidRPr="00875E26">
              <w:rPr>
                <w:color w:val="000000"/>
              </w:rPr>
              <w:t xml:space="preserve"> $  1,501.00 </w:t>
            </w:r>
          </w:p>
        </w:tc>
        <w:tc>
          <w:tcPr>
            <w:tcW w:w="1800" w:type="dxa"/>
            <w:tcBorders>
              <w:top w:val="single" w:sz="4" w:space="0" w:color="auto"/>
              <w:left w:val="nil"/>
              <w:bottom w:val="single" w:sz="4" w:space="0" w:color="auto"/>
              <w:right w:val="nil"/>
            </w:tcBorders>
            <w:shd w:val="clear" w:color="auto" w:fill="auto"/>
            <w:noWrap/>
            <w:vAlign w:val="bottom"/>
            <w:hideMark/>
          </w:tcPr>
          <w:p w14:paraId="6EFA0E6E" w14:textId="77777777" w:rsidR="00204905" w:rsidRPr="00875E26" w:rsidRDefault="00204905" w:rsidP="00954C07">
            <w:pPr>
              <w:rPr>
                <w:color w:val="000000"/>
              </w:rPr>
            </w:pPr>
            <w:r w:rsidRPr="00875E26">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0A087B17" w14:textId="77777777" w:rsidR="00204905" w:rsidRPr="00875E26" w:rsidRDefault="00204905" w:rsidP="00954C07">
            <w:pPr>
              <w:rPr>
                <w:color w:val="000000"/>
              </w:rPr>
            </w:pPr>
            <w:r w:rsidRPr="00875E26">
              <w:rPr>
                <w:color w:val="000000"/>
              </w:rPr>
              <w:t xml:space="preserve"> $           -   </w:t>
            </w:r>
          </w:p>
        </w:tc>
      </w:tr>
      <w:tr w:rsidR="00204905" w:rsidRPr="00875E26" w14:paraId="4D899A50" w14:textId="77777777" w:rsidTr="00954C07">
        <w:trPr>
          <w:trHeight w:val="300"/>
        </w:trPr>
        <w:tc>
          <w:tcPr>
            <w:tcW w:w="2140" w:type="dxa"/>
            <w:tcBorders>
              <w:top w:val="nil"/>
              <w:left w:val="nil"/>
              <w:bottom w:val="nil"/>
              <w:right w:val="nil"/>
            </w:tcBorders>
            <w:shd w:val="clear" w:color="auto" w:fill="auto"/>
            <w:noWrap/>
            <w:vAlign w:val="bottom"/>
            <w:hideMark/>
          </w:tcPr>
          <w:p w14:paraId="3D19CB66" w14:textId="77777777" w:rsidR="00204905" w:rsidRPr="00875E26" w:rsidRDefault="00204905" w:rsidP="00954C07">
            <w:pPr>
              <w:rPr>
                <w:color w:val="000000"/>
              </w:rPr>
            </w:pPr>
          </w:p>
        </w:tc>
        <w:tc>
          <w:tcPr>
            <w:tcW w:w="830" w:type="dxa"/>
            <w:tcBorders>
              <w:top w:val="nil"/>
              <w:left w:val="nil"/>
              <w:bottom w:val="nil"/>
              <w:right w:val="nil"/>
            </w:tcBorders>
            <w:shd w:val="clear" w:color="auto" w:fill="auto"/>
            <w:noWrap/>
            <w:vAlign w:val="bottom"/>
            <w:hideMark/>
          </w:tcPr>
          <w:p w14:paraId="219CD1DD" w14:textId="77777777" w:rsidR="00204905" w:rsidRPr="00875E26" w:rsidRDefault="00204905" w:rsidP="00954C07"/>
        </w:tc>
        <w:tc>
          <w:tcPr>
            <w:tcW w:w="1620" w:type="dxa"/>
            <w:tcBorders>
              <w:top w:val="nil"/>
              <w:left w:val="nil"/>
              <w:bottom w:val="nil"/>
              <w:right w:val="nil"/>
            </w:tcBorders>
            <w:shd w:val="clear" w:color="auto" w:fill="auto"/>
            <w:noWrap/>
            <w:vAlign w:val="bottom"/>
            <w:hideMark/>
          </w:tcPr>
          <w:p w14:paraId="182BD28B" w14:textId="77777777" w:rsidR="00204905" w:rsidRPr="00875E26" w:rsidRDefault="00204905" w:rsidP="00954C07"/>
        </w:tc>
        <w:tc>
          <w:tcPr>
            <w:tcW w:w="1440" w:type="dxa"/>
            <w:tcBorders>
              <w:top w:val="nil"/>
              <w:left w:val="nil"/>
              <w:bottom w:val="nil"/>
              <w:right w:val="nil"/>
            </w:tcBorders>
            <w:shd w:val="clear" w:color="auto" w:fill="auto"/>
            <w:noWrap/>
            <w:vAlign w:val="bottom"/>
            <w:hideMark/>
          </w:tcPr>
          <w:p w14:paraId="6438EE5E" w14:textId="77777777" w:rsidR="00204905" w:rsidRPr="00875E26" w:rsidRDefault="00204905" w:rsidP="00954C07"/>
        </w:tc>
        <w:tc>
          <w:tcPr>
            <w:tcW w:w="1800" w:type="dxa"/>
            <w:tcBorders>
              <w:top w:val="nil"/>
              <w:left w:val="nil"/>
              <w:bottom w:val="nil"/>
              <w:right w:val="nil"/>
            </w:tcBorders>
            <w:shd w:val="clear" w:color="auto" w:fill="auto"/>
            <w:noWrap/>
            <w:vAlign w:val="bottom"/>
            <w:hideMark/>
          </w:tcPr>
          <w:p w14:paraId="771D7E1D" w14:textId="77777777" w:rsidR="00204905" w:rsidRPr="00875E26" w:rsidRDefault="00204905" w:rsidP="00954C07"/>
        </w:tc>
        <w:tc>
          <w:tcPr>
            <w:tcW w:w="1321" w:type="dxa"/>
            <w:tcBorders>
              <w:top w:val="nil"/>
              <w:left w:val="nil"/>
              <w:bottom w:val="nil"/>
              <w:right w:val="nil"/>
            </w:tcBorders>
            <w:shd w:val="clear" w:color="auto" w:fill="auto"/>
            <w:noWrap/>
            <w:vAlign w:val="bottom"/>
            <w:hideMark/>
          </w:tcPr>
          <w:p w14:paraId="417C02F0" w14:textId="77777777" w:rsidR="00204905" w:rsidRPr="00875E26" w:rsidRDefault="00204905" w:rsidP="00954C07"/>
        </w:tc>
      </w:tr>
      <w:tr w:rsidR="00204905" w:rsidRPr="00875E26" w14:paraId="1B1D8A4C" w14:textId="77777777" w:rsidTr="00954C07">
        <w:trPr>
          <w:trHeight w:val="300"/>
        </w:trPr>
        <w:tc>
          <w:tcPr>
            <w:tcW w:w="2140" w:type="dxa"/>
            <w:tcBorders>
              <w:top w:val="nil"/>
              <w:left w:val="nil"/>
              <w:bottom w:val="nil"/>
              <w:right w:val="nil"/>
            </w:tcBorders>
            <w:shd w:val="clear" w:color="auto" w:fill="auto"/>
            <w:noWrap/>
            <w:vAlign w:val="bottom"/>
            <w:hideMark/>
          </w:tcPr>
          <w:p w14:paraId="32F1C2D5" w14:textId="77777777" w:rsidR="00204905" w:rsidRPr="00875E26" w:rsidRDefault="00204905" w:rsidP="00954C07">
            <w:pPr>
              <w:rPr>
                <w:color w:val="000000"/>
              </w:rPr>
            </w:pPr>
            <w:r w:rsidRPr="00875E26">
              <w:rPr>
                <w:color w:val="000000"/>
              </w:rPr>
              <w:t>RTCO Allocation</w:t>
            </w:r>
          </w:p>
        </w:tc>
        <w:tc>
          <w:tcPr>
            <w:tcW w:w="830" w:type="dxa"/>
            <w:tcBorders>
              <w:top w:val="nil"/>
              <w:left w:val="nil"/>
              <w:bottom w:val="nil"/>
              <w:right w:val="nil"/>
            </w:tcBorders>
            <w:shd w:val="clear" w:color="auto" w:fill="auto"/>
            <w:noWrap/>
            <w:vAlign w:val="bottom"/>
            <w:hideMark/>
          </w:tcPr>
          <w:p w14:paraId="7FCC4210" w14:textId="77777777" w:rsidR="00204905" w:rsidRPr="00875E26" w:rsidRDefault="00204905" w:rsidP="00954C07">
            <w:pPr>
              <w:rPr>
                <w:color w:val="000000"/>
              </w:rPr>
            </w:pPr>
            <w:r w:rsidRPr="00875E26">
              <w:rPr>
                <w:color w:val="000000"/>
              </w:rPr>
              <w:t>QTY</w:t>
            </w:r>
          </w:p>
        </w:tc>
        <w:tc>
          <w:tcPr>
            <w:tcW w:w="1620" w:type="dxa"/>
            <w:tcBorders>
              <w:top w:val="nil"/>
              <w:left w:val="nil"/>
              <w:bottom w:val="nil"/>
              <w:right w:val="nil"/>
            </w:tcBorders>
            <w:shd w:val="clear" w:color="auto" w:fill="auto"/>
            <w:noWrap/>
            <w:vAlign w:val="bottom"/>
            <w:hideMark/>
          </w:tcPr>
          <w:p w14:paraId="5A0F541A" w14:textId="77777777" w:rsidR="00204905" w:rsidRPr="00875E26" w:rsidRDefault="00204905" w:rsidP="00954C07">
            <w:pPr>
              <w:rPr>
                <w:color w:val="000000"/>
              </w:rPr>
            </w:pPr>
            <w:r w:rsidRPr="00875E26">
              <w:rPr>
                <w:color w:val="000000"/>
              </w:rPr>
              <w:t>MCC(EIM1)**</w:t>
            </w:r>
          </w:p>
        </w:tc>
        <w:tc>
          <w:tcPr>
            <w:tcW w:w="1440" w:type="dxa"/>
            <w:tcBorders>
              <w:top w:val="nil"/>
              <w:left w:val="nil"/>
              <w:bottom w:val="nil"/>
              <w:right w:val="nil"/>
            </w:tcBorders>
            <w:shd w:val="clear" w:color="auto" w:fill="auto"/>
            <w:noWrap/>
            <w:vAlign w:val="bottom"/>
            <w:hideMark/>
          </w:tcPr>
          <w:p w14:paraId="191A3FB1" w14:textId="77777777" w:rsidR="00204905" w:rsidRPr="00875E26" w:rsidRDefault="00204905" w:rsidP="00954C07">
            <w:pPr>
              <w:rPr>
                <w:color w:val="000000"/>
              </w:rPr>
            </w:pPr>
            <w:r w:rsidRPr="00875E26">
              <w:rPr>
                <w:color w:val="000000"/>
              </w:rPr>
              <w:t>Amount</w:t>
            </w:r>
          </w:p>
        </w:tc>
        <w:tc>
          <w:tcPr>
            <w:tcW w:w="1800" w:type="dxa"/>
            <w:tcBorders>
              <w:top w:val="nil"/>
              <w:left w:val="nil"/>
              <w:bottom w:val="nil"/>
              <w:right w:val="nil"/>
            </w:tcBorders>
            <w:shd w:val="clear" w:color="auto" w:fill="auto"/>
            <w:noWrap/>
            <w:vAlign w:val="bottom"/>
            <w:hideMark/>
          </w:tcPr>
          <w:p w14:paraId="1F0A1F67" w14:textId="77777777" w:rsidR="00204905" w:rsidRPr="00875E26" w:rsidRDefault="00204905" w:rsidP="00954C07">
            <w:pPr>
              <w:rPr>
                <w:color w:val="000000"/>
              </w:rPr>
            </w:pPr>
            <w:r w:rsidRPr="00875E26">
              <w:rPr>
                <w:color w:val="000000"/>
              </w:rPr>
              <w:t>MCC(CISO)**</w:t>
            </w:r>
          </w:p>
        </w:tc>
        <w:tc>
          <w:tcPr>
            <w:tcW w:w="1321" w:type="dxa"/>
            <w:tcBorders>
              <w:top w:val="nil"/>
              <w:left w:val="nil"/>
              <w:bottom w:val="nil"/>
              <w:right w:val="nil"/>
            </w:tcBorders>
            <w:shd w:val="clear" w:color="auto" w:fill="auto"/>
            <w:noWrap/>
            <w:vAlign w:val="bottom"/>
            <w:hideMark/>
          </w:tcPr>
          <w:p w14:paraId="62636B70" w14:textId="77777777" w:rsidR="00204905" w:rsidRPr="00875E26" w:rsidRDefault="00204905" w:rsidP="00954C07">
            <w:pPr>
              <w:rPr>
                <w:color w:val="000000"/>
              </w:rPr>
            </w:pPr>
            <w:r w:rsidRPr="00875E26">
              <w:rPr>
                <w:color w:val="000000"/>
              </w:rPr>
              <w:t>Amount</w:t>
            </w:r>
          </w:p>
        </w:tc>
      </w:tr>
      <w:tr w:rsidR="00204905" w:rsidRPr="00875E26" w14:paraId="6270F6C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3A95" w14:textId="77777777" w:rsidR="00204905" w:rsidRPr="00875E26" w:rsidRDefault="00204905" w:rsidP="00954C07">
            <w:pPr>
              <w:rPr>
                <w:color w:val="000000"/>
              </w:rPr>
            </w:pPr>
            <w:r w:rsidRPr="00875E26">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5875015" w14:textId="77777777" w:rsidR="00204905" w:rsidRPr="00875E26" w:rsidRDefault="00204905" w:rsidP="00954C07">
            <w:pPr>
              <w:jc w:val="right"/>
              <w:rPr>
                <w:color w:val="000000"/>
              </w:rPr>
            </w:pPr>
            <w:r w:rsidRPr="00875E26">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317E2F7" w14:textId="77777777" w:rsidR="00204905" w:rsidRPr="00875E26" w:rsidRDefault="00204905" w:rsidP="00954C07">
            <w:pPr>
              <w:rPr>
                <w:color w:val="000000"/>
              </w:rPr>
            </w:pPr>
            <w:r w:rsidRPr="00875E26">
              <w:rPr>
                <w:color w:val="000000"/>
              </w:rPr>
              <w:t xml:space="preserve"> $         (7.51)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6ACD16" w14:textId="77777777" w:rsidR="00204905" w:rsidRPr="00875E26" w:rsidRDefault="00204905" w:rsidP="00954C07">
            <w:pPr>
              <w:rPr>
                <w:color w:val="000000"/>
              </w:rPr>
            </w:pPr>
            <w:r w:rsidRPr="00875E26">
              <w:rPr>
                <w:color w:val="000000"/>
              </w:rPr>
              <w:t xml:space="preserve"> $(1,125.75)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A4A970B" w14:textId="77777777" w:rsidR="00204905" w:rsidRPr="00875E26" w:rsidRDefault="00204905" w:rsidP="00954C07">
            <w:pPr>
              <w:rPr>
                <w:color w:val="000000"/>
              </w:rPr>
            </w:pPr>
            <w:r w:rsidRPr="00875E26">
              <w:rPr>
                <w:color w:val="000000"/>
              </w:rPr>
              <w:t>$         (7.51)</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6A914780" w14:textId="77777777" w:rsidR="00204905" w:rsidRPr="00875E26" w:rsidRDefault="00204905" w:rsidP="00954C07">
            <w:pPr>
              <w:rPr>
                <w:color w:val="000000"/>
              </w:rPr>
            </w:pPr>
            <w:r w:rsidRPr="00875E26">
              <w:rPr>
                <w:color w:val="000000"/>
              </w:rPr>
              <w:t>$(1,125.75)</w:t>
            </w:r>
          </w:p>
        </w:tc>
      </w:tr>
      <w:tr w:rsidR="00204905" w:rsidRPr="00875E26" w14:paraId="08DFDD2D"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2B8251C" w14:textId="77777777" w:rsidR="00204905" w:rsidRPr="00875E26" w:rsidRDefault="00204905" w:rsidP="00954C07">
            <w:pPr>
              <w:rPr>
                <w:color w:val="000000"/>
              </w:rPr>
            </w:pPr>
            <w:r w:rsidRPr="00875E26">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0D745D78" w14:textId="77777777" w:rsidR="00204905" w:rsidRPr="00875E26" w:rsidRDefault="00204905" w:rsidP="00954C07">
            <w:pPr>
              <w:jc w:val="right"/>
              <w:rPr>
                <w:color w:val="000000"/>
              </w:rPr>
            </w:pPr>
            <w:r w:rsidRPr="00875E26">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44328435"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106C742"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5C171F4B"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7E1864CC" w14:textId="77777777" w:rsidR="00204905" w:rsidRPr="00875E26" w:rsidRDefault="00204905" w:rsidP="00954C07">
            <w:pPr>
              <w:rPr>
                <w:color w:val="000000"/>
              </w:rPr>
            </w:pPr>
            <w:r w:rsidRPr="00875E26">
              <w:rPr>
                <w:color w:val="000000"/>
              </w:rPr>
              <w:t xml:space="preserve"> $           -   </w:t>
            </w:r>
          </w:p>
        </w:tc>
      </w:tr>
      <w:tr w:rsidR="00204905" w:rsidRPr="00875E26" w14:paraId="5D4969B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F34AC97" w14:textId="77777777" w:rsidR="00204905" w:rsidRPr="00875E26" w:rsidRDefault="00204905" w:rsidP="00954C07">
            <w:pPr>
              <w:rPr>
                <w:color w:val="000000"/>
              </w:rPr>
            </w:pPr>
            <w:r w:rsidRPr="00875E26">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72CDDAE5" w14:textId="77777777" w:rsidR="00204905" w:rsidRPr="00875E26" w:rsidRDefault="00204905" w:rsidP="00954C07">
            <w:pPr>
              <w:jc w:val="right"/>
              <w:rPr>
                <w:color w:val="000000"/>
              </w:rPr>
            </w:pPr>
            <w:r w:rsidRPr="00875E26">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5E536C50" w14:textId="77777777" w:rsidR="00204905" w:rsidRPr="00875E26" w:rsidRDefault="00204905" w:rsidP="00954C07">
            <w:pPr>
              <w:rPr>
                <w:color w:val="000000"/>
              </w:rPr>
            </w:pPr>
            <w:r w:rsidRPr="00875E26">
              <w:rPr>
                <w:color w:val="000000"/>
              </w:rPr>
              <w:t>$         (7.51)</w:t>
            </w:r>
          </w:p>
        </w:tc>
        <w:tc>
          <w:tcPr>
            <w:tcW w:w="1440" w:type="dxa"/>
            <w:tcBorders>
              <w:top w:val="nil"/>
              <w:left w:val="nil"/>
              <w:bottom w:val="single" w:sz="4" w:space="0" w:color="auto"/>
              <w:right w:val="single" w:sz="4" w:space="0" w:color="auto"/>
            </w:tcBorders>
            <w:shd w:val="clear" w:color="auto" w:fill="auto"/>
            <w:noWrap/>
            <w:vAlign w:val="bottom"/>
            <w:hideMark/>
          </w:tcPr>
          <w:p w14:paraId="416F3345" w14:textId="77777777" w:rsidR="00204905" w:rsidRPr="00875E26" w:rsidRDefault="00204905" w:rsidP="00954C07">
            <w:pPr>
              <w:rPr>
                <w:color w:val="000000"/>
              </w:rPr>
            </w:pPr>
            <w:r w:rsidRPr="00875E26">
              <w:rPr>
                <w:color w:val="000000"/>
              </w:rPr>
              <w:t xml:space="preserve"> $    375.25 </w:t>
            </w:r>
          </w:p>
        </w:tc>
        <w:tc>
          <w:tcPr>
            <w:tcW w:w="1800" w:type="dxa"/>
            <w:tcBorders>
              <w:top w:val="nil"/>
              <w:left w:val="nil"/>
              <w:bottom w:val="single" w:sz="4" w:space="0" w:color="auto"/>
              <w:right w:val="single" w:sz="4" w:space="0" w:color="auto"/>
            </w:tcBorders>
            <w:shd w:val="clear" w:color="auto" w:fill="auto"/>
            <w:noWrap/>
            <w:vAlign w:val="bottom"/>
            <w:hideMark/>
          </w:tcPr>
          <w:p w14:paraId="620EC1B8" w14:textId="77777777" w:rsidR="00204905" w:rsidRPr="00875E26" w:rsidRDefault="00204905" w:rsidP="00954C07">
            <w:pPr>
              <w:rPr>
                <w:color w:val="000000"/>
              </w:rPr>
            </w:pPr>
            <w:r w:rsidRPr="00875E26">
              <w:rPr>
                <w:color w:val="000000"/>
              </w:rPr>
              <w:t>$         (7.51)</w:t>
            </w:r>
          </w:p>
        </w:tc>
        <w:tc>
          <w:tcPr>
            <w:tcW w:w="1321" w:type="dxa"/>
            <w:tcBorders>
              <w:top w:val="nil"/>
              <w:left w:val="nil"/>
              <w:bottom w:val="single" w:sz="4" w:space="0" w:color="auto"/>
              <w:right w:val="single" w:sz="4" w:space="0" w:color="auto"/>
            </w:tcBorders>
            <w:shd w:val="clear" w:color="auto" w:fill="auto"/>
            <w:noWrap/>
            <w:vAlign w:val="bottom"/>
            <w:hideMark/>
          </w:tcPr>
          <w:p w14:paraId="6B2AA002" w14:textId="77777777" w:rsidR="00204905" w:rsidRPr="00875E26" w:rsidRDefault="00204905" w:rsidP="00954C07">
            <w:pPr>
              <w:rPr>
                <w:color w:val="000000"/>
              </w:rPr>
            </w:pPr>
            <w:r w:rsidRPr="00875E26">
              <w:rPr>
                <w:color w:val="000000"/>
              </w:rPr>
              <w:t>$    375.25</w:t>
            </w:r>
          </w:p>
        </w:tc>
      </w:tr>
      <w:tr w:rsidR="00204905" w:rsidRPr="00875E26" w14:paraId="22F18363"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64691DB1" w14:textId="77777777" w:rsidR="00204905" w:rsidRPr="00875E26" w:rsidRDefault="00204905" w:rsidP="00954C07">
            <w:pPr>
              <w:rPr>
                <w:color w:val="000000"/>
              </w:rPr>
            </w:pPr>
            <w:r w:rsidRPr="00875E26">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2FA50072" w14:textId="77777777" w:rsidR="00204905" w:rsidRPr="00875E26" w:rsidRDefault="00204905" w:rsidP="00954C07">
            <w:pPr>
              <w:jc w:val="right"/>
              <w:rPr>
                <w:color w:val="000000"/>
              </w:rPr>
            </w:pPr>
            <w:r w:rsidRPr="00875E26">
              <w:rPr>
                <w:color w:val="000000"/>
              </w:rPr>
              <w:t>-200</w:t>
            </w:r>
          </w:p>
        </w:tc>
        <w:tc>
          <w:tcPr>
            <w:tcW w:w="1620" w:type="dxa"/>
            <w:tcBorders>
              <w:top w:val="nil"/>
              <w:left w:val="nil"/>
              <w:bottom w:val="nil"/>
              <w:right w:val="single" w:sz="4" w:space="0" w:color="auto"/>
            </w:tcBorders>
            <w:shd w:val="clear" w:color="auto" w:fill="auto"/>
            <w:noWrap/>
            <w:vAlign w:val="bottom"/>
            <w:hideMark/>
          </w:tcPr>
          <w:p w14:paraId="680ED387"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nil"/>
              <w:right w:val="single" w:sz="4" w:space="0" w:color="auto"/>
            </w:tcBorders>
            <w:shd w:val="clear" w:color="auto" w:fill="auto"/>
            <w:noWrap/>
            <w:vAlign w:val="bottom"/>
            <w:hideMark/>
          </w:tcPr>
          <w:p w14:paraId="1BD5D223"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74EB585C"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nil"/>
              <w:right w:val="single" w:sz="4" w:space="0" w:color="auto"/>
            </w:tcBorders>
            <w:shd w:val="clear" w:color="auto" w:fill="auto"/>
            <w:noWrap/>
            <w:vAlign w:val="bottom"/>
            <w:hideMark/>
          </w:tcPr>
          <w:p w14:paraId="03A9C4DA" w14:textId="77777777" w:rsidR="00204905" w:rsidRPr="00875E26" w:rsidRDefault="00204905" w:rsidP="00954C07">
            <w:pPr>
              <w:rPr>
                <w:color w:val="000000"/>
              </w:rPr>
            </w:pPr>
            <w:r w:rsidRPr="00875E26">
              <w:rPr>
                <w:color w:val="000000"/>
              </w:rPr>
              <w:t xml:space="preserve"> $           -   </w:t>
            </w:r>
          </w:p>
        </w:tc>
      </w:tr>
      <w:tr w:rsidR="00204905" w:rsidRPr="00875E26" w14:paraId="55867D33" w14:textId="77777777" w:rsidTr="00954C07">
        <w:trPr>
          <w:trHeight w:val="300"/>
        </w:trPr>
        <w:tc>
          <w:tcPr>
            <w:tcW w:w="2140" w:type="dxa"/>
            <w:tcBorders>
              <w:top w:val="single" w:sz="4" w:space="0" w:color="auto"/>
              <w:left w:val="single" w:sz="4" w:space="0" w:color="auto"/>
              <w:bottom w:val="nil"/>
              <w:right w:val="single" w:sz="4" w:space="0" w:color="auto"/>
            </w:tcBorders>
            <w:shd w:val="clear" w:color="auto" w:fill="auto"/>
            <w:noWrap/>
            <w:vAlign w:val="bottom"/>
            <w:hideMark/>
          </w:tcPr>
          <w:p w14:paraId="264A3C8A" w14:textId="77777777" w:rsidR="00204905" w:rsidRPr="00875E26" w:rsidRDefault="00204905" w:rsidP="00954C07">
            <w:pPr>
              <w:rPr>
                <w:color w:val="000000"/>
              </w:rPr>
            </w:pPr>
            <w:r w:rsidRPr="00875E26">
              <w:rPr>
                <w:color w:val="000000"/>
              </w:rPr>
              <w:t>CC 67740</w:t>
            </w:r>
          </w:p>
        </w:tc>
        <w:tc>
          <w:tcPr>
            <w:tcW w:w="830" w:type="dxa"/>
            <w:tcBorders>
              <w:top w:val="single" w:sz="4" w:space="0" w:color="auto"/>
              <w:left w:val="nil"/>
              <w:bottom w:val="nil"/>
              <w:right w:val="single" w:sz="4" w:space="0" w:color="auto"/>
            </w:tcBorders>
            <w:shd w:val="clear" w:color="auto" w:fill="auto"/>
            <w:noWrap/>
            <w:vAlign w:val="bottom"/>
            <w:hideMark/>
          </w:tcPr>
          <w:p w14:paraId="0901503B" w14:textId="77777777" w:rsidR="00204905" w:rsidRPr="00875E26" w:rsidRDefault="00204905" w:rsidP="00954C07">
            <w:pPr>
              <w:rPr>
                <w:color w:val="000000"/>
              </w:rPr>
            </w:pPr>
            <w:r w:rsidRPr="00875E26">
              <w:rPr>
                <w:color w:val="000000"/>
              </w:rPr>
              <w:t> </w:t>
            </w:r>
          </w:p>
        </w:tc>
        <w:tc>
          <w:tcPr>
            <w:tcW w:w="1620" w:type="dxa"/>
            <w:tcBorders>
              <w:top w:val="single" w:sz="4" w:space="0" w:color="auto"/>
              <w:left w:val="nil"/>
              <w:bottom w:val="nil"/>
              <w:right w:val="single" w:sz="4" w:space="0" w:color="auto"/>
            </w:tcBorders>
            <w:shd w:val="clear" w:color="auto" w:fill="auto"/>
            <w:noWrap/>
            <w:vAlign w:val="bottom"/>
            <w:hideMark/>
          </w:tcPr>
          <w:p w14:paraId="126F8F99" w14:textId="77777777" w:rsidR="00204905" w:rsidRPr="00875E26" w:rsidRDefault="00204905" w:rsidP="00954C07">
            <w:pPr>
              <w:rPr>
                <w:color w:val="000000"/>
              </w:rPr>
            </w:pPr>
            <w:r w:rsidRPr="00875E26">
              <w:rPr>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5CE4A1D8" w14:textId="77777777" w:rsidR="00204905" w:rsidRPr="00875E26" w:rsidRDefault="00204905" w:rsidP="00954C07">
            <w:pPr>
              <w:rPr>
                <w:color w:val="000000"/>
              </w:rPr>
            </w:pPr>
            <w:r w:rsidRPr="00875E26">
              <w:rPr>
                <w:color w:val="000000"/>
              </w:rPr>
              <w:t xml:space="preserve"> $   (750.50)</w:t>
            </w:r>
          </w:p>
        </w:tc>
        <w:tc>
          <w:tcPr>
            <w:tcW w:w="1800" w:type="dxa"/>
            <w:tcBorders>
              <w:top w:val="single" w:sz="4" w:space="0" w:color="auto"/>
              <w:left w:val="nil"/>
              <w:bottom w:val="nil"/>
              <w:right w:val="single" w:sz="4" w:space="0" w:color="auto"/>
            </w:tcBorders>
            <w:shd w:val="clear" w:color="auto" w:fill="auto"/>
            <w:noWrap/>
            <w:vAlign w:val="bottom"/>
            <w:hideMark/>
          </w:tcPr>
          <w:p w14:paraId="4A21BD53" w14:textId="77777777" w:rsidR="00204905" w:rsidRPr="00875E26" w:rsidRDefault="00204905" w:rsidP="00954C07">
            <w:pPr>
              <w:rPr>
                <w:color w:val="000000"/>
              </w:rPr>
            </w:pPr>
            <w:r w:rsidRPr="00875E26">
              <w:rPr>
                <w:color w:val="000000"/>
              </w:rPr>
              <w:t> </w:t>
            </w:r>
          </w:p>
        </w:tc>
        <w:tc>
          <w:tcPr>
            <w:tcW w:w="1321" w:type="dxa"/>
            <w:tcBorders>
              <w:top w:val="single" w:sz="4" w:space="0" w:color="auto"/>
              <w:left w:val="nil"/>
              <w:bottom w:val="nil"/>
              <w:right w:val="single" w:sz="4" w:space="0" w:color="auto"/>
            </w:tcBorders>
            <w:shd w:val="clear" w:color="auto" w:fill="auto"/>
            <w:noWrap/>
            <w:vAlign w:val="bottom"/>
            <w:hideMark/>
          </w:tcPr>
          <w:p w14:paraId="0B68FB89" w14:textId="77777777" w:rsidR="00204905" w:rsidRPr="00875E26" w:rsidRDefault="00204905" w:rsidP="00954C07">
            <w:pPr>
              <w:rPr>
                <w:color w:val="000000"/>
              </w:rPr>
            </w:pPr>
            <w:r w:rsidRPr="00875E26">
              <w:rPr>
                <w:color w:val="000000"/>
              </w:rPr>
              <w:t> </w:t>
            </w:r>
          </w:p>
        </w:tc>
      </w:tr>
      <w:tr w:rsidR="00204905" w:rsidRPr="00875E26" w14:paraId="3DBE3B1F"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37E03D7" w14:textId="77777777" w:rsidR="00204905" w:rsidRPr="00875E26" w:rsidRDefault="00204905" w:rsidP="00954C07">
            <w:pPr>
              <w:rPr>
                <w:color w:val="000000"/>
              </w:rPr>
            </w:pPr>
            <w:r w:rsidRPr="00875E26">
              <w:rPr>
                <w:color w:val="000000"/>
              </w:rPr>
              <w:t>CC 6774</w:t>
            </w:r>
          </w:p>
        </w:tc>
        <w:tc>
          <w:tcPr>
            <w:tcW w:w="830" w:type="dxa"/>
            <w:tcBorders>
              <w:top w:val="nil"/>
              <w:left w:val="nil"/>
              <w:bottom w:val="single" w:sz="4" w:space="0" w:color="auto"/>
              <w:right w:val="single" w:sz="4" w:space="0" w:color="auto"/>
            </w:tcBorders>
            <w:shd w:val="clear" w:color="auto" w:fill="auto"/>
            <w:noWrap/>
            <w:vAlign w:val="bottom"/>
            <w:hideMark/>
          </w:tcPr>
          <w:p w14:paraId="346621AD" w14:textId="77777777" w:rsidR="00204905" w:rsidRPr="00875E26" w:rsidRDefault="00204905" w:rsidP="00954C07">
            <w:pPr>
              <w:rPr>
                <w:color w:val="000000"/>
              </w:rPr>
            </w:pPr>
            <w:r w:rsidRPr="00875E26">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26CA21" w14:textId="77777777" w:rsidR="00204905" w:rsidRPr="00875E26" w:rsidRDefault="00204905" w:rsidP="00954C07">
            <w:pPr>
              <w:rPr>
                <w:color w:val="000000"/>
              </w:rPr>
            </w:pPr>
            <w:r w:rsidRPr="00875E26">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253D7C" w14:textId="77777777" w:rsidR="00204905" w:rsidRPr="00875E26" w:rsidRDefault="00204905" w:rsidP="00954C07">
            <w:pPr>
              <w:rPr>
                <w:color w:val="000000"/>
              </w:rPr>
            </w:pPr>
            <w:r w:rsidRPr="00875E2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B4B4AA" w14:textId="77777777" w:rsidR="00204905" w:rsidRPr="00875E26" w:rsidRDefault="00204905" w:rsidP="00954C07">
            <w:pPr>
              <w:rPr>
                <w:color w:val="000000"/>
              </w:rPr>
            </w:pPr>
            <w:r w:rsidRPr="00875E26">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46837F7A" w14:textId="77777777" w:rsidR="00204905" w:rsidRPr="00875E26" w:rsidRDefault="00204905" w:rsidP="00954C07">
            <w:pPr>
              <w:rPr>
                <w:color w:val="000000"/>
              </w:rPr>
            </w:pPr>
            <w:r w:rsidRPr="00875E26">
              <w:rPr>
                <w:color w:val="000000"/>
              </w:rPr>
              <w:t>$   (750.50)</w:t>
            </w:r>
          </w:p>
        </w:tc>
      </w:tr>
    </w:tbl>
    <w:p w14:paraId="45EED8E5" w14:textId="77777777" w:rsidR="00204905" w:rsidRPr="00875E26" w:rsidRDefault="00204905" w:rsidP="00204905">
      <w:pPr>
        <w:rPr>
          <w:color w:val="000000"/>
          <w:sz w:val="18"/>
        </w:rPr>
      </w:pPr>
      <w:r w:rsidRPr="00875E26">
        <w:rPr>
          <w:color w:val="000000"/>
          <w:sz w:val="18"/>
        </w:rPr>
        <w:t xml:space="preserve">** Sum of the Intertie Scheduling Limit plus product of EIM Transfer Costs and the EIM Transfer Cost Ratio Share (50/50) plus the product of EIM Constraint and the EIM Transfer Constraint Ratio Share (50/50) </w:t>
      </w:r>
    </w:p>
    <w:p w14:paraId="7703B1B7" w14:textId="77777777" w:rsidR="00204905" w:rsidRDefault="00204905" w:rsidP="00204905"/>
    <w:p w14:paraId="63C5A23A" w14:textId="77777777" w:rsidR="00204905" w:rsidRDefault="00204905" w:rsidP="00204905"/>
    <w:p w14:paraId="2FED88E0" w14:textId="77777777" w:rsidR="00204905" w:rsidRDefault="00204905" w:rsidP="00204905"/>
    <w:p w14:paraId="46A8D23D" w14:textId="77777777" w:rsidR="00204905" w:rsidRDefault="00204905" w:rsidP="00204905"/>
    <w:p w14:paraId="55965855" w14:textId="77777777" w:rsidR="00204905" w:rsidRDefault="00204905" w:rsidP="00204905"/>
    <w:p w14:paraId="03C79D7C" w14:textId="77777777" w:rsidR="00204905" w:rsidRDefault="00204905" w:rsidP="00204905"/>
    <w:p w14:paraId="1BF1410A" w14:textId="77777777" w:rsidR="00204905" w:rsidRDefault="00204905" w:rsidP="00204905"/>
    <w:p w14:paraId="1158EFCE" w14:textId="77777777" w:rsidR="00204905" w:rsidRDefault="00204905" w:rsidP="00204905"/>
    <w:p w14:paraId="1BF47D24" w14:textId="77777777" w:rsidR="00204905" w:rsidRPr="00875E26" w:rsidRDefault="00204905" w:rsidP="00204905"/>
    <w:tbl>
      <w:tblPr>
        <w:tblW w:w="8640" w:type="dxa"/>
        <w:tblLook w:val="04A0" w:firstRow="1" w:lastRow="0" w:firstColumn="1" w:lastColumn="0" w:noHBand="0" w:noVBand="1"/>
      </w:tblPr>
      <w:tblGrid>
        <w:gridCol w:w="2610"/>
        <w:gridCol w:w="2610"/>
        <w:gridCol w:w="1710"/>
        <w:gridCol w:w="1710"/>
      </w:tblGrid>
      <w:tr w:rsidR="00204905" w:rsidRPr="00875E26" w14:paraId="546B9C50" w14:textId="77777777" w:rsidTr="00954C07">
        <w:trPr>
          <w:trHeight w:val="300"/>
        </w:trPr>
        <w:tc>
          <w:tcPr>
            <w:tcW w:w="2610" w:type="dxa"/>
            <w:tcBorders>
              <w:top w:val="nil"/>
              <w:left w:val="nil"/>
              <w:bottom w:val="nil"/>
              <w:right w:val="nil"/>
            </w:tcBorders>
          </w:tcPr>
          <w:p w14:paraId="0D71969D" w14:textId="77777777" w:rsidR="00204905" w:rsidRPr="00BE11D7" w:rsidRDefault="00204905" w:rsidP="00954C07">
            <w:pPr>
              <w:rPr>
                <w:color w:val="000000"/>
              </w:rPr>
            </w:pPr>
            <w:r>
              <w:rPr>
                <w:color w:val="000000"/>
              </w:rPr>
              <w:t>RTIEO Charge/Payment</w:t>
            </w:r>
          </w:p>
        </w:tc>
        <w:tc>
          <w:tcPr>
            <w:tcW w:w="2610" w:type="dxa"/>
            <w:tcBorders>
              <w:top w:val="nil"/>
              <w:left w:val="nil"/>
              <w:bottom w:val="nil"/>
              <w:right w:val="nil"/>
            </w:tcBorders>
            <w:shd w:val="clear" w:color="auto" w:fill="auto"/>
            <w:noWrap/>
            <w:vAlign w:val="bottom"/>
            <w:hideMark/>
          </w:tcPr>
          <w:p w14:paraId="59ABB1EA" w14:textId="77777777" w:rsidR="00204905" w:rsidRPr="00BE11D7" w:rsidRDefault="00204905" w:rsidP="00954C07">
            <w:pPr>
              <w:rPr>
                <w:color w:val="000000"/>
              </w:rPr>
            </w:pPr>
            <w:r w:rsidRPr="00BE11D7">
              <w:rPr>
                <w:color w:val="000000"/>
              </w:rPr>
              <w:t>Charge Code</w:t>
            </w:r>
          </w:p>
        </w:tc>
        <w:tc>
          <w:tcPr>
            <w:tcW w:w="1710" w:type="dxa"/>
            <w:tcBorders>
              <w:top w:val="nil"/>
              <w:left w:val="nil"/>
              <w:bottom w:val="nil"/>
              <w:right w:val="nil"/>
            </w:tcBorders>
            <w:shd w:val="clear" w:color="auto" w:fill="auto"/>
            <w:noWrap/>
            <w:vAlign w:val="bottom"/>
            <w:hideMark/>
          </w:tcPr>
          <w:p w14:paraId="2AD556A5" w14:textId="77777777" w:rsidR="00204905" w:rsidRPr="00875E26" w:rsidRDefault="00204905" w:rsidP="00954C07">
            <w:pPr>
              <w:rPr>
                <w:color w:val="000000"/>
              </w:rPr>
            </w:pPr>
            <w:r w:rsidRPr="00875E26">
              <w:rPr>
                <w:color w:val="000000"/>
              </w:rPr>
              <w:t>EIM1</w:t>
            </w:r>
          </w:p>
        </w:tc>
        <w:tc>
          <w:tcPr>
            <w:tcW w:w="1710" w:type="dxa"/>
            <w:tcBorders>
              <w:top w:val="nil"/>
              <w:left w:val="nil"/>
              <w:bottom w:val="nil"/>
              <w:right w:val="nil"/>
            </w:tcBorders>
            <w:shd w:val="clear" w:color="auto" w:fill="auto"/>
            <w:noWrap/>
            <w:vAlign w:val="bottom"/>
            <w:hideMark/>
          </w:tcPr>
          <w:p w14:paraId="5569BC5A" w14:textId="77777777" w:rsidR="00204905" w:rsidRPr="00875E26" w:rsidRDefault="00204905" w:rsidP="00954C07">
            <w:pPr>
              <w:rPr>
                <w:color w:val="000000"/>
              </w:rPr>
            </w:pPr>
            <w:r w:rsidRPr="00875E26">
              <w:rPr>
                <w:color w:val="000000"/>
              </w:rPr>
              <w:t>CISO</w:t>
            </w:r>
          </w:p>
        </w:tc>
      </w:tr>
      <w:tr w:rsidR="00204905" w:rsidRPr="00875E26" w14:paraId="5954589A" w14:textId="77777777" w:rsidTr="00954C07">
        <w:trPr>
          <w:trHeight w:val="300"/>
        </w:trPr>
        <w:tc>
          <w:tcPr>
            <w:tcW w:w="2610" w:type="dxa"/>
            <w:vMerge w:val="restart"/>
            <w:tcBorders>
              <w:top w:val="single" w:sz="4" w:space="0" w:color="auto"/>
              <w:left w:val="single" w:sz="4" w:space="0" w:color="auto"/>
              <w:right w:val="single" w:sz="4" w:space="0" w:color="auto"/>
            </w:tcBorders>
          </w:tcPr>
          <w:p w14:paraId="3F589E2D" w14:textId="77777777" w:rsidR="00204905" w:rsidRPr="00BE11D7" w:rsidRDefault="00204905" w:rsidP="00954C07">
            <w:pPr>
              <w:rPr>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FA84" w14:textId="77777777" w:rsidR="00204905" w:rsidRPr="00BE11D7" w:rsidRDefault="00204905" w:rsidP="00954C07">
            <w:pPr>
              <w:rPr>
                <w:color w:val="000000"/>
              </w:rPr>
            </w:pPr>
            <w:r w:rsidRPr="00BE11D7">
              <w:rPr>
                <w:color w:val="000000"/>
              </w:rPr>
              <w:t>CC 64700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46F6F72" w14:textId="77777777" w:rsidR="00204905" w:rsidRPr="00875E26" w:rsidRDefault="00204905" w:rsidP="00954C07">
            <w:pPr>
              <w:rPr>
                <w:color w:val="000000"/>
              </w:rPr>
            </w:pPr>
            <w:r w:rsidRPr="00875E26">
              <w:rPr>
                <w:color w:val="000000"/>
              </w:rPr>
              <w:t xml:space="preserve"> $(5,248.50)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2134BEC" w14:textId="77777777" w:rsidR="00204905" w:rsidRPr="00875E26" w:rsidRDefault="00204905" w:rsidP="00954C07">
            <w:pPr>
              <w:rPr>
                <w:color w:val="000000"/>
              </w:rPr>
            </w:pPr>
            <w:r w:rsidRPr="00875E26">
              <w:rPr>
                <w:color w:val="000000"/>
              </w:rPr>
              <w:t> </w:t>
            </w:r>
          </w:p>
        </w:tc>
      </w:tr>
      <w:tr w:rsidR="00204905" w:rsidRPr="00875E26" w14:paraId="62C32484" w14:textId="77777777" w:rsidTr="00954C07">
        <w:trPr>
          <w:trHeight w:val="300"/>
        </w:trPr>
        <w:tc>
          <w:tcPr>
            <w:tcW w:w="2610" w:type="dxa"/>
            <w:vMerge/>
            <w:tcBorders>
              <w:left w:val="single" w:sz="4" w:space="0" w:color="auto"/>
              <w:right w:val="single" w:sz="4" w:space="0" w:color="auto"/>
            </w:tcBorders>
          </w:tcPr>
          <w:p w14:paraId="13D7EACF"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D57B906" w14:textId="77777777" w:rsidR="00204905" w:rsidRPr="00BE11D7" w:rsidRDefault="00204905" w:rsidP="00954C07">
            <w:pPr>
              <w:rPr>
                <w:color w:val="000000"/>
              </w:rPr>
            </w:pPr>
            <w:r w:rsidRPr="00BE11D7">
              <w:rPr>
                <w:color w:val="000000"/>
              </w:rPr>
              <w:t>CC 6470</w:t>
            </w:r>
          </w:p>
        </w:tc>
        <w:tc>
          <w:tcPr>
            <w:tcW w:w="1710" w:type="dxa"/>
            <w:tcBorders>
              <w:top w:val="nil"/>
              <w:left w:val="nil"/>
              <w:bottom w:val="single" w:sz="4" w:space="0" w:color="auto"/>
              <w:right w:val="single" w:sz="4" w:space="0" w:color="auto"/>
            </w:tcBorders>
            <w:shd w:val="clear" w:color="auto" w:fill="auto"/>
            <w:noWrap/>
            <w:vAlign w:val="bottom"/>
            <w:hideMark/>
          </w:tcPr>
          <w:p w14:paraId="0962135E" w14:textId="77777777" w:rsidR="00204905" w:rsidRPr="00875E26" w:rsidRDefault="00204905" w:rsidP="00954C07">
            <w:pPr>
              <w:rPr>
                <w:color w:val="000000"/>
              </w:rPr>
            </w:pPr>
            <w:r w:rsidRPr="00875E26">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8DBE1D" w14:textId="77777777" w:rsidR="00204905" w:rsidRPr="00875E26" w:rsidRDefault="00204905" w:rsidP="00954C07">
            <w:pPr>
              <w:rPr>
                <w:color w:val="000000"/>
              </w:rPr>
            </w:pPr>
            <w:r w:rsidRPr="00875E26">
              <w:rPr>
                <w:color w:val="000000"/>
              </w:rPr>
              <w:t xml:space="preserve"> $      (5,000.00)</w:t>
            </w:r>
          </w:p>
        </w:tc>
      </w:tr>
      <w:tr w:rsidR="00204905" w:rsidRPr="00875E26" w14:paraId="68E263AC" w14:textId="77777777" w:rsidTr="00954C07">
        <w:trPr>
          <w:trHeight w:val="300"/>
        </w:trPr>
        <w:tc>
          <w:tcPr>
            <w:tcW w:w="2610" w:type="dxa"/>
            <w:vMerge/>
            <w:tcBorders>
              <w:left w:val="single" w:sz="4" w:space="0" w:color="auto"/>
              <w:right w:val="single" w:sz="4" w:space="0" w:color="auto"/>
            </w:tcBorders>
          </w:tcPr>
          <w:p w14:paraId="735CCED1"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A771339" w14:textId="77777777" w:rsidR="00204905" w:rsidRPr="00BE11D7" w:rsidRDefault="00204905" w:rsidP="00954C07">
            <w:pPr>
              <w:rPr>
                <w:color w:val="000000"/>
              </w:rPr>
            </w:pPr>
            <w:r w:rsidRPr="00BE11D7">
              <w:rPr>
                <w:color w:val="000000"/>
              </w:rPr>
              <w:t>CC 64750</w:t>
            </w:r>
          </w:p>
        </w:tc>
        <w:tc>
          <w:tcPr>
            <w:tcW w:w="1710" w:type="dxa"/>
            <w:tcBorders>
              <w:top w:val="nil"/>
              <w:left w:val="nil"/>
              <w:bottom w:val="single" w:sz="4" w:space="0" w:color="auto"/>
              <w:right w:val="single" w:sz="4" w:space="0" w:color="auto"/>
            </w:tcBorders>
            <w:shd w:val="clear" w:color="auto" w:fill="auto"/>
            <w:noWrap/>
            <w:vAlign w:val="bottom"/>
            <w:hideMark/>
          </w:tcPr>
          <w:p w14:paraId="55294FBE" w14:textId="77777777" w:rsidR="00204905" w:rsidRPr="00875E26" w:rsidRDefault="00204905" w:rsidP="00954C07">
            <w:pPr>
              <w:rPr>
                <w:color w:val="000000"/>
              </w:rPr>
            </w:pPr>
            <w:r w:rsidRPr="00875E26">
              <w:rPr>
                <w:color w:val="000000"/>
              </w:rPr>
              <w:t xml:space="preserve"> $  1,749.50 </w:t>
            </w:r>
          </w:p>
        </w:tc>
        <w:tc>
          <w:tcPr>
            <w:tcW w:w="1710" w:type="dxa"/>
            <w:tcBorders>
              <w:top w:val="nil"/>
              <w:left w:val="nil"/>
              <w:bottom w:val="single" w:sz="4" w:space="0" w:color="auto"/>
              <w:right w:val="single" w:sz="4" w:space="0" w:color="auto"/>
            </w:tcBorders>
            <w:shd w:val="clear" w:color="auto" w:fill="auto"/>
            <w:noWrap/>
            <w:vAlign w:val="bottom"/>
            <w:hideMark/>
          </w:tcPr>
          <w:p w14:paraId="2CE5044A" w14:textId="77777777" w:rsidR="00204905" w:rsidRPr="00875E26" w:rsidRDefault="00204905" w:rsidP="00954C07">
            <w:pPr>
              <w:rPr>
                <w:color w:val="000000"/>
              </w:rPr>
            </w:pPr>
            <w:r w:rsidRPr="00875E26">
              <w:rPr>
                <w:color w:val="000000"/>
              </w:rPr>
              <w:t> </w:t>
            </w:r>
          </w:p>
        </w:tc>
      </w:tr>
      <w:tr w:rsidR="00204905" w:rsidRPr="00875E26" w14:paraId="32116796" w14:textId="77777777" w:rsidTr="00954C07">
        <w:trPr>
          <w:trHeight w:val="300"/>
        </w:trPr>
        <w:tc>
          <w:tcPr>
            <w:tcW w:w="2610" w:type="dxa"/>
            <w:vMerge/>
            <w:tcBorders>
              <w:left w:val="single" w:sz="4" w:space="0" w:color="auto"/>
              <w:right w:val="single" w:sz="4" w:space="0" w:color="auto"/>
            </w:tcBorders>
          </w:tcPr>
          <w:p w14:paraId="5016A0B0"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F1F6CA9" w14:textId="77777777" w:rsidR="00204905" w:rsidRPr="00BE11D7" w:rsidRDefault="00204905" w:rsidP="00954C07">
            <w:pPr>
              <w:rPr>
                <w:color w:val="000000"/>
              </w:rPr>
            </w:pPr>
            <w:r w:rsidRPr="00BE11D7">
              <w:rPr>
                <w:color w:val="000000"/>
              </w:rPr>
              <w:t>CC 6475</w:t>
            </w:r>
          </w:p>
        </w:tc>
        <w:tc>
          <w:tcPr>
            <w:tcW w:w="1710" w:type="dxa"/>
            <w:tcBorders>
              <w:top w:val="nil"/>
              <w:left w:val="nil"/>
              <w:bottom w:val="single" w:sz="4" w:space="0" w:color="auto"/>
              <w:right w:val="single" w:sz="4" w:space="0" w:color="auto"/>
            </w:tcBorders>
            <w:shd w:val="clear" w:color="auto" w:fill="auto"/>
            <w:noWrap/>
            <w:vAlign w:val="bottom"/>
            <w:hideMark/>
          </w:tcPr>
          <w:p w14:paraId="43985860" w14:textId="77777777" w:rsidR="00204905" w:rsidRPr="00875E26" w:rsidRDefault="00204905" w:rsidP="00954C07">
            <w:pPr>
              <w:rPr>
                <w:color w:val="000000"/>
              </w:rPr>
            </w:pPr>
            <w:r w:rsidRPr="00875E26">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6833191" w14:textId="77777777" w:rsidR="00204905" w:rsidRPr="00875E26" w:rsidRDefault="00204905" w:rsidP="00954C07">
            <w:pPr>
              <w:rPr>
                <w:color w:val="000000"/>
              </w:rPr>
            </w:pPr>
            <w:r w:rsidRPr="00875E26">
              <w:rPr>
                <w:color w:val="000000"/>
              </w:rPr>
              <w:t xml:space="preserve"> $     10,000.00 </w:t>
            </w:r>
          </w:p>
        </w:tc>
      </w:tr>
      <w:tr w:rsidR="00204905" w:rsidRPr="00875E26" w14:paraId="2F2357A1" w14:textId="77777777" w:rsidTr="00954C07">
        <w:trPr>
          <w:trHeight w:val="300"/>
        </w:trPr>
        <w:tc>
          <w:tcPr>
            <w:tcW w:w="2610" w:type="dxa"/>
            <w:vMerge/>
            <w:tcBorders>
              <w:left w:val="single" w:sz="4" w:space="0" w:color="auto"/>
              <w:right w:val="single" w:sz="4" w:space="0" w:color="auto"/>
            </w:tcBorders>
          </w:tcPr>
          <w:p w14:paraId="60BFAC26" w14:textId="77777777" w:rsidR="00204905" w:rsidRPr="00BE11D7" w:rsidRDefault="00204905" w:rsidP="00954C07">
            <w:pPr>
              <w:rPr>
                <w:color w:val="000000"/>
              </w:rPr>
            </w:pPr>
          </w:p>
        </w:tc>
        <w:tc>
          <w:tcPr>
            <w:tcW w:w="2610" w:type="dxa"/>
            <w:tcBorders>
              <w:top w:val="nil"/>
              <w:left w:val="single" w:sz="4" w:space="0" w:color="auto"/>
              <w:bottom w:val="nil"/>
              <w:right w:val="single" w:sz="4" w:space="0" w:color="auto"/>
            </w:tcBorders>
            <w:shd w:val="clear" w:color="auto" w:fill="auto"/>
            <w:noWrap/>
            <w:vAlign w:val="bottom"/>
            <w:hideMark/>
          </w:tcPr>
          <w:p w14:paraId="343C12A9" w14:textId="77777777" w:rsidR="00204905" w:rsidRPr="00BE11D7" w:rsidRDefault="00204905" w:rsidP="00954C07">
            <w:pPr>
              <w:rPr>
                <w:color w:val="000000"/>
              </w:rPr>
            </w:pPr>
            <w:r w:rsidRPr="00BE11D7">
              <w:rPr>
                <w:color w:val="000000"/>
              </w:rPr>
              <w:t>EIM Financial Value***</w:t>
            </w:r>
          </w:p>
        </w:tc>
        <w:tc>
          <w:tcPr>
            <w:tcW w:w="1710" w:type="dxa"/>
            <w:tcBorders>
              <w:top w:val="nil"/>
              <w:left w:val="nil"/>
              <w:bottom w:val="single" w:sz="4" w:space="0" w:color="auto"/>
              <w:right w:val="single" w:sz="4" w:space="0" w:color="auto"/>
            </w:tcBorders>
            <w:shd w:val="clear" w:color="auto" w:fill="auto"/>
            <w:noWrap/>
            <w:vAlign w:val="bottom"/>
            <w:hideMark/>
          </w:tcPr>
          <w:p w14:paraId="7FA4A399" w14:textId="77777777" w:rsidR="00204905" w:rsidRPr="00875E26" w:rsidRDefault="00204905" w:rsidP="00954C07">
            <w:pPr>
              <w:rPr>
                <w:color w:val="000000"/>
              </w:rPr>
            </w:pPr>
            <w:r w:rsidRPr="00875E26">
              <w:rPr>
                <w:color w:val="000000"/>
              </w:rPr>
              <w:t xml:space="preserve"> $  5,000.00 </w:t>
            </w:r>
          </w:p>
        </w:tc>
        <w:tc>
          <w:tcPr>
            <w:tcW w:w="1710" w:type="dxa"/>
            <w:tcBorders>
              <w:top w:val="nil"/>
              <w:left w:val="nil"/>
              <w:bottom w:val="single" w:sz="4" w:space="0" w:color="auto"/>
              <w:right w:val="single" w:sz="4" w:space="0" w:color="auto"/>
            </w:tcBorders>
            <w:shd w:val="clear" w:color="auto" w:fill="auto"/>
            <w:noWrap/>
            <w:vAlign w:val="bottom"/>
            <w:hideMark/>
          </w:tcPr>
          <w:p w14:paraId="6A252C5A" w14:textId="77777777" w:rsidR="00204905" w:rsidRPr="00875E26" w:rsidRDefault="00204905" w:rsidP="00954C07">
            <w:pPr>
              <w:rPr>
                <w:color w:val="000000"/>
              </w:rPr>
            </w:pPr>
            <w:r w:rsidRPr="00875E26">
              <w:rPr>
                <w:color w:val="000000"/>
              </w:rPr>
              <w:t xml:space="preserve"> $      (5,000.00)</w:t>
            </w:r>
          </w:p>
        </w:tc>
      </w:tr>
      <w:tr w:rsidR="00204905" w:rsidRPr="00875E26" w14:paraId="7D3D093C" w14:textId="77777777" w:rsidTr="00954C07">
        <w:trPr>
          <w:trHeight w:val="300"/>
        </w:trPr>
        <w:tc>
          <w:tcPr>
            <w:tcW w:w="2610" w:type="dxa"/>
            <w:vMerge/>
            <w:tcBorders>
              <w:left w:val="single" w:sz="4" w:space="0" w:color="auto"/>
              <w:right w:val="single" w:sz="4" w:space="0" w:color="auto"/>
            </w:tcBorders>
          </w:tcPr>
          <w:p w14:paraId="79E59AA5" w14:textId="77777777" w:rsidR="00204905" w:rsidRPr="00BE11D7" w:rsidRDefault="00204905" w:rsidP="00954C07">
            <w:pPr>
              <w:rPr>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A001" w14:textId="77777777" w:rsidR="00204905" w:rsidRPr="00BE11D7" w:rsidRDefault="00204905" w:rsidP="00954C07">
            <w:pPr>
              <w:rPr>
                <w:color w:val="000000"/>
              </w:rPr>
            </w:pPr>
            <w:r w:rsidRPr="00BE11D7">
              <w:rPr>
                <w:color w:val="000000"/>
              </w:rPr>
              <w:t>RTCO Calculation</w:t>
            </w:r>
          </w:p>
        </w:tc>
        <w:tc>
          <w:tcPr>
            <w:tcW w:w="1710" w:type="dxa"/>
            <w:tcBorders>
              <w:top w:val="nil"/>
              <w:left w:val="nil"/>
              <w:bottom w:val="single" w:sz="4" w:space="0" w:color="auto"/>
              <w:right w:val="single" w:sz="4" w:space="0" w:color="auto"/>
            </w:tcBorders>
            <w:shd w:val="clear" w:color="auto" w:fill="auto"/>
            <w:noWrap/>
            <w:vAlign w:val="bottom"/>
            <w:hideMark/>
          </w:tcPr>
          <w:p w14:paraId="2D892E24" w14:textId="77777777" w:rsidR="00204905" w:rsidRPr="00875E26" w:rsidRDefault="00204905" w:rsidP="00954C07">
            <w:pPr>
              <w:rPr>
                <w:color w:val="000000"/>
              </w:rPr>
            </w:pPr>
            <w:r w:rsidRPr="00875E26">
              <w:rPr>
                <w:color w:val="000000"/>
              </w:rPr>
              <w:t xml:space="preserve"> $  1,501.00 </w:t>
            </w:r>
          </w:p>
        </w:tc>
        <w:tc>
          <w:tcPr>
            <w:tcW w:w="1710" w:type="dxa"/>
            <w:tcBorders>
              <w:top w:val="nil"/>
              <w:left w:val="nil"/>
              <w:bottom w:val="single" w:sz="4" w:space="0" w:color="auto"/>
              <w:right w:val="single" w:sz="4" w:space="0" w:color="auto"/>
            </w:tcBorders>
            <w:shd w:val="clear" w:color="auto" w:fill="auto"/>
            <w:noWrap/>
            <w:vAlign w:val="bottom"/>
            <w:hideMark/>
          </w:tcPr>
          <w:p w14:paraId="02BBE496" w14:textId="77777777" w:rsidR="00204905" w:rsidRPr="00875E26" w:rsidRDefault="00204905" w:rsidP="00954C07">
            <w:pPr>
              <w:rPr>
                <w:color w:val="000000"/>
              </w:rPr>
            </w:pPr>
            <w:r w:rsidRPr="00875E26">
              <w:rPr>
                <w:color w:val="000000"/>
              </w:rPr>
              <w:t xml:space="preserve"> $                -   </w:t>
            </w:r>
          </w:p>
        </w:tc>
      </w:tr>
      <w:tr w:rsidR="00204905" w:rsidRPr="00875E26" w14:paraId="4E1C6FD9" w14:textId="77777777" w:rsidTr="00954C07">
        <w:trPr>
          <w:trHeight w:val="315"/>
        </w:trPr>
        <w:tc>
          <w:tcPr>
            <w:tcW w:w="2610" w:type="dxa"/>
            <w:vMerge/>
            <w:tcBorders>
              <w:left w:val="single" w:sz="4" w:space="0" w:color="auto"/>
              <w:bottom w:val="double" w:sz="6" w:space="0" w:color="auto"/>
              <w:right w:val="single" w:sz="4" w:space="0" w:color="auto"/>
            </w:tcBorders>
          </w:tcPr>
          <w:p w14:paraId="29982C3A" w14:textId="77777777" w:rsidR="00204905" w:rsidRPr="00BE11D7" w:rsidRDefault="00204905" w:rsidP="00954C07">
            <w:pPr>
              <w:rPr>
                <w:color w:val="000000"/>
              </w:rPr>
            </w:pPr>
          </w:p>
        </w:tc>
        <w:tc>
          <w:tcPr>
            <w:tcW w:w="2610" w:type="dxa"/>
            <w:tcBorders>
              <w:top w:val="nil"/>
              <w:left w:val="single" w:sz="4" w:space="0" w:color="auto"/>
              <w:bottom w:val="double" w:sz="6" w:space="0" w:color="auto"/>
              <w:right w:val="single" w:sz="4" w:space="0" w:color="auto"/>
            </w:tcBorders>
            <w:shd w:val="clear" w:color="auto" w:fill="auto"/>
            <w:noWrap/>
            <w:vAlign w:val="bottom"/>
            <w:hideMark/>
          </w:tcPr>
          <w:p w14:paraId="4DE566FD" w14:textId="77777777" w:rsidR="00204905" w:rsidRPr="00BE11D7" w:rsidRDefault="00204905" w:rsidP="00954C07">
            <w:pPr>
              <w:rPr>
                <w:color w:val="000000"/>
              </w:rPr>
            </w:pPr>
            <w:r w:rsidRPr="00BE11D7">
              <w:rPr>
                <w:color w:val="000000"/>
              </w:rPr>
              <w:t>RTLosses</w:t>
            </w:r>
          </w:p>
        </w:tc>
        <w:tc>
          <w:tcPr>
            <w:tcW w:w="1710" w:type="dxa"/>
            <w:tcBorders>
              <w:top w:val="nil"/>
              <w:left w:val="nil"/>
              <w:bottom w:val="double" w:sz="6" w:space="0" w:color="auto"/>
              <w:right w:val="single" w:sz="4" w:space="0" w:color="auto"/>
            </w:tcBorders>
            <w:shd w:val="clear" w:color="auto" w:fill="auto"/>
            <w:noWrap/>
            <w:vAlign w:val="bottom"/>
            <w:hideMark/>
          </w:tcPr>
          <w:p w14:paraId="74ACE168" w14:textId="77777777" w:rsidR="00204905" w:rsidRPr="00875E26" w:rsidRDefault="00204905" w:rsidP="00954C07">
            <w:pPr>
              <w:jc w:val="right"/>
              <w:rPr>
                <w:color w:val="000000"/>
              </w:rPr>
            </w:pPr>
            <w:r w:rsidRPr="00875E26">
              <w:rPr>
                <w:color w:val="000000"/>
              </w:rPr>
              <w:t>0</w:t>
            </w:r>
          </w:p>
        </w:tc>
        <w:tc>
          <w:tcPr>
            <w:tcW w:w="1710" w:type="dxa"/>
            <w:tcBorders>
              <w:top w:val="nil"/>
              <w:left w:val="nil"/>
              <w:bottom w:val="double" w:sz="6" w:space="0" w:color="auto"/>
              <w:right w:val="single" w:sz="4" w:space="0" w:color="auto"/>
            </w:tcBorders>
            <w:shd w:val="clear" w:color="auto" w:fill="auto"/>
            <w:noWrap/>
            <w:vAlign w:val="bottom"/>
            <w:hideMark/>
          </w:tcPr>
          <w:p w14:paraId="27504965" w14:textId="77777777" w:rsidR="00204905" w:rsidRPr="00875E26" w:rsidRDefault="00204905" w:rsidP="00954C07">
            <w:pPr>
              <w:jc w:val="right"/>
              <w:rPr>
                <w:color w:val="000000"/>
              </w:rPr>
            </w:pPr>
            <w:r w:rsidRPr="00875E26">
              <w:rPr>
                <w:color w:val="000000"/>
              </w:rPr>
              <w:t>0</w:t>
            </w:r>
          </w:p>
        </w:tc>
      </w:tr>
      <w:tr w:rsidR="00204905" w:rsidRPr="00875E26" w14:paraId="710A11FD" w14:textId="77777777" w:rsidTr="00954C07">
        <w:trPr>
          <w:trHeight w:val="330"/>
        </w:trPr>
        <w:tc>
          <w:tcPr>
            <w:tcW w:w="2610" w:type="dxa"/>
            <w:tcBorders>
              <w:top w:val="nil"/>
              <w:left w:val="single" w:sz="4" w:space="0" w:color="auto"/>
              <w:bottom w:val="double" w:sz="6" w:space="0" w:color="auto"/>
              <w:right w:val="single" w:sz="4" w:space="0" w:color="auto"/>
            </w:tcBorders>
          </w:tcPr>
          <w:p w14:paraId="33FBAE9A" w14:textId="77777777" w:rsidR="00204905" w:rsidRPr="00BE11D7" w:rsidRDefault="00204905" w:rsidP="00954C07">
            <w:pPr>
              <w:rPr>
                <w:color w:val="000000"/>
              </w:rPr>
            </w:pPr>
            <w:r>
              <w:rPr>
                <w:color w:val="000000"/>
              </w:rPr>
              <w:t>RTIEO</w:t>
            </w:r>
          </w:p>
        </w:tc>
        <w:tc>
          <w:tcPr>
            <w:tcW w:w="2610" w:type="dxa"/>
            <w:tcBorders>
              <w:top w:val="nil"/>
              <w:left w:val="single" w:sz="4" w:space="0" w:color="auto"/>
              <w:bottom w:val="double" w:sz="6" w:space="0" w:color="auto"/>
              <w:right w:val="single" w:sz="4" w:space="0" w:color="auto"/>
            </w:tcBorders>
            <w:shd w:val="clear" w:color="auto" w:fill="auto"/>
            <w:noWrap/>
            <w:vAlign w:val="bottom"/>
            <w:hideMark/>
          </w:tcPr>
          <w:p w14:paraId="59660A75" w14:textId="77777777" w:rsidR="00204905" w:rsidRPr="00BE11D7" w:rsidRDefault="00204905" w:rsidP="00954C07">
            <w:pPr>
              <w:rPr>
                <w:color w:val="000000"/>
              </w:rPr>
            </w:pPr>
          </w:p>
        </w:tc>
        <w:tc>
          <w:tcPr>
            <w:tcW w:w="1710" w:type="dxa"/>
            <w:tcBorders>
              <w:top w:val="nil"/>
              <w:left w:val="nil"/>
              <w:bottom w:val="double" w:sz="6" w:space="0" w:color="auto"/>
              <w:right w:val="single" w:sz="4" w:space="0" w:color="auto"/>
            </w:tcBorders>
            <w:shd w:val="clear" w:color="auto" w:fill="auto"/>
            <w:noWrap/>
            <w:vAlign w:val="bottom"/>
            <w:hideMark/>
          </w:tcPr>
          <w:p w14:paraId="3AAC1367" w14:textId="77777777" w:rsidR="00204905" w:rsidRPr="00875E26" w:rsidRDefault="00204905" w:rsidP="00954C07">
            <w:pPr>
              <w:rPr>
                <w:color w:val="000000"/>
              </w:rPr>
            </w:pPr>
            <w:r w:rsidRPr="00875E26">
              <w:rPr>
                <w:color w:val="000000"/>
              </w:rPr>
              <w:t xml:space="preserve"> $           -   </w:t>
            </w:r>
          </w:p>
        </w:tc>
        <w:tc>
          <w:tcPr>
            <w:tcW w:w="1710" w:type="dxa"/>
            <w:tcBorders>
              <w:top w:val="nil"/>
              <w:left w:val="nil"/>
              <w:bottom w:val="double" w:sz="6" w:space="0" w:color="auto"/>
              <w:right w:val="single" w:sz="4" w:space="0" w:color="auto"/>
            </w:tcBorders>
            <w:shd w:val="clear" w:color="auto" w:fill="auto"/>
            <w:noWrap/>
            <w:vAlign w:val="bottom"/>
            <w:hideMark/>
          </w:tcPr>
          <w:p w14:paraId="76713BA5" w14:textId="77777777" w:rsidR="00204905" w:rsidRPr="00875E26" w:rsidRDefault="00204905" w:rsidP="00954C07">
            <w:pPr>
              <w:rPr>
                <w:color w:val="000000"/>
              </w:rPr>
            </w:pPr>
            <w:r w:rsidRPr="00875E26">
              <w:rPr>
                <w:color w:val="000000"/>
              </w:rPr>
              <w:t xml:space="preserve"> $                -   </w:t>
            </w:r>
          </w:p>
        </w:tc>
      </w:tr>
    </w:tbl>
    <w:p w14:paraId="2A610A3A" w14:textId="77777777" w:rsidR="00204905" w:rsidRPr="0010630C" w:rsidRDefault="00204905" w:rsidP="00204905">
      <w:pPr>
        <w:rPr>
          <w:color w:val="000000"/>
          <w:sz w:val="18"/>
        </w:rPr>
      </w:pPr>
      <w:r w:rsidRPr="0010630C">
        <w:rPr>
          <w:color w:val="000000"/>
          <w:sz w:val="18"/>
        </w:rPr>
        <w:t>*** EIM Transfer is settled at the System Marginal Energy Costs</w:t>
      </w:r>
    </w:p>
    <w:p w14:paraId="67D21B86" w14:textId="77777777" w:rsidR="00204905" w:rsidRDefault="00204905" w:rsidP="00204905"/>
    <w:p w14:paraId="0276D653" w14:textId="77777777" w:rsidR="00DF02D8" w:rsidRPr="00875E26" w:rsidRDefault="00DF02D8" w:rsidP="00204905"/>
    <w:p w14:paraId="2408DE2F" w14:textId="77777777" w:rsidR="00204905" w:rsidRDefault="00204905" w:rsidP="00204905">
      <w:pPr>
        <w:jc w:val="center"/>
      </w:pPr>
    </w:p>
    <w:p w14:paraId="0340751E" w14:textId="77777777" w:rsidR="00204905" w:rsidRPr="004B5C2B" w:rsidRDefault="00204905" w:rsidP="00204905">
      <w:pPr>
        <w:jc w:val="center"/>
        <w:rPr>
          <w:b/>
        </w:rPr>
      </w:pPr>
      <w:r w:rsidRPr="004B5C2B">
        <w:rPr>
          <w:b/>
        </w:rPr>
        <w:t xml:space="preserve">EIM Transfer Constraint Not Congested/Intertie Scheduling Limit Congested </w:t>
      </w:r>
    </w:p>
    <w:p w14:paraId="5AD9A151" w14:textId="77777777" w:rsidR="00204905" w:rsidRPr="00BE11D7" w:rsidRDefault="00204905" w:rsidP="00204905"/>
    <w:p w14:paraId="6A0E7AB7" w14:textId="77777777" w:rsidR="00204905" w:rsidRPr="00BE11D7" w:rsidRDefault="00204905" w:rsidP="00204905">
      <w:r w:rsidRPr="003F0008">
        <w:rPr>
          <w:noProof/>
        </w:rPr>
        <mc:AlternateContent>
          <mc:Choice Requires="wps">
            <w:drawing>
              <wp:anchor distT="0" distB="0" distL="114300" distR="114300" simplePos="0" relativeHeight="251658245" behindDoc="0" locked="0" layoutInCell="1" allowOverlap="1" wp14:anchorId="0FD54CBD" wp14:editId="04ED9A6C">
                <wp:simplePos x="0" y="0"/>
                <wp:positionH relativeFrom="margin">
                  <wp:align>right</wp:align>
                </wp:positionH>
                <wp:positionV relativeFrom="paragraph">
                  <wp:posOffset>9525</wp:posOffset>
                </wp:positionV>
                <wp:extent cx="2023730" cy="2157573"/>
                <wp:effectExtent l="0" t="0" r="15240" b="14605"/>
                <wp:wrapNone/>
                <wp:docPr id="78" name="Flowchart: Connector 78"/>
                <wp:cNvGraphicFramePr/>
                <a:graphic xmlns:a="http://schemas.openxmlformats.org/drawingml/2006/main">
                  <a:graphicData uri="http://schemas.microsoft.com/office/word/2010/wordprocessingShape">
                    <wps:wsp>
                      <wps:cNvSpPr/>
                      <wps:spPr>
                        <a:xfrm>
                          <a:off x="0" y="0"/>
                          <a:ext cx="2023730" cy="215757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D34E8" w14:textId="77777777" w:rsidR="005C71E4" w:rsidRDefault="005C71E4" w:rsidP="00204905">
                            <w:pPr>
                              <w:jc w:val="center"/>
                            </w:pPr>
                            <w:r>
                              <w:t>EIM1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4CBD" id="Flowchart: Connector 78" o:spid="_x0000_s1100" type="#_x0000_t120" style="position:absolute;margin-left:108.15pt;margin-top:.75pt;width:159.35pt;height:169.9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" fillcolor="#4f81bd [3204]" strokecolor="#243f60 [1604]" strokeweight="2pt">
                <v:textbox>
                  <w:txbxContent>
                    <w:p w14:paraId="3C2D34E8" w14:textId="77777777" w:rsidR="005C71E4" w:rsidRDefault="005C71E4" w:rsidP="00204905">
                      <w:pPr>
                        <w:jc w:val="center"/>
                      </w:pPr>
                      <w:r>
                        <w:t>EIM1</w:t>
                      </w:r>
                    </w:p>
                  </w:txbxContent>
                </v:textbox>
                <w10:wrap anchorx="margin"/>
              </v:shape>
            </w:pict>
          </mc:Fallback>
        </mc:AlternateContent>
      </w:r>
      <w:r w:rsidRPr="00362BE9">
        <w:rPr>
          <w:noProof/>
        </w:rPr>
        <mc:AlternateContent>
          <mc:Choice Requires="wps">
            <w:drawing>
              <wp:anchor distT="0" distB="0" distL="114300" distR="114300" simplePos="0" relativeHeight="251658244" behindDoc="0" locked="0" layoutInCell="1" allowOverlap="1" wp14:anchorId="2A49D7B5" wp14:editId="6DE5169D">
                <wp:simplePos x="0" y="0"/>
                <wp:positionH relativeFrom="margin">
                  <wp:align>left</wp:align>
                </wp:positionH>
                <wp:positionV relativeFrom="paragraph">
                  <wp:posOffset>19949</wp:posOffset>
                </wp:positionV>
                <wp:extent cx="2126750" cy="2137025"/>
                <wp:effectExtent l="0" t="0" r="26035" b="15875"/>
                <wp:wrapNone/>
                <wp:docPr id="79" name="Oval 79"/>
                <wp:cNvGraphicFramePr/>
                <a:graphic xmlns:a="http://schemas.openxmlformats.org/drawingml/2006/main">
                  <a:graphicData uri="http://schemas.microsoft.com/office/word/2010/wordprocessingShape">
                    <wps:wsp>
                      <wps:cNvSpPr/>
                      <wps:spPr>
                        <a:xfrm>
                          <a:off x="0" y="0"/>
                          <a:ext cx="2126750" cy="2137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7FB89" w14:textId="77777777" w:rsidR="005C71E4" w:rsidRDefault="005C71E4" w:rsidP="00204905">
                            <w:pPr>
                              <w:jc w:val="center"/>
                            </w:pPr>
                            <w: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9D7B5" id="Oval 79" o:spid="_x0000_s1101" style="position:absolute;margin-left:0;margin-top:1.55pt;width:167.45pt;height:168.25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" fillcolor="#4f81bd [3204]" strokecolor="#243f60 [1604]" strokeweight="2pt">
                <v:textbox>
                  <w:txbxContent>
                    <w:p w14:paraId="76C7FB89" w14:textId="77777777" w:rsidR="005C71E4" w:rsidRDefault="005C71E4" w:rsidP="00204905">
                      <w:pPr>
                        <w:jc w:val="center"/>
                      </w:pPr>
                      <w:r>
                        <w:t>CISO</w:t>
                      </w:r>
                    </w:p>
                  </w:txbxContent>
                </v:textbox>
                <w10:wrap anchorx="margin"/>
              </v:oval>
            </w:pict>
          </mc:Fallback>
        </mc:AlternateContent>
      </w:r>
    </w:p>
    <w:p w14:paraId="4886AA9A" w14:textId="77777777" w:rsidR="00204905" w:rsidRPr="00BE11D7" w:rsidRDefault="00204905" w:rsidP="00204905"/>
    <w:p w14:paraId="714BB3E7" w14:textId="77777777" w:rsidR="00204905" w:rsidRPr="00BE11D7" w:rsidRDefault="00204905" w:rsidP="00204905"/>
    <w:p w14:paraId="00419C95" w14:textId="77777777" w:rsidR="00204905" w:rsidRPr="00BE11D7" w:rsidRDefault="00204905" w:rsidP="00204905"/>
    <w:p w14:paraId="7020B6C0" w14:textId="77777777" w:rsidR="00204905" w:rsidRPr="00BE11D7" w:rsidRDefault="00204905" w:rsidP="00204905">
      <w:r w:rsidRPr="003F0008">
        <w:rPr>
          <w:noProof/>
        </w:rPr>
        <mc:AlternateContent>
          <mc:Choice Requires="wps">
            <w:drawing>
              <wp:anchor distT="0" distB="0" distL="114300" distR="114300" simplePos="0" relativeHeight="251658246" behindDoc="0" locked="0" layoutInCell="1" allowOverlap="1" wp14:anchorId="08A17967" wp14:editId="35BB1B57">
                <wp:simplePos x="0" y="0"/>
                <wp:positionH relativeFrom="margin">
                  <wp:posOffset>1812897</wp:posOffset>
                </wp:positionH>
                <wp:positionV relativeFrom="paragraph">
                  <wp:posOffset>50385</wp:posOffset>
                </wp:positionV>
                <wp:extent cx="1849334" cy="834887"/>
                <wp:effectExtent l="57150" t="38100" r="74930" b="99060"/>
                <wp:wrapNone/>
                <wp:docPr id="80" name="Left Arrow 80"/>
                <wp:cNvGraphicFramePr/>
                <a:graphic xmlns:a="http://schemas.openxmlformats.org/drawingml/2006/main">
                  <a:graphicData uri="http://schemas.microsoft.com/office/word/2010/wordprocessingShape">
                    <wps:wsp>
                      <wps:cNvSpPr/>
                      <wps:spPr>
                        <a:xfrm>
                          <a:off x="0" y="0"/>
                          <a:ext cx="1849334" cy="834887"/>
                        </a:xfrm>
                        <a:prstGeom prst="leftArrow">
                          <a:avLst/>
                        </a:prstGeom>
                      </wps:spPr>
                      <wps:style>
                        <a:lnRef idx="1">
                          <a:schemeClr val="accent2"/>
                        </a:lnRef>
                        <a:fillRef idx="2">
                          <a:schemeClr val="accent2"/>
                        </a:fillRef>
                        <a:effectRef idx="1">
                          <a:schemeClr val="accent2"/>
                        </a:effectRef>
                        <a:fontRef idx="minor">
                          <a:schemeClr val="dk1"/>
                        </a:fontRef>
                      </wps:style>
                      <wps:txbx>
                        <w:txbxContent>
                          <w:p w14:paraId="1B924DA8" w14:textId="77777777" w:rsidR="005C71E4" w:rsidRPr="00F3574D" w:rsidRDefault="005C71E4" w:rsidP="00204905">
                            <w:pPr>
                              <w:jc w:val="center"/>
                              <w:rPr>
                                <w:sz w:val="20"/>
                              </w:rPr>
                            </w:pPr>
                            <w:r w:rsidRPr="00F3574D">
                              <w:rPr>
                                <w:sz w:val="20"/>
                              </w:rPr>
                              <w:t>EIM Transfer ATC Limit (100 MW)</w:t>
                            </w:r>
                          </w:p>
                          <w:p w14:paraId="56B9E6B1" w14:textId="77777777" w:rsidR="005C71E4" w:rsidRPr="00836232" w:rsidRDefault="005C71E4" w:rsidP="00204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7967" id="Left Arrow 80" o:spid="_x0000_s1102" type="#_x0000_t66" style="position:absolute;margin-left:142.75pt;margin-top:3.95pt;width:145.6pt;height:65.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" adj="4876" fillcolor="#dfa7a6 [1621]" strokecolor="#bc4542 [3045]">
                <v:fill color2="#f5e4e4 [501]" rotate="t" angle="180" colors="0 #ffa2a1;22938f #ffbebd;1 #ffe5e5" focus="100%" type="gradient"/>
                <v:shadow on="t" color="black" opacity="24903f" origin=",.5" offset="0,.55556mm"/>
                <v:textbox>
                  <w:txbxContent>
                    <w:p w14:paraId="1B924DA8" w14:textId="77777777" w:rsidR="005C71E4" w:rsidRPr="00F3574D" w:rsidRDefault="005C71E4" w:rsidP="00204905">
                      <w:pPr>
                        <w:jc w:val="center"/>
                        <w:rPr>
                          <w:sz w:val="20"/>
                        </w:rPr>
                      </w:pPr>
                      <w:r w:rsidRPr="00F3574D">
                        <w:rPr>
                          <w:sz w:val="20"/>
                        </w:rPr>
                        <w:t>EIM Transfer ATC Limit (100 MW)</w:t>
                      </w:r>
                    </w:p>
                    <w:p w14:paraId="56B9E6B1" w14:textId="77777777" w:rsidR="005C71E4" w:rsidRPr="00836232" w:rsidRDefault="005C71E4" w:rsidP="00204905">
                      <w:pPr>
                        <w:jc w:val="center"/>
                      </w:pPr>
                    </w:p>
                  </w:txbxContent>
                </v:textbox>
                <w10:wrap anchorx="margin"/>
              </v:shape>
            </w:pict>
          </mc:Fallback>
        </mc:AlternateContent>
      </w:r>
    </w:p>
    <w:p w14:paraId="320FCD8D" w14:textId="77777777" w:rsidR="00204905" w:rsidRPr="00BE11D7" w:rsidRDefault="00204905" w:rsidP="00204905"/>
    <w:p w14:paraId="234D6E5F" w14:textId="77777777" w:rsidR="00204905" w:rsidRPr="00BE11D7" w:rsidRDefault="00204905" w:rsidP="00204905"/>
    <w:p w14:paraId="6C8FE550" w14:textId="77777777" w:rsidR="00204905" w:rsidRPr="00BE11D7" w:rsidRDefault="00204905" w:rsidP="00204905"/>
    <w:p w14:paraId="675D0DBE" w14:textId="77777777" w:rsidR="00204905" w:rsidRPr="00BE11D7" w:rsidRDefault="00204905" w:rsidP="00204905"/>
    <w:p w14:paraId="77E53093" w14:textId="77777777" w:rsidR="00204905" w:rsidRPr="00BE11D7" w:rsidRDefault="00204905" w:rsidP="00204905"/>
    <w:p w14:paraId="2E856F97" w14:textId="77777777" w:rsidR="00204905" w:rsidRPr="00BE11D7" w:rsidRDefault="00204905" w:rsidP="00204905"/>
    <w:p w14:paraId="5016B4D1" w14:textId="77777777" w:rsidR="00204905" w:rsidRPr="00BE11D7" w:rsidRDefault="00204905" w:rsidP="00204905"/>
    <w:p w14:paraId="1223A246" w14:textId="77777777" w:rsidR="00204905" w:rsidRPr="00BE11D7" w:rsidRDefault="00204905" w:rsidP="00204905"/>
    <w:p w14:paraId="7C1523EE" w14:textId="77777777" w:rsidR="00204905" w:rsidRDefault="00204905" w:rsidP="00204905">
      <w:pPr>
        <w:ind w:firstLine="720"/>
      </w:pPr>
    </w:p>
    <w:p w14:paraId="52104CC2" w14:textId="77777777" w:rsidR="00204905" w:rsidRPr="00875E26" w:rsidRDefault="00204905" w:rsidP="00877DDB">
      <w:pPr>
        <w:pStyle w:val="BPM"/>
      </w:pPr>
      <w:r w:rsidRPr="00875E26">
        <w:lastRenderedPageBreak/>
        <w:t>In the example presented below, the Real Time Market receives Bids from EIM1 Generator and CISO Generator in order to serve EIM1 Load and CISO Load. The Real Time Market Conditions have determined that there is 100 MWs Available Transmission Capacity between EIM1 and CISO with a</w:t>
      </w:r>
      <w:r>
        <w:t>n</w:t>
      </w:r>
      <w:r w:rsidRPr="00875E26">
        <w:t xml:space="preserve"> EIM Transfer Cost of $0.01.  Based upon these conditions, the Real Time Market has dispatched a Generator in the EIM1 Balancing Authority Area (BAA) to serve 50 MWs of EIM1 Load and 100 MWs of CISO Load. The Real Time Market also dispatched a Generator in the CISO BAA to serve an additional 100 MWs of internal Load. Market Conditions has determined that marginal unit is CISO Generator, the EIM Transfer Constraint is </w:t>
      </w:r>
      <w:r>
        <w:t xml:space="preserve">not </w:t>
      </w:r>
      <w:r w:rsidRPr="00875E26">
        <w:t xml:space="preserve">congested, and the Intertie scheduling Limit Constraint is congested.     </w:t>
      </w:r>
    </w:p>
    <w:p w14:paraId="565D8C83" w14:textId="77777777" w:rsidR="00204905" w:rsidRPr="00875E26" w:rsidRDefault="00204905" w:rsidP="00877DDB">
      <w:pPr>
        <w:pStyle w:val="BPM"/>
      </w:pPr>
      <w:r w:rsidRPr="00875E26">
        <w:t xml:space="preserve"> Based upon the above mentioned Market Conditions, Settlement calculations will be as follows:</w:t>
      </w:r>
    </w:p>
    <w:p w14:paraId="5DE455DB" w14:textId="77777777" w:rsidR="00204905" w:rsidRPr="00BE11D7" w:rsidRDefault="00204905" w:rsidP="00204905"/>
    <w:p w14:paraId="1BBE8B5A" w14:textId="77777777" w:rsidR="00204905" w:rsidRPr="00BE11D7" w:rsidRDefault="00204905" w:rsidP="00204905">
      <w:r w:rsidRPr="00BE11D7">
        <w:t>Bids</w:t>
      </w:r>
    </w:p>
    <w:tbl>
      <w:tblPr>
        <w:tblW w:w="8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1739"/>
        <w:gridCol w:w="1739"/>
        <w:gridCol w:w="1713"/>
      </w:tblGrid>
      <w:tr w:rsidR="00204905" w:rsidRPr="00BE11D7" w14:paraId="381BE48B" w14:textId="77777777" w:rsidTr="00954C07">
        <w:trPr>
          <w:trHeight w:val="602"/>
        </w:trPr>
        <w:tc>
          <w:tcPr>
            <w:tcW w:w="1662" w:type="dxa"/>
            <w:shd w:val="clear" w:color="auto" w:fill="auto"/>
            <w:noWrap/>
            <w:vAlign w:val="bottom"/>
            <w:hideMark/>
          </w:tcPr>
          <w:p w14:paraId="77F4B889"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02584C7F" w14:textId="77777777" w:rsidR="00204905" w:rsidRPr="00BE11D7" w:rsidRDefault="00204905" w:rsidP="00954C07">
            <w:pPr>
              <w:jc w:val="center"/>
              <w:rPr>
                <w:color w:val="000000"/>
              </w:rPr>
            </w:pPr>
            <w:r w:rsidRPr="00BE11D7">
              <w:rPr>
                <w:color w:val="000000"/>
              </w:rPr>
              <w:t>Quantity (MW)</w:t>
            </w:r>
          </w:p>
        </w:tc>
        <w:tc>
          <w:tcPr>
            <w:tcW w:w="1739" w:type="dxa"/>
            <w:shd w:val="clear" w:color="auto" w:fill="auto"/>
            <w:vAlign w:val="bottom"/>
            <w:hideMark/>
          </w:tcPr>
          <w:p w14:paraId="107B46D5" w14:textId="77777777" w:rsidR="00204905" w:rsidRPr="00BE11D7" w:rsidRDefault="00204905" w:rsidP="00954C07">
            <w:pPr>
              <w:jc w:val="center"/>
              <w:rPr>
                <w:color w:val="000000"/>
              </w:rPr>
            </w:pPr>
            <w:r w:rsidRPr="00BE11D7">
              <w:rPr>
                <w:color w:val="000000"/>
              </w:rPr>
              <w:t>Energy Bid</w:t>
            </w:r>
            <w:r w:rsidRPr="00BE11D7">
              <w:rPr>
                <w:color w:val="000000"/>
              </w:rPr>
              <w:br/>
              <w:t>Price ($/MW)</w:t>
            </w:r>
          </w:p>
        </w:tc>
        <w:tc>
          <w:tcPr>
            <w:tcW w:w="1739" w:type="dxa"/>
            <w:shd w:val="clear" w:color="auto" w:fill="auto"/>
            <w:vAlign w:val="bottom"/>
            <w:hideMark/>
          </w:tcPr>
          <w:p w14:paraId="645910AD" w14:textId="77777777" w:rsidR="00204905" w:rsidRPr="00BE11D7" w:rsidRDefault="00204905" w:rsidP="00954C07">
            <w:pPr>
              <w:jc w:val="center"/>
              <w:rPr>
                <w:color w:val="000000"/>
              </w:rPr>
            </w:pPr>
            <w:r w:rsidRPr="00BE11D7">
              <w:rPr>
                <w:color w:val="000000"/>
              </w:rPr>
              <w:t>GHG Bid</w:t>
            </w:r>
            <w:r w:rsidRPr="00BE11D7">
              <w:rPr>
                <w:color w:val="000000"/>
              </w:rPr>
              <w:br/>
              <w:t>Price ($/MW)</w:t>
            </w:r>
          </w:p>
        </w:tc>
        <w:tc>
          <w:tcPr>
            <w:tcW w:w="1713" w:type="dxa"/>
            <w:shd w:val="clear" w:color="auto" w:fill="auto"/>
            <w:vAlign w:val="bottom"/>
            <w:hideMark/>
          </w:tcPr>
          <w:p w14:paraId="47E1AFA3" w14:textId="77777777" w:rsidR="00204905" w:rsidRPr="00BE11D7" w:rsidRDefault="00204905" w:rsidP="00954C07">
            <w:pPr>
              <w:jc w:val="center"/>
              <w:rPr>
                <w:color w:val="000000"/>
              </w:rPr>
            </w:pPr>
            <w:r w:rsidRPr="00BE11D7">
              <w:rPr>
                <w:color w:val="000000"/>
              </w:rPr>
              <w:t>All-in Bid</w:t>
            </w:r>
            <w:r w:rsidRPr="00BE11D7">
              <w:rPr>
                <w:color w:val="000000"/>
              </w:rPr>
              <w:br/>
              <w:t>Price ($/MW)</w:t>
            </w:r>
          </w:p>
        </w:tc>
      </w:tr>
      <w:tr w:rsidR="00204905" w:rsidRPr="00BE11D7" w14:paraId="0855C93E" w14:textId="77777777" w:rsidTr="00954C07">
        <w:trPr>
          <w:trHeight w:val="313"/>
        </w:trPr>
        <w:tc>
          <w:tcPr>
            <w:tcW w:w="1662" w:type="dxa"/>
            <w:shd w:val="clear" w:color="auto" w:fill="auto"/>
            <w:noWrap/>
            <w:vAlign w:val="bottom"/>
          </w:tcPr>
          <w:p w14:paraId="211B8AA8" w14:textId="77777777" w:rsidR="00204905" w:rsidRPr="00BE11D7" w:rsidRDefault="00204905" w:rsidP="00954C07">
            <w:pPr>
              <w:rPr>
                <w:color w:val="000000"/>
              </w:rPr>
            </w:pPr>
            <w:r w:rsidRPr="00BE11D7">
              <w:rPr>
                <w:color w:val="000000"/>
              </w:rPr>
              <w:t>EIM1Gen</w:t>
            </w:r>
          </w:p>
        </w:tc>
        <w:tc>
          <w:tcPr>
            <w:tcW w:w="1892" w:type="dxa"/>
            <w:shd w:val="clear" w:color="auto" w:fill="auto"/>
            <w:noWrap/>
            <w:vAlign w:val="bottom"/>
          </w:tcPr>
          <w:p w14:paraId="38A3008F" w14:textId="77777777" w:rsidR="00204905" w:rsidRPr="00BE11D7" w:rsidRDefault="00204905" w:rsidP="00954C07">
            <w:pPr>
              <w:jc w:val="right"/>
              <w:rPr>
                <w:color w:val="000000"/>
              </w:rPr>
            </w:pPr>
            <w:r w:rsidRPr="00BE11D7">
              <w:rPr>
                <w:color w:val="000000"/>
              </w:rPr>
              <w:t>200</w:t>
            </w:r>
          </w:p>
        </w:tc>
        <w:tc>
          <w:tcPr>
            <w:tcW w:w="1739" w:type="dxa"/>
            <w:shd w:val="clear" w:color="auto" w:fill="auto"/>
            <w:noWrap/>
            <w:vAlign w:val="bottom"/>
          </w:tcPr>
          <w:p w14:paraId="60594A42" w14:textId="77777777" w:rsidR="00204905" w:rsidRPr="00BE11D7" w:rsidRDefault="00204905" w:rsidP="00954C07">
            <w:pPr>
              <w:rPr>
                <w:color w:val="000000"/>
              </w:rPr>
            </w:pPr>
            <w:r w:rsidRPr="00BE11D7">
              <w:rPr>
                <w:color w:val="000000"/>
              </w:rPr>
              <w:t xml:space="preserve"> $         35.00 </w:t>
            </w:r>
          </w:p>
        </w:tc>
        <w:tc>
          <w:tcPr>
            <w:tcW w:w="1739" w:type="dxa"/>
            <w:shd w:val="clear" w:color="auto" w:fill="auto"/>
            <w:noWrap/>
            <w:vAlign w:val="bottom"/>
          </w:tcPr>
          <w:p w14:paraId="5C82BDC9" w14:textId="77777777" w:rsidR="00204905" w:rsidRPr="00BE11D7" w:rsidRDefault="00204905" w:rsidP="00954C07">
            <w:pPr>
              <w:rPr>
                <w:color w:val="000000"/>
              </w:rPr>
            </w:pPr>
            <w:r w:rsidRPr="00BE11D7">
              <w:rPr>
                <w:color w:val="000000"/>
              </w:rPr>
              <w:t xml:space="preserve"> $              -   </w:t>
            </w:r>
          </w:p>
        </w:tc>
        <w:tc>
          <w:tcPr>
            <w:tcW w:w="1713" w:type="dxa"/>
            <w:shd w:val="clear" w:color="auto" w:fill="auto"/>
            <w:noWrap/>
            <w:vAlign w:val="bottom"/>
          </w:tcPr>
          <w:p w14:paraId="1EB7B2DF" w14:textId="77777777" w:rsidR="00204905" w:rsidRPr="00BE11D7" w:rsidRDefault="00204905" w:rsidP="00954C07">
            <w:pPr>
              <w:rPr>
                <w:color w:val="000000"/>
              </w:rPr>
            </w:pPr>
            <w:r w:rsidRPr="00BE11D7">
              <w:rPr>
                <w:color w:val="000000"/>
              </w:rPr>
              <w:t xml:space="preserve"> $         50.00 </w:t>
            </w:r>
          </w:p>
        </w:tc>
      </w:tr>
      <w:tr w:rsidR="00204905" w:rsidRPr="00BE11D7" w14:paraId="42D9ADFF" w14:textId="77777777" w:rsidTr="00954C07">
        <w:trPr>
          <w:trHeight w:val="313"/>
        </w:trPr>
        <w:tc>
          <w:tcPr>
            <w:tcW w:w="1662" w:type="dxa"/>
            <w:shd w:val="clear" w:color="auto" w:fill="auto"/>
            <w:noWrap/>
            <w:vAlign w:val="bottom"/>
          </w:tcPr>
          <w:p w14:paraId="5E15F3CA" w14:textId="77777777" w:rsidR="00204905" w:rsidRPr="00BE11D7" w:rsidRDefault="00204905" w:rsidP="00954C07">
            <w:pPr>
              <w:rPr>
                <w:color w:val="000000"/>
              </w:rPr>
            </w:pPr>
            <w:r w:rsidRPr="00BE11D7">
              <w:rPr>
                <w:color w:val="000000"/>
              </w:rPr>
              <w:t>CISOGen</w:t>
            </w:r>
          </w:p>
        </w:tc>
        <w:tc>
          <w:tcPr>
            <w:tcW w:w="1892" w:type="dxa"/>
            <w:shd w:val="clear" w:color="auto" w:fill="auto"/>
            <w:noWrap/>
            <w:vAlign w:val="bottom"/>
          </w:tcPr>
          <w:p w14:paraId="0B3662EE" w14:textId="77777777" w:rsidR="00204905" w:rsidRPr="00BE11D7" w:rsidRDefault="00204905" w:rsidP="00954C07">
            <w:pPr>
              <w:jc w:val="right"/>
              <w:rPr>
                <w:color w:val="000000"/>
              </w:rPr>
            </w:pPr>
            <w:r w:rsidRPr="00BE11D7">
              <w:rPr>
                <w:color w:val="000000"/>
              </w:rPr>
              <w:t>300</w:t>
            </w:r>
          </w:p>
        </w:tc>
        <w:tc>
          <w:tcPr>
            <w:tcW w:w="1739" w:type="dxa"/>
            <w:shd w:val="clear" w:color="auto" w:fill="auto"/>
            <w:noWrap/>
            <w:vAlign w:val="bottom"/>
          </w:tcPr>
          <w:p w14:paraId="407DF012" w14:textId="77777777" w:rsidR="00204905" w:rsidRPr="00BE11D7" w:rsidRDefault="00204905" w:rsidP="00954C07">
            <w:pPr>
              <w:rPr>
                <w:color w:val="000000"/>
              </w:rPr>
            </w:pPr>
            <w:r w:rsidRPr="00BE11D7">
              <w:rPr>
                <w:color w:val="000000"/>
              </w:rPr>
              <w:t xml:space="preserve"> $         50.00 </w:t>
            </w:r>
          </w:p>
        </w:tc>
        <w:tc>
          <w:tcPr>
            <w:tcW w:w="1739" w:type="dxa"/>
            <w:shd w:val="clear" w:color="auto" w:fill="auto"/>
            <w:noWrap/>
            <w:vAlign w:val="bottom"/>
          </w:tcPr>
          <w:p w14:paraId="3A6FB170" w14:textId="77777777" w:rsidR="00204905" w:rsidRPr="00BE11D7" w:rsidRDefault="00204905" w:rsidP="00954C07">
            <w:pPr>
              <w:rPr>
                <w:color w:val="000000"/>
              </w:rPr>
            </w:pPr>
            <w:r w:rsidRPr="00BE11D7">
              <w:rPr>
                <w:color w:val="000000"/>
              </w:rPr>
              <w:t xml:space="preserve"> $              -   </w:t>
            </w:r>
          </w:p>
        </w:tc>
        <w:tc>
          <w:tcPr>
            <w:tcW w:w="1713" w:type="dxa"/>
            <w:shd w:val="clear" w:color="auto" w:fill="auto"/>
            <w:noWrap/>
            <w:vAlign w:val="bottom"/>
          </w:tcPr>
          <w:p w14:paraId="69F6F9CA" w14:textId="77777777" w:rsidR="00204905" w:rsidRPr="00BE11D7" w:rsidRDefault="00204905" w:rsidP="00954C07">
            <w:pPr>
              <w:rPr>
                <w:color w:val="000000"/>
              </w:rPr>
            </w:pPr>
            <w:r w:rsidRPr="00BE11D7">
              <w:rPr>
                <w:color w:val="000000"/>
              </w:rPr>
              <w:t xml:space="preserve"> $         50.00 </w:t>
            </w:r>
          </w:p>
        </w:tc>
      </w:tr>
    </w:tbl>
    <w:p w14:paraId="33F4F3E4" w14:textId="77777777" w:rsidR="00204905" w:rsidRPr="00BE11D7" w:rsidRDefault="00204905" w:rsidP="00204905"/>
    <w:p w14:paraId="573D4D04" w14:textId="77777777" w:rsidR="00204905" w:rsidRPr="00BE11D7" w:rsidRDefault="00204905" w:rsidP="00204905">
      <w:r w:rsidRPr="00BE11D7">
        <w:t>Load Forecast</w:t>
      </w:r>
    </w:p>
    <w:tbl>
      <w:tblPr>
        <w:tblW w:w="3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tblGrid>
      <w:tr w:rsidR="00204905" w:rsidRPr="00BE11D7" w14:paraId="0ACBF198" w14:textId="77777777" w:rsidTr="00954C07">
        <w:trPr>
          <w:trHeight w:val="341"/>
        </w:trPr>
        <w:tc>
          <w:tcPr>
            <w:tcW w:w="1662" w:type="dxa"/>
            <w:shd w:val="clear" w:color="auto" w:fill="auto"/>
            <w:noWrap/>
            <w:vAlign w:val="bottom"/>
            <w:hideMark/>
          </w:tcPr>
          <w:p w14:paraId="65C06E77"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225AA72B" w14:textId="77777777" w:rsidR="00204905" w:rsidRPr="00BE11D7" w:rsidRDefault="00204905" w:rsidP="00954C07">
            <w:pPr>
              <w:jc w:val="center"/>
              <w:rPr>
                <w:color w:val="000000"/>
              </w:rPr>
            </w:pPr>
            <w:r w:rsidRPr="00BE11D7">
              <w:rPr>
                <w:color w:val="000000"/>
              </w:rPr>
              <w:t>Quantity (MW)</w:t>
            </w:r>
          </w:p>
        </w:tc>
      </w:tr>
      <w:tr w:rsidR="00204905" w:rsidRPr="00BE11D7" w14:paraId="3996DEBA" w14:textId="77777777" w:rsidTr="00954C07">
        <w:trPr>
          <w:trHeight w:val="313"/>
        </w:trPr>
        <w:tc>
          <w:tcPr>
            <w:tcW w:w="1662" w:type="dxa"/>
            <w:shd w:val="clear" w:color="auto" w:fill="auto"/>
            <w:noWrap/>
            <w:vAlign w:val="bottom"/>
          </w:tcPr>
          <w:p w14:paraId="4D0006F2" w14:textId="77777777" w:rsidR="00204905" w:rsidRPr="00BE11D7" w:rsidRDefault="00204905" w:rsidP="00954C07">
            <w:pPr>
              <w:rPr>
                <w:color w:val="000000"/>
              </w:rPr>
            </w:pPr>
            <w:r w:rsidRPr="00BE11D7">
              <w:rPr>
                <w:color w:val="000000"/>
              </w:rPr>
              <w:t>EIM1Load</w:t>
            </w:r>
          </w:p>
        </w:tc>
        <w:tc>
          <w:tcPr>
            <w:tcW w:w="1892" w:type="dxa"/>
            <w:shd w:val="clear" w:color="auto" w:fill="auto"/>
            <w:noWrap/>
            <w:vAlign w:val="bottom"/>
          </w:tcPr>
          <w:p w14:paraId="15174AA2" w14:textId="77777777" w:rsidR="00204905" w:rsidRPr="00BE11D7" w:rsidRDefault="00204905" w:rsidP="00954C07">
            <w:pPr>
              <w:jc w:val="right"/>
              <w:rPr>
                <w:color w:val="000000"/>
              </w:rPr>
            </w:pPr>
            <w:r w:rsidRPr="00BE11D7">
              <w:rPr>
                <w:color w:val="000000"/>
              </w:rPr>
              <w:t>50</w:t>
            </w:r>
          </w:p>
        </w:tc>
      </w:tr>
      <w:tr w:rsidR="00204905" w:rsidRPr="00BE11D7" w14:paraId="45072FCE" w14:textId="77777777" w:rsidTr="00954C07">
        <w:trPr>
          <w:trHeight w:val="313"/>
        </w:trPr>
        <w:tc>
          <w:tcPr>
            <w:tcW w:w="1662" w:type="dxa"/>
            <w:shd w:val="clear" w:color="auto" w:fill="auto"/>
            <w:noWrap/>
            <w:vAlign w:val="bottom"/>
          </w:tcPr>
          <w:p w14:paraId="6BEB500C" w14:textId="77777777" w:rsidR="00204905" w:rsidRPr="00BE11D7" w:rsidRDefault="00204905" w:rsidP="00954C07">
            <w:pPr>
              <w:rPr>
                <w:color w:val="000000"/>
              </w:rPr>
            </w:pPr>
            <w:r w:rsidRPr="00BE11D7">
              <w:rPr>
                <w:color w:val="000000"/>
              </w:rPr>
              <w:t>CISOLoad</w:t>
            </w:r>
          </w:p>
        </w:tc>
        <w:tc>
          <w:tcPr>
            <w:tcW w:w="1892" w:type="dxa"/>
            <w:shd w:val="clear" w:color="auto" w:fill="auto"/>
            <w:noWrap/>
            <w:vAlign w:val="bottom"/>
          </w:tcPr>
          <w:p w14:paraId="3D6ACB54" w14:textId="77777777" w:rsidR="00204905" w:rsidRPr="00BE11D7" w:rsidRDefault="00204905" w:rsidP="00954C07">
            <w:pPr>
              <w:jc w:val="right"/>
              <w:rPr>
                <w:color w:val="000000"/>
              </w:rPr>
            </w:pPr>
            <w:r w:rsidRPr="00BE11D7">
              <w:rPr>
                <w:color w:val="000000"/>
              </w:rPr>
              <w:t>200</w:t>
            </w:r>
          </w:p>
        </w:tc>
      </w:tr>
    </w:tbl>
    <w:p w14:paraId="3FC1C6F4" w14:textId="77777777" w:rsidR="00204905" w:rsidRPr="00BE11D7" w:rsidRDefault="00204905" w:rsidP="00204905"/>
    <w:p w14:paraId="07FA65AC" w14:textId="77777777" w:rsidR="00204905" w:rsidRPr="00BE11D7" w:rsidRDefault="00204905" w:rsidP="00204905">
      <w:r w:rsidRPr="00BE11D7">
        <w:t>Market Dispatch (RTD)</w:t>
      </w: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2026"/>
      </w:tblGrid>
      <w:tr w:rsidR="00204905" w:rsidRPr="00BE11D7" w14:paraId="40C4190F" w14:textId="77777777" w:rsidTr="00954C07">
        <w:trPr>
          <w:trHeight w:val="368"/>
        </w:trPr>
        <w:tc>
          <w:tcPr>
            <w:tcW w:w="1662" w:type="dxa"/>
            <w:shd w:val="clear" w:color="auto" w:fill="auto"/>
            <w:noWrap/>
            <w:vAlign w:val="bottom"/>
            <w:hideMark/>
          </w:tcPr>
          <w:p w14:paraId="2C1B2198"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27E4A135" w14:textId="77777777" w:rsidR="00204905" w:rsidRPr="00BE11D7" w:rsidRDefault="00204905" w:rsidP="00954C07">
            <w:pPr>
              <w:jc w:val="center"/>
              <w:rPr>
                <w:color w:val="000000"/>
              </w:rPr>
            </w:pPr>
            <w:r w:rsidRPr="00BE11D7">
              <w:rPr>
                <w:color w:val="000000"/>
              </w:rPr>
              <w:t>Quantity (MW)</w:t>
            </w:r>
          </w:p>
        </w:tc>
        <w:tc>
          <w:tcPr>
            <w:tcW w:w="2026" w:type="dxa"/>
            <w:shd w:val="clear" w:color="auto" w:fill="auto"/>
            <w:vAlign w:val="bottom"/>
            <w:hideMark/>
          </w:tcPr>
          <w:p w14:paraId="090931B1" w14:textId="77777777" w:rsidR="00204905" w:rsidRPr="00BE11D7" w:rsidRDefault="00204905" w:rsidP="00954C07">
            <w:pPr>
              <w:jc w:val="center"/>
              <w:rPr>
                <w:color w:val="000000"/>
              </w:rPr>
            </w:pPr>
            <w:r w:rsidRPr="00BE11D7">
              <w:rPr>
                <w:color w:val="000000"/>
              </w:rPr>
              <w:t>LMP</w:t>
            </w:r>
          </w:p>
        </w:tc>
      </w:tr>
      <w:tr w:rsidR="00204905" w:rsidRPr="00BE11D7" w14:paraId="14C52E33" w14:textId="77777777" w:rsidTr="00954C07">
        <w:trPr>
          <w:trHeight w:val="313"/>
        </w:trPr>
        <w:tc>
          <w:tcPr>
            <w:tcW w:w="1662" w:type="dxa"/>
            <w:shd w:val="clear" w:color="auto" w:fill="auto"/>
            <w:noWrap/>
            <w:vAlign w:val="bottom"/>
            <w:hideMark/>
          </w:tcPr>
          <w:p w14:paraId="3E023269" w14:textId="77777777" w:rsidR="00204905" w:rsidRPr="00BE11D7" w:rsidRDefault="00204905" w:rsidP="00954C07">
            <w:pPr>
              <w:rPr>
                <w:color w:val="000000"/>
              </w:rPr>
            </w:pPr>
            <w:r w:rsidRPr="00BE11D7">
              <w:rPr>
                <w:color w:val="000000"/>
              </w:rPr>
              <w:t>EIM1Gen</w:t>
            </w:r>
          </w:p>
        </w:tc>
        <w:tc>
          <w:tcPr>
            <w:tcW w:w="1892" w:type="dxa"/>
            <w:shd w:val="clear" w:color="auto" w:fill="auto"/>
            <w:noWrap/>
            <w:vAlign w:val="bottom"/>
            <w:hideMark/>
          </w:tcPr>
          <w:p w14:paraId="7554B770" w14:textId="77777777" w:rsidR="00204905" w:rsidRPr="00BE11D7" w:rsidRDefault="00204905" w:rsidP="00954C07">
            <w:pPr>
              <w:jc w:val="right"/>
              <w:rPr>
                <w:color w:val="000000"/>
              </w:rPr>
            </w:pPr>
            <w:r w:rsidRPr="00BE11D7">
              <w:rPr>
                <w:color w:val="000000"/>
              </w:rPr>
              <w:t>150</w:t>
            </w:r>
          </w:p>
        </w:tc>
        <w:tc>
          <w:tcPr>
            <w:tcW w:w="2026" w:type="dxa"/>
            <w:shd w:val="clear" w:color="auto" w:fill="auto"/>
            <w:noWrap/>
            <w:vAlign w:val="bottom"/>
            <w:hideMark/>
          </w:tcPr>
          <w:p w14:paraId="4E0E46F6" w14:textId="77777777" w:rsidR="00204905" w:rsidRPr="00BE11D7" w:rsidRDefault="00204905" w:rsidP="00954C07">
            <w:pPr>
              <w:rPr>
                <w:color w:val="000000"/>
              </w:rPr>
            </w:pPr>
            <w:r w:rsidRPr="00BE11D7">
              <w:rPr>
                <w:color w:val="000000"/>
              </w:rPr>
              <w:t xml:space="preserve"> $              34.99   </w:t>
            </w:r>
          </w:p>
        </w:tc>
      </w:tr>
      <w:tr w:rsidR="00204905" w:rsidRPr="00BE11D7" w14:paraId="3BC7D61E" w14:textId="77777777" w:rsidTr="00954C07">
        <w:trPr>
          <w:trHeight w:val="313"/>
        </w:trPr>
        <w:tc>
          <w:tcPr>
            <w:tcW w:w="1662" w:type="dxa"/>
            <w:shd w:val="clear" w:color="auto" w:fill="auto"/>
            <w:noWrap/>
            <w:vAlign w:val="bottom"/>
          </w:tcPr>
          <w:p w14:paraId="6B8A2468" w14:textId="77777777" w:rsidR="00204905" w:rsidRPr="00BE11D7" w:rsidRDefault="00204905" w:rsidP="00954C07">
            <w:pPr>
              <w:rPr>
                <w:color w:val="000000"/>
              </w:rPr>
            </w:pPr>
            <w:r w:rsidRPr="00BE11D7">
              <w:rPr>
                <w:color w:val="000000"/>
              </w:rPr>
              <w:t>CISOGen</w:t>
            </w:r>
          </w:p>
        </w:tc>
        <w:tc>
          <w:tcPr>
            <w:tcW w:w="1892" w:type="dxa"/>
            <w:shd w:val="clear" w:color="auto" w:fill="auto"/>
            <w:noWrap/>
            <w:vAlign w:val="bottom"/>
          </w:tcPr>
          <w:p w14:paraId="2DA3875E" w14:textId="77777777" w:rsidR="00204905" w:rsidRPr="00BE11D7" w:rsidRDefault="00204905" w:rsidP="00954C07">
            <w:pPr>
              <w:jc w:val="right"/>
              <w:rPr>
                <w:color w:val="000000"/>
              </w:rPr>
            </w:pPr>
            <w:r w:rsidRPr="00BE11D7">
              <w:rPr>
                <w:color w:val="000000"/>
              </w:rPr>
              <w:t>100</w:t>
            </w:r>
          </w:p>
        </w:tc>
        <w:tc>
          <w:tcPr>
            <w:tcW w:w="2026" w:type="dxa"/>
            <w:shd w:val="clear" w:color="auto" w:fill="auto"/>
            <w:noWrap/>
            <w:vAlign w:val="bottom"/>
          </w:tcPr>
          <w:p w14:paraId="758CF60A" w14:textId="77777777" w:rsidR="00204905" w:rsidRPr="00BE11D7" w:rsidRDefault="00204905" w:rsidP="00954C07">
            <w:pPr>
              <w:rPr>
                <w:color w:val="000000"/>
              </w:rPr>
            </w:pPr>
            <w:r w:rsidRPr="00BE11D7">
              <w:rPr>
                <w:color w:val="000000"/>
              </w:rPr>
              <w:t xml:space="preserve"> $              50.00  </w:t>
            </w:r>
          </w:p>
        </w:tc>
      </w:tr>
    </w:tbl>
    <w:p w14:paraId="7C6E19BB" w14:textId="77777777" w:rsidR="00204905" w:rsidRDefault="00204905" w:rsidP="00204905"/>
    <w:p w14:paraId="26DE1D29" w14:textId="77777777" w:rsidR="00204905" w:rsidRDefault="00204905" w:rsidP="00204905"/>
    <w:p w14:paraId="32117C0C" w14:textId="77777777" w:rsidR="00204905" w:rsidRDefault="00204905" w:rsidP="00204905"/>
    <w:p w14:paraId="63D09D24" w14:textId="77777777" w:rsidR="00204905" w:rsidRDefault="00204905" w:rsidP="00204905"/>
    <w:p w14:paraId="5529648A" w14:textId="77777777" w:rsidR="00204905" w:rsidRPr="00BE11D7" w:rsidRDefault="00204905" w:rsidP="00204905"/>
    <w:p w14:paraId="3002E2A4" w14:textId="77777777" w:rsidR="00204905" w:rsidRPr="00BE11D7" w:rsidRDefault="00204905" w:rsidP="00204905">
      <w:r w:rsidRPr="00BE11D7">
        <w:t>Location Marginal Pricing (RTD)</w:t>
      </w: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0"/>
        <w:gridCol w:w="1360"/>
        <w:gridCol w:w="1360"/>
        <w:gridCol w:w="1340"/>
        <w:gridCol w:w="1260"/>
      </w:tblGrid>
      <w:tr w:rsidR="00204905" w:rsidRPr="00BE11D7" w14:paraId="328F2CEE" w14:textId="77777777" w:rsidTr="00954C07">
        <w:trPr>
          <w:trHeight w:val="464"/>
        </w:trPr>
        <w:tc>
          <w:tcPr>
            <w:tcW w:w="1440" w:type="dxa"/>
            <w:shd w:val="clear" w:color="auto" w:fill="auto"/>
            <w:noWrap/>
            <w:vAlign w:val="bottom"/>
            <w:hideMark/>
          </w:tcPr>
          <w:p w14:paraId="79BD859E" w14:textId="77777777" w:rsidR="00204905" w:rsidRPr="00BE11D7" w:rsidRDefault="00204905" w:rsidP="00954C07">
            <w:pPr>
              <w:rPr>
                <w:color w:val="000000"/>
              </w:rPr>
            </w:pPr>
            <w:r w:rsidRPr="00BE11D7">
              <w:rPr>
                <w:color w:val="000000"/>
              </w:rPr>
              <w:t>Location</w:t>
            </w:r>
          </w:p>
        </w:tc>
        <w:tc>
          <w:tcPr>
            <w:tcW w:w="1340" w:type="dxa"/>
            <w:shd w:val="clear" w:color="auto" w:fill="auto"/>
            <w:noWrap/>
            <w:vAlign w:val="bottom"/>
            <w:hideMark/>
          </w:tcPr>
          <w:p w14:paraId="76BBE8A5" w14:textId="77777777" w:rsidR="00204905" w:rsidRPr="00BE11D7" w:rsidRDefault="00204905" w:rsidP="00954C07">
            <w:pPr>
              <w:rPr>
                <w:color w:val="000000"/>
              </w:rPr>
            </w:pPr>
            <w:r w:rsidRPr="00BE11D7">
              <w:rPr>
                <w:color w:val="000000"/>
              </w:rPr>
              <w:t>Energy</w:t>
            </w:r>
          </w:p>
        </w:tc>
        <w:tc>
          <w:tcPr>
            <w:tcW w:w="1360" w:type="dxa"/>
            <w:shd w:val="clear" w:color="auto" w:fill="auto"/>
            <w:noWrap/>
            <w:vAlign w:val="bottom"/>
            <w:hideMark/>
          </w:tcPr>
          <w:p w14:paraId="21D8F1A9" w14:textId="77777777" w:rsidR="00204905" w:rsidRPr="00BE11D7" w:rsidRDefault="00204905" w:rsidP="00954C07">
            <w:pPr>
              <w:rPr>
                <w:color w:val="000000"/>
              </w:rPr>
            </w:pPr>
            <w:r w:rsidRPr="00BE11D7">
              <w:rPr>
                <w:color w:val="000000"/>
              </w:rPr>
              <w:t>Congestion*</w:t>
            </w:r>
          </w:p>
        </w:tc>
        <w:tc>
          <w:tcPr>
            <w:tcW w:w="1360" w:type="dxa"/>
            <w:shd w:val="clear" w:color="auto" w:fill="auto"/>
            <w:noWrap/>
            <w:vAlign w:val="bottom"/>
            <w:hideMark/>
          </w:tcPr>
          <w:p w14:paraId="1ABBB3A4" w14:textId="77777777" w:rsidR="00204905" w:rsidRPr="00BE11D7" w:rsidRDefault="00204905" w:rsidP="00954C07">
            <w:pPr>
              <w:rPr>
                <w:color w:val="000000"/>
              </w:rPr>
            </w:pPr>
            <w:r w:rsidRPr="00BE11D7">
              <w:rPr>
                <w:color w:val="000000"/>
              </w:rPr>
              <w:t>Losses</w:t>
            </w:r>
          </w:p>
        </w:tc>
        <w:tc>
          <w:tcPr>
            <w:tcW w:w="1340" w:type="dxa"/>
            <w:shd w:val="clear" w:color="auto" w:fill="auto"/>
            <w:noWrap/>
            <w:vAlign w:val="bottom"/>
            <w:hideMark/>
          </w:tcPr>
          <w:p w14:paraId="2DE76CDA" w14:textId="77777777" w:rsidR="00204905" w:rsidRPr="00BE11D7" w:rsidRDefault="00204905" w:rsidP="00954C07">
            <w:pPr>
              <w:rPr>
                <w:color w:val="000000"/>
              </w:rPr>
            </w:pPr>
            <w:r w:rsidRPr="00BE11D7">
              <w:rPr>
                <w:color w:val="000000"/>
              </w:rPr>
              <w:t>GHG</w:t>
            </w:r>
          </w:p>
        </w:tc>
        <w:tc>
          <w:tcPr>
            <w:tcW w:w="1260" w:type="dxa"/>
            <w:shd w:val="clear" w:color="auto" w:fill="auto"/>
            <w:noWrap/>
            <w:vAlign w:val="bottom"/>
            <w:hideMark/>
          </w:tcPr>
          <w:p w14:paraId="2247AB9B" w14:textId="77777777" w:rsidR="00204905" w:rsidRPr="00BE11D7" w:rsidRDefault="00204905" w:rsidP="00954C07">
            <w:pPr>
              <w:rPr>
                <w:color w:val="000000"/>
              </w:rPr>
            </w:pPr>
            <w:r w:rsidRPr="00BE11D7">
              <w:rPr>
                <w:color w:val="000000"/>
              </w:rPr>
              <w:t>Price</w:t>
            </w:r>
          </w:p>
        </w:tc>
      </w:tr>
      <w:tr w:rsidR="00204905" w:rsidRPr="00BE11D7" w14:paraId="036308E9" w14:textId="77777777" w:rsidTr="00954C07">
        <w:trPr>
          <w:trHeight w:val="464"/>
        </w:trPr>
        <w:tc>
          <w:tcPr>
            <w:tcW w:w="1440" w:type="dxa"/>
            <w:shd w:val="clear" w:color="auto" w:fill="auto"/>
            <w:noWrap/>
            <w:vAlign w:val="bottom"/>
            <w:hideMark/>
          </w:tcPr>
          <w:p w14:paraId="39BB7536" w14:textId="77777777" w:rsidR="00204905" w:rsidRPr="00BE11D7" w:rsidRDefault="00204905" w:rsidP="00954C07">
            <w:pPr>
              <w:rPr>
                <w:color w:val="000000"/>
              </w:rPr>
            </w:pPr>
            <w:r w:rsidRPr="00BE11D7">
              <w:rPr>
                <w:color w:val="000000"/>
              </w:rPr>
              <w:t>EIM1Gen</w:t>
            </w:r>
          </w:p>
        </w:tc>
        <w:tc>
          <w:tcPr>
            <w:tcW w:w="1340" w:type="dxa"/>
            <w:shd w:val="clear" w:color="auto" w:fill="auto"/>
            <w:noWrap/>
            <w:vAlign w:val="bottom"/>
            <w:hideMark/>
          </w:tcPr>
          <w:p w14:paraId="678C6EC8" w14:textId="77777777" w:rsidR="00204905" w:rsidRPr="00BE11D7" w:rsidRDefault="00204905" w:rsidP="00954C07">
            <w:pPr>
              <w:jc w:val="right"/>
              <w:rPr>
                <w:color w:val="000000"/>
              </w:rPr>
            </w:pPr>
            <w:r w:rsidRPr="00BE11D7">
              <w:rPr>
                <w:color w:val="000000"/>
              </w:rPr>
              <w:t>50</w:t>
            </w:r>
          </w:p>
        </w:tc>
        <w:tc>
          <w:tcPr>
            <w:tcW w:w="1360" w:type="dxa"/>
            <w:shd w:val="clear" w:color="auto" w:fill="auto"/>
            <w:noWrap/>
            <w:vAlign w:val="bottom"/>
            <w:hideMark/>
          </w:tcPr>
          <w:p w14:paraId="1182EA84" w14:textId="77777777" w:rsidR="00204905" w:rsidRPr="00BE11D7" w:rsidRDefault="00204905" w:rsidP="00954C07">
            <w:pPr>
              <w:jc w:val="right"/>
              <w:rPr>
                <w:color w:val="000000"/>
              </w:rPr>
            </w:pPr>
            <w:r w:rsidRPr="00BE11D7">
              <w:rPr>
                <w:color w:val="000000"/>
              </w:rPr>
              <w:t xml:space="preserve">      (15.01)</w:t>
            </w:r>
          </w:p>
        </w:tc>
        <w:tc>
          <w:tcPr>
            <w:tcW w:w="1360" w:type="dxa"/>
            <w:shd w:val="clear" w:color="auto" w:fill="auto"/>
            <w:noWrap/>
            <w:vAlign w:val="bottom"/>
            <w:hideMark/>
          </w:tcPr>
          <w:p w14:paraId="666B8718"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462A85F3"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68619A22" w14:textId="77777777" w:rsidR="00204905" w:rsidRPr="00BE11D7" w:rsidRDefault="00204905" w:rsidP="00954C07">
            <w:pPr>
              <w:jc w:val="right"/>
              <w:rPr>
                <w:color w:val="000000"/>
              </w:rPr>
            </w:pPr>
            <w:r w:rsidRPr="00BE11D7">
              <w:rPr>
                <w:color w:val="000000"/>
              </w:rPr>
              <w:t xml:space="preserve">       34.99 </w:t>
            </w:r>
          </w:p>
        </w:tc>
      </w:tr>
      <w:tr w:rsidR="00204905" w:rsidRPr="00BE11D7" w14:paraId="42F900BF" w14:textId="77777777" w:rsidTr="00954C07">
        <w:trPr>
          <w:trHeight w:val="464"/>
        </w:trPr>
        <w:tc>
          <w:tcPr>
            <w:tcW w:w="1440" w:type="dxa"/>
            <w:shd w:val="clear" w:color="auto" w:fill="auto"/>
            <w:noWrap/>
            <w:vAlign w:val="bottom"/>
            <w:hideMark/>
          </w:tcPr>
          <w:p w14:paraId="09597E1B" w14:textId="77777777" w:rsidR="00204905" w:rsidRPr="00BE11D7" w:rsidRDefault="00204905" w:rsidP="00954C07">
            <w:pPr>
              <w:rPr>
                <w:color w:val="000000"/>
              </w:rPr>
            </w:pPr>
            <w:r w:rsidRPr="00BE11D7">
              <w:rPr>
                <w:color w:val="000000"/>
              </w:rPr>
              <w:t>CISOGen</w:t>
            </w:r>
          </w:p>
        </w:tc>
        <w:tc>
          <w:tcPr>
            <w:tcW w:w="1340" w:type="dxa"/>
            <w:shd w:val="clear" w:color="auto" w:fill="auto"/>
            <w:noWrap/>
            <w:vAlign w:val="bottom"/>
            <w:hideMark/>
          </w:tcPr>
          <w:p w14:paraId="494792C5"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59D67BE9" w14:textId="77777777" w:rsidR="00204905" w:rsidRPr="00BE11D7" w:rsidRDefault="00204905" w:rsidP="00954C07">
            <w:pPr>
              <w:jc w:val="right"/>
              <w:rPr>
                <w:color w:val="000000"/>
              </w:rPr>
            </w:pPr>
            <w:r w:rsidRPr="00BE11D7">
              <w:rPr>
                <w:color w:val="000000"/>
              </w:rPr>
              <w:t xml:space="preserve">                 -   </w:t>
            </w:r>
          </w:p>
        </w:tc>
        <w:tc>
          <w:tcPr>
            <w:tcW w:w="1360" w:type="dxa"/>
            <w:shd w:val="clear" w:color="auto" w:fill="auto"/>
            <w:noWrap/>
            <w:vAlign w:val="bottom"/>
            <w:hideMark/>
          </w:tcPr>
          <w:p w14:paraId="145C8C83"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3D874286"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090FECB8" w14:textId="77777777" w:rsidR="00204905" w:rsidRPr="00BE11D7" w:rsidRDefault="00204905" w:rsidP="00954C07">
            <w:pPr>
              <w:jc w:val="right"/>
              <w:rPr>
                <w:color w:val="000000"/>
              </w:rPr>
            </w:pPr>
            <w:r w:rsidRPr="00BE11D7">
              <w:rPr>
                <w:color w:val="000000"/>
              </w:rPr>
              <w:t xml:space="preserve"> 50 </w:t>
            </w:r>
          </w:p>
        </w:tc>
      </w:tr>
      <w:tr w:rsidR="00204905" w:rsidRPr="00BE11D7" w14:paraId="52CB7CBF" w14:textId="77777777" w:rsidTr="00954C07">
        <w:trPr>
          <w:trHeight w:val="464"/>
        </w:trPr>
        <w:tc>
          <w:tcPr>
            <w:tcW w:w="1440" w:type="dxa"/>
            <w:shd w:val="clear" w:color="auto" w:fill="auto"/>
            <w:noWrap/>
            <w:vAlign w:val="bottom"/>
            <w:hideMark/>
          </w:tcPr>
          <w:p w14:paraId="659E782D" w14:textId="77777777" w:rsidR="00204905" w:rsidRPr="00BE11D7" w:rsidRDefault="00204905" w:rsidP="00954C07">
            <w:pPr>
              <w:rPr>
                <w:color w:val="000000"/>
              </w:rPr>
            </w:pPr>
            <w:r w:rsidRPr="00BE11D7">
              <w:rPr>
                <w:color w:val="000000"/>
              </w:rPr>
              <w:t>PACLoad</w:t>
            </w:r>
          </w:p>
        </w:tc>
        <w:tc>
          <w:tcPr>
            <w:tcW w:w="1340" w:type="dxa"/>
            <w:shd w:val="clear" w:color="auto" w:fill="auto"/>
            <w:noWrap/>
            <w:vAlign w:val="bottom"/>
            <w:hideMark/>
          </w:tcPr>
          <w:p w14:paraId="0B75398E"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2B2DC2F2" w14:textId="77777777" w:rsidR="00204905" w:rsidRPr="00BE11D7" w:rsidRDefault="00204905" w:rsidP="00954C07">
            <w:pPr>
              <w:jc w:val="right"/>
              <w:rPr>
                <w:color w:val="000000"/>
              </w:rPr>
            </w:pPr>
            <w:r w:rsidRPr="00BE11D7">
              <w:rPr>
                <w:color w:val="000000"/>
              </w:rPr>
              <w:t xml:space="preserve"> (15.01)</w:t>
            </w:r>
          </w:p>
        </w:tc>
        <w:tc>
          <w:tcPr>
            <w:tcW w:w="1360" w:type="dxa"/>
            <w:shd w:val="clear" w:color="auto" w:fill="auto"/>
            <w:noWrap/>
            <w:vAlign w:val="bottom"/>
            <w:hideMark/>
          </w:tcPr>
          <w:p w14:paraId="159C86E6"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30EFD5E2"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7BED1F02" w14:textId="77777777" w:rsidR="00204905" w:rsidRPr="00BE11D7" w:rsidRDefault="00204905" w:rsidP="00954C07">
            <w:pPr>
              <w:jc w:val="right"/>
              <w:rPr>
                <w:color w:val="000000"/>
              </w:rPr>
            </w:pPr>
            <w:r w:rsidRPr="00BE11D7">
              <w:rPr>
                <w:color w:val="000000"/>
              </w:rPr>
              <w:t xml:space="preserve">        34.99 </w:t>
            </w:r>
          </w:p>
        </w:tc>
      </w:tr>
      <w:tr w:rsidR="00204905" w:rsidRPr="00BE11D7" w14:paraId="767541C4" w14:textId="77777777" w:rsidTr="00954C07">
        <w:trPr>
          <w:trHeight w:val="464"/>
        </w:trPr>
        <w:tc>
          <w:tcPr>
            <w:tcW w:w="1440" w:type="dxa"/>
            <w:shd w:val="clear" w:color="auto" w:fill="auto"/>
            <w:noWrap/>
            <w:vAlign w:val="bottom"/>
            <w:hideMark/>
          </w:tcPr>
          <w:p w14:paraId="637D9050" w14:textId="77777777" w:rsidR="00204905" w:rsidRPr="00BE11D7" w:rsidRDefault="00204905" w:rsidP="00954C07">
            <w:pPr>
              <w:rPr>
                <w:color w:val="000000"/>
              </w:rPr>
            </w:pPr>
            <w:r w:rsidRPr="00BE11D7">
              <w:rPr>
                <w:color w:val="000000"/>
              </w:rPr>
              <w:t>ISOLoad</w:t>
            </w:r>
          </w:p>
        </w:tc>
        <w:tc>
          <w:tcPr>
            <w:tcW w:w="1340" w:type="dxa"/>
            <w:shd w:val="clear" w:color="auto" w:fill="auto"/>
            <w:noWrap/>
            <w:vAlign w:val="bottom"/>
            <w:hideMark/>
          </w:tcPr>
          <w:p w14:paraId="6316409A"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67B9313B" w14:textId="77777777" w:rsidR="00204905" w:rsidRPr="00BE11D7" w:rsidRDefault="00204905" w:rsidP="00954C07">
            <w:pPr>
              <w:jc w:val="right"/>
              <w:rPr>
                <w:color w:val="000000"/>
              </w:rPr>
            </w:pPr>
            <w:r w:rsidRPr="00BE11D7">
              <w:rPr>
                <w:color w:val="000000"/>
              </w:rPr>
              <w:t xml:space="preserve">                 -   </w:t>
            </w:r>
          </w:p>
        </w:tc>
        <w:tc>
          <w:tcPr>
            <w:tcW w:w="1360" w:type="dxa"/>
            <w:shd w:val="clear" w:color="auto" w:fill="auto"/>
            <w:noWrap/>
            <w:vAlign w:val="bottom"/>
            <w:hideMark/>
          </w:tcPr>
          <w:p w14:paraId="46A283BE"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63A4EBA9"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48F191DA" w14:textId="77777777" w:rsidR="00204905" w:rsidRPr="00BE11D7" w:rsidRDefault="00204905" w:rsidP="00954C07">
            <w:pPr>
              <w:jc w:val="right"/>
              <w:rPr>
                <w:color w:val="000000"/>
              </w:rPr>
            </w:pPr>
            <w:r w:rsidRPr="00BE11D7">
              <w:rPr>
                <w:color w:val="000000"/>
              </w:rPr>
              <w:t xml:space="preserve">          50 </w:t>
            </w:r>
          </w:p>
        </w:tc>
      </w:tr>
      <w:tr w:rsidR="00204905" w:rsidRPr="00BE11D7" w14:paraId="4459E8FF" w14:textId="77777777" w:rsidTr="00954C07">
        <w:trPr>
          <w:trHeight w:val="464"/>
        </w:trPr>
        <w:tc>
          <w:tcPr>
            <w:tcW w:w="1440" w:type="dxa"/>
            <w:shd w:val="clear" w:color="auto" w:fill="auto"/>
            <w:noWrap/>
            <w:vAlign w:val="bottom"/>
          </w:tcPr>
          <w:p w14:paraId="0B68F9C9" w14:textId="77777777" w:rsidR="00204905" w:rsidRPr="00BE11D7" w:rsidRDefault="00204905" w:rsidP="00954C07">
            <w:pPr>
              <w:rPr>
                <w:color w:val="000000"/>
              </w:rPr>
            </w:pPr>
            <w:r w:rsidRPr="00BE11D7">
              <w:rPr>
                <w:color w:val="000000"/>
              </w:rPr>
              <w:t>EIM Transfer</w:t>
            </w:r>
          </w:p>
        </w:tc>
        <w:tc>
          <w:tcPr>
            <w:tcW w:w="1340" w:type="dxa"/>
            <w:shd w:val="clear" w:color="auto" w:fill="auto"/>
            <w:noWrap/>
            <w:vAlign w:val="bottom"/>
          </w:tcPr>
          <w:p w14:paraId="554357FB"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tcPr>
          <w:p w14:paraId="1393085C" w14:textId="77777777" w:rsidR="00204905" w:rsidRPr="00BE11D7" w:rsidRDefault="00204905" w:rsidP="00954C07">
            <w:pPr>
              <w:jc w:val="right"/>
              <w:rPr>
                <w:color w:val="000000"/>
              </w:rPr>
            </w:pPr>
            <w:r w:rsidRPr="00BE11D7">
              <w:rPr>
                <w:color w:val="000000"/>
              </w:rPr>
              <w:t>(15.01)</w:t>
            </w:r>
          </w:p>
        </w:tc>
        <w:tc>
          <w:tcPr>
            <w:tcW w:w="1360" w:type="dxa"/>
            <w:shd w:val="clear" w:color="auto" w:fill="auto"/>
            <w:noWrap/>
            <w:vAlign w:val="bottom"/>
          </w:tcPr>
          <w:p w14:paraId="0AB4728A"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tcPr>
          <w:p w14:paraId="479AC5B0"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tcPr>
          <w:p w14:paraId="179EDB90" w14:textId="77777777" w:rsidR="00204905" w:rsidRPr="00BE11D7" w:rsidRDefault="00204905" w:rsidP="00954C07">
            <w:pPr>
              <w:jc w:val="right"/>
              <w:rPr>
                <w:color w:val="000000"/>
              </w:rPr>
            </w:pPr>
            <w:r w:rsidRPr="00BE11D7">
              <w:rPr>
                <w:color w:val="000000"/>
              </w:rPr>
              <w:t xml:space="preserve">        34.99</w:t>
            </w:r>
          </w:p>
        </w:tc>
      </w:tr>
    </w:tbl>
    <w:p w14:paraId="484C55A1" w14:textId="77777777" w:rsidR="00204905" w:rsidRPr="00BE11D7" w:rsidRDefault="00204905" w:rsidP="00204905">
      <w:pPr>
        <w:rPr>
          <w:sz w:val="18"/>
        </w:rPr>
      </w:pPr>
      <w:r w:rsidRPr="00BE11D7">
        <w:rPr>
          <w:sz w:val="18"/>
        </w:rPr>
        <w:t xml:space="preserve">* Congestion is based upon the EIM Constraint ($15) plus Intertie Scheduling Limit ($0) plus the EIM Transfer Costs ($0.01).  </w:t>
      </w:r>
    </w:p>
    <w:p w14:paraId="337DD6E8" w14:textId="77777777" w:rsidR="00204905" w:rsidRPr="00BE11D7" w:rsidRDefault="00204905" w:rsidP="00204905"/>
    <w:p w14:paraId="7DAA5ED0" w14:textId="77777777" w:rsidR="00204905" w:rsidRPr="00BE11D7" w:rsidRDefault="00204905" w:rsidP="00204905">
      <w:r w:rsidRPr="00BE11D7">
        <w:t>Settlement:</w:t>
      </w:r>
    </w:p>
    <w:tbl>
      <w:tblPr>
        <w:tblW w:w="8100" w:type="dxa"/>
        <w:tblInd w:w="-5" w:type="dxa"/>
        <w:tblLook w:val="04A0" w:firstRow="1" w:lastRow="0" w:firstColumn="1" w:lastColumn="0" w:noHBand="0" w:noVBand="1"/>
      </w:tblPr>
      <w:tblGrid>
        <w:gridCol w:w="2140"/>
        <w:gridCol w:w="1182"/>
        <w:gridCol w:w="1088"/>
        <w:gridCol w:w="1572"/>
        <w:gridCol w:w="2118"/>
      </w:tblGrid>
      <w:tr w:rsidR="00204905" w:rsidRPr="00BE11D7" w14:paraId="4896EB92"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5E48" w14:textId="77777777" w:rsidR="00204905" w:rsidRPr="00BE11D7" w:rsidRDefault="00204905" w:rsidP="00954C07">
            <w:pPr>
              <w:rPr>
                <w:color w:val="000000"/>
              </w:rPr>
            </w:pPr>
            <w:r w:rsidRPr="00BE11D7">
              <w:rPr>
                <w:color w:val="000000"/>
              </w:rPr>
              <w:t>Charge Code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EA1A86E" w14:textId="77777777" w:rsidR="00204905" w:rsidRPr="00BE11D7" w:rsidRDefault="00204905" w:rsidP="00954C07">
            <w:pPr>
              <w:rPr>
                <w:color w:val="000000"/>
              </w:rPr>
            </w:pPr>
            <w:r w:rsidRPr="00BE11D7">
              <w:rPr>
                <w:color w:val="000000"/>
              </w:rPr>
              <w:t>Resource</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3AC7473F" w14:textId="77777777" w:rsidR="00204905" w:rsidRPr="00BE11D7" w:rsidRDefault="00204905" w:rsidP="00954C07">
            <w:pPr>
              <w:rPr>
                <w:color w:val="000000"/>
              </w:rPr>
            </w:pPr>
            <w:r w:rsidRPr="00BE11D7">
              <w:rPr>
                <w:color w:val="000000"/>
              </w:rPr>
              <w:t>Qty</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0A051A13" w14:textId="77777777" w:rsidR="00204905" w:rsidRPr="00BE11D7" w:rsidRDefault="00204905" w:rsidP="00954C07">
            <w:pPr>
              <w:rPr>
                <w:color w:val="000000"/>
              </w:rPr>
            </w:pPr>
            <w:r w:rsidRPr="00BE11D7">
              <w:rPr>
                <w:color w:val="000000"/>
              </w:rPr>
              <w:t>Price</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00C60ABF" w14:textId="77777777" w:rsidR="00204905" w:rsidRPr="00BE11D7" w:rsidRDefault="00204905" w:rsidP="00954C07">
            <w:pPr>
              <w:rPr>
                <w:color w:val="000000"/>
              </w:rPr>
            </w:pPr>
            <w:r w:rsidRPr="00BE11D7">
              <w:rPr>
                <w:color w:val="000000"/>
              </w:rPr>
              <w:t>(Payment)/Charge</w:t>
            </w:r>
          </w:p>
        </w:tc>
      </w:tr>
      <w:tr w:rsidR="00204905" w:rsidRPr="00BE11D7" w14:paraId="14692622"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0D823FE" w14:textId="77777777" w:rsidR="00204905" w:rsidRPr="00BE11D7" w:rsidRDefault="00204905" w:rsidP="00954C07">
            <w:pPr>
              <w:rPr>
                <w:color w:val="000000"/>
              </w:rPr>
            </w:pPr>
            <w:r w:rsidRPr="00BE11D7">
              <w:rPr>
                <w:color w:val="000000"/>
              </w:rPr>
              <w:t>CC 64700</w:t>
            </w:r>
          </w:p>
        </w:tc>
        <w:tc>
          <w:tcPr>
            <w:tcW w:w="1182" w:type="dxa"/>
            <w:tcBorders>
              <w:top w:val="nil"/>
              <w:left w:val="nil"/>
              <w:bottom w:val="single" w:sz="4" w:space="0" w:color="auto"/>
              <w:right w:val="single" w:sz="4" w:space="0" w:color="auto"/>
            </w:tcBorders>
            <w:shd w:val="clear" w:color="auto" w:fill="auto"/>
            <w:noWrap/>
            <w:vAlign w:val="bottom"/>
            <w:hideMark/>
          </w:tcPr>
          <w:p w14:paraId="5EE9B86A" w14:textId="77777777" w:rsidR="00204905" w:rsidRPr="00BE11D7" w:rsidRDefault="00204905" w:rsidP="00954C07">
            <w:pPr>
              <w:rPr>
                <w:color w:val="000000"/>
              </w:rPr>
            </w:pPr>
            <w:r w:rsidRPr="00BE11D7">
              <w:rPr>
                <w:color w:val="000000"/>
              </w:rPr>
              <w:t>EIM1Gen</w:t>
            </w:r>
          </w:p>
        </w:tc>
        <w:tc>
          <w:tcPr>
            <w:tcW w:w="1088" w:type="dxa"/>
            <w:tcBorders>
              <w:top w:val="nil"/>
              <w:left w:val="nil"/>
              <w:bottom w:val="single" w:sz="4" w:space="0" w:color="auto"/>
              <w:right w:val="single" w:sz="4" w:space="0" w:color="auto"/>
            </w:tcBorders>
            <w:shd w:val="clear" w:color="auto" w:fill="auto"/>
            <w:noWrap/>
            <w:vAlign w:val="bottom"/>
            <w:hideMark/>
          </w:tcPr>
          <w:p w14:paraId="47549EFD" w14:textId="77777777" w:rsidR="00204905" w:rsidRPr="00BE11D7" w:rsidRDefault="00204905" w:rsidP="00954C07">
            <w:pPr>
              <w:jc w:val="right"/>
              <w:rPr>
                <w:color w:val="000000"/>
              </w:rPr>
            </w:pPr>
            <w:r w:rsidRPr="00BE11D7">
              <w:rPr>
                <w:color w:val="000000"/>
              </w:rPr>
              <w:t>150</w:t>
            </w:r>
          </w:p>
        </w:tc>
        <w:tc>
          <w:tcPr>
            <w:tcW w:w="1572" w:type="dxa"/>
            <w:tcBorders>
              <w:top w:val="nil"/>
              <w:left w:val="nil"/>
              <w:bottom w:val="single" w:sz="4" w:space="0" w:color="auto"/>
              <w:right w:val="single" w:sz="4" w:space="0" w:color="auto"/>
            </w:tcBorders>
            <w:shd w:val="clear" w:color="auto" w:fill="auto"/>
            <w:noWrap/>
            <w:vAlign w:val="bottom"/>
            <w:hideMark/>
          </w:tcPr>
          <w:p w14:paraId="146419A5" w14:textId="77777777" w:rsidR="00204905" w:rsidRPr="00BE11D7" w:rsidRDefault="00204905" w:rsidP="00954C07">
            <w:pPr>
              <w:rPr>
                <w:color w:val="000000"/>
              </w:rPr>
            </w:pPr>
            <w:r w:rsidRPr="00BE11D7">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5F38783A" w14:textId="77777777" w:rsidR="00204905" w:rsidRPr="00BE11D7" w:rsidRDefault="00204905" w:rsidP="00954C07">
            <w:pPr>
              <w:rPr>
                <w:color w:val="000000"/>
              </w:rPr>
            </w:pPr>
            <w:r w:rsidRPr="00BE11D7">
              <w:rPr>
                <w:color w:val="000000"/>
              </w:rPr>
              <w:t xml:space="preserve"> $          (5,248.50)</w:t>
            </w:r>
          </w:p>
        </w:tc>
      </w:tr>
      <w:tr w:rsidR="00204905" w:rsidRPr="00BE11D7" w14:paraId="11FE07A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E8B0C2" w14:textId="77777777" w:rsidR="00204905" w:rsidRPr="00BE11D7" w:rsidRDefault="00204905" w:rsidP="00954C07">
            <w:pPr>
              <w:rPr>
                <w:color w:val="000000"/>
              </w:rPr>
            </w:pPr>
            <w:r w:rsidRPr="00BE11D7">
              <w:rPr>
                <w:color w:val="000000"/>
              </w:rPr>
              <w:t>CC 6470</w:t>
            </w:r>
          </w:p>
        </w:tc>
        <w:tc>
          <w:tcPr>
            <w:tcW w:w="1182" w:type="dxa"/>
            <w:tcBorders>
              <w:top w:val="nil"/>
              <w:left w:val="nil"/>
              <w:bottom w:val="single" w:sz="4" w:space="0" w:color="auto"/>
              <w:right w:val="single" w:sz="4" w:space="0" w:color="auto"/>
            </w:tcBorders>
            <w:shd w:val="clear" w:color="auto" w:fill="auto"/>
            <w:noWrap/>
            <w:vAlign w:val="bottom"/>
            <w:hideMark/>
          </w:tcPr>
          <w:p w14:paraId="19D1C41E" w14:textId="77777777" w:rsidR="00204905" w:rsidRPr="00BE11D7" w:rsidRDefault="00204905" w:rsidP="00954C07">
            <w:pPr>
              <w:rPr>
                <w:color w:val="000000"/>
              </w:rPr>
            </w:pPr>
            <w:r w:rsidRPr="00BE11D7">
              <w:rPr>
                <w:color w:val="000000"/>
              </w:rPr>
              <w:t>CISOGen</w:t>
            </w:r>
          </w:p>
        </w:tc>
        <w:tc>
          <w:tcPr>
            <w:tcW w:w="1088" w:type="dxa"/>
            <w:tcBorders>
              <w:top w:val="nil"/>
              <w:left w:val="nil"/>
              <w:bottom w:val="single" w:sz="4" w:space="0" w:color="auto"/>
              <w:right w:val="single" w:sz="4" w:space="0" w:color="auto"/>
            </w:tcBorders>
            <w:shd w:val="clear" w:color="auto" w:fill="auto"/>
            <w:noWrap/>
            <w:vAlign w:val="bottom"/>
            <w:hideMark/>
          </w:tcPr>
          <w:p w14:paraId="1F5D6ADF" w14:textId="77777777" w:rsidR="00204905" w:rsidRPr="00BE11D7" w:rsidRDefault="00204905" w:rsidP="00954C07">
            <w:pPr>
              <w:jc w:val="right"/>
              <w:rPr>
                <w:color w:val="000000"/>
              </w:rPr>
            </w:pPr>
            <w:r w:rsidRPr="00BE11D7">
              <w:rPr>
                <w:color w:val="000000"/>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5DD9BAC9" w14:textId="77777777" w:rsidR="00204905" w:rsidRPr="00BE11D7" w:rsidRDefault="00204905" w:rsidP="00954C07">
            <w:pPr>
              <w:rPr>
                <w:color w:val="000000"/>
              </w:rPr>
            </w:pPr>
            <w:r w:rsidRPr="00BE11D7">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04DF9FB1" w14:textId="77777777" w:rsidR="00204905" w:rsidRPr="00BE11D7" w:rsidRDefault="00204905" w:rsidP="00954C07">
            <w:pPr>
              <w:rPr>
                <w:color w:val="000000"/>
              </w:rPr>
            </w:pPr>
            <w:r w:rsidRPr="00BE11D7">
              <w:rPr>
                <w:color w:val="000000"/>
              </w:rPr>
              <w:t xml:space="preserve"> $          (5,000.00)</w:t>
            </w:r>
          </w:p>
        </w:tc>
      </w:tr>
      <w:tr w:rsidR="00204905" w:rsidRPr="00BE11D7" w14:paraId="576CA7F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977FD36" w14:textId="77777777" w:rsidR="00204905" w:rsidRPr="00BE11D7" w:rsidRDefault="00204905" w:rsidP="00954C07">
            <w:pPr>
              <w:rPr>
                <w:color w:val="000000"/>
              </w:rPr>
            </w:pPr>
            <w:r w:rsidRPr="00BE11D7">
              <w:rPr>
                <w:color w:val="000000"/>
              </w:rPr>
              <w:t>CC 64750</w:t>
            </w:r>
          </w:p>
        </w:tc>
        <w:tc>
          <w:tcPr>
            <w:tcW w:w="1182" w:type="dxa"/>
            <w:tcBorders>
              <w:top w:val="nil"/>
              <w:left w:val="nil"/>
              <w:bottom w:val="single" w:sz="4" w:space="0" w:color="auto"/>
              <w:right w:val="single" w:sz="4" w:space="0" w:color="auto"/>
            </w:tcBorders>
            <w:shd w:val="clear" w:color="auto" w:fill="auto"/>
            <w:noWrap/>
            <w:vAlign w:val="bottom"/>
            <w:hideMark/>
          </w:tcPr>
          <w:p w14:paraId="6B39EA44" w14:textId="77777777" w:rsidR="00204905" w:rsidRPr="00BE11D7" w:rsidRDefault="00204905" w:rsidP="00954C07">
            <w:pPr>
              <w:rPr>
                <w:color w:val="000000"/>
              </w:rPr>
            </w:pPr>
            <w:r w:rsidRPr="00BE11D7">
              <w:rPr>
                <w:color w:val="000000"/>
              </w:rPr>
              <w:t>EIM1Load</w:t>
            </w:r>
          </w:p>
        </w:tc>
        <w:tc>
          <w:tcPr>
            <w:tcW w:w="1088" w:type="dxa"/>
            <w:tcBorders>
              <w:top w:val="nil"/>
              <w:left w:val="nil"/>
              <w:bottom w:val="single" w:sz="4" w:space="0" w:color="auto"/>
              <w:right w:val="single" w:sz="4" w:space="0" w:color="auto"/>
            </w:tcBorders>
            <w:shd w:val="clear" w:color="auto" w:fill="auto"/>
            <w:noWrap/>
            <w:vAlign w:val="bottom"/>
            <w:hideMark/>
          </w:tcPr>
          <w:p w14:paraId="27DD10E4" w14:textId="77777777" w:rsidR="00204905" w:rsidRPr="00BE11D7" w:rsidRDefault="00204905" w:rsidP="00954C07">
            <w:pPr>
              <w:jc w:val="right"/>
              <w:rPr>
                <w:color w:val="000000"/>
              </w:rPr>
            </w:pPr>
            <w:r w:rsidRPr="00BE11D7">
              <w:rPr>
                <w:color w:val="000000"/>
              </w:rPr>
              <w:t>50</w:t>
            </w:r>
          </w:p>
        </w:tc>
        <w:tc>
          <w:tcPr>
            <w:tcW w:w="1572" w:type="dxa"/>
            <w:tcBorders>
              <w:top w:val="nil"/>
              <w:left w:val="nil"/>
              <w:bottom w:val="single" w:sz="4" w:space="0" w:color="auto"/>
              <w:right w:val="single" w:sz="4" w:space="0" w:color="auto"/>
            </w:tcBorders>
            <w:shd w:val="clear" w:color="auto" w:fill="auto"/>
            <w:noWrap/>
            <w:vAlign w:val="bottom"/>
            <w:hideMark/>
          </w:tcPr>
          <w:p w14:paraId="66DDBABD" w14:textId="77777777" w:rsidR="00204905" w:rsidRPr="00BE11D7" w:rsidRDefault="00204905" w:rsidP="00954C07">
            <w:pPr>
              <w:rPr>
                <w:color w:val="000000"/>
              </w:rPr>
            </w:pPr>
            <w:r w:rsidRPr="00BE11D7">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6351E28A" w14:textId="77777777" w:rsidR="00204905" w:rsidRPr="00BE11D7" w:rsidRDefault="00204905" w:rsidP="00954C07">
            <w:pPr>
              <w:rPr>
                <w:color w:val="000000"/>
              </w:rPr>
            </w:pPr>
            <w:r w:rsidRPr="00BE11D7">
              <w:rPr>
                <w:color w:val="000000"/>
              </w:rPr>
              <w:t xml:space="preserve"> $            1,749.50 </w:t>
            </w:r>
          </w:p>
        </w:tc>
      </w:tr>
      <w:tr w:rsidR="00204905" w:rsidRPr="00BE11D7" w14:paraId="052E8620"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7494C8" w14:textId="77777777" w:rsidR="00204905" w:rsidRPr="00BE11D7" w:rsidRDefault="00204905" w:rsidP="00954C07">
            <w:pPr>
              <w:rPr>
                <w:color w:val="000000"/>
              </w:rPr>
            </w:pPr>
            <w:r w:rsidRPr="00BE11D7">
              <w:rPr>
                <w:color w:val="000000"/>
              </w:rPr>
              <w:t>CC 6475</w:t>
            </w:r>
          </w:p>
        </w:tc>
        <w:tc>
          <w:tcPr>
            <w:tcW w:w="1182" w:type="dxa"/>
            <w:tcBorders>
              <w:top w:val="nil"/>
              <w:left w:val="nil"/>
              <w:bottom w:val="single" w:sz="4" w:space="0" w:color="auto"/>
              <w:right w:val="single" w:sz="4" w:space="0" w:color="auto"/>
            </w:tcBorders>
            <w:shd w:val="clear" w:color="auto" w:fill="auto"/>
            <w:noWrap/>
            <w:vAlign w:val="bottom"/>
            <w:hideMark/>
          </w:tcPr>
          <w:p w14:paraId="597CA5A1" w14:textId="77777777" w:rsidR="00204905" w:rsidRPr="00BE11D7" w:rsidRDefault="00204905" w:rsidP="00954C07">
            <w:pPr>
              <w:rPr>
                <w:color w:val="000000"/>
              </w:rPr>
            </w:pPr>
            <w:r w:rsidRPr="00BE11D7">
              <w:rPr>
                <w:color w:val="000000"/>
              </w:rPr>
              <w:t>CISOLoad</w:t>
            </w:r>
          </w:p>
        </w:tc>
        <w:tc>
          <w:tcPr>
            <w:tcW w:w="1088" w:type="dxa"/>
            <w:tcBorders>
              <w:top w:val="nil"/>
              <w:left w:val="nil"/>
              <w:bottom w:val="single" w:sz="4" w:space="0" w:color="auto"/>
              <w:right w:val="single" w:sz="4" w:space="0" w:color="auto"/>
            </w:tcBorders>
            <w:shd w:val="clear" w:color="auto" w:fill="auto"/>
            <w:noWrap/>
            <w:vAlign w:val="bottom"/>
            <w:hideMark/>
          </w:tcPr>
          <w:p w14:paraId="1DEAFDC3" w14:textId="77777777" w:rsidR="00204905" w:rsidRPr="00BE11D7" w:rsidRDefault="00204905" w:rsidP="00954C07">
            <w:pPr>
              <w:jc w:val="right"/>
              <w:rPr>
                <w:color w:val="000000"/>
              </w:rPr>
            </w:pPr>
            <w:r w:rsidRPr="00BE11D7">
              <w:rPr>
                <w:color w:val="000000"/>
              </w:rPr>
              <w:t>200</w:t>
            </w:r>
          </w:p>
        </w:tc>
        <w:tc>
          <w:tcPr>
            <w:tcW w:w="1572" w:type="dxa"/>
            <w:tcBorders>
              <w:top w:val="nil"/>
              <w:left w:val="nil"/>
              <w:bottom w:val="single" w:sz="4" w:space="0" w:color="auto"/>
              <w:right w:val="single" w:sz="4" w:space="0" w:color="auto"/>
            </w:tcBorders>
            <w:shd w:val="clear" w:color="auto" w:fill="auto"/>
            <w:noWrap/>
            <w:vAlign w:val="bottom"/>
            <w:hideMark/>
          </w:tcPr>
          <w:p w14:paraId="5B15E75F" w14:textId="77777777" w:rsidR="00204905" w:rsidRPr="00BE11D7" w:rsidRDefault="00204905" w:rsidP="00954C07">
            <w:pPr>
              <w:rPr>
                <w:color w:val="000000"/>
              </w:rPr>
            </w:pPr>
            <w:r w:rsidRPr="00BE11D7">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25A16ED" w14:textId="77777777" w:rsidR="00204905" w:rsidRPr="00BE11D7" w:rsidRDefault="00204905" w:rsidP="00954C07">
            <w:pPr>
              <w:rPr>
                <w:color w:val="000000"/>
              </w:rPr>
            </w:pPr>
            <w:r w:rsidRPr="00BE11D7">
              <w:rPr>
                <w:color w:val="000000"/>
              </w:rPr>
              <w:t xml:space="preserve"> $          10,000.00 </w:t>
            </w:r>
          </w:p>
        </w:tc>
      </w:tr>
    </w:tbl>
    <w:p w14:paraId="64DC2F32" w14:textId="77777777" w:rsidR="00204905" w:rsidRPr="00BE11D7" w:rsidRDefault="00204905" w:rsidP="00204905"/>
    <w:tbl>
      <w:tblPr>
        <w:tblW w:w="9151" w:type="dxa"/>
        <w:tblLook w:val="04A0" w:firstRow="1" w:lastRow="0" w:firstColumn="1" w:lastColumn="0" w:noHBand="0" w:noVBand="1"/>
      </w:tblPr>
      <w:tblGrid>
        <w:gridCol w:w="2140"/>
        <w:gridCol w:w="830"/>
        <w:gridCol w:w="1620"/>
        <w:gridCol w:w="1440"/>
        <w:gridCol w:w="1800"/>
        <w:gridCol w:w="1321"/>
      </w:tblGrid>
      <w:tr w:rsidR="00204905" w:rsidRPr="00BE11D7" w14:paraId="0542A7C2" w14:textId="77777777" w:rsidTr="00954C07">
        <w:trPr>
          <w:trHeight w:val="300"/>
        </w:trPr>
        <w:tc>
          <w:tcPr>
            <w:tcW w:w="2140" w:type="dxa"/>
            <w:tcBorders>
              <w:top w:val="nil"/>
              <w:left w:val="nil"/>
              <w:bottom w:val="nil"/>
              <w:right w:val="nil"/>
            </w:tcBorders>
            <w:shd w:val="clear" w:color="auto" w:fill="auto"/>
            <w:noWrap/>
            <w:vAlign w:val="bottom"/>
            <w:hideMark/>
          </w:tcPr>
          <w:p w14:paraId="6E0B8C7E" w14:textId="77777777" w:rsidR="00204905" w:rsidRPr="00BE11D7" w:rsidRDefault="00204905" w:rsidP="00954C07">
            <w:pPr>
              <w:rPr>
                <w:color w:val="000000"/>
              </w:rPr>
            </w:pPr>
            <w:r w:rsidRPr="00BE11D7">
              <w:rPr>
                <w:color w:val="000000"/>
              </w:rPr>
              <w:t>RTCO Calculation</w:t>
            </w:r>
          </w:p>
        </w:tc>
        <w:tc>
          <w:tcPr>
            <w:tcW w:w="830" w:type="dxa"/>
            <w:tcBorders>
              <w:top w:val="nil"/>
              <w:left w:val="nil"/>
              <w:bottom w:val="nil"/>
              <w:right w:val="nil"/>
            </w:tcBorders>
            <w:shd w:val="clear" w:color="auto" w:fill="auto"/>
            <w:noWrap/>
            <w:vAlign w:val="bottom"/>
            <w:hideMark/>
          </w:tcPr>
          <w:p w14:paraId="4C19BD3A" w14:textId="77777777" w:rsidR="00204905" w:rsidRPr="00BE11D7" w:rsidRDefault="00204905" w:rsidP="00954C07">
            <w:pPr>
              <w:rPr>
                <w:color w:val="000000"/>
              </w:rPr>
            </w:pPr>
            <w:r w:rsidRPr="00BE11D7">
              <w:rPr>
                <w:color w:val="000000"/>
              </w:rPr>
              <w:t>QTY</w:t>
            </w:r>
          </w:p>
        </w:tc>
        <w:tc>
          <w:tcPr>
            <w:tcW w:w="1620" w:type="dxa"/>
            <w:tcBorders>
              <w:top w:val="nil"/>
              <w:left w:val="nil"/>
              <w:bottom w:val="nil"/>
              <w:right w:val="nil"/>
            </w:tcBorders>
            <w:shd w:val="clear" w:color="auto" w:fill="auto"/>
            <w:noWrap/>
            <w:vAlign w:val="bottom"/>
            <w:hideMark/>
          </w:tcPr>
          <w:p w14:paraId="127D32DD" w14:textId="77777777" w:rsidR="00204905" w:rsidRPr="00BE11D7" w:rsidRDefault="00204905" w:rsidP="00954C07">
            <w:pPr>
              <w:rPr>
                <w:color w:val="000000"/>
              </w:rPr>
            </w:pPr>
            <w:r w:rsidRPr="00BE11D7">
              <w:rPr>
                <w:color w:val="000000"/>
              </w:rPr>
              <w:t>MCC(EIM1)*</w:t>
            </w:r>
          </w:p>
        </w:tc>
        <w:tc>
          <w:tcPr>
            <w:tcW w:w="1440" w:type="dxa"/>
            <w:tcBorders>
              <w:top w:val="nil"/>
              <w:left w:val="nil"/>
              <w:bottom w:val="nil"/>
              <w:right w:val="nil"/>
            </w:tcBorders>
            <w:shd w:val="clear" w:color="auto" w:fill="auto"/>
            <w:noWrap/>
            <w:vAlign w:val="bottom"/>
            <w:hideMark/>
          </w:tcPr>
          <w:p w14:paraId="68150520" w14:textId="77777777" w:rsidR="00204905" w:rsidRPr="00BE11D7" w:rsidRDefault="00204905" w:rsidP="00954C07">
            <w:pPr>
              <w:rPr>
                <w:color w:val="000000"/>
              </w:rPr>
            </w:pPr>
            <w:r w:rsidRPr="00BE11D7">
              <w:rPr>
                <w:color w:val="000000"/>
              </w:rPr>
              <w:t>Amount</w:t>
            </w:r>
          </w:p>
        </w:tc>
        <w:tc>
          <w:tcPr>
            <w:tcW w:w="1800" w:type="dxa"/>
            <w:tcBorders>
              <w:top w:val="nil"/>
              <w:left w:val="nil"/>
              <w:bottom w:val="nil"/>
              <w:right w:val="nil"/>
            </w:tcBorders>
            <w:shd w:val="clear" w:color="auto" w:fill="auto"/>
            <w:noWrap/>
            <w:vAlign w:val="bottom"/>
            <w:hideMark/>
          </w:tcPr>
          <w:p w14:paraId="09728959" w14:textId="77777777" w:rsidR="00204905" w:rsidRPr="00BE11D7" w:rsidRDefault="00204905" w:rsidP="00954C07">
            <w:pPr>
              <w:rPr>
                <w:color w:val="000000"/>
              </w:rPr>
            </w:pPr>
            <w:r w:rsidRPr="00BE11D7">
              <w:rPr>
                <w:color w:val="000000"/>
              </w:rPr>
              <w:t>MCC(CISO)</w:t>
            </w:r>
          </w:p>
        </w:tc>
        <w:tc>
          <w:tcPr>
            <w:tcW w:w="1321" w:type="dxa"/>
            <w:tcBorders>
              <w:top w:val="nil"/>
              <w:left w:val="nil"/>
              <w:bottom w:val="nil"/>
              <w:right w:val="nil"/>
            </w:tcBorders>
            <w:shd w:val="clear" w:color="auto" w:fill="auto"/>
            <w:noWrap/>
            <w:vAlign w:val="bottom"/>
            <w:hideMark/>
          </w:tcPr>
          <w:p w14:paraId="0A0BE451" w14:textId="77777777" w:rsidR="00204905" w:rsidRPr="00BE11D7" w:rsidRDefault="00204905" w:rsidP="00954C07">
            <w:pPr>
              <w:rPr>
                <w:color w:val="000000"/>
              </w:rPr>
            </w:pPr>
            <w:r w:rsidRPr="00BE11D7">
              <w:rPr>
                <w:color w:val="000000"/>
              </w:rPr>
              <w:t>Amount</w:t>
            </w:r>
          </w:p>
        </w:tc>
      </w:tr>
      <w:tr w:rsidR="00204905" w:rsidRPr="00BE11D7" w14:paraId="7D131C95"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7705" w14:textId="77777777" w:rsidR="00204905" w:rsidRPr="00BE11D7" w:rsidRDefault="00204905" w:rsidP="00954C07">
            <w:pPr>
              <w:rPr>
                <w:color w:val="000000"/>
              </w:rPr>
            </w:pPr>
            <w:r w:rsidRPr="00BE11D7">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D24E7D7" w14:textId="77777777" w:rsidR="00204905" w:rsidRPr="00BE11D7" w:rsidRDefault="00204905" w:rsidP="00954C07">
            <w:pPr>
              <w:jc w:val="right"/>
              <w:rPr>
                <w:color w:val="000000"/>
              </w:rPr>
            </w:pPr>
            <w:r w:rsidRPr="00BE11D7">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BDEE199" w14:textId="77777777" w:rsidR="00204905" w:rsidRPr="00BE11D7" w:rsidRDefault="00204905" w:rsidP="00954C07">
            <w:pPr>
              <w:rPr>
                <w:color w:val="000000"/>
              </w:rPr>
            </w:pPr>
            <w:r w:rsidRPr="00BE11D7">
              <w:rPr>
                <w:color w:val="000000"/>
              </w:rPr>
              <w:t xml:space="preserve"> $          (15.01)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8170CB" w14:textId="77777777" w:rsidR="00204905" w:rsidRPr="00BE11D7" w:rsidRDefault="00204905" w:rsidP="00954C07">
            <w:pPr>
              <w:rPr>
                <w:color w:val="000000"/>
              </w:rPr>
            </w:pPr>
            <w:r w:rsidRPr="00BE11D7">
              <w:rPr>
                <w:color w:val="000000"/>
              </w:rPr>
              <w:t xml:space="preserve"> $  2,251.50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0D0D6CB" w14:textId="77777777" w:rsidR="00204905" w:rsidRPr="00BE11D7" w:rsidRDefault="00204905" w:rsidP="00954C07">
            <w:pPr>
              <w:rPr>
                <w:color w:val="000000"/>
              </w:rPr>
            </w:pPr>
            <w:r w:rsidRPr="00BE11D7">
              <w:rPr>
                <w:color w:val="000000"/>
              </w:rPr>
              <w:t xml:space="preserve"> $                     -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6CCE252" w14:textId="77777777" w:rsidR="00204905" w:rsidRPr="00BE11D7" w:rsidRDefault="00204905" w:rsidP="00954C07">
            <w:pPr>
              <w:rPr>
                <w:color w:val="000000"/>
              </w:rPr>
            </w:pPr>
            <w:r w:rsidRPr="00BE11D7">
              <w:rPr>
                <w:color w:val="000000"/>
              </w:rPr>
              <w:t xml:space="preserve"> $           -   </w:t>
            </w:r>
          </w:p>
        </w:tc>
      </w:tr>
      <w:tr w:rsidR="00204905" w:rsidRPr="00BE11D7" w14:paraId="0EB4B453"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3C7431" w14:textId="77777777" w:rsidR="00204905" w:rsidRPr="00BE11D7" w:rsidRDefault="00204905" w:rsidP="00954C07">
            <w:pPr>
              <w:rPr>
                <w:color w:val="000000"/>
              </w:rPr>
            </w:pPr>
            <w:r w:rsidRPr="00BE11D7">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67426393" w14:textId="77777777" w:rsidR="00204905" w:rsidRPr="00BE11D7" w:rsidRDefault="00204905" w:rsidP="00954C07">
            <w:pPr>
              <w:jc w:val="right"/>
              <w:rPr>
                <w:color w:val="000000"/>
              </w:rPr>
            </w:pPr>
            <w:r w:rsidRPr="00BE11D7">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78F2EE31"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1AA8CE4E"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58FF4D97"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55509017" w14:textId="77777777" w:rsidR="00204905" w:rsidRPr="00BE11D7" w:rsidRDefault="00204905" w:rsidP="00954C07">
            <w:pPr>
              <w:rPr>
                <w:color w:val="000000"/>
              </w:rPr>
            </w:pPr>
            <w:r w:rsidRPr="00BE11D7">
              <w:rPr>
                <w:color w:val="000000"/>
              </w:rPr>
              <w:t xml:space="preserve"> $           -   </w:t>
            </w:r>
          </w:p>
        </w:tc>
      </w:tr>
      <w:tr w:rsidR="00204905" w:rsidRPr="00BE11D7" w14:paraId="448DD6E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5769231" w14:textId="77777777" w:rsidR="00204905" w:rsidRPr="00BE11D7" w:rsidRDefault="00204905" w:rsidP="00954C07">
            <w:pPr>
              <w:rPr>
                <w:color w:val="000000"/>
              </w:rPr>
            </w:pPr>
            <w:r w:rsidRPr="00BE11D7">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70D34AEC" w14:textId="77777777" w:rsidR="00204905" w:rsidRPr="00BE11D7" w:rsidRDefault="00204905" w:rsidP="00954C07">
            <w:pPr>
              <w:jc w:val="right"/>
              <w:rPr>
                <w:color w:val="000000"/>
              </w:rPr>
            </w:pPr>
            <w:r w:rsidRPr="00BE11D7">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4EE39DD" w14:textId="77777777" w:rsidR="00204905" w:rsidRPr="00BE11D7" w:rsidRDefault="00204905" w:rsidP="00954C07">
            <w:pPr>
              <w:rPr>
                <w:color w:val="000000"/>
              </w:rPr>
            </w:pPr>
            <w:r w:rsidRPr="00BE11D7">
              <w:rPr>
                <w:color w:val="000000"/>
              </w:rPr>
              <w:t xml:space="preserve"> $          (15.01)</w:t>
            </w:r>
          </w:p>
        </w:tc>
        <w:tc>
          <w:tcPr>
            <w:tcW w:w="1440" w:type="dxa"/>
            <w:tcBorders>
              <w:top w:val="nil"/>
              <w:left w:val="nil"/>
              <w:bottom w:val="single" w:sz="4" w:space="0" w:color="auto"/>
              <w:right w:val="single" w:sz="4" w:space="0" w:color="auto"/>
            </w:tcBorders>
            <w:shd w:val="clear" w:color="auto" w:fill="auto"/>
            <w:noWrap/>
            <w:vAlign w:val="bottom"/>
            <w:hideMark/>
          </w:tcPr>
          <w:p w14:paraId="722ED67B" w14:textId="77777777" w:rsidR="00204905" w:rsidRPr="00BE11D7" w:rsidRDefault="00204905" w:rsidP="00954C07">
            <w:pPr>
              <w:rPr>
                <w:color w:val="000000"/>
              </w:rPr>
            </w:pPr>
            <w:r w:rsidRPr="00BE11D7">
              <w:rPr>
                <w:color w:val="000000"/>
              </w:rPr>
              <w:t xml:space="preserve"> $   (750.50)</w:t>
            </w:r>
          </w:p>
        </w:tc>
        <w:tc>
          <w:tcPr>
            <w:tcW w:w="1800" w:type="dxa"/>
            <w:tcBorders>
              <w:top w:val="nil"/>
              <w:left w:val="nil"/>
              <w:bottom w:val="single" w:sz="4" w:space="0" w:color="auto"/>
              <w:right w:val="single" w:sz="4" w:space="0" w:color="auto"/>
            </w:tcBorders>
            <w:shd w:val="clear" w:color="auto" w:fill="auto"/>
            <w:noWrap/>
            <w:vAlign w:val="bottom"/>
            <w:hideMark/>
          </w:tcPr>
          <w:p w14:paraId="09E72EFD"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05024E98" w14:textId="77777777" w:rsidR="00204905" w:rsidRPr="00BE11D7" w:rsidRDefault="00204905" w:rsidP="00954C07">
            <w:pPr>
              <w:rPr>
                <w:color w:val="000000"/>
              </w:rPr>
            </w:pPr>
            <w:r w:rsidRPr="00BE11D7">
              <w:rPr>
                <w:color w:val="000000"/>
              </w:rPr>
              <w:t xml:space="preserve"> $           -   </w:t>
            </w:r>
          </w:p>
        </w:tc>
      </w:tr>
      <w:tr w:rsidR="00204905" w:rsidRPr="00BE11D7" w14:paraId="6E112A91"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107AA39B" w14:textId="77777777" w:rsidR="00204905" w:rsidRPr="00BE11D7" w:rsidRDefault="00204905" w:rsidP="00954C07">
            <w:pPr>
              <w:rPr>
                <w:color w:val="000000"/>
              </w:rPr>
            </w:pPr>
            <w:r w:rsidRPr="00BE11D7">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4BE3278E" w14:textId="77777777" w:rsidR="00204905" w:rsidRPr="00BE11D7" w:rsidRDefault="00204905" w:rsidP="00954C07">
            <w:pPr>
              <w:jc w:val="right"/>
              <w:rPr>
                <w:color w:val="000000"/>
              </w:rPr>
            </w:pPr>
            <w:r w:rsidRPr="00BE11D7">
              <w:rPr>
                <w:color w:val="000000"/>
              </w:rPr>
              <w:t>-200</w:t>
            </w:r>
          </w:p>
        </w:tc>
        <w:tc>
          <w:tcPr>
            <w:tcW w:w="1620" w:type="dxa"/>
            <w:tcBorders>
              <w:top w:val="nil"/>
              <w:left w:val="nil"/>
              <w:bottom w:val="nil"/>
              <w:right w:val="single" w:sz="4" w:space="0" w:color="auto"/>
            </w:tcBorders>
            <w:shd w:val="clear" w:color="auto" w:fill="auto"/>
            <w:noWrap/>
            <w:vAlign w:val="bottom"/>
            <w:hideMark/>
          </w:tcPr>
          <w:p w14:paraId="64715FE8"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C7921A4"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7E0C9306"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43715686" w14:textId="77777777" w:rsidR="00204905" w:rsidRPr="00BE11D7" w:rsidRDefault="00204905" w:rsidP="00954C07">
            <w:pPr>
              <w:rPr>
                <w:color w:val="000000"/>
              </w:rPr>
            </w:pPr>
            <w:r w:rsidRPr="00BE11D7">
              <w:rPr>
                <w:color w:val="000000"/>
              </w:rPr>
              <w:t xml:space="preserve"> $           -   </w:t>
            </w:r>
          </w:p>
        </w:tc>
      </w:tr>
      <w:tr w:rsidR="00204905" w:rsidRPr="00BE11D7" w14:paraId="0C44B936"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FF5A" w14:textId="77777777" w:rsidR="00204905" w:rsidRPr="00BE11D7" w:rsidRDefault="00204905" w:rsidP="00954C07">
            <w:pPr>
              <w:rPr>
                <w:color w:val="000000"/>
              </w:rPr>
            </w:pPr>
            <w:r w:rsidRPr="00BE11D7">
              <w:rPr>
                <w:color w:val="000000"/>
              </w:rPr>
              <w:t>Total</w:t>
            </w:r>
          </w:p>
        </w:tc>
        <w:tc>
          <w:tcPr>
            <w:tcW w:w="830" w:type="dxa"/>
            <w:tcBorders>
              <w:top w:val="single" w:sz="4" w:space="0" w:color="auto"/>
              <w:left w:val="nil"/>
              <w:bottom w:val="single" w:sz="4" w:space="0" w:color="auto"/>
              <w:right w:val="nil"/>
            </w:tcBorders>
            <w:shd w:val="clear" w:color="auto" w:fill="auto"/>
            <w:noWrap/>
            <w:vAlign w:val="bottom"/>
            <w:hideMark/>
          </w:tcPr>
          <w:p w14:paraId="0C42F125" w14:textId="77777777" w:rsidR="00204905" w:rsidRPr="00BE11D7" w:rsidRDefault="00204905" w:rsidP="00954C07">
            <w:pPr>
              <w:rPr>
                <w:color w:val="000000"/>
              </w:rPr>
            </w:pPr>
            <w:r w:rsidRPr="00BE11D7">
              <w:rPr>
                <w:color w:val="000000"/>
              </w:rPr>
              <w:t> </w:t>
            </w:r>
          </w:p>
        </w:tc>
        <w:tc>
          <w:tcPr>
            <w:tcW w:w="1620" w:type="dxa"/>
            <w:tcBorders>
              <w:top w:val="single" w:sz="4" w:space="0" w:color="auto"/>
              <w:left w:val="nil"/>
              <w:bottom w:val="single" w:sz="4" w:space="0" w:color="auto"/>
              <w:right w:val="nil"/>
            </w:tcBorders>
            <w:shd w:val="clear" w:color="auto" w:fill="auto"/>
            <w:noWrap/>
            <w:vAlign w:val="bottom"/>
            <w:hideMark/>
          </w:tcPr>
          <w:p w14:paraId="7F29DCEC" w14:textId="77777777" w:rsidR="00204905" w:rsidRPr="00BE11D7" w:rsidRDefault="00204905" w:rsidP="00954C07">
            <w:pPr>
              <w:rPr>
                <w:color w:val="000000"/>
              </w:rPr>
            </w:pPr>
            <w:r w:rsidRPr="00BE11D7">
              <w:rPr>
                <w:color w:val="000000"/>
              </w:rPr>
              <w:t> </w:t>
            </w:r>
          </w:p>
        </w:tc>
        <w:tc>
          <w:tcPr>
            <w:tcW w:w="1440" w:type="dxa"/>
            <w:tcBorders>
              <w:top w:val="nil"/>
              <w:left w:val="nil"/>
              <w:bottom w:val="single" w:sz="4" w:space="0" w:color="auto"/>
              <w:right w:val="nil"/>
            </w:tcBorders>
            <w:shd w:val="clear" w:color="auto" w:fill="auto"/>
            <w:noWrap/>
            <w:vAlign w:val="bottom"/>
            <w:hideMark/>
          </w:tcPr>
          <w:p w14:paraId="040D4AB1" w14:textId="77777777" w:rsidR="00204905" w:rsidRPr="00BE11D7" w:rsidRDefault="00204905" w:rsidP="00954C07">
            <w:pPr>
              <w:rPr>
                <w:color w:val="000000"/>
              </w:rPr>
            </w:pPr>
            <w:r w:rsidRPr="00BE11D7">
              <w:rPr>
                <w:color w:val="000000"/>
              </w:rPr>
              <w:t xml:space="preserve"> $  1,501.00 </w:t>
            </w:r>
          </w:p>
        </w:tc>
        <w:tc>
          <w:tcPr>
            <w:tcW w:w="1800" w:type="dxa"/>
            <w:tcBorders>
              <w:top w:val="single" w:sz="4" w:space="0" w:color="auto"/>
              <w:left w:val="nil"/>
              <w:bottom w:val="single" w:sz="4" w:space="0" w:color="auto"/>
              <w:right w:val="nil"/>
            </w:tcBorders>
            <w:shd w:val="clear" w:color="auto" w:fill="auto"/>
            <w:noWrap/>
            <w:vAlign w:val="bottom"/>
            <w:hideMark/>
          </w:tcPr>
          <w:p w14:paraId="0CF70CA5" w14:textId="77777777" w:rsidR="00204905" w:rsidRPr="00BE11D7" w:rsidRDefault="00204905" w:rsidP="00954C07">
            <w:pPr>
              <w:rPr>
                <w:color w:val="000000"/>
              </w:rPr>
            </w:pPr>
            <w:r w:rsidRPr="00BE11D7">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7CACCD16" w14:textId="77777777" w:rsidR="00204905" w:rsidRPr="00BE11D7" w:rsidRDefault="00204905" w:rsidP="00954C07">
            <w:pPr>
              <w:rPr>
                <w:color w:val="000000"/>
              </w:rPr>
            </w:pPr>
            <w:r w:rsidRPr="00BE11D7">
              <w:rPr>
                <w:color w:val="000000"/>
              </w:rPr>
              <w:t xml:space="preserve"> $           -   </w:t>
            </w:r>
          </w:p>
        </w:tc>
      </w:tr>
      <w:tr w:rsidR="00204905" w:rsidRPr="00BE11D7" w14:paraId="4403C52B" w14:textId="77777777" w:rsidTr="00954C07">
        <w:trPr>
          <w:trHeight w:val="300"/>
        </w:trPr>
        <w:tc>
          <w:tcPr>
            <w:tcW w:w="2140" w:type="dxa"/>
            <w:tcBorders>
              <w:top w:val="nil"/>
              <w:left w:val="nil"/>
              <w:bottom w:val="nil"/>
              <w:right w:val="nil"/>
            </w:tcBorders>
            <w:shd w:val="clear" w:color="auto" w:fill="auto"/>
            <w:noWrap/>
            <w:vAlign w:val="bottom"/>
            <w:hideMark/>
          </w:tcPr>
          <w:p w14:paraId="4381F59A" w14:textId="77777777" w:rsidR="00204905" w:rsidRPr="00BE11D7" w:rsidRDefault="00204905" w:rsidP="00954C07">
            <w:pPr>
              <w:rPr>
                <w:color w:val="000000"/>
              </w:rPr>
            </w:pPr>
          </w:p>
        </w:tc>
        <w:tc>
          <w:tcPr>
            <w:tcW w:w="830" w:type="dxa"/>
            <w:tcBorders>
              <w:top w:val="nil"/>
              <w:left w:val="nil"/>
              <w:bottom w:val="nil"/>
              <w:right w:val="nil"/>
            </w:tcBorders>
            <w:shd w:val="clear" w:color="auto" w:fill="auto"/>
            <w:noWrap/>
            <w:vAlign w:val="bottom"/>
            <w:hideMark/>
          </w:tcPr>
          <w:p w14:paraId="6BB7FC7E" w14:textId="77777777" w:rsidR="00204905" w:rsidRPr="00BE11D7" w:rsidRDefault="00204905" w:rsidP="00954C07"/>
        </w:tc>
        <w:tc>
          <w:tcPr>
            <w:tcW w:w="1620" w:type="dxa"/>
            <w:tcBorders>
              <w:top w:val="nil"/>
              <w:left w:val="nil"/>
              <w:bottom w:val="nil"/>
              <w:right w:val="nil"/>
            </w:tcBorders>
            <w:shd w:val="clear" w:color="auto" w:fill="auto"/>
            <w:noWrap/>
            <w:vAlign w:val="bottom"/>
            <w:hideMark/>
          </w:tcPr>
          <w:p w14:paraId="0C5E6F07" w14:textId="77777777" w:rsidR="00204905" w:rsidRPr="00BE11D7" w:rsidRDefault="00204905" w:rsidP="00954C07"/>
        </w:tc>
        <w:tc>
          <w:tcPr>
            <w:tcW w:w="1440" w:type="dxa"/>
            <w:tcBorders>
              <w:top w:val="nil"/>
              <w:left w:val="nil"/>
              <w:bottom w:val="nil"/>
              <w:right w:val="nil"/>
            </w:tcBorders>
            <w:shd w:val="clear" w:color="auto" w:fill="auto"/>
            <w:noWrap/>
            <w:vAlign w:val="bottom"/>
            <w:hideMark/>
          </w:tcPr>
          <w:p w14:paraId="1DD61FC2" w14:textId="77777777" w:rsidR="00204905" w:rsidRPr="00BE11D7" w:rsidRDefault="00204905" w:rsidP="00954C07"/>
        </w:tc>
        <w:tc>
          <w:tcPr>
            <w:tcW w:w="1800" w:type="dxa"/>
            <w:tcBorders>
              <w:top w:val="nil"/>
              <w:left w:val="nil"/>
              <w:bottom w:val="nil"/>
              <w:right w:val="nil"/>
            </w:tcBorders>
            <w:shd w:val="clear" w:color="auto" w:fill="auto"/>
            <w:noWrap/>
            <w:vAlign w:val="bottom"/>
            <w:hideMark/>
          </w:tcPr>
          <w:p w14:paraId="3A8D2281" w14:textId="77777777" w:rsidR="00204905" w:rsidRPr="00BE11D7" w:rsidRDefault="00204905" w:rsidP="00954C07"/>
        </w:tc>
        <w:tc>
          <w:tcPr>
            <w:tcW w:w="1321" w:type="dxa"/>
            <w:tcBorders>
              <w:top w:val="nil"/>
              <w:left w:val="nil"/>
              <w:bottom w:val="nil"/>
              <w:right w:val="nil"/>
            </w:tcBorders>
            <w:shd w:val="clear" w:color="auto" w:fill="auto"/>
            <w:noWrap/>
            <w:vAlign w:val="bottom"/>
            <w:hideMark/>
          </w:tcPr>
          <w:p w14:paraId="53717E36" w14:textId="77777777" w:rsidR="00204905" w:rsidRPr="00BE11D7" w:rsidRDefault="00204905" w:rsidP="00954C07"/>
        </w:tc>
      </w:tr>
      <w:tr w:rsidR="00204905" w:rsidRPr="00BE11D7" w14:paraId="36DC4223" w14:textId="77777777" w:rsidTr="00954C07">
        <w:trPr>
          <w:trHeight w:val="300"/>
        </w:trPr>
        <w:tc>
          <w:tcPr>
            <w:tcW w:w="2140" w:type="dxa"/>
            <w:tcBorders>
              <w:top w:val="nil"/>
              <w:left w:val="nil"/>
              <w:bottom w:val="nil"/>
              <w:right w:val="nil"/>
            </w:tcBorders>
            <w:shd w:val="clear" w:color="auto" w:fill="auto"/>
            <w:noWrap/>
            <w:vAlign w:val="bottom"/>
            <w:hideMark/>
          </w:tcPr>
          <w:p w14:paraId="5FAFDD82" w14:textId="77777777" w:rsidR="00204905" w:rsidRPr="00BE11D7" w:rsidRDefault="00204905" w:rsidP="00954C07">
            <w:pPr>
              <w:rPr>
                <w:color w:val="000000"/>
              </w:rPr>
            </w:pPr>
            <w:r w:rsidRPr="00BE11D7">
              <w:rPr>
                <w:color w:val="000000"/>
              </w:rPr>
              <w:t>RTCO Allocation</w:t>
            </w:r>
          </w:p>
        </w:tc>
        <w:tc>
          <w:tcPr>
            <w:tcW w:w="830" w:type="dxa"/>
            <w:tcBorders>
              <w:top w:val="nil"/>
              <w:left w:val="nil"/>
              <w:bottom w:val="nil"/>
              <w:right w:val="nil"/>
            </w:tcBorders>
            <w:shd w:val="clear" w:color="auto" w:fill="auto"/>
            <w:noWrap/>
            <w:vAlign w:val="bottom"/>
            <w:hideMark/>
          </w:tcPr>
          <w:p w14:paraId="78D1AABA" w14:textId="77777777" w:rsidR="00204905" w:rsidRPr="00BE11D7" w:rsidRDefault="00204905" w:rsidP="00954C07">
            <w:pPr>
              <w:rPr>
                <w:color w:val="000000"/>
              </w:rPr>
            </w:pPr>
            <w:r w:rsidRPr="00BE11D7">
              <w:rPr>
                <w:color w:val="000000"/>
              </w:rPr>
              <w:t>QTY</w:t>
            </w:r>
          </w:p>
        </w:tc>
        <w:tc>
          <w:tcPr>
            <w:tcW w:w="1620" w:type="dxa"/>
            <w:tcBorders>
              <w:top w:val="nil"/>
              <w:left w:val="nil"/>
              <w:bottom w:val="nil"/>
              <w:right w:val="nil"/>
            </w:tcBorders>
            <w:shd w:val="clear" w:color="auto" w:fill="auto"/>
            <w:noWrap/>
            <w:vAlign w:val="bottom"/>
            <w:hideMark/>
          </w:tcPr>
          <w:p w14:paraId="1E8F8DFE" w14:textId="77777777" w:rsidR="00204905" w:rsidRPr="00BE11D7" w:rsidRDefault="00204905" w:rsidP="00954C07">
            <w:pPr>
              <w:rPr>
                <w:color w:val="000000"/>
              </w:rPr>
            </w:pPr>
            <w:r w:rsidRPr="00BE11D7">
              <w:rPr>
                <w:color w:val="000000"/>
              </w:rPr>
              <w:t>MCC(EIM1)**</w:t>
            </w:r>
          </w:p>
        </w:tc>
        <w:tc>
          <w:tcPr>
            <w:tcW w:w="1440" w:type="dxa"/>
            <w:tcBorders>
              <w:top w:val="nil"/>
              <w:left w:val="nil"/>
              <w:bottom w:val="nil"/>
              <w:right w:val="nil"/>
            </w:tcBorders>
            <w:shd w:val="clear" w:color="auto" w:fill="auto"/>
            <w:noWrap/>
            <w:vAlign w:val="bottom"/>
            <w:hideMark/>
          </w:tcPr>
          <w:p w14:paraId="04471CD3" w14:textId="77777777" w:rsidR="00204905" w:rsidRPr="00BE11D7" w:rsidRDefault="00204905" w:rsidP="00954C07">
            <w:pPr>
              <w:rPr>
                <w:color w:val="000000"/>
              </w:rPr>
            </w:pPr>
            <w:r w:rsidRPr="00BE11D7">
              <w:rPr>
                <w:color w:val="000000"/>
              </w:rPr>
              <w:t>Amount</w:t>
            </w:r>
          </w:p>
        </w:tc>
        <w:tc>
          <w:tcPr>
            <w:tcW w:w="1800" w:type="dxa"/>
            <w:tcBorders>
              <w:top w:val="nil"/>
              <w:left w:val="nil"/>
              <w:bottom w:val="nil"/>
              <w:right w:val="nil"/>
            </w:tcBorders>
            <w:shd w:val="clear" w:color="auto" w:fill="auto"/>
            <w:noWrap/>
            <w:vAlign w:val="bottom"/>
            <w:hideMark/>
          </w:tcPr>
          <w:p w14:paraId="37296C12" w14:textId="77777777" w:rsidR="00204905" w:rsidRPr="00BE11D7" w:rsidRDefault="00204905" w:rsidP="00954C07">
            <w:pPr>
              <w:rPr>
                <w:color w:val="000000"/>
              </w:rPr>
            </w:pPr>
            <w:r w:rsidRPr="00BE11D7">
              <w:rPr>
                <w:color w:val="000000"/>
              </w:rPr>
              <w:t>MCC(CISO)**</w:t>
            </w:r>
          </w:p>
        </w:tc>
        <w:tc>
          <w:tcPr>
            <w:tcW w:w="1321" w:type="dxa"/>
            <w:tcBorders>
              <w:top w:val="nil"/>
              <w:left w:val="nil"/>
              <w:bottom w:val="nil"/>
              <w:right w:val="nil"/>
            </w:tcBorders>
            <w:shd w:val="clear" w:color="auto" w:fill="auto"/>
            <w:noWrap/>
            <w:vAlign w:val="bottom"/>
            <w:hideMark/>
          </w:tcPr>
          <w:p w14:paraId="4B23C8D4" w14:textId="77777777" w:rsidR="00204905" w:rsidRPr="00BE11D7" w:rsidRDefault="00204905" w:rsidP="00954C07">
            <w:pPr>
              <w:rPr>
                <w:color w:val="000000"/>
              </w:rPr>
            </w:pPr>
            <w:r w:rsidRPr="00BE11D7">
              <w:rPr>
                <w:color w:val="000000"/>
              </w:rPr>
              <w:t>Amount</w:t>
            </w:r>
          </w:p>
        </w:tc>
      </w:tr>
      <w:tr w:rsidR="00204905" w:rsidRPr="00BE11D7" w14:paraId="5B84043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F961" w14:textId="77777777" w:rsidR="00204905" w:rsidRPr="00BE11D7" w:rsidRDefault="00204905" w:rsidP="00954C07">
            <w:pPr>
              <w:rPr>
                <w:color w:val="000000"/>
              </w:rPr>
            </w:pPr>
            <w:r w:rsidRPr="00BE11D7">
              <w:rPr>
                <w:color w:val="000000"/>
              </w:rPr>
              <w:lastRenderedPageBreak/>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0A28CEB7" w14:textId="77777777" w:rsidR="00204905" w:rsidRPr="00BE11D7" w:rsidRDefault="00204905" w:rsidP="00954C07">
            <w:pPr>
              <w:jc w:val="right"/>
              <w:rPr>
                <w:color w:val="000000"/>
              </w:rPr>
            </w:pPr>
            <w:r w:rsidRPr="00BE11D7">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A8EF91A" w14:textId="77777777" w:rsidR="00204905" w:rsidRPr="00BE11D7" w:rsidRDefault="00204905" w:rsidP="00954C07">
            <w:pPr>
              <w:rPr>
                <w:color w:val="000000"/>
              </w:rPr>
            </w:pPr>
            <w:r w:rsidRPr="00BE11D7">
              <w:rPr>
                <w:color w:val="000000"/>
              </w:rPr>
              <w:t xml:space="preserve"> $         (0.005)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9F7443F" w14:textId="77777777" w:rsidR="00204905" w:rsidRPr="00BE11D7" w:rsidRDefault="00204905" w:rsidP="00954C07">
            <w:pPr>
              <w:rPr>
                <w:color w:val="000000"/>
              </w:rPr>
            </w:pPr>
            <w:r w:rsidRPr="00BE11D7">
              <w:rPr>
                <w:color w:val="000000"/>
              </w:rPr>
              <w:t xml:space="preserve"> $ (0.75)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E01EAA5" w14:textId="77777777" w:rsidR="00204905" w:rsidRPr="00BE11D7" w:rsidRDefault="00204905" w:rsidP="00954C07">
            <w:pPr>
              <w:rPr>
                <w:color w:val="000000"/>
              </w:rPr>
            </w:pPr>
            <w:r w:rsidRPr="00BE11D7">
              <w:rPr>
                <w:color w:val="000000"/>
              </w:rPr>
              <w:t>$         (15.005)</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A9399E8" w14:textId="77777777" w:rsidR="00204905" w:rsidRPr="00BE11D7" w:rsidRDefault="00204905" w:rsidP="00954C07">
            <w:pPr>
              <w:rPr>
                <w:color w:val="000000"/>
              </w:rPr>
            </w:pPr>
            <w:r w:rsidRPr="00BE11D7">
              <w:rPr>
                <w:color w:val="000000"/>
              </w:rPr>
              <w:t>$(2,251.50)</w:t>
            </w:r>
          </w:p>
        </w:tc>
      </w:tr>
      <w:tr w:rsidR="00204905" w:rsidRPr="00BE11D7" w14:paraId="04E7C13E"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2A28EE4" w14:textId="77777777" w:rsidR="00204905" w:rsidRPr="00BE11D7" w:rsidRDefault="00204905" w:rsidP="00954C07">
            <w:pPr>
              <w:rPr>
                <w:color w:val="000000"/>
              </w:rPr>
            </w:pPr>
            <w:r w:rsidRPr="00BE11D7">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6150A3A8" w14:textId="77777777" w:rsidR="00204905" w:rsidRPr="00BE11D7" w:rsidRDefault="00204905" w:rsidP="00954C07">
            <w:pPr>
              <w:jc w:val="right"/>
              <w:rPr>
                <w:color w:val="000000"/>
              </w:rPr>
            </w:pPr>
            <w:r w:rsidRPr="00BE11D7">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6DA35459"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2DE7BEE3"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2E92DB50"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52F46587" w14:textId="77777777" w:rsidR="00204905" w:rsidRPr="00BE11D7" w:rsidRDefault="00204905" w:rsidP="00954C07">
            <w:pPr>
              <w:rPr>
                <w:color w:val="000000"/>
              </w:rPr>
            </w:pPr>
            <w:r w:rsidRPr="00BE11D7">
              <w:rPr>
                <w:color w:val="000000"/>
              </w:rPr>
              <w:t xml:space="preserve"> $           -   </w:t>
            </w:r>
          </w:p>
        </w:tc>
      </w:tr>
      <w:tr w:rsidR="00204905" w:rsidRPr="00BE11D7" w14:paraId="3C3845C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9ED08CB" w14:textId="77777777" w:rsidR="00204905" w:rsidRPr="00BE11D7" w:rsidRDefault="00204905" w:rsidP="00954C07">
            <w:pPr>
              <w:rPr>
                <w:color w:val="000000"/>
              </w:rPr>
            </w:pPr>
            <w:r w:rsidRPr="00BE11D7">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2577201A" w14:textId="77777777" w:rsidR="00204905" w:rsidRPr="00BE11D7" w:rsidRDefault="00204905" w:rsidP="00954C07">
            <w:pPr>
              <w:jc w:val="right"/>
              <w:rPr>
                <w:color w:val="000000"/>
              </w:rPr>
            </w:pPr>
            <w:r w:rsidRPr="00BE11D7">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6173C71" w14:textId="77777777" w:rsidR="00204905" w:rsidRPr="00BE11D7" w:rsidRDefault="00204905" w:rsidP="00954C07">
            <w:pPr>
              <w:rPr>
                <w:color w:val="000000"/>
              </w:rPr>
            </w:pPr>
            <w:r w:rsidRPr="00BE11D7">
              <w:rPr>
                <w:color w:val="000000"/>
              </w:rPr>
              <w:t>$         (0.005)</w:t>
            </w:r>
          </w:p>
        </w:tc>
        <w:tc>
          <w:tcPr>
            <w:tcW w:w="1440" w:type="dxa"/>
            <w:tcBorders>
              <w:top w:val="nil"/>
              <w:left w:val="nil"/>
              <w:bottom w:val="single" w:sz="4" w:space="0" w:color="auto"/>
              <w:right w:val="single" w:sz="4" w:space="0" w:color="auto"/>
            </w:tcBorders>
            <w:shd w:val="clear" w:color="auto" w:fill="auto"/>
            <w:noWrap/>
            <w:vAlign w:val="bottom"/>
            <w:hideMark/>
          </w:tcPr>
          <w:p w14:paraId="2476A154" w14:textId="77777777" w:rsidR="00204905" w:rsidRPr="00BE11D7" w:rsidRDefault="00204905" w:rsidP="00954C07">
            <w:pPr>
              <w:rPr>
                <w:color w:val="000000"/>
              </w:rPr>
            </w:pPr>
            <w:r w:rsidRPr="00BE11D7">
              <w:rPr>
                <w:color w:val="000000"/>
              </w:rPr>
              <w:t xml:space="preserve"> $    0.25 </w:t>
            </w:r>
          </w:p>
        </w:tc>
        <w:tc>
          <w:tcPr>
            <w:tcW w:w="1800" w:type="dxa"/>
            <w:tcBorders>
              <w:top w:val="nil"/>
              <w:left w:val="nil"/>
              <w:bottom w:val="single" w:sz="4" w:space="0" w:color="auto"/>
              <w:right w:val="single" w:sz="4" w:space="0" w:color="auto"/>
            </w:tcBorders>
            <w:shd w:val="clear" w:color="auto" w:fill="auto"/>
            <w:noWrap/>
            <w:vAlign w:val="bottom"/>
            <w:hideMark/>
          </w:tcPr>
          <w:p w14:paraId="7617EB07" w14:textId="77777777" w:rsidR="00204905" w:rsidRPr="00BE11D7" w:rsidRDefault="00204905" w:rsidP="00954C07">
            <w:pPr>
              <w:rPr>
                <w:color w:val="000000"/>
              </w:rPr>
            </w:pPr>
            <w:r w:rsidRPr="00BE11D7">
              <w:rPr>
                <w:color w:val="000000"/>
              </w:rPr>
              <w:t>$         (15.005)</w:t>
            </w:r>
          </w:p>
        </w:tc>
        <w:tc>
          <w:tcPr>
            <w:tcW w:w="1321" w:type="dxa"/>
            <w:tcBorders>
              <w:top w:val="nil"/>
              <w:left w:val="nil"/>
              <w:bottom w:val="single" w:sz="4" w:space="0" w:color="auto"/>
              <w:right w:val="single" w:sz="4" w:space="0" w:color="auto"/>
            </w:tcBorders>
            <w:shd w:val="clear" w:color="auto" w:fill="auto"/>
            <w:noWrap/>
            <w:vAlign w:val="bottom"/>
            <w:hideMark/>
          </w:tcPr>
          <w:p w14:paraId="0EA071BE" w14:textId="77777777" w:rsidR="00204905" w:rsidRPr="00BE11D7" w:rsidRDefault="00204905" w:rsidP="00954C07">
            <w:pPr>
              <w:rPr>
                <w:color w:val="000000"/>
              </w:rPr>
            </w:pPr>
            <w:r w:rsidRPr="00BE11D7">
              <w:rPr>
                <w:color w:val="000000"/>
              </w:rPr>
              <w:t>$    750.25</w:t>
            </w:r>
          </w:p>
        </w:tc>
      </w:tr>
      <w:tr w:rsidR="00204905" w:rsidRPr="00BE11D7" w14:paraId="689C962F"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55DA1FF6" w14:textId="77777777" w:rsidR="00204905" w:rsidRPr="00BE11D7" w:rsidRDefault="00204905" w:rsidP="00954C07">
            <w:pPr>
              <w:rPr>
                <w:color w:val="000000"/>
              </w:rPr>
            </w:pPr>
            <w:r w:rsidRPr="00BE11D7">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2C090872" w14:textId="77777777" w:rsidR="00204905" w:rsidRPr="00BE11D7" w:rsidRDefault="00204905" w:rsidP="00954C07">
            <w:pPr>
              <w:jc w:val="right"/>
              <w:rPr>
                <w:color w:val="000000"/>
              </w:rPr>
            </w:pPr>
            <w:r w:rsidRPr="00BE11D7">
              <w:rPr>
                <w:color w:val="000000"/>
              </w:rPr>
              <w:t>-200</w:t>
            </w:r>
          </w:p>
        </w:tc>
        <w:tc>
          <w:tcPr>
            <w:tcW w:w="1620" w:type="dxa"/>
            <w:tcBorders>
              <w:top w:val="nil"/>
              <w:left w:val="nil"/>
              <w:bottom w:val="nil"/>
              <w:right w:val="single" w:sz="4" w:space="0" w:color="auto"/>
            </w:tcBorders>
            <w:shd w:val="clear" w:color="auto" w:fill="auto"/>
            <w:noWrap/>
            <w:vAlign w:val="bottom"/>
            <w:hideMark/>
          </w:tcPr>
          <w:p w14:paraId="7195BC5A"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nil"/>
              <w:right w:val="single" w:sz="4" w:space="0" w:color="auto"/>
            </w:tcBorders>
            <w:shd w:val="clear" w:color="auto" w:fill="auto"/>
            <w:noWrap/>
            <w:vAlign w:val="bottom"/>
            <w:hideMark/>
          </w:tcPr>
          <w:p w14:paraId="1867B8B7"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5E260D3C"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nil"/>
              <w:right w:val="single" w:sz="4" w:space="0" w:color="auto"/>
            </w:tcBorders>
            <w:shd w:val="clear" w:color="auto" w:fill="auto"/>
            <w:noWrap/>
            <w:vAlign w:val="bottom"/>
            <w:hideMark/>
          </w:tcPr>
          <w:p w14:paraId="74D69EF2" w14:textId="77777777" w:rsidR="00204905" w:rsidRPr="00BE11D7" w:rsidRDefault="00204905" w:rsidP="00954C07">
            <w:pPr>
              <w:rPr>
                <w:color w:val="000000"/>
              </w:rPr>
            </w:pPr>
            <w:r w:rsidRPr="00BE11D7">
              <w:rPr>
                <w:color w:val="000000"/>
              </w:rPr>
              <w:t xml:space="preserve"> $           -   </w:t>
            </w:r>
          </w:p>
        </w:tc>
      </w:tr>
      <w:tr w:rsidR="00204905" w:rsidRPr="00BE11D7" w14:paraId="2114767A" w14:textId="77777777" w:rsidTr="00954C07">
        <w:trPr>
          <w:trHeight w:val="300"/>
        </w:trPr>
        <w:tc>
          <w:tcPr>
            <w:tcW w:w="2140" w:type="dxa"/>
            <w:tcBorders>
              <w:top w:val="single" w:sz="4" w:space="0" w:color="auto"/>
              <w:left w:val="single" w:sz="4" w:space="0" w:color="auto"/>
              <w:bottom w:val="nil"/>
              <w:right w:val="single" w:sz="4" w:space="0" w:color="auto"/>
            </w:tcBorders>
            <w:shd w:val="clear" w:color="auto" w:fill="auto"/>
            <w:noWrap/>
            <w:vAlign w:val="bottom"/>
            <w:hideMark/>
          </w:tcPr>
          <w:p w14:paraId="5A3A750B" w14:textId="77777777" w:rsidR="00204905" w:rsidRPr="00BE11D7" w:rsidRDefault="00204905" w:rsidP="00954C07">
            <w:pPr>
              <w:rPr>
                <w:color w:val="000000"/>
              </w:rPr>
            </w:pPr>
            <w:r w:rsidRPr="00BE11D7">
              <w:rPr>
                <w:color w:val="000000"/>
              </w:rPr>
              <w:t>CC 67740</w:t>
            </w:r>
          </w:p>
        </w:tc>
        <w:tc>
          <w:tcPr>
            <w:tcW w:w="830" w:type="dxa"/>
            <w:tcBorders>
              <w:top w:val="single" w:sz="4" w:space="0" w:color="auto"/>
              <w:left w:val="nil"/>
              <w:bottom w:val="nil"/>
              <w:right w:val="single" w:sz="4" w:space="0" w:color="auto"/>
            </w:tcBorders>
            <w:shd w:val="clear" w:color="auto" w:fill="auto"/>
            <w:noWrap/>
            <w:vAlign w:val="bottom"/>
            <w:hideMark/>
          </w:tcPr>
          <w:p w14:paraId="0FA91D63" w14:textId="77777777" w:rsidR="00204905" w:rsidRPr="00BE11D7" w:rsidRDefault="00204905" w:rsidP="00954C07">
            <w:pPr>
              <w:rPr>
                <w:color w:val="000000"/>
              </w:rPr>
            </w:pPr>
            <w:r w:rsidRPr="00BE11D7">
              <w:rPr>
                <w:color w:val="000000"/>
              </w:rPr>
              <w:t> </w:t>
            </w:r>
          </w:p>
        </w:tc>
        <w:tc>
          <w:tcPr>
            <w:tcW w:w="1620" w:type="dxa"/>
            <w:tcBorders>
              <w:top w:val="single" w:sz="4" w:space="0" w:color="auto"/>
              <w:left w:val="nil"/>
              <w:bottom w:val="nil"/>
              <w:right w:val="single" w:sz="4" w:space="0" w:color="auto"/>
            </w:tcBorders>
            <w:shd w:val="clear" w:color="auto" w:fill="auto"/>
            <w:noWrap/>
            <w:vAlign w:val="bottom"/>
            <w:hideMark/>
          </w:tcPr>
          <w:p w14:paraId="65D91224" w14:textId="77777777" w:rsidR="00204905" w:rsidRPr="00BE11D7" w:rsidRDefault="00204905" w:rsidP="00954C07">
            <w:pPr>
              <w:rPr>
                <w:color w:val="000000"/>
              </w:rPr>
            </w:pPr>
            <w:r w:rsidRPr="00BE11D7">
              <w:rPr>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5399CB3D" w14:textId="77777777" w:rsidR="00204905" w:rsidRPr="00BE11D7" w:rsidRDefault="00204905" w:rsidP="00954C07">
            <w:pPr>
              <w:rPr>
                <w:color w:val="000000"/>
              </w:rPr>
            </w:pPr>
            <w:r w:rsidRPr="00BE11D7">
              <w:rPr>
                <w:color w:val="000000"/>
              </w:rPr>
              <w:t xml:space="preserve"> $   (0.50)</w:t>
            </w:r>
          </w:p>
        </w:tc>
        <w:tc>
          <w:tcPr>
            <w:tcW w:w="1800" w:type="dxa"/>
            <w:tcBorders>
              <w:top w:val="single" w:sz="4" w:space="0" w:color="auto"/>
              <w:left w:val="nil"/>
              <w:bottom w:val="nil"/>
              <w:right w:val="single" w:sz="4" w:space="0" w:color="auto"/>
            </w:tcBorders>
            <w:shd w:val="clear" w:color="auto" w:fill="auto"/>
            <w:noWrap/>
            <w:vAlign w:val="bottom"/>
            <w:hideMark/>
          </w:tcPr>
          <w:p w14:paraId="4E16CD09" w14:textId="77777777" w:rsidR="00204905" w:rsidRPr="00BE11D7" w:rsidRDefault="00204905" w:rsidP="00954C07">
            <w:pPr>
              <w:rPr>
                <w:color w:val="000000"/>
              </w:rPr>
            </w:pPr>
            <w:r w:rsidRPr="00BE11D7">
              <w:rPr>
                <w:color w:val="000000"/>
              </w:rPr>
              <w:t> </w:t>
            </w:r>
          </w:p>
        </w:tc>
        <w:tc>
          <w:tcPr>
            <w:tcW w:w="1321" w:type="dxa"/>
            <w:tcBorders>
              <w:top w:val="single" w:sz="4" w:space="0" w:color="auto"/>
              <w:left w:val="nil"/>
              <w:bottom w:val="nil"/>
              <w:right w:val="single" w:sz="4" w:space="0" w:color="auto"/>
            </w:tcBorders>
            <w:shd w:val="clear" w:color="auto" w:fill="auto"/>
            <w:noWrap/>
            <w:vAlign w:val="bottom"/>
            <w:hideMark/>
          </w:tcPr>
          <w:p w14:paraId="5BC49EFF" w14:textId="77777777" w:rsidR="00204905" w:rsidRPr="00BE11D7" w:rsidRDefault="00204905" w:rsidP="00954C07">
            <w:pPr>
              <w:rPr>
                <w:color w:val="000000"/>
              </w:rPr>
            </w:pPr>
            <w:r w:rsidRPr="00BE11D7">
              <w:rPr>
                <w:color w:val="000000"/>
              </w:rPr>
              <w:t> </w:t>
            </w:r>
          </w:p>
        </w:tc>
      </w:tr>
      <w:tr w:rsidR="00204905" w:rsidRPr="00BE11D7" w14:paraId="282D8B6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911F7FE" w14:textId="77777777" w:rsidR="00204905" w:rsidRPr="00BE11D7" w:rsidRDefault="00204905" w:rsidP="00954C07">
            <w:pPr>
              <w:rPr>
                <w:color w:val="000000"/>
              </w:rPr>
            </w:pPr>
            <w:r w:rsidRPr="00BE11D7">
              <w:rPr>
                <w:color w:val="000000"/>
              </w:rPr>
              <w:t>CC 6774</w:t>
            </w:r>
          </w:p>
        </w:tc>
        <w:tc>
          <w:tcPr>
            <w:tcW w:w="830" w:type="dxa"/>
            <w:tcBorders>
              <w:top w:val="nil"/>
              <w:left w:val="nil"/>
              <w:bottom w:val="single" w:sz="4" w:space="0" w:color="auto"/>
              <w:right w:val="single" w:sz="4" w:space="0" w:color="auto"/>
            </w:tcBorders>
            <w:shd w:val="clear" w:color="auto" w:fill="auto"/>
            <w:noWrap/>
            <w:vAlign w:val="bottom"/>
            <w:hideMark/>
          </w:tcPr>
          <w:p w14:paraId="3163A4AA" w14:textId="77777777" w:rsidR="00204905" w:rsidRPr="00BE11D7" w:rsidRDefault="00204905" w:rsidP="00954C07">
            <w:pPr>
              <w:rPr>
                <w:color w:val="000000"/>
              </w:rPr>
            </w:pPr>
            <w:r w:rsidRPr="00BE11D7">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B0DBFB" w14:textId="77777777" w:rsidR="00204905" w:rsidRPr="00BE11D7" w:rsidRDefault="00204905" w:rsidP="00954C07">
            <w:pPr>
              <w:rPr>
                <w:color w:val="000000"/>
              </w:rPr>
            </w:pPr>
            <w:r w:rsidRPr="00BE11D7">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F41E4C" w14:textId="77777777" w:rsidR="00204905" w:rsidRPr="00BE11D7" w:rsidRDefault="00204905" w:rsidP="00954C07">
            <w:pPr>
              <w:rPr>
                <w:color w:val="000000"/>
              </w:rPr>
            </w:pPr>
            <w:r w:rsidRPr="00BE11D7">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3B3BF4" w14:textId="77777777" w:rsidR="00204905" w:rsidRPr="00BE11D7" w:rsidRDefault="00204905" w:rsidP="00954C07">
            <w:pPr>
              <w:rPr>
                <w:color w:val="000000"/>
              </w:rPr>
            </w:pPr>
            <w:r w:rsidRPr="00BE11D7">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4C77BA29" w14:textId="77777777" w:rsidR="00204905" w:rsidRPr="00BE11D7" w:rsidRDefault="00204905" w:rsidP="00954C07">
            <w:pPr>
              <w:rPr>
                <w:color w:val="000000"/>
              </w:rPr>
            </w:pPr>
            <w:r w:rsidRPr="00BE11D7">
              <w:rPr>
                <w:color w:val="000000"/>
              </w:rPr>
              <w:t>$  (1500.50)</w:t>
            </w:r>
          </w:p>
        </w:tc>
      </w:tr>
    </w:tbl>
    <w:p w14:paraId="764A3726" w14:textId="77777777" w:rsidR="004B5C2B" w:rsidRDefault="004B5C2B" w:rsidP="00204905">
      <w:pPr>
        <w:rPr>
          <w:color w:val="000000"/>
          <w:sz w:val="18"/>
        </w:rPr>
      </w:pPr>
    </w:p>
    <w:p w14:paraId="18329E40" w14:textId="77777777" w:rsidR="00204905" w:rsidRPr="00BE11D7" w:rsidRDefault="00204905" w:rsidP="00204905">
      <w:pPr>
        <w:rPr>
          <w:color w:val="000000"/>
          <w:sz w:val="18"/>
        </w:rPr>
      </w:pPr>
      <w:r w:rsidRPr="00BE11D7">
        <w:rPr>
          <w:color w:val="000000"/>
          <w:sz w:val="18"/>
        </w:rPr>
        <w:t xml:space="preserve">** Sum of the Intertie Scheduling Limit plus product of EIM Transfer Costs and the EIM Transfer Cost Ratio Share (50/50) plus the product of EIM Constraint and the EIM Transfer Constraint Ratio Share (50/50) </w:t>
      </w:r>
    </w:p>
    <w:p w14:paraId="68EDB106" w14:textId="77777777" w:rsidR="00204905" w:rsidRDefault="00204905" w:rsidP="00204905"/>
    <w:p w14:paraId="01AD20BB" w14:textId="77777777" w:rsidR="00204905" w:rsidRDefault="00204905" w:rsidP="00204905"/>
    <w:p w14:paraId="69CD4879" w14:textId="77777777" w:rsidR="00204905" w:rsidRDefault="00204905" w:rsidP="00204905"/>
    <w:p w14:paraId="0362400D" w14:textId="77777777" w:rsidR="00204905" w:rsidRDefault="00204905" w:rsidP="00204905"/>
    <w:p w14:paraId="6B3FE107" w14:textId="77777777" w:rsidR="00204905" w:rsidRDefault="00204905" w:rsidP="00204905"/>
    <w:p w14:paraId="0CA8AD20" w14:textId="77777777" w:rsidR="00204905" w:rsidRDefault="00204905" w:rsidP="00204905"/>
    <w:p w14:paraId="3E066789" w14:textId="77777777" w:rsidR="00204905" w:rsidRDefault="00204905" w:rsidP="00204905"/>
    <w:p w14:paraId="16BED47B" w14:textId="77777777" w:rsidR="00204905" w:rsidRDefault="00204905" w:rsidP="00204905"/>
    <w:p w14:paraId="31EA20C4" w14:textId="77777777" w:rsidR="00204905" w:rsidRPr="00BE11D7" w:rsidRDefault="00204905" w:rsidP="00204905"/>
    <w:tbl>
      <w:tblPr>
        <w:tblW w:w="8640" w:type="dxa"/>
        <w:tblLook w:val="04A0" w:firstRow="1" w:lastRow="0" w:firstColumn="1" w:lastColumn="0" w:noHBand="0" w:noVBand="1"/>
      </w:tblPr>
      <w:tblGrid>
        <w:gridCol w:w="2610"/>
        <w:gridCol w:w="2520"/>
        <w:gridCol w:w="1800"/>
        <w:gridCol w:w="1710"/>
      </w:tblGrid>
      <w:tr w:rsidR="00204905" w:rsidRPr="00BE11D7" w14:paraId="7188FD96" w14:textId="77777777" w:rsidTr="00954C07">
        <w:trPr>
          <w:trHeight w:val="300"/>
        </w:trPr>
        <w:tc>
          <w:tcPr>
            <w:tcW w:w="2610" w:type="dxa"/>
            <w:tcBorders>
              <w:top w:val="nil"/>
              <w:left w:val="nil"/>
              <w:bottom w:val="nil"/>
              <w:right w:val="nil"/>
            </w:tcBorders>
          </w:tcPr>
          <w:p w14:paraId="7DF7CDE0" w14:textId="77777777" w:rsidR="00204905" w:rsidRPr="00BE11D7" w:rsidRDefault="00204905" w:rsidP="00954C07">
            <w:pPr>
              <w:rPr>
                <w:color w:val="000000"/>
              </w:rPr>
            </w:pPr>
            <w:r>
              <w:rPr>
                <w:color w:val="000000"/>
              </w:rPr>
              <w:t>RTIEO Charge/Payment</w:t>
            </w:r>
          </w:p>
        </w:tc>
        <w:tc>
          <w:tcPr>
            <w:tcW w:w="2520" w:type="dxa"/>
            <w:tcBorders>
              <w:top w:val="nil"/>
              <w:left w:val="nil"/>
              <w:bottom w:val="nil"/>
              <w:right w:val="nil"/>
            </w:tcBorders>
            <w:shd w:val="clear" w:color="auto" w:fill="auto"/>
            <w:noWrap/>
            <w:vAlign w:val="bottom"/>
            <w:hideMark/>
          </w:tcPr>
          <w:p w14:paraId="26A1FFF0" w14:textId="77777777" w:rsidR="00204905" w:rsidRPr="00BE11D7" w:rsidRDefault="00204905" w:rsidP="00954C07">
            <w:pPr>
              <w:rPr>
                <w:color w:val="000000"/>
              </w:rPr>
            </w:pPr>
            <w:r w:rsidRPr="00BE11D7">
              <w:rPr>
                <w:color w:val="000000"/>
              </w:rPr>
              <w:t>Charge Code</w:t>
            </w:r>
          </w:p>
        </w:tc>
        <w:tc>
          <w:tcPr>
            <w:tcW w:w="1800" w:type="dxa"/>
            <w:tcBorders>
              <w:top w:val="nil"/>
              <w:left w:val="nil"/>
              <w:bottom w:val="nil"/>
              <w:right w:val="nil"/>
            </w:tcBorders>
            <w:shd w:val="clear" w:color="auto" w:fill="auto"/>
            <w:noWrap/>
            <w:vAlign w:val="bottom"/>
            <w:hideMark/>
          </w:tcPr>
          <w:p w14:paraId="2FE473E1" w14:textId="77777777" w:rsidR="00204905" w:rsidRPr="00BE11D7" w:rsidRDefault="00204905" w:rsidP="00954C07">
            <w:pPr>
              <w:rPr>
                <w:color w:val="000000"/>
              </w:rPr>
            </w:pPr>
            <w:r w:rsidRPr="00BE11D7">
              <w:rPr>
                <w:color w:val="000000"/>
              </w:rPr>
              <w:t>EIM1</w:t>
            </w:r>
          </w:p>
        </w:tc>
        <w:tc>
          <w:tcPr>
            <w:tcW w:w="1710" w:type="dxa"/>
            <w:tcBorders>
              <w:top w:val="nil"/>
              <w:left w:val="nil"/>
              <w:bottom w:val="nil"/>
              <w:right w:val="nil"/>
            </w:tcBorders>
            <w:shd w:val="clear" w:color="auto" w:fill="auto"/>
            <w:noWrap/>
            <w:vAlign w:val="bottom"/>
            <w:hideMark/>
          </w:tcPr>
          <w:p w14:paraId="6A3E4279" w14:textId="77777777" w:rsidR="00204905" w:rsidRPr="00BE11D7" w:rsidRDefault="00204905" w:rsidP="00954C07">
            <w:pPr>
              <w:rPr>
                <w:color w:val="000000"/>
              </w:rPr>
            </w:pPr>
            <w:r w:rsidRPr="00BE11D7">
              <w:rPr>
                <w:color w:val="000000"/>
              </w:rPr>
              <w:t>CISO</w:t>
            </w:r>
          </w:p>
        </w:tc>
      </w:tr>
      <w:tr w:rsidR="00204905" w:rsidRPr="00BE11D7" w14:paraId="5A75218A" w14:textId="77777777" w:rsidTr="00954C07">
        <w:trPr>
          <w:trHeight w:val="300"/>
        </w:trPr>
        <w:tc>
          <w:tcPr>
            <w:tcW w:w="2610" w:type="dxa"/>
            <w:vMerge w:val="restart"/>
            <w:tcBorders>
              <w:top w:val="single" w:sz="4" w:space="0" w:color="auto"/>
              <w:left w:val="single" w:sz="4" w:space="0" w:color="auto"/>
              <w:right w:val="single" w:sz="4" w:space="0" w:color="auto"/>
            </w:tcBorders>
          </w:tcPr>
          <w:p w14:paraId="2F755755" w14:textId="77777777" w:rsidR="00204905" w:rsidRPr="00BE11D7" w:rsidRDefault="00204905" w:rsidP="00954C07">
            <w:pPr>
              <w:rPr>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42AD3" w14:textId="77777777" w:rsidR="00204905" w:rsidRPr="00BE11D7" w:rsidRDefault="00204905" w:rsidP="00954C07">
            <w:pPr>
              <w:rPr>
                <w:color w:val="000000"/>
              </w:rPr>
            </w:pPr>
            <w:r w:rsidRPr="00BE11D7">
              <w:rPr>
                <w:color w:val="000000"/>
              </w:rPr>
              <w:t>CC 64700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0BBD6B" w14:textId="77777777" w:rsidR="00204905" w:rsidRPr="00BE11D7" w:rsidRDefault="00204905" w:rsidP="00954C07">
            <w:pPr>
              <w:rPr>
                <w:color w:val="000000"/>
              </w:rPr>
            </w:pPr>
            <w:r w:rsidRPr="00BE11D7">
              <w:rPr>
                <w:color w:val="000000"/>
              </w:rPr>
              <w:t xml:space="preserve"> $(5,248.50)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96E6067" w14:textId="77777777" w:rsidR="00204905" w:rsidRPr="00BE11D7" w:rsidRDefault="00204905" w:rsidP="00954C07">
            <w:pPr>
              <w:rPr>
                <w:color w:val="000000"/>
              </w:rPr>
            </w:pPr>
            <w:r w:rsidRPr="00BE11D7">
              <w:rPr>
                <w:color w:val="000000"/>
              </w:rPr>
              <w:t> </w:t>
            </w:r>
          </w:p>
        </w:tc>
      </w:tr>
      <w:tr w:rsidR="00204905" w:rsidRPr="00BE11D7" w14:paraId="51D6B3BE" w14:textId="77777777" w:rsidTr="00954C07">
        <w:trPr>
          <w:trHeight w:val="300"/>
        </w:trPr>
        <w:tc>
          <w:tcPr>
            <w:tcW w:w="2610" w:type="dxa"/>
            <w:vMerge/>
            <w:tcBorders>
              <w:left w:val="single" w:sz="4" w:space="0" w:color="auto"/>
              <w:right w:val="single" w:sz="4" w:space="0" w:color="auto"/>
            </w:tcBorders>
          </w:tcPr>
          <w:p w14:paraId="5A9487F8"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F3110F6" w14:textId="77777777" w:rsidR="00204905" w:rsidRPr="00BE11D7" w:rsidRDefault="00204905" w:rsidP="00954C07">
            <w:pPr>
              <w:rPr>
                <w:color w:val="000000"/>
              </w:rPr>
            </w:pPr>
            <w:r w:rsidRPr="00BE11D7">
              <w:rPr>
                <w:color w:val="000000"/>
              </w:rPr>
              <w:t>CC 6470</w:t>
            </w:r>
          </w:p>
        </w:tc>
        <w:tc>
          <w:tcPr>
            <w:tcW w:w="1800" w:type="dxa"/>
            <w:tcBorders>
              <w:top w:val="nil"/>
              <w:left w:val="nil"/>
              <w:bottom w:val="single" w:sz="4" w:space="0" w:color="auto"/>
              <w:right w:val="single" w:sz="4" w:space="0" w:color="auto"/>
            </w:tcBorders>
            <w:shd w:val="clear" w:color="auto" w:fill="auto"/>
            <w:noWrap/>
            <w:vAlign w:val="bottom"/>
            <w:hideMark/>
          </w:tcPr>
          <w:p w14:paraId="68645501" w14:textId="77777777" w:rsidR="00204905" w:rsidRPr="00BE11D7" w:rsidRDefault="00204905" w:rsidP="00954C07">
            <w:pPr>
              <w:rPr>
                <w:color w:val="000000"/>
              </w:rPr>
            </w:pPr>
            <w:r w:rsidRPr="00BE11D7">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1DE492" w14:textId="77777777" w:rsidR="00204905" w:rsidRPr="00BE11D7" w:rsidRDefault="00204905" w:rsidP="00954C07">
            <w:pPr>
              <w:rPr>
                <w:color w:val="000000"/>
              </w:rPr>
            </w:pPr>
            <w:r w:rsidRPr="00BE11D7">
              <w:rPr>
                <w:color w:val="000000"/>
              </w:rPr>
              <w:t xml:space="preserve"> $      (5,000.00)</w:t>
            </w:r>
          </w:p>
        </w:tc>
      </w:tr>
      <w:tr w:rsidR="00204905" w:rsidRPr="00BE11D7" w14:paraId="1B05C484" w14:textId="77777777" w:rsidTr="00954C07">
        <w:trPr>
          <w:trHeight w:val="300"/>
        </w:trPr>
        <w:tc>
          <w:tcPr>
            <w:tcW w:w="2610" w:type="dxa"/>
            <w:vMerge/>
            <w:tcBorders>
              <w:left w:val="single" w:sz="4" w:space="0" w:color="auto"/>
              <w:right w:val="single" w:sz="4" w:space="0" w:color="auto"/>
            </w:tcBorders>
          </w:tcPr>
          <w:p w14:paraId="34BA5FDC"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FC3A9C" w14:textId="77777777" w:rsidR="00204905" w:rsidRPr="00BE11D7" w:rsidRDefault="00204905" w:rsidP="00954C07">
            <w:pPr>
              <w:rPr>
                <w:color w:val="000000"/>
              </w:rPr>
            </w:pPr>
            <w:r w:rsidRPr="00BE11D7">
              <w:rPr>
                <w:color w:val="000000"/>
              </w:rPr>
              <w:t>CC 64750</w:t>
            </w:r>
          </w:p>
        </w:tc>
        <w:tc>
          <w:tcPr>
            <w:tcW w:w="1800" w:type="dxa"/>
            <w:tcBorders>
              <w:top w:val="nil"/>
              <w:left w:val="nil"/>
              <w:bottom w:val="single" w:sz="4" w:space="0" w:color="auto"/>
              <w:right w:val="single" w:sz="4" w:space="0" w:color="auto"/>
            </w:tcBorders>
            <w:shd w:val="clear" w:color="auto" w:fill="auto"/>
            <w:noWrap/>
            <w:vAlign w:val="bottom"/>
            <w:hideMark/>
          </w:tcPr>
          <w:p w14:paraId="23615BA6" w14:textId="77777777" w:rsidR="00204905" w:rsidRPr="00BE11D7" w:rsidRDefault="00204905" w:rsidP="00954C07">
            <w:pPr>
              <w:rPr>
                <w:color w:val="000000"/>
              </w:rPr>
            </w:pPr>
            <w:r w:rsidRPr="00BE11D7">
              <w:rPr>
                <w:color w:val="000000"/>
              </w:rPr>
              <w:t xml:space="preserve"> $  1,749.50 </w:t>
            </w:r>
          </w:p>
        </w:tc>
        <w:tc>
          <w:tcPr>
            <w:tcW w:w="1710" w:type="dxa"/>
            <w:tcBorders>
              <w:top w:val="nil"/>
              <w:left w:val="nil"/>
              <w:bottom w:val="single" w:sz="4" w:space="0" w:color="auto"/>
              <w:right w:val="single" w:sz="4" w:space="0" w:color="auto"/>
            </w:tcBorders>
            <w:shd w:val="clear" w:color="auto" w:fill="auto"/>
            <w:noWrap/>
            <w:vAlign w:val="bottom"/>
            <w:hideMark/>
          </w:tcPr>
          <w:p w14:paraId="6905B536" w14:textId="77777777" w:rsidR="00204905" w:rsidRPr="00BE11D7" w:rsidRDefault="00204905" w:rsidP="00954C07">
            <w:pPr>
              <w:rPr>
                <w:color w:val="000000"/>
              </w:rPr>
            </w:pPr>
            <w:r w:rsidRPr="00BE11D7">
              <w:rPr>
                <w:color w:val="000000"/>
              </w:rPr>
              <w:t> </w:t>
            </w:r>
          </w:p>
        </w:tc>
      </w:tr>
      <w:tr w:rsidR="00204905" w:rsidRPr="00BE11D7" w14:paraId="397B1F50" w14:textId="77777777" w:rsidTr="00954C07">
        <w:trPr>
          <w:trHeight w:val="300"/>
        </w:trPr>
        <w:tc>
          <w:tcPr>
            <w:tcW w:w="2610" w:type="dxa"/>
            <w:vMerge/>
            <w:tcBorders>
              <w:left w:val="single" w:sz="4" w:space="0" w:color="auto"/>
              <w:right w:val="single" w:sz="4" w:space="0" w:color="auto"/>
            </w:tcBorders>
          </w:tcPr>
          <w:p w14:paraId="4750C502"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0A2BB64" w14:textId="77777777" w:rsidR="00204905" w:rsidRPr="00BE11D7" w:rsidRDefault="00204905" w:rsidP="00954C07">
            <w:pPr>
              <w:rPr>
                <w:color w:val="000000"/>
              </w:rPr>
            </w:pPr>
            <w:r w:rsidRPr="00BE11D7">
              <w:rPr>
                <w:color w:val="000000"/>
              </w:rPr>
              <w:t>CC 6475</w:t>
            </w:r>
          </w:p>
        </w:tc>
        <w:tc>
          <w:tcPr>
            <w:tcW w:w="1800" w:type="dxa"/>
            <w:tcBorders>
              <w:top w:val="nil"/>
              <w:left w:val="nil"/>
              <w:bottom w:val="single" w:sz="4" w:space="0" w:color="auto"/>
              <w:right w:val="single" w:sz="4" w:space="0" w:color="auto"/>
            </w:tcBorders>
            <w:shd w:val="clear" w:color="auto" w:fill="auto"/>
            <w:noWrap/>
            <w:vAlign w:val="bottom"/>
            <w:hideMark/>
          </w:tcPr>
          <w:p w14:paraId="7DFBA0C0" w14:textId="77777777" w:rsidR="00204905" w:rsidRPr="00BE11D7" w:rsidRDefault="00204905" w:rsidP="00954C07">
            <w:pPr>
              <w:rPr>
                <w:color w:val="000000"/>
              </w:rPr>
            </w:pPr>
            <w:r w:rsidRPr="00BE11D7">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52D326" w14:textId="77777777" w:rsidR="00204905" w:rsidRPr="00BE11D7" w:rsidRDefault="00204905" w:rsidP="00954C07">
            <w:pPr>
              <w:rPr>
                <w:color w:val="000000"/>
              </w:rPr>
            </w:pPr>
            <w:r w:rsidRPr="00BE11D7">
              <w:rPr>
                <w:color w:val="000000"/>
              </w:rPr>
              <w:t xml:space="preserve"> $     10,000.00 </w:t>
            </w:r>
          </w:p>
        </w:tc>
      </w:tr>
      <w:tr w:rsidR="00204905" w:rsidRPr="00BE11D7" w14:paraId="67B195E5" w14:textId="77777777" w:rsidTr="00954C07">
        <w:trPr>
          <w:trHeight w:val="300"/>
        </w:trPr>
        <w:tc>
          <w:tcPr>
            <w:tcW w:w="2610" w:type="dxa"/>
            <w:vMerge/>
            <w:tcBorders>
              <w:left w:val="single" w:sz="4" w:space="0" w:color="auto"/>
              <w:right w:val="single" w:sz="4" w:space="0" w:color="auto"/>
            </w:tcBorders>
          </w:tcPr>
          <w:p w14:paraId="436D16FB" w14:textId="77777777" w:rsidR="00204905" w:rsidRPr="00BE11D7" w:rsidRDefault="00204905" w:rsidP="00954C07">
            <w:pPr>
              <w:rPr>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4B1769A2" w14:textId="77777777" w:rsidR="00204905" w:rsidRPr="00BE11D7" w:rsidRDefault="00204905" w:rsidP="00954C07">
            <w:pPr>
              <w:rPr>
                <w:color w:val="000000"/>
              </w:rPr>
            </w:pPr>
            <w:r w:rsidRPr="00BE11D7">
              <w:rPr>
                <w:color w:val="000000"/>
              </w:rPr>
              <w:t>EIM Financial Value***</w:t>
            </w:r>
          </w:p>
        </w:tc>
        <w:tc>
          <w:tcPr>
            <w:tcW w:w="1800" w:type="dxa"/>
            <w:tcBorders>
              <w:top w:val="nil"/>
              <w:left w:val="nil"/>
              <w:bottom w:val="single" w:sz="4" w:space="0" w:color="auto"/>
              <w:right w:val="single" w:sz="4" w:space="0" w:color="auto"/>
            </w:tcBorders>
            <w:shd w:val="clear" w:color="auto" w:fill="auto"/>
            <w:noWrap/>
            <w:vAlign w:val="bottom"/>
            <w:hideMark/>
          </w:tcPr>
          <w:p w14:paraId="5C3C4C82" w14:textId="77777777" w:rsidR="00204905" w:rsidRPr="00BE11D7" w:rsidRDefault="00204905" w:rsidP="00954C07">
            <w:pPr>
              <w:rPr>
                <w:color w:val="000000"/>
              </w:rPr>
            </w:pPr>
            <w:r w:rsidRPr="00BE11D7">
              <w:rPr>
                <w:color w:val="000000"/>
              </w:rPr>
              <w:t xml:space="preserve"> $  5,000.00 </w:t>
            </w:r>
          </w:p>
        </w:tc>
        <w:tc>
          <w:tcPr>
            <w:tcW w:w="1710" w:type="dxa"/>
            <w:tcBorders>
              <w:top w:val="nil"/>
              <w:left w:val="nil"/>
              <w:bottom w:val="single" w:sz="4" w:space="0" w:color="auto"/>
              <w:right w:val="single" w:sz="4" w:space="0" w:color="auto"/>
            </w:tcBorders>
            <w:shd w:val="clear" w:color="auto" w:fill="auto"/>
            <w:noWrap/>
            <w:vAlign w:val="bottom"/>
            <w:hideMark/>
          </w:tcPr>
          <w:p w14:paraId="104FFD35" w14:textId="77777777" w:rsidR="00204905" w:rsidRPr="00BE11D7" w:rsidRDefault="00204905" w:rsidP="00954C07">
            <w:pPr>
              <w:rPr>
                <w:color w:val="000000"/>
              </w:rPr>
            </w:pPr>
            <w:r w:rsidRPr="00BE11D7">
              <w:rPr>
                <w:color w:val="000000"/>
              </w:rPr>
              <w:t xml:space="preserve"> $      (5,000.00)</w:t>
            </w:r>
          </w:p>
        </w:tc>
      </w:tr>
      <w:tr w:rsidR="00204905" w:rsidRPr="00BE11D7" w14:paraId="6475FBED" w14:textId="77777777" w:rsidTr="00954C07">
        <w:trPr>
          <w:trHeight w:val="300"/>
        </w:trPr>
        <w:tc>
          <w:tcPr>
            <w:tcW w:w="2610" w:type="dxa"/>
            <w:vMerge/>
            <w:tcBorders>
              <w:left w:val="single" w:sz="4" w:space="0" w:color="auto"/>
              <w:right w:val="single" w:sz="4" w:space="0" w:color="auto"/>
            </w:tcBorders>
          </w:tcPr>
          <w:p w14:paraId="22D06283" w14:textId="77777777" w:rsidR="00204905" w:rsidRPr="00BE11D7" w:rsidRDefault="00204905" w:rsidP="00954C07">
            <w:pPr>
              <w:rPr>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F9C8" w14:textId="77777777" w:rsidR="00204905" w:rsidRPr="00BE11D7" w:rsidRDefault="00204905" w:rsidP="00954C07">
            <w:pPr>
              <w:rPr>
                <w:color w:val="000000"/>
              </w:rPr>
            </w:pPr>
            <w:r w:rsidRPr="00BE11D7">
              <w:rPr>
                <w:color w:val="000000"/>
              </w:rPr>
              <w:t>RTCO Calculation</w:t>
            </w:r>
          </w:p>
        </w:tc>
        <w:tc>
          <w:tcPr>
            <w:tcW w:w="1800" w:type="dxa"/>
            <w:tcBorders>
              <w:top w:val="nil"/>
              <w:left w:val="nil"/>
              <w:bottom w:val="single" w:sz="4" w:space="0" w:color="auto"/>
              <w:right w:val="single" w:sz="4" w:space="0" w:color="auto"/>
            </w:tcBorders>
            <w:shd w:val="clear" w:color="auto" w:fill="auto"/>
            <w:noWrap/>
            <w:vAlign w:val="bottom"/>
            <w:hideMark/>
          </w:tcPr>
          <w:p w14:paraId="0FFE3E5B" w14:textId="77777777" w:rsidR="00204905" w:rsidRPr="00BE11D7" w:rsidRDefault="00204905" w:rsidP="00954C07">
            <w:pPr>
              <w:rPr>
                <w:color w:val="000000"/>
              </w:rPr>
            </w:pPr>
            <w:r w:rsidRPr="00BE11D7">
              <w:rPr>
                <w:color w:val="000000"/>
              </w:rPr>
              <w:t xml:space="preserve"> $  1,501.00 </w:t>
            </w:r>
          </w:p>
        </w:tc>
        <w:tc>
          <w:tcPr>
            <w:tcW w:w="1710" w:type="dxa"/>
            <w:tcBorders>
              <w:top w:val="nil"/>
              <w:left w:val="nil"/>
              <w:bottom w:val="single" w:sz="4" w:space="0" w:color="auto"/>
              <w:right w:val="single" w:sz="4" w:space="0" w:color="auto"/>
            </w:tcBorders>
            <w:shd w:val="clear" w:color="auto" w:fill="auto"/>
            <w:noWrap/>
            <w:vAlign w:val="bottom"/>
            <w:hideMark/>
          </w:tcPr>
          <w:p w14:paraId="27AAF497" w14:textId="77777777" w:rsidR="00204905" w:rsidRPr="00BE11D7" w:rsidRDefault="00204905" w:rsidP="00954C07">
            <w:pPr>
              <w:rPr>
                <w:color w:val="000000"/>
              </w:rPr>
            </w:pPr>
            <w:r w:rsidRPr="00BE11D7">
              <w:rPr>
                <w:color w:val="000000"/>
              </w:rPr>
              <w:t xml:space="preserve"> $                -   </w:t>
            </w:r>
          </w:p>
        </w:tc>
      </w:tr>
      <w:tr w:rsidR="00204905" w:rsidRPr="00BE11D7" w14:paraId="72E3D334" w14:textId="77777777" w:rsidTr="00954C07">
        <w:trPr>
          <w:trHeight w:val="315"/>
        </w:trPr>
        <w:tc>
          <w:tcPr>
            <w:tcW w:w="2610" w:type="dxa"/>
            <w:vMerge/>
            <w:tcBorders>
              <w:left w:val="single" w:sz="4" w:space="0" w:color="auto"/>
              <w:bottom w:val="double" w:sz="6" w:space="0" w:color="auto"/>
              <w:right w:val="single" w:sz="4" w:space="0" w:color="auto"/>
            </w:tcBorders>
          </w:tcPr>
          <w:p w14:paraId="1D4EA058" w14:textId="77777777" w:rsidR="00204905" w:rsidRPr="00BE11D7" w:rsidRDefault="00204905" w:rsidP="00954C07">
            <w:pPr>
              <w:rPr>
                <w:color w:val="000000"/>
              </w:rPr>
            </w:pPr>
          </w:p>
        </w:tc>
        <w:tc>
          <w:tcPr>
            <w:tcW w:w="2520" w:type="dxa"/>
            <w:tcBorders>
              <w:top w:val="nil"/>
              <w:left w:val="single" w:sz="4" w:space="0" w:color="auto"/>
              <w:bottom w:val="double" w:sz="6" w:space="0" w:color="auto"/>
              <w:right w:val="single" w:sz="4" w:space="0" w:color="auto"/>
            </w:tcBorders>
            <w:shd w:val="clear" w:color="auto" w:fill="auto"/>
            <w:noWrap/>
            <w:vAlign w:val="bottom"/>
            <w:hideMark/>
          </w:tcPr>
          <w:p w14:paraId="6C6A235D" w14:textId="77777777" w:rsidR="00204905" w:rsidRPr="00BE11D7" w:rsidRDefault="00204905" w:rsidP="00954C07">
            <w:pPr>
              <w:rPr>
                <w:color w:val="000000"/>
              </w:rPr>
            </w:pPr>
            <w:r w:rsidRPr="00BE11D7">
              <w:rPr>
                <w:color w:val="000000"/>
              </w:rPr>
              <w:t>RTLosses</w:t>
            </w:r>
          </w:p>
        </w:tc>
        <w:tc>
          <w:tcPr>
            <w:tcW w:w="1800" w:type="dxa"/>
            <w:tcBorders>
              <w:top w:val="nil"/>
              <w:left w:val="nil"/>
              <w:bottom w:val="double" w:sz="6" w:space="0" w:color="auto"/>
              <w:right w:val="single" w:sz="4" w:space="0" w:color="auto"/>
            </w:tcBorders>
            <w:shd w:val="clear" w:color="auto" w:fill="auto"/>
            <w:noWrap/>
            <w:vAlign w:val="bottom"/>
            <w:hideMark/>
          </w:tcPr>
          <w:p w14:paraId="3EDB86FE" w14:textId="77777777" w:rsidR="00204905" w:rsidRPr="00BE11D7" w:rsidRDefault="00204905" w:rsidP="00954C07">
            <w:pPr>
              <w:jc w:val="right"/>
              <w:rPr>
                <w:color w:val="000000"/>
              </w:rPr>
            </w:pPr>
            <w:r w:rsidRPr="00BE11D7">
              <w:rPr>
                <w:color w:val="000000"/>
              </w:rPr>
              <w:t>0</w:t>
            </w:r>
          </w:p>
        </w:tc>
        <w:tc>
          <w:tcPr>
            <w:tcW w:w="1710" w:type="dxa"/>
            <w:tcBorders>
              <w:top w:val="nil"/>
              <w:left w:val="nil"/>
              <w:bottom w:val="double" w:sz="6" w:space="0" w:color="auto"/>
              <w:right w:val="single" w:sz="4" w:space="0" w:color="auto"/>
            </w:tcBorders>
            <w:shd w:val="clear" w:color="auto" w:fill="auto"/>
            <w:noWrap/>
            <w:vAlign w:val="bottom"/>
            <w:hideMark/>
          </w:tcPr>
          <w:p w14:paraId="06D6A0CF" w14:textId="77777777" w:rsidR="00204905" w:rsidRPr="00BE11D7" w:rsidRDefault="00204905" w:rsidP="00954C07">
            <w:pPr>
              <w:jc w:val="right"/>
              <w:rPr>
                <w:color w:val="000000"/>
              </w:rPr>
            </w:pPr>
            <w:r w:rsidRPr="00BE11D7">
              <w:rPr>
                <w:color w:val="000000"/>
              </w:rPr>
              <w:t>0</w:t>
            </w:r>
          </w:p>
        </w:tc>
      </w:tr>
      <w:tr w:rsidR="00204905" w:rsidRPr="00BE11D7" w14:paraId="1E23D533" w14:textId="77777777" w:rsidTr="00954C07">
        <w:trPr>
          <w:trHeight w:val="330"/>
        </w:trPr>
        <w:tc>
          <w:tcPr>
            <w:tcW w:w="2610" w:type="dxa"/>
            <w:tcBorders>
              <w:top w:val="nil"/>
              <w:left w:val="single" w:sz="4" w:space="0" w:color="auto"/>
              <w:bottom w:val="double" w:sz="6" w:space="0" w:color="auto"/>
              <w:right w:val="single" w:sz="4" w:space="0" w:color="auto"/>
            </w:tcBorders>
          </w:tcPr>
          <w:p w14:paraId="292A5FF6" w14:textId="77777777" w:rsidR="00204905" w:rsidRPr="00BE11D7" w:rsidRDefault="00204905" w:rsidP="00954C07">
            <w:pPr>
              <w:rPr>
                <w:color w:val="000000"/>
              </w:rPr>
            </w:pPr>
            <w:r>
              <w:rPr>
                <w:color w:val="000000"/>
              </w:rPr>
              <w:t>RTIEO</w:t>
            </w:r>
          </w:p>
        </w:tc>
        <w:tc>
          <w:tcPr>
            <w:tcW w:w="2520" w:type="dxa"/>
            <w:tcBorders>
              <w:top w:val="nil"/>
              <w:left w:val="single" w:sz="4" w:space="0" w:color="auto"/>
              <w:bottom w:val="double" w:sz="6" w:space="0" w:color="auto"/>
              <w:right w:val="single" w:sz="4" w:space="0" w:color="auto"/>
            </w:tcBorders>
            <w:shd w:val="clear" w:color="auto" w:fill="auto"/>
            <w:noWrap/>
            <w:vAlign w:val="bottom"/>
            <w:hideMark/>
          </w:tcPr>
          <w:p w14:paraId="59B033C3" w14:textId="77777777" w:rsidR="00204905" w:rsidRPr="00BE11D7" w:rsidRDefault="00204905" w:rsidP="00954C07">
            <w:pPr>
              <w:rPr>
                <w:color w:val="000000"/>
              </w:rPr>
            </w:pPr>
          </w:p>
        </w:tc>
        <w:tc>
          <w:tcPr>
            <w:tcW w:w="1800" w:type="dxa"/>
            <w:tcBorders>
              <w:top w:val="nil"/>
              <w:left w:val="nil"/>
              <w:bottom w:val="double" w:sz="6" w:space="0" w:color="auto"/>
              <w:right w:val="single" w:sz="4" w:space="0" w:color="auto"/>
            </w:tcBorders>
            <w:shd w:val="clear" w:color="auto" w:fill="auto"/>
            <w:noWrap/>
            <w:vAlign w:val="bottom"/>
            <w:hideMark/>
          </w:tcPr>
          <w:p w14:paraId="57BEA00C" w14:textId="77777777" w:rsidR="00204905" w:rsidRPr="00BE11D7" w:rsidRDefault="00204905" w:rsidP="00954C07">
            <w:pPr>
              <w:rPr>
                <w:color w:val="000000"/>
              </w:rPr>
            </w:pPr>
            <w:r w:rsidRPr="00BE11D7">
              <w:rPr>
                <w:color w:val="000000"/>
              </w:rPr>
              <w:t xml:space="preserve"> $           -   </w:t>
            </w:r>
          </w:p>
        </w:tc>
        <w:tc>
          <w:tcPr>
            <w:tcW w:w="1710" w:type="dxa"/>
            <w:tcBorders>
              <w:top w:val="nil"/>
              <w:left w:val="nil"/>
              <w:bottom w:val="double" w:sz="6" w:space="0" w:color="auto"/>
              <w:right w:val="single" w:sz="4" w:space="0" w:color="auto"/>
            </w:tcBorders>
            <w:shd w:val="clear" w:color="auto" w:fill="auto"/>
            <w:noWrap/>
            <w:vAlign w:val="bottom"/>
            <w:hideMark/>
          </w:tcPr>
          <w:p w14:paraId="470ECEE4" w14:textId="77777777" w:rsidR="00204905" w:rsidRPr="00BE11D7" w:rsidRDefault="00204905" w:rsidP="00954C07">
            <w:pPr>
              <w:rPr>
                <w:color w:val="000000"/>
              </w:rPr>
            </w:pPr>
            <w:r w:rsidRPr="00BE11D7">
              <w:rPr>
                <w:color w:val="000000"/>
              </w:rPr>
              <w:t xml:space="preserve"> $                -   </w:t>
            </w:r>
          </w:p>
        </w:tc>
      </w:tr>
    </w:tbl>
    <w:p w14:paraId="5FB6CD3B" w14:textId="77777777" w:rsidR="00204905" w:rsidRPr="00BE11D7" w:rsidRDefault="00204905" w:rsidP="00204905">
      <w:pPr>
        <w:rPr>
          <w:color w:val="000000"/>
          <w:sz w:val="18"/>
        </w:rPr>
      </w:pPr>
      <w:r w:rsidRPr="00BE11D7">
        <w:rPr>
          <w:color w:val="000000"/>
          <w:sz w:val="18"/>
        </w:rPr>
        <w:lastRenderedPageBreak/>
        <w:t>*** EIM Transfer is settled at the System Marginal Energy Costs</w:t>
      </w:r>
    </w:p>
    <w:p w14:paraId="46858946" w14:textId="77777777" w:rsidR="007835BE" w:rsidRDefault="007835BE" w:rsidP="00954C07">
      <w:pPr>
        <w:pStyle w:val="Heading1"/>
        <w:numPr>
          <w:ilvl w:val="0"/>
          <w:numId w:val="0"/>
        </w:numPr>
        <w:sectPr w:rsidR="007835BE" w:rsidSect="00F446C9">
          <w:footerReference w:type="default" r:id="rId199"/>
          <w:pgSz w:w="12240" w:h="15840"/>
          <w:pgMar w:top="1728" w:right="1440" w:bottom="1728" w:left="1440" w:header="720" w:footer="720" w:gutter="0"/>
          <w:cols w:space="720"/>
        </w:sectPr>
      </w:pPr>
    </w:p>
    <w:p w14:paraId="02EC4A1F" w14:textId="1AC30438" w:rsidR="00701AB3" w:rsidRDefault="00701AB3" w:rsidP="00954C07">
      <w:pPr>
        <w:pStyle w:val="Heading1"/>
        <w:numPr>
          <w:ilvl w:val="0"/>
          <w:numId w:val="0"/>
        </w:numPr>
      </w:pPr>
      <w:bookmarkStart w:id="2289" w:name="_Toc460320494"/>
      <w:r>
        <w:lastRenderedPageBreak/>
        <w:t xml:space="preserve">Appendix B: </w:t>
      </w:r>
      <w:r w:rsidR="00954C07" w:rsidRPr="005551A2">
        <w:rPr>
          <w:rFonts w:cs="Arial"/>
        </w:rPr>
        <w:t xml:space="preserve">Mathematical Formulation for using </w:t>
      </w:r>
      <w:r w:rsidR="00954C07">
        <w:rPr>
          <w:rFonts w:cs="Arial"/>
        </w:rPr>
        <w:t>Available</w:t>
      </w:r>
      <w:r w:rsidR="00954C07" w:rsidRPr="005551A2">
        <w:rPr>
          <w:rFonts w:cs="Arial"/>
        </w:rPr>
        <w:t xml:space="preserve"> </w:t>
      </w:r>
      <w:r w:rsidR="00954C07">
        <w:rPr>
          <w:rFonts w:cs="Arial"/>
        </w:rPr>
        <w:t xml:space="preserve">Capacity </w:t>
      </w:r>
      <w:r w:rsidR="00954C07" w:rsidRPr="005551A2">
        <w:rPr>
          <w:rFonts w:cs="Arial"/>
        </w:rPr>
        <w:t>resolving infeasible power balance conditions in EIM BAAs</w:t>
      </w:r>
      <w:bookmarkEnd w:id="2289"/>
    </w:p>
    <w:p w14:paraId="3DE43A23" w14:textId="77777777" w:rsidR="00AE3B12" w:rsidRDefault="00AE3B12" w:rsidP="00AE3B12">
      <w:pPr>
        <w:pStyle w:val="Heading2"/>
        <w:numPr>
          <w:ilvl w:val="0"/>
          <w:numId w:val="0"/>
        </w:numPr>
        <w:ind w:left="1080"/>
      </w:pPr>
      <w:bookmarkStart w:id="2290" w:name="_Toc460320495"/>
      <w:r>
        <w:t>Introduction</w:t>
      </w:r>
      <w:bookmarkEnd w:id="2290"/>
    </w:p>
    <w:p w14:paraId="7797375E" w14:textId="77777777" w:rsidR="004B5C2B" w:rsidRPr="004B5C2B" w:rsidRDefault="004B5C2B" w:rsidP="00877DDB">
      <w:pPr>
        <w:pStyle w:val="BPM"/>
      </w:pPr>
      <w:r w:rsidRPr="004B5C2B">
        <w:t xml:space="preserve">This appendix describes the mathematical formulation of the market software feature that enables the EIM entity to identify available balancing capacity for resolving infeasible power balance conditions in the applicable EIM BAAs. </w:t>
      </w:r>
    </w:p>
    <w:p w14:paraId="7F33FC24" w14:textId="77777777" w:rsidR="004B5C2B" w:rsidRPr="004B5C2B" w:rsidRDefault="004B5C2B" w:rsidP="004B5C2B">
      <w:pPr>
        <w:pStyle w:val="ParaText"/>
        <w:rPr>
          <w:rFonts w:cs="Arial"/>
        </w:rPr>
      </w:pPr>
    </w:p>
    <w:p w14:paraId="085CFFF8" w14:textId="4DFFC033" w:rsidR="004B5C2B" w:rsidRPr="00C36023" w:rsidRDefault="004B5C2B" w:rsidP="00877DDB">
      <w:pPr>
        <w:pStyle w:val="BPM"/>
      </w:pPr>
      <w:r w:rsidRPr="004B5C2B">
        <w:t>The available balancing capacity feat</w:t>
      </w:r>
      <w:r w:rsidRPr="00F11C3B">
        <w:t xml:space="preserve">ure is configured to ensure </w:t>
      </w:r>
      <w:r w:rsidRPr="00DE5870">
        <w:t xml:space="preserve">the energy from capacity designated as available balancing capacity does not exit </w:t>
      </w:r>
      <w:r w:rsidRPr="008F4700">
        <w:t>relevant EIM entity’s BAA through the EIM Transfer.  The capacity identified as the available balancing capacity wi</w:t>
      </w:r>
      <w:r w:rsidRPr="00A775F8">
        <w:t>ll be released only to the extent necessary to resolve power balance infeasibility and should not be used to displace other capacity made available in the BAA for EIM participation.</w:t>
      </w:r>
      <w:r w:rsidRPr="00B973F7">
        <w:t xml:space="preserve"> It should be noted that if the infeasibility persists after dispatchin</w:t>
      </w:r>
      <w:r w:rsidRPr="00C36023">
        <w:t>g all the capacity designated as available balancing capacity for the relevant EIM entity BAA , the price will be set consist with rules in Section 27.4.3.4.</w:t>
      </w:r>
    </w:p>
    <w:p w14:paraId="72D48F8D" w14:textId="785CD498" w:rsidR="004B5C2B" w:rsidRPr="00F57D97" w:rsidRDefault="004B5C2B" w:rsidP="00877DDB">
      <w:pPr>
        <w:pStyle w:val="BPM"/>
      </w:pPr>
      <w:r w:rsidRPr="00C36023">
        <w:t xml:space="preserve">For purposes of this appendix, the capacity designated as </w:t>
      </w:r>
      <w:r w:rsidR="001C782D">
        <w:t>EIM Upward or Downward A</w:t>
      </w:r>
      <w:r w:rsidRPr="00C36023">
        <w:t xml:space="preserve">vailable </w:t>
      </w:r>
      <w:r w:rsidR="001C782D">
        <w:t>B</w:t>
      </w:r>
      <w:r w:rsidRPr="00C36023">
        <w:t xml:space="preserve">alancing </w:t>
      </w:r>
      <w:r w:rsidR="001C782D">
        <w:t>C</w:t>
      </w:r>
      <w:r w:rsidRPr="00C36023">
        <w:t>apacity will be referred to herein as Regulation</w:t>
      </w:r>
      <w:r w:rsidR="001C782D">
        <w:t xml:space="preserve"> Up or Down</w:t>
      </w:r>
      <w:r w:rsidRPr="00F57D97">
        <w:t>.</w:t>
      </w:r>
    </w:p>
    <w:p w14:paraId="5F9418D8" w14:textId="77777777" w:rsidR="00AE3B12" w:rsidRDefault="00AE3B12" w:rsidP="00AE3B12">
      <w:pPr>
        <w:pStyle w:val="Heading2"/>
        <w:numPr>
          <w:ilvl w:val="0"/>
          <w:numId w:val="0"/>
        </w:numPr>
        <w:ind w:left="1080"/>
      </w:pPr>
      <w:bookmarkStart w:id="2291" w:name="_Toc460320496"/>
      <w:r>
        <w:t>Technical Description</w:t>
      </w:r>
      <w:bookmarkEnd w:id="2291"/>
    </w:p>
    <w:p w14:paraId="4F8A03CA" w14:textId="77777777" w:rsidR="00AE3B12" w:rsidRDefault="00AE3B12" w:rsidP="00877DDB">
      <w:pPr>
        <w:pStyle w:val="BPM"/>
      </w:pPr>
      <w:r>
        <w:t>The CAISO’s market clearing software calculates the optimal solution in two passes, referred to as the scheduling and pricing run. The scheduling run is a full optimization run where constraints may be relaxed at a penalty price to avoid infeasibility. The pricing run is a simple economic dispatch, initialized from the scheduling run solution, where penalty prices are replaced by administrative prices and the problem is constrained so that the primal solution does not drift far away from the primal solution of the scheduling run. Both binding schedules and prices are obtained from the pricing run.</w:t>
      </w:r>
    </w:p>
    <w:p w14:paraId="7CC036BE" w14:textId="77777777" w:rsidR="00FC63EC" w:rsidRDefault="00FC63EC" w:rsidP="00AE3B12">
      <w:pPr>
        <w:pStyle w:val="Paragraph"/>
      </w:pPr>
    </w:p>
    <w:p w14:paraId="75011978" w14:textId="77777777" w:rsidR="00AE3B12" w:rsidRDefault="00AE3B12" w:rsidP="00AE3B12">
      <w:pPr>
        <w:pStyle w:val="Heading2"/>
        <w:numPr>
          <w:ilvl w:val="0"/>
          <w:numId w:val="0"/>
        </w:numPr>
        <w:ind w:left="1080"/>
      </w:pPr>
      <w:bookmarkStart w:id="2292" w:name="_Toc460320497"/>
      <w:r>
        <w:t>Mathematical Formulation</w:t>
      </w:r>
      <w:bookmarkEnd w:id="2292"/>
    </w:p>
    <w:p w14:paraId="463B19F0" w14:textId="77777777" w:rsidR="00AE3B12" w:rsidRDefault="00AE3B12" w:rsidP="00877DDB">
      <w:pPr>
        <w:pStyle w:val="BPM"/>
      </w:pPr>
      <w:r>
        <w:t>This section contains the mathematical formulation for the new elements introduced in the Scheduling and Pricing Run for dispatching Regulation to resolve power balance infeasibility in EIM BAAs.</w:t>
      </w:r>
    </w:p>
    <w:p w14:paraId="645EE414" w14:textId="77777777" w:rsidR="00AE3B12" w:rsidRDefault="00AE3B12" w:rsidP="00877DDB">
      <w:pPr>
        <w:pStyle w:val="BPM"/>
      </w:pPr>
      <w:r>
        <w:t>The following notation is used in this section:</w:t>
      </w:r>
    </w:p>
    <w:tbl>
      <w:tblPr>
        <w:tblW w:w="0" w:type="auto"/>
        <w:tblLook w:val="04A0" w:firstRow="1" w:lastRow="0" w:firstColumn="1" w:lastColumn="0" w:noHBand="0" w:noVBand="1"/>
      </w:tblPr>
      <w:tblGrid>
        <w:gridCol w:w="1624"/>
        <w:gridCol w:w="7736"/>
      </w:tblGrid>
      <w:tr w:rsidR="00AE3B12" w14:paraId="05C20C78" w14:textId="77777777" w:rsidTr="00EC7234">
        <w:trPr>
          <w:cantSplit/>
        </w:trPr>
        <w:tc>
          <w:tcPr>
            <w:tcW w:w="1624" w:type="dxa"/>
          </w:tcPr>
          <w:p w14:paraId="2760AF94" w14:textId="77777777" w:rsidR="00AE3B12" w:rsidRPr="00697202" w:rsidRDefault="00AE3B12" w:rsidP="00D5305B">
            <w:pPr>
              <w:pStyle w:val="Table"/>
              <w:jc w:val="left"/>
            </w:pPr>
            <w:r w:rsidRPr="00697202">
              <w:rPr>
                <w:i/>
              </w:rPr>
              <w:t>i</w:t>
            </w:r>
          </w:p>
        </w:tc>
        <w:tc>
          <w:tcPr>
            <w:tcW w:w="7736" w:type="dxa"/>
          </w:tcPr>
          <w:p w14:paraId="433C9236" w14:textId="77777777" w:rsidR="00AE3B12" w:rsidRDefault="00AE3B12" w:rsidP="00D5305B">
            <w:pPr>
              <w:pStyle w:val="Table"/>
              <w:jc w:val="left"/>
            </w:pPr>
            <w:r>
              <w:t>EIM Resource index.</w:t>
            </w:r>
          </w:p>
        </w:tc>
      </w:tr>
      <w:tr w:rsidR="00AE3B12" w14:paraId="2984AAEB" w14:textId="77777777" w:rsidTr="00EC7234">
        <w:trPr>
          <w:cantSplit/>
        </w:trPr>
        <w:tc>
          <w:tcPr>
            <w:tcW w:w="1624" w:type="dxa"/>
          </w:tcPr>
          <w:p w14:paraId="00650BD3" w14:textId="77777777" w:rsidR="00AE3B12" w:rsidRPr="00697202" w:rsidRDefault="00AE3B12" w:rsidP="00D5305B">
            <w:pPr>
              <w:pStyle w:val="Table"/>
              <w:jc w:val="left"/>
              <w:rPr>
                <w:i/>
              </w:rPr>
            </w:pPr>
            <w:r>
              <w:rPr>
                <w:i/>
              </w:rPr>
              <w:t>k</w:t>
            </w:r>
          </w:p>
        </w:tc>
        <w:tc>
          <w:tcPr>
            <w:tcW w:w="7736" w:type="dxa"/>
          </w:tcPr>
          <w:p w14:paraId="3F8341EB" w14:textId="77777777" w:rsidR="00AE3B12" w:rsidRDefault="00AE3B12" w:rsidP="00D5305B">
            <w:pPr>
              <w:pStyle w:val="Table"/>
              <w:jc w:val="left"/>
            </w:pPr>
            <w:r>
              <w:t>EIM BAA index.</w:t>
            </w:r>
          </w:p>
        </w:tc>
      </w:tr>
      <w:tr w:rsidR="00AE3B12" w14:paraId="101274BE" w14:textId="77777777" w:rsidTr="00EC7234">
        <w:trPr>
          <w:cantSplit/>
        </w:trPr>
        <w:tc>
          <w:tcPr>
            <w:tcW w:w="1624" w:type="dxa"/>
          </w:tcPr>
          <w:p w14:paraId="619DB35D" w14:textId="77777777" w:rsidR="00AE3B12" w:rsidRPr="00697202" w:rsidRDefault="00AE3B12" w:rsidP="00D5305B">
            <w:pPr>
              <w:pStyle w:val="Table"/>
              <w:jc w:val="left"/>
              <w:rPr>
                <w:i/>
              </w:rPr>
            </w:pPr>
            <w:r w:rsidRPr="00697202">
              <w:rPr>
                <w:i/>
              </w:rPr>
              <w:t>t</w:t>
            </w:r>
          </w:p>
        </w:tc>
        <w:tc>
          <w:tcPr>
            <w:tcW w:w="7736" w:type="dxa"/>
          </w:tcPr>
          <w:p w14:paraId="79F6E740" w14:textId="77777777" w:rsidR="00AE3B12" w:rsidRDefault="00AE3B12" w:rsidP="00D5305B">
            <w:pPr>
              <w:pStyle w:val="Table"/>
              <w:jc w:val="left"/>
            </w:pPr>
            <w:r>
              <w:t>Time period index (0 for initial condition).</w:t>
            </w:r>
          </w:p>
        </w:tc>
      </w:tr>
      <w:tr w:rsidR="00AE3B12" w14:paraId="368312C3" w14:textId="77777777" w:rsidTr="00EC7234">
        <w:trPr>
          <w:cantSplit/>
        </w:trPr>
        <w:tc>
          <w:tcPr>
            <w:tcW w:w="1624" w:type="dxa"/>
          </w:tcPr>
          <w:p w14:paraId="2F15657B" w14:textId="77777777" w:rsidR="00AE3B12" w:rsidRPr="00697202" w:rsidRDefault="00AE3B12" w:rsidP="00D5305B">
            <w:pPr>
              <w:pStyle w:val="Table"/>
              <w:jc w:val="left"/>
              <w:rPr>
                <w:i/>
              </w:rPr>
            </w:pPr>
            <w:r>
              <w:rPr>
                <w:i/>
              </w:rPr>
              <w:t>N</w:t>
            </w:r>
          </w:p>
        </w:tc>
        <w:tc>
          <w:tcPr>
            <w:tcW w:w="7736" w:type="dxa"/>
          </w:tcPr>
          <w:p w14:paraId="62E2EBF5" w14:textId="77777777" w:rsidR="00AE3B12" w:rsidRDefault="00AE3B12" w:rsidP="00D5305B">
            <w:pPr>
              <w:pStyle w:val="Table"/>
              <w:jc w:val="left"/>
            </w:pPr>
            <w:r>
              <w:t>Number of time periods in the time horizon.</w:t>
            </w:r>
          </w:p>
        </w:tc>
      </w:tr>
      <w:tr w:rsidR="00AE3B12" w14:paraId="020EA950" w14:textId="77777777" w:rsidTr="00EC7234">
        <w:trPr>
          <w:cantSplit/>
        </w:trPr>
        <w:tc>
          <w:tcPr>
            <w:tcW w:w="1624" w:type="dxa"/>
          </w:tcPr>
          <w:p w14:paraId="5D7386E0" w14:textId="77777777" w:rsidR="00AE3B12" w:rsidRDefault="00AE3B12" w:rsidP="00D5305B">
            <w:pPr>
              <w:pStyle w:val="Table"/>
              <w:jc w:val="left"/>
              <w:rPr>
                <w:i/>
              </w:rPr>
            </w:pPr>
            <w:r>
              <w:rPr>
                <w:i/>
              </w:rPr>
              <w:t>K</w:t>
            </w:r>
          </w:p>
        </w:tc>
        <w:tc>
          <w:tcPr>
            <w:tcW w:w="7736" w:type="dxa"/>
          </w:tcPr>
          <w:p w14:paraId="340A1685" w14:textId="77777777" w:rsidR="00AE3B12" w:rsidRDefault="00AE3B12" w:rsidP="00D5305B">
            <w:pPr>
              <w:pStyle w:val="Table"/>
              <w:jc w:val="left"/>
            </w:pPr>
            <w:r>
              <w:t>Number of EIM BAAs.</w:t>
            </w:r>
          </w:p>
        </w:tc>
      </w:tr>
      <w:tr w:rsidR="00AE3B12" w14:paraId="2879D350" w14:textId="77777777" w:rsidTr="00EC7234">
        <w:trPr>
          <w:cantSplit/>
        </w:trPr>
        <w:tc>
          <w:tcPr>
            <w:tcW w:w="1624" w:type="dxa"/>
          </w:tcPr>
          <w:p w14:paraId="07820FFF" w14:textId="77777777" w:rsidR="00AE3B12" w:rsidRDefault="00AE3B12" w:rsidP="00D5305B">
            <w:pPr>
              <w:pStyle w:val="Table"/>
              <w:jc w:val="left"/>
              <w:rPr>
                <w:i/>
              </w:rPr>
            </w:pPr>
            <w:r>
              <w:rPr>
                <w:i/>
              </w:rPr>
              <w:t>R</w:t>
            </w:r>
            <w:r w:rsidRPr="00D00802">
              <w:rPr>
                <w:i/>
                <w:vertAlign w:val="subscript"/>
              </w:rPr>
              <w:t>k</w:t>
            </w:r>
          </w:p>
        </w:tc>
        <w:tc>
          <w:tcPr>
            <w:tcW w:w="7736" w:type="dxa"/>
          </w:tcPr>
          <w:p w14:paraId="23AC6A61" w14:textId="77777777" w:rsidR="00AE3B12" w:rsidRDefault="00AE3B12" w:rsidP="00D5305B">
            <w:pPr>
              <w:pStyle w:val="Table"/>
              <w:jc w:val="left"/>
            </w:pPr>
            <w:r>
              <w:t xml:space="preserve">Set of EIM Resources for BAA </w:t>
            </w:r>
            <w:r w:rsidRPr="00D00802">
              <w:rPr>
                <w:i/>
              </w:rPr>
              <w:t>k</w:t>
            </w:r>
            <w:r>
              <w:t>.</w:t>
            </w:r>
          </w:p>
        </w:tc>
      </w:tr>
      <w:tr w:rsidR="00AE3B12" w14:paraId="4ABB582F" w14:textId="77777777" w:rsidTr="00EC7234">
        <w:trPr>
          <w:cantSplit/>
        </w:trPr>
        <w:tc>
          <w:tcPr>
            <w:tcW w:w="1624" w:type="dxa"/>
          </w:tcPr>
          <w:p w14:paraId="64AC649C" w14:textId="77777777" w:rsidR="00AE3B12" w:rsidRDefault="00AE3B12" w:rsidP="00D5305B">
            <w:pPr>
              <w:pStyle w:val="Table"/>
              <w:jc w:val="left"/>
            </w:pPr>
            <w:r>
              <w:sym w:font="Symbol" w:char="F022"/>
            </w:r>
          </w:p>
        </w:tc>
        <w:tc>
          <w:tcPr>
            <w:tcW w:w="7736" w:type="dxa"/>
          </w:tcPr>
          <w:p w14:paraId="449CB43D" w14:textId="77777777" w:rsidR="00AE3B12" w:rsidRDefault="00AE3B12" w:rsidP="00D5305B">
            <w:pPr>
              <w:pStyle w:val="Table"/>
              <w:jc w:val="left"/>
            </w:pPr>
            <w:r>
              <w:t>For all…</w:t>
            </w:r>
          </w:p>
        </w:tc>
      </w:tr>
      <w:tr w:rsidR="00EC7234" w14:paraId="46591B0A" w14:textId="77777777" w:rsidTr="00EC7234">
        <w:trPr>
          <w:cantSplit/>
        </w:trPr>
        <w:tc>
          <w:tcPr>
            <w:tcW w:w="1624" w:type="dxa"/>
          </w:tcPr>
          <w:p w14:paraId="1032DC9E" w14:textId="77777777" w:rsidR="00EC7234" w:rsidRDefault="00EC7234" w:rsidP="00EC7234">
            <w:pPr>
              <w:pStyle w:val="Table"/>
              <w:jc w:val="left"/>
            </w:pPr>
            <w:r w:rsidRPr="00A76F72">
              <w:sym w:font="Symbol" w:char="F0AE"/>
            </w:r>
          </w:p>
        </w:tc>
        <w:tc>
          <w:tcPr>
            <w:tcW w:w="7736" w:type="dxa"/>
          </w:tcPr>
          <w:p w14:paraId="0A464F33" w14:textId="77777777" w:rsidR="00EC7234" w:rsidRDefault="00EC7234" w:rsidP="00EC7234">
            <w:pPr>
              <w:pStyle w:val="Table"/>
              <w:jc w:val="left"/>
            </w:pPr>
            <w:r>
              <w:t>Leads to…</w:t>
            </w:r>
          </w:p>
        </w:tc>
      </w:tr>
      <w:tr w:rsidR="00AE3B12" w14:paraId="0F375395" w14:textId="77777777" w:rsidTr="00EC7234">
        <w:trPr>
          <w:cantSplit/>
        </w:trPr>
        <w:tc>
          <w:tcPr>
            <w:tcW w:w="1624" w:type="dxa"/>
          </w:tcPr>
          <w:p w14:paraId="625E6E08"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k,t</m:t>
                    </m:r>
                  </m:sub>
                </m:sSub>
              </m:oMath>
            </m:oMathPara>
          </w:p>
        </w:tc>
        <w:tc>
          <w:tcPr>
            <w:tcW w:w="7736" w:type="dxa"/>
          </w:tcPr>
          <w:p w14:paraId="5BB022E3" w14:textId="77777777" w:rsidR="00AE3B12" w:rsidRPr="0056607F" w:rsidRDefault="00AE3B12" w:rsidP="00D5305B">
            <w:pPr>
              <w:pStyle w:val="Table"/>
              <w:jc w:val="left"/>
            </w:pPr>
            <w:r>
              <w:t xml:space="preserve">EIM Transfer of BAA </w:t>
            </w:r>
            <w:r>
              <w:rPr>
                <w:i/>
              </w:rPr>
              <w:t>k</w:t>
            </w:r>
            <w:r>
              <w:t xml:space="preserve"> in time period </w:t>
            </w:r>
            <w:r>
              <w:rPr>
                <w:i/>
              </w:rPr>
              <w:t>t</w:t>
            </w:r>
            <w:r w:rsidR="002707D1">
              <w:t xml:space="preserve"> (positive for export and negative for import)</w:t>
            </w:r>
            <w:r>
              <w:t>.</w:t>
            </w:r>
          </w:p>
        </w:tc>
      </w:tr>
      <w:tr w:rsidR="002707D1" w14:paraId="070A4EEF" w14:textId="77777777" w:rsidTr="00EC7234">
        <w:trPr>
          <w:cantSplit/>
        </w:trPr>
        <w:tc>
          <w:tcPr>
            <w:tcW w:w="1624" w:type="dxa"/>
          </w:tcPr>
          <w:p w14:paraId="588E2AEF" w14:textId="77777777" w:rsidR="002707D1" w:rsidRPr="002707D1" w:rsidRDefault="00AE7E55" w:rsidP="002707D1">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oMath>
            </m:oMathPara>
          </w:p>
        </w:tc>
        <w:tc>
          <w:tcPr>
            <w:tcW w:w="7736" w:type="dxa"/>
          </w:tcPr>
          <w:p w14:paraId="6111E851" w14:textId="77777777" w:rsidR="002707D1" w:rsidRDefault="002707D1" w:rsidP="002707D1">
            <w:pPr>
              <w:pStyle w:val="Table"/>
              <w:jc w:val="left"/>
            </w:pPr>
            <w:r>
              <w:t xml:space="preserve">Base EIM Transfer of BAA </w:t>
            </w:r>
            <w:r>
              <w:rPr>
                <w:i/>
              </w:rPr>
              <w:t>k</w:t>
            </w:r>
            <w:r>
              <w:t xml:space="preserve"> in time period </w:t>
            </w:r>
            <w:r>
              <w:rPr>
                <w:i/>
              </w:rPr>
              <w:t>t</w:t>
            </w:r>
            <w:r>
              <w:t>.</w:t>
            </w:r>
          </w:p>
        </w:tc>
      </w:tr>
      <w:tr w:rsidR="00AE3B12" w14:paraId="65E3DFD0" w14:textId="77777777" w:rsidTr="00EC7234">
        <w:trPr>
          <w:cantSplit/>
        </w:trPr>
        <w:tc>
          <w:tcPr>
            <w:tcW w:w="1624" w:type="dxa"/>
          </w:tcPr>
          <w:p w14:paraId="0321BDD1"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r>
                      <w:rPr>
                        <w:rFonts w:ascii="Cambria Math" w:hAnsi="Cambria Math"/>
                      </w:rPr>
                      <m:t>RU</m:t>
                    </m:r>
                  </m:e>
                  <m:sub>
                    <m:r>
                      <w:rPr>
                        <w:rFonts w:ascii="Cambria Math" w:hAnsi="Cambria Math"/>
                      </w:rPr>
                      <m:t>i,t</m:t>
                    </m:r>
                  </m:sub>
                </m:sSub>
              </m:oMath>
            </m:oMathPara>
          </w:p>
        </w:tc>
        <w:tc>
          <w:tcPr>
            <w:tcW w:w="7736" w:type="dxa"/>
          </w:tcPr>
          <w:p w14:paraId="407BBBE4" w14:textId="77777777" w:rsidR="00AE3B12" w:rsidRPr="00CE5475" w:rsidRDefault="00AE3B12" w:rsidP="00D5305B">
            <w:pPr>
              <w:pStyle w:val="Table"/>
              <w:jc w:val="left"/>
            </w:pPr>
            <w:r>
              <w:t xml:space="preserve">Regulation Up schedule of Resource </w:t>
            </w:r>
            <w:r>
              <w:rPr>
                <w:i/>
              </w:rPr>
              <w:t>i</w:t>
            </w:r>
            <w:r>
              <w:t xml:space="preserve"> in time period </w:t>
            </w:r>
            <w:r>
              <w:rPr>
                <w:i/>
              </w:rPr>
              <w:t>t</w:t>
            </w:r>
            <w:r>
              <w:t>.</w:t>
            </w:r>
          </w:p>
        </w:tc>
      </w:tr>
      <w:tr w:rsidR="00AE3B12" w14:paraId="18618CB8" w14:textId="77777777" w:rsidTr="00EC7234">
        <w:trPr>
          <w:cantSplit/>
        </w:trPr>
        <w:tc>
          <w:tcPr>
            <w:tcW w:w="1624" w:type="dxa"/>
          </w:tcPr>
          <w:p w14:paraId="720E1211"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r>
                      <w:rPr>
                        <w:rFonts w:ascii="Cambria Math" w:hAnsi="Cambria Math"/>
                      </w:rPr>
                      <m:t>RD</m:t>
                    </m:r>
                  </m:e>
                  <m:sub>
                    <m:r>
                      <w:rPr>
                        <w:rFonts w:ascii="Cambria Math" w:hAnsi="Cambria Math"/>
                      </w:rPr>
                      <m:t>i,t</m:t>
                    </m:r>
                  </m:sub>
                </m:sSub>
              </m:oMath>
            </m:oMathPara>
          </w:p>
        </w:tc>
        <w:tc>
          <w:tcPr>
            <w:tcW w:w="7736" w:type="dxa"/>
          </w:tcPr>
          <w:p w14:paraId="20D7F869" w14:textId="77777777" w:rsidR="00AE3B12" w:rsidRPr="00CE5475" w:rsidRDefault="00AE3B12" w:rsidP="00D5305B">
            <w:pPr>
              <w:pStyle w:val="Table"/>
              <w:jc w:val="left"/>
            </w:pPr>
            <w:r>
              <w:t xml:space="preserve">Regulation Down schedule (non-positive) of Resource </w:t>
            </w:r>
            <w:r>
              <w:rPr>
                <w:i/>
              </w:rPr>
              <w:t>i</w:t>
            </w:r>
            <w:r>
              <w:t xml:space="preserve"> in time period </w:t>
            </w:r>
            <w:r>
              <w:rPr>
                <w:i/>
              </w:rPr>
              <w:t>t</w:t>
            </w:r>
            <w:r>
              <w:t>.</w:t>
            </w:r>
          </w:p>
        </w:tc>
      </w:tr>
      <w:tr w:rsidR="00AE3B12" w14:paraId="1E5B6792" w14:textId="77777777" w:rsidTr="00EC7234">
        <w:trPr>
          <w:cantSplit/>
        </w:trPr>
        <w:tc>
          <w:tcPr>
            <w:tcW w:w="1624" w:type="dxa"/>
          </w:tcPr>
          <w:p w14:paraId="716027A3"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RU</m:t>
                        </m:r>
                      </m:e>
                    </m:acc>
                  </m:e>
                  <m:sub>
                    <m:r>
                      <w:rPr>
                        <w:rFonts w:ascii="Cambria Math" w:hAnsi="Cambria Math"/>
                      </w:rPr>
                      <m:t>i,t</m:t>
                    </m:r>
                  </m:sub>
                </m:sSub>
              </m:oMath>
            </m:oMathPara>
          </w:p>
        </w:tc>
        <w:tc>
          <w:tcPr>
            <w:tcW w:w="7736" w:type="dxa"/>
          </w:tcPr>
          <w:p w14:paraId="10DD8C48" w14:textId="77777777" w:rsidR="00AE3B12" w:rsidRPr="00CE5475" w:rsidRDefault="00AE3B12" w:rsidP="00D5305B">
            <w:pPr>
              <w:pStyle w:val="Table"/>
              <w:jc w:val="left"/>
            </w:pPr>
            <w:r>
              <w:t xml:space="preserve">Base Regulation Up schedule of Resource </w:t>
            </w:r>
            <w:r>
              <w:rPr>
                <w:i/>
              </w:rPr>
              <w:t>i</w:t>
            </w:r>
            <w:r>
              <w:t xml:space="preserve"> in time period </w:t>
            </w:r>
            <w:r>
              <w:rPr>
                <w:i/>
              </w:rPr>
              <w:t>t</w:t>
            </w:r>
            <w:r>
              <w:t>.</w:t>
            </w:r>
          </w:p>
        </w:tc>
      </w:tr>
      <w:tr w:rsidR="00AE3B12" w14:paraId="29F4D17B" w14:textId="77777777" w:rsidTr="00EC7234">
        <w:trPr>
          <w:cantSplit/>
        </w:trPr>
        <w:tc>
          <w:tcPr>
            <w:tcW w:w="1624" w:type="dxa"/>
          </w:tcPr>
          <w:p w14:paraId="33A11578"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RD</m:t>
                        </m:r>
                      </m:e>
                    </m:acc>
                  </m:e>
                  <m:sub>
                    <m:r>
                      <w:rPr>
                        <w:rFonts w:ascii="Cambria Math" w:hAnsi="Cambria Math"/>
                      </w:rPr>
                      <m:t>i,t</m:t>
                    </m:r>
                  </m:sub>
                </m:sSub>
              </m:oMath>
            </m:oMathPara>
          </w:p>
        </w:tc>
        <w:tc>
          <w:tcPr>
            <w:tcW w:w="7736" w:type="dxa"/>
          </w:tcPr>
          <w:p w14:paraId="45C176BC" w14:textId="77777777" w:rsidR="00AE3B12" w:rsidRPr="00CE5475" w:rsidRDefault="00AE3B12" w:rsidP="00D5305B">
            <w:pPr>
              <w:pStyle w:val="Table"/>
              <w:jc w:val="left"/>
            </w:pPr>
            <w:r>
              <w:t xml:space="preserve">Base Regulation Down schedule (non-positive) of Resource </w:t>
            </w:r>
            <w:r>
              <w:rPr>
                <w:i/>
              </w:rPr>
              <w:t>i</w:t>
            </w:r>
            <w:r>
              <w:t xml:space="preserve"> in time period </w:t>
            </w:r>
            <w:r>
              <w:rPr>
                <w:i/>
              </w:rPr>
              <w:t>t</w:t>
            </w:r>
            <w:r>
              <w:t>.</w:t>
            </w:r>
          </w:p>
        </w:tc>
      </w:tr>
      <w:tr w:rsidR="00AE3B12" w14:paraId="71D005CB" w14:textId="77777777" w:rsidTr="00EC7234">
        <w:trPr>
          <w:cantSplit/>
        </w:trPr>
        <w:tc>
          <w:tcPr>
            <w:tcW w:w="1624" w:type="dxa"/>
          </w:tcPr>
          <w:p w14:paraId="30152497"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RU</m:t>
                        </m:r>
                      </m:e>
                    </m:acc>
                  </m:e>
                  <m:sub>
                    <m:r>
                      <w:rPr>
                        <w:rFonts w:ascii="Cambria Math" w:hAnsi="Cambria Math"/>
                      </w:rPr>
                      <m:t>i,t</m:t>
                    </m:r>
                  </m:sub>
                </m:sSub>
              </m:oMath>
            </m:oMathPara>
          </w:p>
        </w:tc>
        <w:tc>
          <w:tcPr>
            <w:tcW w:w="7736" w:type="dxa"/>
          </w:tcPr>
          <w:p w14:paraId="36298495" w14:textId="77777777" w:rsidR="00AE3B12" w:rsidRPr="00CE5475" w:rsidRDefault="00AE3B12" w:rsidP="00D5305B">
            <w:pPr>
              <w:pStyle w:val="Table"/>
              <w:jc w:val="left"/>
            </w:pPr>
            <w:r>
              <w:t xml:space="preserve">Regulation Up schedule of Resource </w:t>
            </w:r>
            <w:r>
              <w:rPr>
                <w:i/>
              </w:rPr>
              <w:t>i</w:t>
            </w:r>
            <w:r>
              <w:t xml:space="preserve"> in time period </w:t>
            </w:r>
            <w:r>
              <w:rPr>
                <w:i/>
              </w:rPr>
              <w:t>t</w:t>
            </w:r>
            <w:r>
              <w:t xml:space="preserve"> from the Scheduling Run used as upper limit in the Pricing Run.</w:t>
            </w:r>
          </w:p>
        </w:tc>
      </w:tr>
      <w:tr w:rsidR="00AE3B12" w14:paraId="711F98F1" w14:textId="77777777" w:rsidTr="00EC7234">
        <w:trPr>
          <w:cantSplit/>
        </w:trPr>
        <w:tc>
          <w:tcPr>
            <w:tcW w:w="1624" w:type="dxa"/>
          </w:tcPr>
          <w:p w14:paraId="547B2964" w14:textId="77777777" w:rsidR="00AE3B12" w:rsidRPr="008E4A03" w:rsidRDefault="00AE7E55" w:rsidP="00D5305B">
            <w:pPr>
              <w:pStyle w:val="Table"/>
              <w:jc w:val="left"/>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RD</m:t>
                        </m:r>
                      </m:e>
                    </m:acc>
                  </m:e>
                  <m:sub>
                    <m:r>
                      <w:rPr>
                        <w:rFonts w:ascii="Cambria Math" w:hAnsi="Cambria Math"/>
                      </w:rPr>
                      <m:t>i,t</m:t>
                    </m:r>
                  </m:sub>
                </m:sSub>
              </m:oMath>
            </m:oMathPara>
          </w:p>
        </w:tc>
        <w:tc>
          <w:tcPr>
            <w:tcW w:w="7736" w:type="dxa"/>
          </w:tcPr>
          <w:p w14:paraId="13EFC9DB" w14:textId="77777777" w:rsidR="00AE3B12" w:rsidRPr="00CE5475" w:rsidRDefault="00AE3B12" w:rsidP="00D5305B">
            <w:pPr>
              <w:pStyle w:val="Table"/>
              <w:jc w:val="left"/>
            </w:pPr>
            <w:r>
              <w:t xml:space="preserve">Regulation Down schedule of Resource </w:t>
            </w:r>
            <w:r>
              <w:rPr>
                <w:i/>
              </w:rPr>
              <w:t>i</w:t>
            </w:r>
            <w:r>
              <w:t xml:space="preserve"> in time period </w:t>
            </w:r>
            <w:r>
              <w:rPr>
                <w:i/>
              </w:rPr>
              <w:t>t</w:t>
            </w:r>
            <w:r>
              <w:t xml:space="preserve"> from the Scheduling Run used as lower limit in the Pricing Run.</w:t>
            </w:r>
          </w:p>
        </w:tc>
      </w:tr>
      <w:tr w:rsidR="00AE3B12" w14:paraId="71622DFF" w14:textId="77777777" w:rsidTr="00EC7234">
        <w:trPr>
          <w:cantSplit/>
        </w:trPr>
        <w:tc>
          <w:tcPr>
            <w:tcW w:w="1624" w:type="dxa"/>
          </w:tcPr>
          <w:p w14:paraId="643B5334" w14:textId="77777777" w:rsidR="00AE3B12" w:rsidRPr="00D64D7D" w:rsidRDefault="00AE3B12" w:rsidP="00D5305B">
            <w:pPr>
              <w:pStyle w:val="Table"/>
              <w:jc w:val="left"/>
              <w:rPr>
                <w:i/>
              </w:rPr>
            </w:pPr>
            <w:r w:rsidRPr="00D64D7D">
              <w:rPr>
                <w:i/>
              </w:rPr>
              <w:t>C</w:t>
            </w:r>
          </w:p>
        </w:tc>
        <w:tc>
          <w:tcPr>
            <w:tcW w:w="7736" w:type="dxa"/>
          </w:tcPr>
          <w:p w14:paraId="52F3E342" w14:textId="77777777" w:rsidR="00AE3B12" w:rsidRDefault="00AE3B12" w:rsidP="00D5305B">
            <w:pPr>
              <w:pStyle w:val="Table"/>
              <w:jc w:val="left"/>
            </w:pPr>
            <w:r>
              <w:t>Objective function.</w:t>
            </w:r>
          </w:p>
        </w:tc>
      </w:tr>
      <w:tr w:rsidR="00AE3B12" w14:paraId="6E80E919" w14:textId="77777777" w:rsidTr="00EC7234">
        <w:trPr>
          <w:cantSplit/>
        </w:trPr>
        <w:tc>
          <w:tcPr>
            <w:tcW w:w="1624" w:type="dxa"/>
          </w:tcPr>
          <w:p w14:paraId="5E8B735D" w14:textId="77777777" w:rsidR="00AE3B12" w:rsidRPr="0094288F" w:rsidRDefault="00AE7E55" w:rsidP="00D5305B">
            <w:pPr>
              <w:pStyle w:val="Table"/>
              <w:jc w:val="left"/>
              <w:rPr>
                <w:i/>
              </w:rPr>
            </w:pPr>
            <m:oMathPara>
              <m:oMathParaPr>
                <m:jc m:val="left"/>
              </m:oMathParaPr>
              <m:oMath>
                <m:sSub>
                  <m:sSubPr>
                    <m:ctrlPr>
                      <w:rPr>
                        <w:rFonts w:ascii="Cambria Math" w:hAnsi="Cambria Math"/>
                        <w:i/>
                      </w:rPr>
                    </m:ctrlPr>
                  </m:sSubPr>
                  <m:e>
                    <m:r>
                      <w:rPr>
                        <w:rFonts w:ascii="Cambria Math" w:hAnsi="Cambria Math"/>
                      </w:rPr>
                      <m:t>CRU</m:t>
                    </m:r>
                  </m:e>
                  <m:sub>
                    <m:r>
                      <w:rPr>
                        <w:rFonts w:ascii="Cambria Math" w:hAnsi="Cambria Math"/>
                      </w:rPr>
                      <m:t>i,t</m:t>
                    </m:r>
                  </m:sub>
                </m:sSub>
                <m:r>
                  <w:rPr>
                    <w:rFonts w:ascii="Cambria Math" w:hAnsi="Cambria Math"/>
                  </w:rPr>
                  <m:t>(p)</m:t>
                </m:r>
              </m:oMath>
            </m:oMathPara>
          </w:p>
        </w:tc>
        <w:tc>
          <w:tcPr>
            <w:tcW w:w="7736" w:type="dxa"/>
          </w:tcPr>
          <w:p w14:paraId="26D5ADFF" w14:textId="77777777" w:rsidR="00AE3B12" w:rsidRDefault="00AE3B12" w:rsidP="00D5305B">
            <w:pPr>
              <w:pStyle w:val="Table"/>
              <w:jc w:val="left"/>
            </w:pPr>
            <w:r>
              <w:t xml:space="preserve">Incremental energy cost function allocated to Regulation Up schedule of Resource </w:t>
            </w:r>
            <w:r>
              <w:rPr>
                <w:i/>
              </w:rPr>
              <w:t>i</w:t>
            </w:r>
            <w:r>
              <w:t xml:space="preserve"> in time period </w:t>
            </w:r>
            <w:r>
              <w:rPr>
                <w:i/>
              </w:rPr>
              <w:t>t</w:t>
            </w:r>
            <w:r>
              <w:t>.</w:t>
            </w:r>
          </w:p>
        </w:tc>
      </w:tr>
      <w:tr w:rsidR="00AE3B12" w14:paraId="4C2C69D7" w14:textId="77777777" w:rsidTr="00EC7234">
        <w:trPr>
          <w:cantSplit/>
        </w:trPr>
        <w:tc>
          <w:tcPr>
            <w:tcW w:w="1624" w:type="dxa"/>
          </w:tcPr>
          <w:p w14:paraId="627B5FA3" w14:textId="77777777" w:rsidR="00AE3B12" w:rsidRPr="0094288F" w:rsidRDefault="00AE7E55" w:rsidP="00D5305B">
            <w:pPr>
              <w:pStyle w:val="Table"/>
              <w:jc w:val="left"/>
              <w:rPr>
                <w:i/>
              </w:rPr>
            </w:pPr>
            <m:oMathPara>
              <m:oMathParaPr>
                <m:jc m:val="left"/>
              </m:oMathParaPr>
              <m:oMath>
                <m:sSub>
                  <m:sSubPr>
                    <m:ctrlPr>
                      <w:rPr>
                        <w:rFonts w:ascii="Cambria Math" w:hAnsi="Cambria Math"/>
                        <w:i/>
                      </w:rPr>
                    </m:ctrlPr>
                  </m:sSubPr>
                  <m:e>
                    <m:r>
                      <w:rPr>
                        <w:rFonts w:ascii="Cambria Math" w:hAnsi="Cambria Math"/>
                      </w:rPr>
                      <m:t>CRD</m:t>
                    </m:r>
                  </m:e>
                  <m:sub>
                    <m:r>
                      <w:rPr>
                        <w:rFonts w:ascii="Cambria Math" w:hAnsi="Cambria Math"/>
                      </w:rPr>
                      <m:t>i,t</m:t>
                    </m:r>
                  </m:sub>
                </m:sSub>
                <m:r>
                  <w:rPr>
                    <w:rFonts w:ascii="Cambria Math" w:hAnsi="Cambria Math"/>
                  </w:rPr>
                  <m:t>(p)</m:t>
                </m:r>
              </m:oMath>
            </m:oMathPara>
          </w:p>
        </w:tc>
        <w:tc>
          <w:tcPr>
            <w:tcW w:w="7736" w:type="dxa"/>
          </w:tcPr>
          <w:p w14:paraId="3210DE49" w14:textId="77777777" w:rsidR="00AE3B12" w:rsidRDefault="00AE3B12" w:rsidP="00D5305B">
            <w:pPr>
              <w:pStyle w:val="Table"/>
              <w:jc w:val="left"/>
            </w:pPr>
            <w:r>
              <w:t xml:space="preserve">Incremental energy cost allocated to Regulation Down schedule of Resource </w:t>
            </w:r>
            <w:r>
              <w:rPr>
                <w:i/>
              </w:rPr>
              <w:t>i</w:t>
            </w:r>
            <w:r>
              <w:t xml:space="preserve"> in time period </w:t>
            </w:r>
            <w:r>
              <w:rPr>
                <w:i/>
              </w:rPr>
              <w:t>t</w:t>
            </w:r>
            <w:r>
              <w:t>.</w:t>
            </w:r>
          </w:p>
        </w:tc>
      </w:tr>
      <w:tr w:rsidR="00AE3B12" w14:paraId="57B80BC1" w14:textId="77777777" w:rsidTr="00EC7234">
        <w:trPr>
          <w:cantSplit/>
        </w:trPr>
        <w:tc>
          <w:tcPr>
            <w:tcW w:w="1624" w:type="dxa"/>
          </w:tcPr>
          <w:p w14:paraId="5EE53658" w14:textId="77777777" w:rsidR="00AE3B12" w:rsidRPr="0094288F" w:rsidRDefault="00AE3B12" w:rsidP="00D5305B">
            <w:pPr>
              <w:pStyle w:val="Table"/>
              <w:jc w:val="left"/>
              <w:rPr>
                <w:i/>
              </w:rPr>
            </w:pPr>
            <w:r>
              <w:rPr>
                <w:i/>
              </w:rPr>
              <w:lastRenderedPageBreak/>
              <w:t>PU</w:t>
            </w:r>
            <w:r>
              <w:rPr>
                <w:i/>
                <w:vertAlign w:val="subscript"/>
              </w:rPr>
              <w:t>H</w:t>
            </w:r>
          </w:p>
        </w:tc>
        <w:tc>
          <w:tcPr>
            <w:tcW w:w="7736" w:type="dxa"/>
          </w:tcPr>
          <w:p w14:paraId="1A62B4A0" w14:textId="77777777" w:rsidR="00AE3B12" w:rsidRDefault="00AE3B12" w:rsidP="00D5305B">
            <w:pPr>
              <w:pStyle w:val="Table"/>
              <w:jc w:val="left"/>
            </w:pPr>
            <w:r>
              <w:t>High penalty price for Regulation Up.</w:t>
            </w:r>
          </w:p>
        </w:tc>
      </w:tr>
      <w:tr w:rsidR="00AE3B12" w14:paraId="133373CC" w14:textId="77777777" w:rsidTr="00EC7234">
        <w:trPr>
          <w:cantSplit/>
        </w:trPr>
        <w:tc>
          <w:tcPr>
            <w:tcW w:w="1624" w:type="dxa"/>
          </w:tcPr>
          <w:p w14:paraId="4AA7DCB4" w14:textId="77777777" w:rsidR="00AE3B12" w:rsidRPr="0094288F" w:rsidRDefault="00AE3B12" w:rsidP="00D5305B">
            <w:pPr>
              <w:pStyle w:val="Table"/>
              <w:jc w:val="left"/>
              <w:rPr>
                <w:i/>
              </w:rPr>
            </w:pPr>
            <w:r>
              <w:rPr>
                <w:i/>
              </w:rPr>
              <w:t>PU</w:t>
            </w:r>
            <w:r>
              <w:rPr>
                <w:i/>
                <w:vertAlign w:val="subscript"/>
              </w:rPr>
              <w:t>L</w:t>
            </w:r>
          </w:p>
        </w:tc>
        <w:tc>
          <w:tcPr>
            <w:tcW w:w="7736" w:type="dxa"/>
          </w:tcPr>
          <w:p w14:paraId="24CACD51" w14:textId="77777777" w:rsidR="00AE3B12" w:rsidRDefault="00AE3B12" w:rsidP="00D5305B">
            <w:pPr>
              <w:pStyle w:val="Table"/>
              <w:jc w:val="left"/>
            </w:pPr>
            <w:r>
              <w:t xml:space="preserve">Low penalty price for Regulation Up; </w:t>
            </w:r>
            <m:oMath>
              <m:r>
                <w:rPr>
                  <w:rFonts w:ascii="Cambria Math" w:hAnsi="Cambria Math"/>
                </w:rPr>
                <m:t>0≪</m:t>
              </m:r>
              <m:sSub>
                <m:sSubPr>
                  <m:ctrlPr>
                    <w:rPr>
                      <w:rFonts w:ascii="Cambria Math" w:hAnsi="Cambria Math"/>
                      <w:i/>
                    </w:rPr>
                  </m:ctrlPr>
                </m:sSubPr>
                <m:e>
                  <m:r>
                    <w:rPr>
                      <w:rFonts w:ascii="Cambria Math" w:hAnsi="Cambria Math"/>
                    </w:rPr>
                    <m:t>PU</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H</m:t>
                  </m:r>
                </m:sub>
              </m:sSub>
            </m:oMath>
            <w:r>
              <w:t>.</w:t>
            </w:r>
          </w:p>
        </w:tc>
      </w:tr>
      <w:tr w:rsidR="00AE3B12" w14:paraId="27C9543D" w14:textId="77777777" w:rsidTr="00EC7234">
        <w:trPr>
          <w:cantSplit/>
        </w:trPr>
        <w:tc>
          <w:tcPr>
            <w:tcW w:w="1624" w:type="dxa"/>
          </w:tcPr>
          <w:p w14:paraId="37EE04A5" w14:textId="77777777" w:rsidR="00AE3B12" w:rsidRPr="0094288F" w:rsidRDefault="00AE3B12" w:rsidP="00D5305B">
            <w:pPr>
              <w:pStyle w:val="Table"/>
              <w:jc w:val="left"/>
              <w:rPr>
                <w:i/>
              </w:rPr>
            </w:pPr>
            <w:r>
              <w:rPr>
                <w:i/>
              </w:rPr>
              <w:t>PD</w:t>
            </w:r>
            <w:r>
              <w:rPr>
                <w:i/>
                <w:vertAlign w:val="subscript"/>
              </w:rPr>
              <w:t>H</w:t>
            </w:r>
          </w:p>
        </w:tc>
        <w:tc>
          <w:tcPr>
            <w:tcW w:w="7736" w:type="dxa"/>
          </w:tcPr>
          <w:p w14:paraId="4134F5DF" w14:textId="77777777" w:rsidR="00AE3B12" w:rsidRDefault="00AE3B12" w:rsidP="00D5305B">
            <w:pPr>
              <w:pStyle w:val="Table"/>
              <w:jc w:val="left"/>
            </w:pPr>
            <w:r>
              <w:t>High penalty price for Regulation Down.</w:t>
            </w:r>
          </w:p>
        </w:tc>
      </w:tr>
      <w:tr w:rsidR="00AE3B12" w14:paraId="1F980FDE" w14:textId="77777777" w:rsidTr="00EC7234">
        <w:trPr>
          <w:cantSplit/>
        </w:trPr>
        <w:tc>
          <w:tcPr>
            <w:tcW w:w="1624" w:type="dxa"/>
          </w:tcPr>
          <w:p w14:paraId="71B17509" w14:textId="77777777" w:rsidR="00AE3B12" w:rsidRPr="0094288F" w:rsidRDefault="00AE3B12" w:rsidP="00D5305B">
            <w:pPr>
              <w:pStyle w:val="Table"/>
              <w:jc w:val="left"/>
              <w:rPr>
                <w:i/>
              </w:rPr>
            </w:pPr>
            <w:r>
              <w:rPr>
                <w:i/>
              </w:rPr>
              <w:t>PU</w:t>
            </w:r>
            <w:r>
              <w:rPr>
                <w:i/>
                <w:vertAlign w:val="subscript"/>
              </w:rPr>
              <w:t>L</w:t>
            </w:r>
          </w:p>
        </w:tc>
        <w:tc>
          <w:tcPr>
            <w:tcW w:w="7736" w:type="dxa"/>
          </w:tcPr>
          <w:p w14:paraId="3FE3C20C" w14:textId="77777777" w:rsidR="00AE3B12" w:rsidRDefault="00AE3B12" w:rsidP="00D5305B">
            <w:pPr>
              <w:pStyle w:val="Table"/>
              <w:jc w:val="left"/>
            </w:pPr>
            <w:r>
              <w:t xml:space="preserve">Low penalty price for Regulation Down; </w:t>
            </w:r>
            <m:oMath>
              <m:sSub>
                <m:sSubPr>
                  <m:ctrlPr>
                    <w:rPr>
                      <w:rFonts w:ascii="Cambria Math" w:hAnsi="Cambria Math"/>
                      <w:i/>
                    </w:rPr>
                  </m:ctrlPr>
                </m:sSubPr>
                <m:e>
                  <m:r>
                    <w:rPr>
                      <w:rFonts w:ascii="Cambria Math" w:hAnsi="Cambria Math"/>
                    </w:rPr>
                    <m:t>PD</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≪0</m:t>
              </m:r>
            </m:oMath>
            <w:r>
              <w:t>.</w:t>
            </w:r>
          </w:p>
        </w:tc>
      </w:tr>
      <w:tr w:rsidR="00AE3B12" w14:paraId="6C5A6864" w14:textId="77777777" w:rsidTr="00EC7234">
        <w:trPr>
          <w:cantSplit/>
        </w:trPr>
        <w:tc>
          <w:tcPr>
            <w:tcW w:w="1624" w:type="dxa"/>
          </w:tcPr>
          <w:p w14:paraId="27A57265" w14:textId="77777777" w:rsidR="00AE3B12" w:rsidRDefault="00AE3B12" w:rsidP="00D5305B">
            <w:pPr>
              <w:pStyle w:val="Table"/>
              <w:jc w:val="left"/>
              <w:rPr>
                <w:i/>
              </w:rPr>
            </w:pPr>
            <w:r>
              <w:rPr>
                <w:i/>
              </w:rPr>
              <w:t>A</w:t>
            </w:r>
            <w:r w:rsidRPr="00D00802">
              <w:rPr>
                <w:i/>
                <w:vertAlign w:val="subscript"/>
              </w:rPr>
              <w:t>U</w:t>
            </w:r>
          </w:p>
        </w:tc>
        <w:tc>
          <w:tcPr>
            <w:tcW w:w="7736" w:type="dxa"/>
          </w:tcPr>
          <w:p w14:paraId="11224FC1" w14:textId="77777777" w:rsidR="00AE3B12" w:rsidRDefault="00AE3B12" w:rsidP="00D5305B">
            <w:pPr>
              <w:pStyle w:val="Table"/>
              <w:jc w:val="left"/>
            </w:pPr>
            <w:r>
              <w:t>Linear penalty price transformation coefficient for Regulation Up.</w:t>
            </w:r>
          </w:p>
        </w:tc>
      </w:tr>
      <w:tr w:rsidR="00AE3B12" w14:paraId="6AADDB6C" w14:textId="77777777" w:rsidTr="00EC7234">
        <w:trPr>
          <w:cantSplit/>
        </w:trPr>
        <w:tc>
          <w:tcPr>
            <w:tcW w:w="1624" w:type="dxa"/>
          </w:tcPr>
          <w:p w14:paraId="6363B6E4" w14:textId="77777777" w:rsidR="00AE3B12" w:rsidRDefault="00AE3B12" w:rsidP="00D5305B">
            <w:pPr>
              <w:pStyle w:val="Table"/>
              <w:jc w:val="left"/>
              <w:rPr>
                <w:i/>
              </w:rPr>
            </w:pPr>
            <w:r>
              <w:rPr>
                <w:i/>
              </w:rPr>
              <w:t>B</w:t>
            </w:r>
            <w:r w:rsidRPr="00D00802">
              <w:rPr>
                <w:i/>
                <w:vertAlign w:val="subscript"/>
              </w:rPr>
              <w:t>U</w:t>
            </w:r>
          </w:p>
        </w:tc>
        <w:tc>
          <w:tcPr>
            <w:tcW w:w="7736" w:type="dxa"/>
          </w:tcPr>
          <w:p w14:paraId="036C3EB2" w14:textId="77777777" w:rsidR="00AE3B12" w:rsidRDefault="00AE3B12" w:rsidP="00D5305B">
            <w:pPr>
              <w:pStyle w:val="Table"/>
              <w:jc w:val="left"/>
            </w:pPr>
            <w:r>
              <w:t>Constant penalty price transformation for Regulation Up.</w:t>
            </w:r>
          </w:p>
        </w:tc>
      </w:tr>
      <w:tr w:rsidR="00AE3B12" w14:paraId="4F6A0D4F" w14:textId="77777777" w:rsidTr="00EC7234">
        <w:trPr>
          <w:cantSplit/>
        </w:trPr>
        <w:tc>
          <w:tcPr>
            <w:tcW w:w="1624" w:type="dxa"/>
          </w:tcPr>
          <w:p w14:paraId="2AC7B73F" w14:textId="77777777" w:rsidR="00AE3B12" w:rsidRDefault="00AE3B12" w:rsidP="00D5305B">
            <w:pPr>
              <w:pStyle w:val="Table"/>
              <w:jc w:val="left"/>
              <w:rPr>
                <w:i/>
              </w:rPr>
            </w:pPr>
            <w:r>
              <w:rPr>
                <w:i/>
              </w:rPr>
              <w:t>A</w:t>
            </w:r>
            <w:r w:rsidRPr="00D00802">
              <w:rPr>
                <w:i/>
                <w:vertAlign w:val="subscript"/>
              </w:rPr>
              <w:t>D</w:t>
            </w:r>
          </w:p>
        </w:tc>
        <w:tc>
          <w:tcPr>
            <w:tcW w:w="7736" w:type="dxa"/>
          </w:tcPr>
          <w:p w14:paraId="4ACDACC6" w14:textId="77777777" w:rsidR="00AE3B12" w:rsidRDefault="00AE3B12" w:rsidP="00D5305B">
            <w:pPr>
              <w:pStyle w:val="Table"/>
              <w:jc w:val="left"/>
            </w:pPr>
            <w:r>
              <w:t>Linear penalty price transformation coefficient for Regulation Down.</w:t>
            </w:r>
          </w:p>
        </w:tc>
      </w:tr>
      <w:tr w:rsidR="00AE3B12" w14:paraId="61E86BAC" w14:textId="77777777" w:rsidTr="00EC7234">
        <w:trPr>
          <w:cantSplit/>
        </w:trPr>
        <w:tc>
          <w:tcPr>
            <w:tcW w:w="1624" w:type="dxa"/>
          </w:tcPr>
          <w:p w14:paraId="328D6053" w14:textId="77777777" w:rsidR="00AE3B12" w:rsidRDefault="00AE3B12" w:rsidP="00D5305B">
            <w:pPr>
              <w:pStyle w:val="Table"/>
              <w:jc w:val="left"/>
              <w:rPr>
                <w:i/>
              </w:rPr>
            </w:pPr>
            <w:r>
              <w:rPr>
                <w:i/>
              </w:rPr>
              <w:t>B</w:t>
            </w:r>
            <w:r w:rsidRPr="00D00802">
              <w:rPr>
                <w:i/>
                <w:vertAlign w:val="subscript"/>
              </w:rPr>
              <w:t>D</w:t>
            </w:r>
          </w:p>
        </w:tc>
        <w:tc>
          <w:tcPr>
            <w:tcW w:w="7736" w:type="dxa"/>
          </w:tcPr>
          <w:p w14:paraId="74B514B5" w14:textId="77777777" w:rsidR="00AE3B12" w:rsidRDefault="00AE3B12" w:rsidP="00D5305B">
            <w:pPr>
              <w:pStyle w:val="Table"/>
              <w:jc w:val="left"/>
            </w:pPr>
            <w:r>
              <w:t>Constant penalty price transformation for Regulation Down.</w:t>
            </w:r>
          </w:p>
        </w:tc>
      </w:tr>
    </w:tbl>
    <w:p w14:paraId="2C779282" w14:textId="77777777" w:rsidR="00AE3B12" w:rsidRDefault="00AE3B12" w:rsidP="00877DDB">
      <w:pPr>
        <w:pStyle w:val="BPM"/>
      </w:pPr>
      <w:r>
        <w:t>The contribution of Regulation dispatch in the Scheduling Run objective function is as follows:</w:t>
      </w:r>
    </w:p>
    <w:p w14:paraId="023C43B9" w14:textId="77777777" w:rsidR="00AE3B12" w:rsidRPr="00875BAD" w:rsidRDefault="00AE3B12" w:rsidP="00AE3B12">
      <w:pPr>
        <w:pStyle w:val="Equation"/>
      </w:pPr>
      <m:oMathPara>
        <m:oMath>
          <m:r>
            <w:rPr>
              <w:rFonts w:ascii="Cambria Math" w:hAnsi="Cambria Math"/>
            </w:rPr>
            <m:t>C=…+</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RU</m:t>
                              </m:r>
                            </m:e>
                            <m:sub>
                              <m:r>
                                <w:rPr>
                                  <w:rFonts w:ascii="Cambria Math" w:hAnsi="Cambria Math"/>
                                </w:rPr>
                                <m:t>i,t</m:t>
                              </m:r>
                            </m:sub>
                          </m:s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 xml:space="preserve"> </m:t>
                              </m:r>
                              <m:sSub>
                                <m:sSubPr>
                                  <m:ctrlPr>
                                    <w:rPr>
                                      <w:rFonts w:ascii="Cambria Math" w:hAnsi="Cambria Math"/>
                                      <w:i/>
                                    </w:rPr>
                                  </m:ctrlPr>
                                </m:sSubPr>
                                <m:e>
                                  <m:r>
                                    <w:rPr>
                                      <w:rFonts w:ascii="Cambria Math" w:hAnsi="Cambria Math"/>
                                    </w:rPr>
                                    <m:t>CRU</m:t>
                                  </m:r>
                                </m:e>
                                <m:sub>
                                  <m:r>
                                    <w:rPr>
                                      <w:rFonts w:ascii="Cambria Math" w:hAnsi="Cambria Math"/>
                                    </w:rPr>
                                    <m:t>i,t</m:t>
                                  </m:r>
                                </m:sub>
                              </m:sSub>
                              <m:r>
                                <w:rPr>
                                  <w:rFonts w:ascii="Cambria Math" w:hAnsi="Cambria Math"/>
                                </w:rPr>
                                <m:t>(p)+</m:t>
                              </m:r>
                              <m:sSub>
                                <m:sSubPr>
                                  <m:ctrlPr>
                                    <w:rPr>
                                      <w:rFonts w:ascii="Cambria Math" w:hAnsi="Cambria Math"/>
                                      <w:i/>
                                    </w:rPr>
                                  </m:ctrlPr>
                                </m:sSubPr>
                                <m:e>
                                  <m:r>
                                    <w:rPr>
                                      <w:rFonts w:ascii="Cambria Math" w:hAnsi="Cambria Math"/>
                                    </w:rPr>
                                    <m:t>B</m:t>
                                  </m:r>
                                </m:e>
                                <m:sub>
                                  <m:r>
                                    <w:rPr>
                                      <w:rFonts w:ascii="Cambria Math" w:hAnsi="Cambria Math"/>
                                    </w:rPr>
                                    <m:t>U</m:t>
                                  </m:r>
                                </m:sub>
                              </m:sSub>
                            </m:e>
                          </m:d>
                          <m:r>
                            <w:rPr>
                              <w:rFonts w:ascii="Cambria Math" w:hAnsi="Cambria Math"/>
                            </w:rPr>
                            <m:t xml:space="preserve"> dp</m:t>
                          </m:r>
                        </m:e>
                      </m:nary>
                    </m:e>
                  </m:nary>
                  <m:r>
                    <w:rPr>
                      <w:rFonts w:ascii="Cambria Math" w:hAnsi="Cambria Math"/>
                    </w:rPr>
                    <m:t xml:space="preserve"> </m:t>
                  </m:r>
                </m:e>
              </m:nary>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RD</m:t>
                              </m:r>
                            </m:e>
                            <m:sub>
                              <m:r>
                                <w:rPr>
                                  <w:rFonts w:ascii="Cambria Math" w:hAnsi="Cambria Math"/>
                                </w:rPr>
                                <m:t>i,t</m:t>
                              </m:r>
                            </m:sub>
                          </m:s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CRD</m:t>
                                  </m:r>
                                </m:e>
                                <m:sub>
                                  <m:r>
                                    <w:rPr>
                                      <w:rFonts w:ascii="Cambria Math" w:hAnsi="Cambria Math"/>
                                    </w:rPr>
                                    <m:t>i,t</m:t>
                                  </m:r>
                                </m:sub>
                              </m:sSub>
                              <m:r>
                                <w:rPr>
                                  <w:rFonts w:ascii="Cambria Math" w:hAnsi="Cambria Math"/>
                                </w:rPr>
                                <m:t>(p)+</m:t>
                              </m:r>
                              <m:sSub>
                                <m:sSubPr>
                                  <m:ctrlPr>
                                    <w:rPr>
                                      <w:rFonts w:ascii="Cambria Math" w:hAnsi="Cambria Math"/>
                                      <w:i/>
                                    </w:rPr>
                                  </m:ctrlPr>
                                </m:sSubPr>
                                <m:e>
                                  <m:r>
                                    <w:rPr>
                                      <w:rFonts w:ascii="Cambria Math" w:hAnsi="Cambria Math"/>
                                    </w:rPr>
                                    <m:t>B</m:t>
                                  </m:r>
                                </m:e>
                                <m:sub>
                                  <m:r>
                                    <w:rPr>
                                      <w:rFonts w:ascii="Cambria Math" w:hAnsi="Cambria Math"/>
                                    </w:rPr>
                                    <m:t>D</m:t>
                                  </m:r>
                                </m:sub>
                              </m:sSub>
                            </m:e>
                          </m:d>
                          <m:r>
                            <w:rPr>
                              <w:rFonts w:ascii="Cambria Math" w:hAnsi="Cambria Math"/>
                            </w:rPr>
                            <m:t xml:space="preserve"> dp</m:t>
                          </m:r>
                        </m:e>
                      </m:nary>
                    </m:e>
                  </m:nary>
                  <m:r>
                    <w:rPr>
                      <w:rFonts w:ascii="Cambria Math" w:hAnsi="Cambria Math"/>
                    </w:rPr>
                    <m:t xml:space="preserve"> </m:t>
                  </m:r>
                </m:e>
              </m:nary>
            </m:e>
          </m:nary>
        </m:oMath>
      </m:oMathPara>
    </w:p>
    <w:p w14:paraId="5CFEB00D" w14:textId="77777777" w:rsidR="00AE3B12" w:rsidRDefault="00AE3B12" w:rsidP="00877DDB">
      <w:pPr>
        <w:pStyle w:val="BPM"/>
      </w:pPr>
      <w:r>
        <w:t>Where the linear transformation parameters for the economically differentiated penalty prices are derived as follows:</w:t>
      </w:r>
    </w:p>
    <w:p w14:paraId="31B4C422" w14:textId="77777777" w:rsidR="00AE3B12" w:rsidRPr="00E93DE7" w:rsidRDefault="00AE7E55" w:rsidP="00AE3B12">
      <w:pPr>
        <w:pStyle w:val="Equation"/>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L</m:t>
                                </m:r>
                              </m:sub>
                            </m:sSub>
                          </m:num>
                          <m:den>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den>
                        </m:f>
                      </m:e>
                    </m:d>
                  </m:e>
                </m:func>
              </m:e>
            </m:mr>
            <m:mr>
              <m:e>
                <m:sSub>
                  <m:sSubPr>
                    <m:ctrlPr>
                      <w:rPr>
                        <w:rFonts w:ascii="Cambria Math" w:hAnsi="Cambria Math"/>
                        <w:i/>
                      </w:rPr>
                    </m:ctrlPr>
                  </m:sSubPr>
                  <m:e>
                    <m:r>
                      <w:rPr>
                        <w:rFonts w:ascii="Cambria Math" w:hAnsi="Cambria Math"/>
                      </w:rPr>
                      <m:t>B</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e>
            </m:mr>
          </m:m>
        </m:oMath>
      </m:oMathPara>
    </w:p>
    <w:p w14:paraId="7ED51BEC" w14:textId="77777777" w:rsidR="00AE3B12" w:rsidRPr="00E93DE7" w:rsidRDefault="00AE7E55" w:rsidP="00AE3B12">
      <w:pPr>
        <w:pStyle w:val="Equation"/>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L</m:t>
                                </m:r>
                              </m:sub>
                            </m:sSub>
                          </m:num>
                          <m:den>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den>
                        </m:f>
                      </m:e>
                    </m:d>
                  </m:e>
                </m:func>
              </m:e>
            </m:mr>
            <m:mr>
              <m:e>
                <m:sSub>
                  <m:sSubPr>
                    <m:ctrlPr>
                      <w:rPr>
                        <w:rFonts w:ascii="Cambria Math" w:hAnsi="Cambria Math"/>
                        <w:i/>
                      </w:rPr>
                    </m:ctrlPr>
                  </m:sSubPr>
                  <m:e>
                    <m:r>
                      <w:rPr>
                        <w:rFonts w:ascii="Cambria Math" w:hAnsi="Cambria Math"/>
                      </w:rPr>
                      <m:t>B</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e>
            </m:mr>
          </m:m>
        </m:oMath>
      </m:oMathPara>
    </w:p>
    <w:p w14:paraId="509D2931" w14:textId="77777777" w:rsidR="00E44654" w:rsidRPr="00E93DE7" w:rsidRDefault="00E44654" w:rsidP="00877DDB">
      <w:pPr>
        <w:pStyle w:val="BPM"/>
      </w:pPr>
      <w:r>
        <w:t>Regulation Up/Down dispatch in the Scheduling Run is prevented when the EIM Transfer is higher/lower than the base EIM Transfer for the EIM BAA as follows:</w:t>
      </w:r>
    </w:p>
    <w:p w14:paraId="38420B67" w14:textId="77777777" w:rsidR="00E44654" w:rsidRPr="003D5F2D" w:rsidRDefault="00AE7E55" w:rsidP="00E44654">
      <w:pPr>
        <w:pStyle w:val="Paragrap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k,t</m:t>
                        </m:r>
                      </m:sub>
                    </m:sSub>
                    <m:r>
                      <w:rPr>
                        <w:rFonts w:ascii="Cambria Math" w:hAnsi="Cambria Math"/>
                      </w:rPr>
                      <m:t>&gt;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sSub>
                          <m:sSubPr>
                            <m:ctrlPr>
                              <w:rPr>
                                <w:rFonts w:ascii="Cambria Math" w:hAnsi="Cambria Math"/>
                                <w:i/>
                              </w:rPr>
                            </m:ctrlPr>
                          </m:sSubPr>
                          <m:e>
                            <m:r>
                              <w:rPr>
                                <w:rFonts w:ascii="Cambria Math" w:hAnsi="Cambria Math"/>
                              </w:rPr>
                              <m:t>RU</m:t>
                            </m:r>
                          </m:e>
                          <m:sub>
                            <m:r>
                              <w:rPr>
                                <w:rFonts w:ascii="Cambria Math" w:hAnsi="Cambria Math"/>
                              </w:rPr>
                              <m:t>i,t</m:t>
                            </m:r>
                          </m:sub>
                        </m:sSub>
                      </m:e>
                    </m:nary>
                    <m:r>
                      <w:rPr>
                        <w:rFonts w:ascii="Cambria Math" w:hAnsi="Cambria Math"/>
                      </w:rPr>
                      <m:t>=0</m:t>
                    </m:r>
                  </m:e>
                </m:mr>
                <m:mr>
                  <m:e>
                    <m:sSub>
                      <m:sSubPr>
                        <m:ctrlPr>
                          <w:rPr>
                            <w:rFonts w:ascii="Cambria Math" w:hAnsi="Cambria Math"/>
                            <w:i/>
                          </w:rPr>
                        </m:ctrlPr>
                      </m:sSubPr>
                      <m:e>
                        <m:r>
                          <w:rPr>
                            <w:rFonts w:ascii="Cambria Math" w:hAnsi="Cambria Math"/>
                          </w:rPr>
                          <m:t>T</m:t>
                        </m:r>
                      </m:e>
                      <m:sub>
                        <m:r>
                          <w:rPr>
                            <w:rFonts w:ascii="Cambria Math" w:hAnsi="Cambria Math"/>
                          </w:rPr>
                          <m:t>k,t</m:t>
                        </m:r>
                      </m:sub>
                    </m:sSub>
                    <m:r>
                      <w:rPr>
                        <w:rFonts w:ascii="Cambria Math" w:hAnsi="Cambria Math"/>
                      </w:rPr>
                      <m:t>&lt;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sSub>
                          <m:sSubPr>
                            <m:ctrlPr>
                              <w:rPr>
                                <w:rFonts w:ascii="Cambria Math" w:hAnsi="Cambria Math"/>
                                <w:i/>
                              </w:rPr>
                            </m:ctrlPr>
                          </m:sSubPr>
                          <m:e>
                            <m:r>
                              <w:rPr>
                                <w:rFonts w:ascii="Cambria Math" w:hAnsi="Cambria Math"/>
                              </w:rPr>
                              <m:t>RD</m:t>
                            </m:r>
                          </m:e>
                          <m:sub>
                            <m:r>
                              <w:rPr>
                                <w:rFonts w:ascii="Cambria Math" w:hAnsi="Cambria Math"/>
                              </w:rPr>
                              <m:t>i,t</m:t>
                            </m:r>
                          </m:sub>
                        </m:sSub>
                      </m:e>
                    </m:nary>
                    <m:r>
                      <w:rPr>
                        <w:rFonts w:ascii="Cambria Math" w:hAnsi="Cambria Math"/>
                      </w:rPr>
                      <m:t>=0</m:t>
                    </m:r>
                  </m:e>
                </m:mr>
              </m:m>
            </m:e>
          </m:d>
          <m:r>
            <w:rPr>
              <w:rFonts w:ascii="Cambria Math" w:hAnsi="Cambria Math"/>
            </w:rPr>
            <m:t>, ∀k,t</m:t>
          </m:r>
        </m:oMath>
      </m:oMathPara>
    </w:p>
    <w:p w14:paraId="58BC36A6" w14:textId="77777777" w:rsidR="00E44654" w:rsidRDefault="00E44654" w:rsidP="00877DDB">
      <w:pPr>
        <w:pStyle w:val="BPM"/>
      </w:pPr>
      <w:r>
        <w:t>Regulation Up/Down dispatch in the Scheduling Run is also limited by the base Regulation schedule as follows:</w:t>
      </w:r>
    </w:p>
    <w:p w14:paraId="6F7569FE"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RU</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RU</m:t>
                  </m:r>
                </m:e>
              </m:acc>
            </m:e>
            <m:sub>
              <m:r>
                <w:rPr>
                  <w:rFonts w:ascii="Cambria Math" w:hAnsi="Cambria Math"/>
                </w:rPr>
                <m:t>i,t</m:t>
              </m:r>
            </m:sub>
          </m:sSub>
          <m:r>
            <w:rPr>
              <w:rFonts w:ascii="Cambria Math" w:hAnsi="Cambria Math"/>
            </w:rPr>
            <m:t>, ∀i,t</m:t>
          </m:r>
        </m:oMath>
      </m:oMathPara>
    </w:p>
    <w:p w14:paraId="06702213"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RD</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RD</m:t>
                  </m:r>
                </m:e>
              </m:acc>
            </m:e>
            <m:sub>
              <m:r>
                <w:rPr>
                  <w:rFonts w:ascii="Cambria Math" w:hAnsi="Cambria Math"/>
                </w:rPr>
                <m:t>i,t</m:t>
              </m:r>
            </m:sub>
          </m:sSub>
          <m:r>
            <w:rPr>
              <w:rFonts w:ascii="Cambria Math" w:hAnsi="Cambria Math"/>
            </w:rPr>
            <m:t>, ∀i,t</m:t>
          </m:r>
        </m:oMath>
      </m:oMathPara>
    </w:p>
    <w:p w14:paraId="16D7DC7E" w14:textId="77777777" w:rsidR="00AE3B12" w:rsidRDefault="00AE3B12" w:rsidP="00877DDB">
      <w:pPr>
        <w:pStyle w:val="BPM"/>
      </w:pPr>
      <w:r>
        <w:t>Whereas the Regulation dispatch in the Pricing Run is limited by the optimal dispatch in the Scheduling Run as follows:</w:t>
      </w:r>
    </w:p>
    <w:p w14:paraId="723279FA"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RU</m:t>
              </m:r>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RU</m:t>
                  </m:r>
                </m:e>
              </m:acc>
            </m:e>
            <m:sub>
              <m:r>
                <w:rPr>
                  <w:rFonts w:ascii="Cambria Math" w:hAnsi="Cambria Math"/>
                </w:rPr>
                <m:t>i,t</m:t>
              </m:r>
            </m:sub>
          </m:sSub>
          <m:r>
            <w:rPr>
              <w:rFonts w:ascii="Cambria Math" w:hAnsi="Cambria Math"/>
            </w:rPr>
            <m:t>, ∀i,t</m:t>
          </m:r>
        </m:oMath>
      </m:oMathPara>
    </w:p>
    <w:p w14:paraId="157E7278"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RD</m:t>
              </m:r>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RD</m:t>
                  </m:r>
                </m:e>
              </m:acc>
            </m:e>
            <m:sub>
              <m:r>
                <w:rPr>
                  <w:rFonts w:ascii="Cambria Math" w:hAnsi="Cambria Math"/>
                </w:rPr>
                <m:t>i,t</m:t>
              </m:r>
            </m:sub>
          </m:sSub>
          <m:r>
            <w:rPr>
              <w:rFonts w:ascii="Cambria Math" w:hAnsi="Cambria Math"/>
            </w:rPr>
            <m:t>, ∀i,t</m:t>
          </m:r>
        </m:oMath>
      </m:oMathPara>
    </w:p>
    <w:p w14:paraId="60E5630B" w14:textId="77777777" w:rsidR="00CB3BFB" w:rsidRPr="00B00E71" w:rsidRDefault="00CB3BFB">
      <w:pPr>
        <w:pStyle w:val="Heading1"/>
        <w:numPr>
          <w:ilvl w:val="0"/>
          <w:numId w:val="0"/>
        </w:numPr>
        <w:rPr>
          <w:szCs w:val="34"/>
        </w:rPr>
      </w:pPr>
    </w:p>
    <w:sectPr w:rsidR="00CB3BFB" w:rsidRPr="00B00E71" w:rsidSect="00F446C9">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FEC5" w14:textId="77777777" w:rsidR="005C71E4" w:rsidRDefault="005C71E4">
      <w:r>
        <w:separator/>
      </w:r>
    </w:p>
  </w:endnote>
  <w:endnote w:type="continuationSeparator" w:id="0">
    <w:p w14:paraId="6ABCF707" w14:textId="77777777" w:rsidR="005C71E4" w:rsidRDefault="005C71E4">
      <w:r>
        <w:continuationSeparator/>
      </w:r>
    </w:p>
  </w:endnote>
  <w:endnote w:type="continuationNotice" w:id="1">
    <w:p w14:paraId="1DA828DD" w14:textId="77777777" w:rsidR="005C71E4" w:rsidRDefault="005C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525312"/>
      <w:docPartObj>
        <w:docPartGallery w:val="Page Numbers (Bottom of Page)"/>
        <w:docPartUnique/>
      </w:docPartObj>
    </w:sdtPr>
    <w:sdtEndPr/>
    <w:sdtContent>
      <w:sdt>
        <w:sdtPr>
          <w:id w:val="1728636285"/>
          <w:docPartObj>
            <w:docPartGallery w:val="Page Numbers (Top of Page)"/>
            <w:docPartUnique/>
          </w:docPartObj>
        </w:sdtPr>
        <w:sdtEndPr/>
        <w:sdtContent>
          <w:p w14:paraId="5971CEFC" w14:textId="77777777" w:rsidR="005C71E4" w:rsidRDefault="005C71E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AE7E55">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E7E55">
              <w:rPr>
                <w:b/>
                <w:bCs/>
                <w:noProof/>
              </w:rPr>
              <w:t>135</w:t>
            </w:r>
            <w:r>
              <w:rPr>
                <w:b/>
                <w:bCs/>
                <w:sz w:val="24"/>
              </w:rPr>
              <w:fldChar w:fldCharType="end"/>
            </w:r>
          </w:p>
        </w:sdtContent>
      </w:sdt>
    </w:sdtContent>
  </w:sdt>
  <w:p w14:paraId="7E1E8C1C" w14:textId="77777777" w:rsidR="005C71E4" w:rsidRDefault="005C71E4" w:rsidP="00D174FE">
    <w:pPr>
      <w:pStyle w:val="Footer"/>
      <w:tabs>
        <w:tab w:val="left" w:pos="3600"/>
      </w:tabs>
      <w:rPr>
        <w:i w:val="0"/>
        <w:i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199790"/>
      <w:docPartObj>
        <w:docPartGallery w:val="Page Numbers (Bottom of Page)"/>
        <w:docPartUnique/>
      </w:docPartObj>
    </w:sdtPr>
    <w:sdtEndPr/>
    <w:sdtContent>
      <w:sdt>
        <w:sdtPr>
          <w:id w:val="-561410965"/>
          <w:docPartObj>
            <w:docPartGallery w:val="Page Numbers (Top of Page)"/>
            <w:docPartUnique/>
          </w:docPartObj>
        </w:sdtPr>
        <w:sdtEndPr/>
        <w:sdtContent>
          <w:p w14:paraId="48D5D729" w14:textId="77777777" w:rsidR="005C71E4" w:rsidRDefault="005C71E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AE7E55">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E7E55">
              <w:rPr>
                <w:b/>
                <w:bCs/>
                <w:noProof/>
              </w:rPr>
              <w:t>135</w:t>
            </w:r>
            <w:r>
              <w:rPr>
                <w:b/>
                <w:bCs/>
                <w:sz w:val="24"/>
              </w:rPr>
              <w:fldChar w:fldCharType="end"/>
            </w:r>
          </w:p>
        </w:sdtContent>
      </w:sdt>
    </w:sdtContent>
  </w:sdt>
  <w:p w14:paraId="4EAC24AC" w14:textId="77777777" w:rsidR="005C71E4" w:rsidRDefault="005C71E4" w:rsidP="00C33762">
    <w:pPr>
      <w:pStyle w:val="FootnoteText"/>
      <w:rPr>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731BF" w14:textId="77777777" w:rsidR="005C71E4" w:rsidRDefault="005C71E4">
      <w:r>
        <w:separator/>
      </w:r>
    </w:p>
  </w:footnote>
  <w:footnote w:type="continuationSeparator" w:id="0">
    <w:p w14:paraId="5307FC2E" w14:textId="77777777" w:rsidR="005C71E4" w:rsidRDefault="005C71E4">
      <w:r>
        <w:continuationSeparator/>
      </w:r>
    </w:p>
  </w:footnote>
  <w:footnote w:type="continuationNotice" w:id="1">
    <w:p w14:paraId="794BBAF8" w14:textId="77777777" w:rsidR="005C71E4" w:rsidRDefault="005C71E4"/>
  </w:footnote>
  <w:footnote w:id="2">
    <w:p w14:paraId="19B5C023" w14:textId="77777777" w:rsidR="005C71E4" w:rsidRDefault="005C71E4" w:rsidP="002815A0">
      <w:pPr>
        <w:pStyle w:val="FootnoteText"/>
      </w:pPr>
      <w:r>
        <w:rPr>
          <w:rStyle w:val="FootnoteReference"/>
        </w:rPr>
        <w:footnoteRef/>
      </w:r>
      <w:r>
        <w:t xml:space="preserve"> </w:t>
      </w:r>
      <w:r>
        <w:tab/>
        <w:t>Currently, RUC intertie schedules are not part of the base EIM Transfer because no scheduling is allowed from EIM BAA Scheduling Hubs in the Day-Ahead Market, and intertie schedules from existing CISO Scheduling Points in EIM BAAs are not considered EIM transactions; hence the base Energy Transfer schedules with the CISO and the base EIM Transfer for the CISO are all zero.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A6A6" w14:textId="77777777" w:rsidR="005C71E4" w:rsidRDefault="005C71E4" w:rsidP="00B00E71">
    <w:pPr>
      <w:pStyle w:val="Header"/>
      <w:pBdr>
        <w:bottom w:val="single" w:sz="12" w:space="2" w:color="auto"/>
      </w:pBdr>
      <w:tabs>
        <w:tab w:val="clear" w:pos="8640"/>
        <w:tab w:val="left" w:pos="5760"/>
        <w:tab w:val="right" w:pos="9360"/>
      </w:tabs>
      <w:jc w:val="right"/>
      <w:rPr>
        <w:b w:val="0"/>
        <w:bCs/>
        <w:sz w:val="16"/>
      </w:rPr>
    </w:pPr>
    <w:r>
      <w:rPr>
        <w:b w:val="0"/>
        <w:bCs/>
        <w:sz w:val="16"/>
      </w:rPr>
      <w:t xml:space="preserve">CAISO Business Practice Manual                                                                         BPM for the Energy Imbalance Market                      </w:t>
    </w:r>
    <w:r>
      <w:rPr>
        <w:b w:val="0"/>
        <w:bCs/>
        <w:sz w:val="16"/>
      </w:rPr>
      <w:tab/>
    </w:r>
    <w:r>
      <w:rPr>
        <w:b w:val="0"/>
        <w:bCs/>
        <w:sz w:val="16"/>
      </w:rPr>
      <w:tab/>
    </w:r>
  </w:p>
  <w:p w14:paraId="5DB9103C" w14:textId="77777777" w:rsidR="005C71E4" w:rsidRDefault="005C71E4">
    <w:pPr>
      <w:pStyle w:val="Header"/>
      <w:rPr>
        <w:b w:val="0"/>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BC87" w14:textId="2626260E" w:rsidR="005C71E4" w:rsidRDefault="008D505E">
    <w:pPr>
      <w:pStyle w:val="Header"/>
    </w:pPr>
    <w:r w:rsidRPr="008D505E">
      <w:rPr>
        <w:noProof/>
      </w:rPr>
      <w:drawing>
        <wp:inline distT="0" distB="0" distL="0" distR="0" wp14:anchorId="1C047A83" wp14:editId="46B3E039">
          <wp:extent cx="2059305" cy="381635"/>
          <wp:effectExtent l="0" t="0" r="0" b="0"/>
          <wp:docPr id="35" name="Picture 35" descr="\\myfiles\home\jpayton\profile\Desktop\CAISOLogo-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files\home\jpayton\profile\Desktop\CAISOLogo-2.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1A5C60"/>
    <w:lvl w:ilvl="0">
      <w:start w:val="1"/>
      <w:numFmt w:val="decimal"/>
      <w:pStyle w:val="ListNumber5"/>
      <w:lvlText w:val="%1)"/>
      <w:lvlJc w:val="left"/>
      <w:pPr>
        <w:ind w:left="1800" w:hanging="360"/>
      </w:pPr>
    </w:lvl>
  </w:abstractNum>
  <w:abstractNum w:abstractNumId="1" w15:restartNumberingAfterBreak="0">
    <w:nsid w:val="FFFFFF7D"/>
    <w:multiLevelType w:val="singleLevel"/>
    <w:tmpl w:val="2F1216D4"/>
    <w:lvl w:ilvl="0">
      <w:start w:val="1"/>
      <w:numFmt w:val="decimal"/>
      <w:pStyle w:val="ListNumber4"/>
      <w:lvlText w:val="%1)"/>
      <w:lvlJc w:val="left"/>
      <w:pPr>
        <w:ind w:left="1440" w:hanging="360"/>
      </w:pPr>
    </w:lvl>
  </w:abstractNum>
  <w:abstractNum w:abstractNumId="2" w15:restartNumberingAfterBreak="0">
    <w:nsid w:val="FFFFFF7E"/>
    <w:multiLevelType w:val="singleLevel"/>
    <w:tmpl w:val="589019F2"/>
    <w:lvl w:ilvl="0">
      <w:start w:val="1"/>
      <w:numFmt w:val="decimal"/>
      <w:pStyle w:val="ListNumber3"/>
      <w:lvlText w:val="%1)"/>
      <w:lvlJc w:val="left"/>
      <w:pPr>
        <w:ind w:left="1080" w:hanging="360"/>
      </w:pPr>
    </w:lvl>
  </w:abstractNum>
  <w:abstractNum w:abstractNumId="3" w15:restartNumberingAfterBreak="0">
    <w:nsid w:val="FFFFFF7F"/>
    <w:multiLevelType w:val="singleLevel"/>
    <w:tmpl w:val="351CBBBC"/>
    <w:lvl w:ilvl="0">
      <w:start w:val="1"/>
      <w:numFmt w:val="decimal"/>
      <w:pStyle w:val="ListNumber2"/>
      <w:lvlText w:val="%1)"/>
      <w:lvlJc w:val="left"/>
      <w:pPr>
        <w:ind w:left="720" w:hanging="360"/>
      </w:pPr>
    </w:lvl>
  </w:abstractNum>
  <w:abstractNum w:abstractNumId="4" w15:restartNumberingAfterBreak="0">
    <w:nsid w:val="FFFFFF80"/>
    <w:multiLevelType w:val="singleLevel"/>
    <w:tmpl w:val="3A88E8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420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86A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2DB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507CEC"/>
    <w:lvl w:ilvl="0">
      <w:start w:val="1"/>
      <w:numFmt w:val="decimal"/>
      <w:pStyle w:val="ListNumber"/>
      <w:lvlText w:val="%1)"/>
      <w:lvlJc w:val="left"/>
      <w:pPr>
        <w:ind w:left="360" w:hanging="360"/>
      </w:pPr>
    </w:lvl>
  </w:abstractNum>
  <w:abstractNum w:abstractNumId="9" w15:restartNumberingAfterBreak="0">
    <w:nsid w:val="FFFFFF89"/>
    <w:multiLevelType w:val="singleLevel"/>
    <w:tmpl w:val="4D622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91C7C80"/>
    <w:lvl w:ilvl="0">
      <w:start w:val="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720" w:hanging="720"/>
      </w:pPr>
    </w:lvl>
    <w:lvl w:ilvl="5">
      <w:start w:val="1"/>
      <w:numFmt w:val="decimal"/>
      <w:lvlText w:val="%1.%2.%3.%4.%5.%6."/>
      <w:lvlJc w:val="left"/>
      <w:pPr>
        <w:tabs>
          <w:tab w:val="num" w:pos="1080"/>
        </w:tabs>
        <w:ind w:left="720" w:hanging="720"/>
      </w:pPr>
    </w:lvl>
    <w:lvl w:ilvl="6">
      <w:start w:val="1"/>
      <w:numFmt w:val="decimal"/>
      <w:lvlText w:val="%1.%2.%3.%4.%5.%6.%7."/>
      <w:lvlJc w:val="left"/>
      <w:pPr>
        <w:tabs>
          <w:tab w:val="num" w:pos="1440"/>
        </w:tabs>
        <w:ind w:left="720" w:hanging="720"/>
      </w:pPr>
    </w:lvl>
    <w:lvl w:ilvl="7">
      <w:start w:val="1"/>
      <w:numFmt w:val="decimal"/>
      <w:lvlText w:val="%1.%2.%3.%4.%5.%6.%7.%8."/>
      <w:lvlJc w:val="left"/>
      <w:pPr>
        <w:tabs>
          <w:tab w:val="num" w:pos="1440"/>
        </w:tabs>
        <w:ind w:left="720" w:hanging="720"/>
      </w:pPr>
    </w:lvl>
    <w:lvl w:ilvl="8">
      <w:start w:val="1"/>
      <w:numFmt w:val="decimal"/>
      <w:lvlText w:val="%1.%2.%3.%4.%5.%6.%7.%8.%9."/>
      <w:lvlJc w:val="left"/>
      <w:pPr>
        <w:tabs>
          <w:tab w:val="num" w:pos="1800"/>
        </w:tabs>
        <w:ind w:left="720" w:hanging="720"/>
      </w:pPr>
    </w:lvl>
  </w:abstractNum>
  <w:abstractNum w:abstractNumId="11" w15:restartNumberingAfterBreak="0">
    <w:nsid w:val="0169543E"/>
    <w:multiLevelType w:val="hybridMultilevel"/>
    <w:tmpl w:val="0BEC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663A5D"/>
    <w:multiLevelType w:val="hybridMultilevel"/>
    <w:tmpl w:val="17881EA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656499"/>
    <w:multiLevelType w:val="hybridMultilevel"/>
    <w:tmpl w:val="2A1AA1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921FE8"/>
    <w:multiLevelType w:val="hybridMultilevel"/>
    <w:tmpl w:val="92B0F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1E7770"/>
    <w:multiLevelType w:val="hybridMultilevel"/>
    <w:tmpl w:val="EC482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51F3866"/>
    <w:multiLevelType w:val="hybridMultilevel"/>
    <w:tmpl w:val="AE7EA6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757B27"/>
    <w:multiLevelType w:val="hybridMultilevel"/>
    <w:tmpl w:val="C09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E3A75"/>
    <w:multiLevelType w:val="hybridMultilevel"/>
    <w:tmpl w:val="C440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5627F5"/>
    <w:multiLevelType w:val="hybridMultilevel"/>
    <w:tmpl w:val="0D5E2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078B0D79"/>
    <w:multiLevelType w:val="hybridMultilevel"/>
    <w:tmpl w:val="7DF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93122A"/>
    <w:multiLevelType w:val="hybridMultilevel"/>
    <w:tmpl w:val="484CFA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A8341B"/>
    <w:multiLevelType w:val="hybridMultilevel"/>
    <w:tmpl w:val="635417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08E03266"/>
    <w:multiLevelType w:val="hybridMultilevel"/>
    <w:tmpl w:val="48E61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9A81EC9"/>
    <w:multiLevelType w:val="multilevel"/>
    <w:tmpl w:val="D5BC209C"/>
    <w:lvl w:ilvl="0">
      <w:start w:val="7"/>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5" w15:restartNumberingAfterBreak="0">
    <w:nsid w:val="09F108FE"/>
    <w:multiLevelType w:val="hybridMultilevel"/>
    <w:tmpl w:val="58180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3E2581"/>
    <w:multiLevelType w:val="hybridMultilevel"/>
    <w:tmpl w:val="FD926E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AE82217"/>
    <w:multiLevelType w:val="hybridMultilevel"/>
    <w:tmpl w:val="F9BE93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BF5741F"/>
    <w:multiLevelType w:val="hybridMultilevel"/>
    <w:tmpl w:val="FBA6BBA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D0C3A80"/>
    <w:multiLevelType w:val="hybridMultilevel"/>
    <w:tmpl w:val="F0047EE2"/>
    <w:lvl w:ilvl="0" w:tplc="138EB556">
      <w:start w:val="1"/>
      <w:numFmt w:val="bullet"/>
      <w:lvlText w:val="•"/>
      <w:lvlJc w:val="left"/>
      <w:pPr>
        <w:tabs>
          <w:tab w:val="num" w:pos="720"/>
        </w:tabs>
        <w:ind w:left="720" w:hanging="360"/>
      </w:pPr>
      <w:rPr>
        <w:rFonts w:ascii="Arial" w:hAnsi="Arial" w:hint="default"/>
      </w:rPr>
    </w:lvl>
    <w:lvl w:ilvl="1" w:tplc="152E05D0" w:tentative="1">
      <w:start w:val="1"/>
      <w:numFmt w:val="bullet"/>
      <w:lvlText w:val="•"/>
      <w:lvlJc w:val="left"/>
      <w:pPr>
        <w:tabs>
          <w:tab w:val="num" w:pos="1440"/>
        </w:tabs>
        <w:ind w:left="1440" w:hanging="360"/>
      </w:pPr>
      <w:rPr>
        <w:rFonts w:ascii="Arial" w:hAnsi="Arial" w:hint="default"/>
      </w:rPr>
    </w:lvl>
    <w:lvl w:ilvl="2" w:tplc="6A78E216" w:tentative="1">
      <w:start w:val="1"/>
      <w:numFmt w:val="bullet"/>
      <w:lvlText w:val="•"/>
      <w:lvlJc w:val="left"/>
      <w:pPr>
        <w:tabs>
          <w:tab w:val="num" w:pos="2160"/>
        </w:tabs>
        <w:ind w:left="2160" w:hanging="360"/>
      </w:pPr>
      <w:rPr>
        <w:rFonts w:ascii="Arial" w:hAnsi="Arial" w:hint="default"/>
      </w:rPr>
    </w:lvl>
    <w:lvl w:ilvl="3" w:tplc="250209E4" w:tentative="1">
      <w:start w:val="1"/>
      <w:numFmt w:val="bullet"/>
      <w:lvlText w:val="•"/>
      <w:lvlJc w:val="left"/>
      <w:pPr>
        <w:tabs>
          <w:tab w:val="num" w:pos="2880"/>
        </w:tabs>
        <w:ind w:left="2880" w:hanging="360"/>
      </w:pPr>
      <w:rPr>
        <w:rFonts w:ascii="Arial" w:hAnsi="Arial" w:hint="default"/>
      </w:rPr>
    </w:lvl>
    <w:lvl w:ilvl="4" w:tplc="C66CAD2C" w:tentative="1">
      <w:start w:val="1"/>
      <w:numFmt w:val="bullet"/>
      <w:lvlText w:val="•"/>
      <w:lvlJc w:val="left"/>
      <w:pPr>
        <w:tabs>
          <w:tab w:val="num" w:pos="3600"/>
        </w:tabs>
        <w:ind w:left="3600" w:hanging="360"/>
      </w:pPr>
      <w:rPr>
        <w:rFonts w:ascii="Arial" w:hAnsi="Arial" w:hint="default"/>
      </w:rPr>
    </w:lvl>
    <w:lvl w:ilvl="5" w:tplc="0B005368" w:tentative="1">
      <w:start w:val="1"/>
      <w:numFmt w:val="bullet"/>
      <w:lvlText w:val="•"/>
      <w:lvlJc w:val="left"/>
      <w:pPr>
        <w:tabs>
          <w:tab w:val="num" w:pos="4320"/>
        </w:tabs>
        <w:ind w:left="4320" w:hanging="360"/>
      </w:pPr>
      <w:rPr>
        <w:rFonts w:ascii="Arial" w:hAnsi="Arial" w:hint="default"/>
      </w:rPr>
    </w:lvl>
    <w:lvl w:ilvl="6" w:tplc="43963A58" w:tentative="1">
      <w:start w:val="1"/>
      <w:numFmt w:val="bullet"/>
      <w:lvlText w:val="•"/>
      <w:lvlJc w:val="left"/>
      <w:pPr>
        <w:tabs>
          <w:tab w:val="num" w:pos="5040"/>
        </w:tabs>
        <w:ind w:left="5040" w:hanging="360"/>
      </w:pPr>
      <w:rPr>
        <w:rFonts w:ascii="Arial" w:hAnsi="Arial" w:hint="default"/>
      </w:rPr>
    </w:lvl>
    <w:lvl w:ilvl="7" w:tplc="A360357A" w:tentative="1">
      <w:start w:val="1"/>
      <w:numFmt w:val="bullet"/>
      <w:lvlText w:val="•"/>
      <w:lvlJc w:val="left"/>
      <w:pPr>
        <w:tabs>
          <w:tab w:val="num" w:pos="5760"/>
        </w:tabs>
        <w:ind w:left="5760" w:hanging="360"/>
      </w:pPr>
      <w:rPr>
        <w:rFonts w:ascii="Arial" w:hAnsi="Arial" w:hint="default"/>
      </w:rPr>
    </w:lvl>
    <w:lvl w:ilvl="8" w:tplc="E6BC44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D407DFA"/>
    <w:multiLevelType w:val="hybridMultilevel"/>
    <w:tmpl w:val="ACEC7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731AD8"/>
    <w:multiLevelType w:val="hybridMultilevel"/>
    <w:tmpl w:val="EEEA3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D8F5943"/>
    <w:multiLevelType w:val="hybridMultilevel"/>
    <w:tmpl w:val="AD5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B728D4"/>
    <w:multiLevelType w:val="hybridMultilevel"/>
    <w:tmpl w:val="1F5A47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3357E3"/>
    <w:multiLevelType w:val="hybridMultilevel"/>
    <w:tmpl w:val="AECC6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FFE301D"/>
    <w:multiLevelType w:val="hybridMultilevel"/>
    <w:tmpl w:val="96E67C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10566DFD"/>
    <w:multiLevelType w:val="hybridMultilevel"/>
    <w:tmpl w:val="5EEE50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1AC2FA8"/>
    <w:multiLevelType w:val="hybridMultilevel"/>
    <w:tmpl w:val="D436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1C269C9"/>
    <w:multiLevelType w:val="hybridMultilevel"/>
    <w:tmpl w:val="56322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1FA4B0B"/>
    <w:multiLevelType w:val="hybridMultilevel"/>
    <w:tmpl w:val="DC3EB8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2016F6A"/>
    <w:multiLevelType w:val="hybridMultilevel"/>
    <w:tmpl w:val="B4BE5DB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15:restartNumberingAfterBreak="0">
    <w:nsid w:val="120629D4"/>
    <w:multiLevelType w:val="hybridMultilevel"/>
    <w:tmpl w:val="ACBC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2A62B83"/>
    <w:multiLevelType w:val="hybridMultilevel"/>
    <w:tmpl w:val="60C03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AF6729"/>
    <w:multiLevelType w:val="hybridMultilevel"/>
    <w:tmpl w:val="A63AB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4272A5"/>
    <w:multiLevelType w:val="hybridMultilevel"/>
    <w:tmpl w:val="02B05D3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5" w15:restartNumberingAfterBreak="0">
    <w:nsid w:val="13F95F8E"/>
    <w:multiLevelType w:val="singleLevel"/>
    <w:tmpl w:val="2C180D4A"/>
    <w:lvl w:ilvl="0">
      <w:start w:val="1"/>
      <w:numFmt w:val="bullet"/>
      <w:pStyle w:val="Bullet1HRt"/>
      <w:lvlText w:val=""/>
      <w:lvlJc w:val="left"/>
      <w:pPr>
        <w:tabs>
          <w:tab w:val="num" w:pos="540"/>
        </w:tabs>
        <w:ind w:left="540" w:hanging="360"/>
      </w:pPr>
      <w:rPr>
        <w:rFonts w:ascii="Wingdings" w:hAnsi="Wingdings" w:hint="default"/>
      </w:rPr>
    </w:lvl>
  </w:abstractNum>
  <w:abstractNum w:abstractNumId="46" w15:restartNumberingAfterBreak="0">
    <w:nsid w:val="151E608A"/>
    <w:multiLevelType w:val="hybridMultilevel"/>
    <w:tmpl w:val="A4746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58B27A0"/>
    <w:multiLevelType w:val="hybridMultilevel"/>
    <w:tmpl w:val="D7902ED4"/>
    <w:lvl w:ilvl="0" w:tplc="0409000B">
      <w:start w:val="1"/>
      <w:numFmt w:val="bullet"/>
      <w:lvlText w:val=""/>
      <w:lvlJc w:val="left"/>
      <w:pPr>
        <w:tabs>
          <w:tab w:val="num" w:pos="720"/>
        </w:tabs>
        <w:ind w:left="720" w:hanging="360"/>
      </w:pPr>
      <w:rPr>
        <w:rFonts w:ascii="Wingdings" w:hAnsi="Wingdings" w:hint="default"/>
      </w:rPr>
    </w:lvl>
    <w:lvl w:ilvl="1" w:tplc="589E2D94" w:tentative="1">
      <w:start w:val="1"/>
      <w:numFmt w:val="bullet"/>
      <w:lvlText w:val=""/>
      <w:lvlJc w:val="left"/>
      <w:pPr>
        <w:tabs>
          <w:tab w:val="num" w:pos="1440"/>
        </w:tabs>
        <w:ind w:left="1440" w:hanging="360"/>
      </w:pPr>
      <w:rPr>
        <w:rFonts w:ascii="Wingdings" w:hAnsi="Wingdings" w:hint="default"/>
      </w:rPr>
    </w:lvl>
    <w:lvl w:ilvl="2" w:tplc="143A7544" w:tentative="1">
      <w:start w:val="1"/>
      <w:numFmt w:val="bullet"/>
      <w:lvlText w:val=""/>
      <w:lvlJc w:val="left"/>
      <w:pPr>
        <w:tabs>
          <w:tab w:val="num" w:pos="2160"/>
        </w:tabs>
        <w:ind w:left="2160" w:hanging="360"/>
      </w:pPr>
      <w:rPr>
        <w:rFonts w:ascii="Wingdings" w:hAnsi="Wingdings" w:hint="default"/>
      </w:rPr>
    </w:lvl>
    <w:lvl w:ilvl="3" w:tplc="171856A8" w:tentative="1">
      <w:start w:val="1"/>
      <w:numFmt w:val="bullet"/>
      <w:lvlText w:val=""/>
      <w:lvlJc w:val="left"/>
      <w:pPr>
        <w:tabs>
          <w:tab w:val="num" w:pos="2880"/>
        </w:tabs>
        <w:ind w:left="2880" w:hanging="360"/>
      </w:pPr>
      <w:rPr>
        <w:rFonts w:ascii="Wingdings" w:hAnsi="Wingdings" w:hint="default"/>
      </w:rPr>
    </w:lvl>
    <w:lvl w:ilvl="4" w:tplc="D3586314" w:tentative="1">
      <w:start w:val="1"/>
      <w:numFmt w:val="bullet"/>
      <w:lvlText w:val=""/>
      <w:lvlJc w:val="left"/>
      <w:pPr>
        <w:tabs>
          <w:tab w:val="num" w:pos="3600"/>
        </w:tabs>
        <w:ind w:left="3600" w:hanging="360"/>
      </w:pPr>
      <w:rPr>
        <w:rFonts w:ascii="Wingdings" w:hAnsi="Wingdings" w:hint="default"/>
      </w:rPr>
    </w:lvl>
    <w:lvl w:ilvl="5" w:tplc="75B66534" w:tentative="1">
      <w:start w:val="1"/>
      <w:numFmt w:val="bullet"/>
      <w:lvlText w:val=""/>
      <w:lvlJc w:val="left"/>
      <w:pPr>
        <w:tabs>
          <w:tab w:val="num" w:pos="4320"/>
        </w:tabs>
        <w:ind w:left="4320" w:hanging="360"/>
      </w:pPr>
      <w:rPr>
        <w:rFonts w:ascii="Wingdings" w:hAnsi="Wingdings" w:hint="default"/>
      </w:rPr>
    </w:lvl>
    <w:lvl w:ilvl="6" w:tplc="E24ABF7C" w:tentative="1">
      <w:start w:val="1"/>
      <w:numFmt w:val="bullet"/>
      <w:lvlText w:val=""/>
      <w:lvlJc w:val="left"/>
      <w:pPr>
        <w:tabs>
          <w:tab w:val="num" w:pos="5040"/>
        </w:tabs>
        <w:ind w:left="5040" w:hanging="360"/>
      </w:pPr>
      <w:rPr>
        <w:rFonts w:ascii="Wingdings" w:hAnsi="Wingdings" w:hint="default"/>
      </w:rPr>
    </w:lvl>
    <w:lvl w:ilvl="7" w:tplc="8F7E4258" w:tentative="1">
      <w:start w:val="1"/>
      <w:numFmt w:val="bullet"/>
      <w:lvlText w:val=""/>
      <w:lvlJc w:val="left"/>
      <w:pPr>
        <w:tabs>
          <w:tab w:val="num" w:pos="5760"/>
        </w:tabs>
        <w:ind w:left="5760" w:hanging="360"/>
      </w:pPr>
      <w:rPr>
        <w:rFonts w:ascii="Wingdings" w:hAnsi="Wingdings" w:hint="default"/>
      </w:rPr>
    </w:lvl>
    <w:lvl w:ilvl="8" w:tplc="A9F838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5DD00B3"/>
    <w:multiLevelType w:val="hybridMultilevel"/>
    <w:tmpl w:val="257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BA667E"/>
    <w:multiLevelType w:val="hybridMultilevel"/>
    <w:tmpl w:val="7D2A20DC"/>
    <w:lvl w:ilvl="0" w:tplc="FA0A1412">
      <w:start w:val="1"/>
      <w:numFmt w:val="bullet"/>
      <w:lvlText w:val=""/>
      <w:lvlJc w:val="left"/>
      <w:pPr>
        <w:tabs>
          <w:tab w:val="num" w:pos="720"/>
        </w:tabs>
        <w:ind w:left="720" w:hanging="360"/>
      </w:pPr>
      <w:rPr>
        <w:rFonts w:ascii="Wingdings" w:hAnsi="Wingdings" w:hint="default"/>
      </w:rPr>
    </w:lvl>
    <w:lvl w:ilvl="1" w:tplc="589E2D94" w:tentative="1">
      <w:start w:val="1"/>
      <w:numFmt w:val="bullet"/>
      <w:lvlText w:val=""/>
      <w:lvlJc w:val="left"/>
      <w:pPr>
        <w:tabs>
          <w:tab w:val="num" w:pos="1440"/>
        </w:tabs>
        <w:ind w:left="1440" w:hanging="360"/>
      </w:pPr>
      <w:rPr>
        <w:rFonts w:ascii="Wingdings" w:hAnsi="Wingdings" w:hint="default"/>
      </w:rPr>
    </w:lvl>
    <w:lvl w:ilvl="2" w:tplc="143A7544" w:tentative="1">
      <w:start w:val="1"/>
      <w:numFmt w:val="bullet"/>
      <w:lvlText w:val=""/>
      <w:lvlJc w:val="left"/>
      <w:pPr>
        <w:tabs>
          <w:tab w:val="num" w:pos="2160"/>
        </w:tabs>
        <w:ind w:left="2160" w:hanging="360"/>
      </w:pPr>
      <w:rPr>
        <w:rFonts w:ascii="Wingdings" w:hAnsi="Wingdings" w:hint="default"/>
      </w:rPr>
    </w:lvl>
    <w:lvl w:ilvl="3" w:tplc="171856A8" w:tentative="1">
      <w:start w:val="1"/>
      <w:numFmt w:val="bullet"/>
      <w:lvlText w:val=""/>
      <w:lvlJc w:val="left"/>
      <w:pPr>
        <w:tabs>
          <w:tab w:val="num" w:pos="2880"/>
        </w:tabs>
        <w:ind w:left="2880" w:hanging="360"/>
      </w:pPr>
      <w:rPr>
        <w:rFonts w:ascii="Wingdings" w:hAnsi="Wingdings" w:hint="default"/>
      </w:rPr>
    </w:lvl>
    <w:lvl w:ilvl="4" w:tplc="D3586314" w:tentative="1">
      <w:start w:val="1"/>
      <w:numFmt w:val="bullet"/>
      <w:lvlText w:val=""/>
      <w:lvlJc w:val="left"/>
      <w:pPr>
        <w:tabs>
          <w:tab w:val="num" w:pos="3600"/>
        </w:tabs>
        <w:ind w:left="3600" w:hanging="360"/>
      </w:pPr>
      <w:rPr>
        <w:rFonts w:ascii="Wingdings" w:hAnsi="Wingdings" w:hint="default"/>
      </w:rPr>
    </w:lvl>
    <w:lvl w:ilvl="5" w:tplc="75B66534" w:tentative="1">
      <w:start w:val="1"/>
      <w:numFmt w:val="bullet"/>
      <w:lvlText w:val=""/>
      <w:lvlJc w:val="left"/>
      <w:pPr>
        <w:tabs>
          <w:tab w:val="num" w:pos="4320"/>
        </w:tabs>
        <w:ind w:left="4320" w:hanging="360"/>
      </w:pPr>
      <w:rPr>
        <w:rFonts w:ascii="Wingdings" w:hAnsi="Wingdings" w:hint="default"/>
      </w:rPr>
    </w:lvl>
    <w:lvl w:ilvl="6" w:tplc="E24ABF7C" w:tentative="1">
      <w:start w:val="1"/>
      <w:numFmt w:val="bullet"/>
      <w:lvlText w:val=""/>
      <w:lvlJc w:val="left"/>
      <w:pPr>
        <w:tabs>
          <w:tab w:val="num" w:pos="5040"/>
        </w:tabs>
        <w:ind w:left="5040" w:hanging="360"/>
      </w:pPr>
      <w:rPr>
        <w:rFonts w:ascii="Wingdings" w:hAnsi="Wingdings" w:hint="default"/>
      </w:rPr>
    </w:lvl>
    <w:lvl w:ilvl="7" w:tplc="8F7E4258" w:tentative="1">
      <w:start w:val="1"/>
      <w:numFmt w:val="bullet"/>
      <w:lvlText w:val=""/>
      <w:lvlJc w:val="left"/>
      <w:pPr>
        <w:tabs>
          <w:tab w:val="num" w:pos="5760"/>
        </w:tabs>
        <w:ind w:left="5760" w:hanging="360"/>
      </w:pPr>
      <w:rPr>
        <w:rFonts w:ascii="Wingdings" w:hAnsi="Wingdings" w:hint="default"/>
      </w:rPr>
    </w:lvl>
    <w:lvl w:ilvl="8" w:tplc="A9F838E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7C927E4"/>
    <w:multiLevelType w:val="hybridMultilevel"/>
    <w:tmpl w:val="EDD253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17FB34EB"/>
    <w:multiLevelType w:val="hybridMultilevel"/>
    <w:tmpl w:val="BD46A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81A5E60"/>
    <w:multiLevelType w:val="hybridMultilevel"/>
    <w:tmpl w:val="ACEC7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BE6585"/>
    <w:multiLevelType w:val="hybridMultilevel"/>
    <w:tmpl w:val="33D86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19F21D06"/>
    <w:multiLevelType w:val="hybridMultilevel"/>
    <w:tmpl w:val="0EA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3C7BCC"/>
    <w:multiLevelType w:val="multilevel"/>
    <w:tmpl w:val="5F6C4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1B664767"/>
    <w:multiLevelType w:val="hybridMultilevel"/>
    <w:tmpl w:val="F19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C34546"/>
    <w:multiLevelType w:val="hybridMultilevel"/>
    <w:tmpl w:val="976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F65769"/>
    <w:multiLevelType w:val="hybridMultilevel"/>
    <w:tmpl w:val="360CE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4D6724"/>
    <w:multiLevelType w:val="hybridMultilevel"/>
    <w:tmpl w:val="4B8E0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1CC2793B"/>
    <w:multiLevelType w:val="hybridMultilevel"/>
    <w:tmpl w:val="5008C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7014E5"/>
    <w:multiLevelType w:val="hybridMultilevel"/>
    <w:tmpl w:val="DFFA083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1D7D009C"/>
    <w:multiLevelType w:val="hybridMultilevel"/>
    <w:tmpl w:val="40F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8539A2"/>
    <w:multiLevelType w:val="hybridMultilevel"/>
    <w:tmpl w:val="806E6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1E0B5192"/>
    <w:multiLevelType w:val="hybridMultilevel"/>
    <w:tmpl w:val="4D505E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1E432E48"/>
    <w:multiLevelType w:val="hybridMultilevel"/>
    <w:tmpl w:val="BD446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4B5C70"/>
    <w:multiLevelType w:val="hybridMultilevel"/>
    <w:tmpl w:val="111CC61A"/>
    <w:lvl w:ilvl="0" w:tplc="7B363F2E">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7" w15:restartNumberingAfterBreak="0">
    <w:nsid w:val="1E95779C"/>
    <w:multiLevelType w:val="hybridMultilevel"/>
    <w:tmpl w:val="EB0A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F966B2B"/>
    <w:multiLevelType w:val="hybridMultilevel"/>
    <w:tmpl w:val="C938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1FF105D0"/>
    <w:multiLevelType w:val="hybridMultilevel"/>
    <w:tmpl w:val="7BF61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FFF2297"/>
    <w:multiLevelType w:val="hybridMultilevel"/>
    <w:tmpl w:val="106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0632790"/>
    <w:multiLevelType w:val="hybridMultilevel"/>
    <w:tmpl w:val="E0FEED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21172322"/>
    <w:multiLevelType w:val="hybridMultilevel"/>
    <w:tmpl w:val="ABD0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19F0FDF"/>
    <w:multiLevelType w:val="hybridMultilevel"/>
    <w:tmpl w:val="297A7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1F903A6"/>
    <w:multiLevelType w:val="hybridMultilevel"/>
    <w:tmpl w:val="4254F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0001A0"/>
    <w:multiLevelType w:val="hybridMultilevel"/>
    <w:tmpl w:val="61DCD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37D3AE7"/>
    <w:multiLevelType w:val="hybridMultilevel"/>
    <w:tmpl w:val="BAD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225485"/>
    <w:multiLevelType w:val="hybridMultilevel"/>
    <w:tmpl w:val="F86E2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CC5A5B"/>
    <w:multiLevelType w:val="hybridMultilevel"/>
    <w:tmpl w:val="9D4AB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255D1A92"/>
    <w:multiLevelType w:val="hybridMultilevel"/>
    <w:tmpl w:val="EDC2B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A36EC4"/>
    <w:multiLevelType w:val="hybridMultilevel"/>
    <w:tmpl w:val="B40A5258"/>
    <w:lvl w:ilvl="0" w:tplc="0409000F">
      <w:start w:val="1"/>
      <w:numFmt w:val="decimal"/>
      <w:lvlText w:val="%1."/>
      <w:lvlJc w:val="left"/>
      <w:pPr>
        <w:ind w:left="720" w:hanging="360"/>
      </w:pPr>
      <w:rPr>
        <w:rFonts w:hint="default"/>
      </w:rPr>
    </w:lvl>
    <w:lvl w:ilvl="1" w:tplc="8236F214">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6745DC"/>
    <w:multiLevelType w:val="hybridMultilevel"/>
    <w:tmpl w:val="96FA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78C563A"/>
    <w:multiLevelType w:val="hybridMultilevel"/>
    <w:tmpl w:val="69A69FE8"/>
    <w:lvl w:ilvl="0" w:tplc="1EE8FA7A">
      <w:start w:val="1"/>
      <w:numFmt w:val="bullet"/>
      <w:lvlText w:val=""/>
      <w:lvlJc w:val="left"/>
      <w:pPr>
        <w:tabs>
          <w:tab w:val="num" w:pos="720"/>
        </w:tabs>
        <w:ind w:left="720" w:hanging="360"/>
      </w:pPr>
      <w:rPr>
        <w:rFonts w:ascii="Wingdings" w:hAnsi="Wingdings" w:hint="default"/>
      </w:rPr>
    </w:lvl>
    <w:lvl w:ilvl="1" w:tplc="D102F7AC">
      <w:start w:val="3472"/>
      <w:numFmt w:val="bullet"/>
      <w:lvlText w:val=""/>
      <w:lvlJc w:val="left"/>
      <w:pPr>
        <w:tabs>
          <w:tab w:val="num" w:pos="1440"/>
        </w:tabs>
        <w:ind w:left="1440" w:hanging="360"/>
      </w:pPr>
      <w:rPr>
        <w:rFonts w:ascii="Wingdings" w:hAnsi="Wingdings" w:hint="default"/>
      </w:rPr>
    </w:lvl>
    <w:lvl w:ilvl="2" w:tplc="23028D6C" w:tentative="1">
      <w:start w:val="1"/>
      <w:numFmt w:val="bullet"/>
      <w:lvlText w:val=""/>
      <w:lvlJc w:val="left"/>
      <w:pPr>
        <w:tabs>
          <w:tab w:val="num" w:pos="2160"/>
        </w:tabs>
        <w:ind w:left="2160" w:hanging="360"/>
      </w:pPr>
      <w:rPr>
        <w:rFonts w:ascii="Wingdings" w:hAnsi="Wingdings" w:hint="default"/>
      </w:rPr>
    </w:lvl>
    <w:lvl w:ilvl="3" w:tplc="0B68DEC6" w:tentative="1">
      <w:start w:val="1"/>
      <w:numFmt w:val="bullet"/>
      <w:lvlText w:val=""/>
      <w:lvlJc w:val="left"/>
      <w:pPr>
        <w:tabs>
          <w:tab w:val="num" w:pos="2880"/>
        </w:tabs>
        <w:ind w:left="2880" w:hanging="360"/>
      </w:pPr>
      <w:rPr>
        <w:rFonts w:ascii="Wingdings" w:hAnsi="Wingdings" w:hint="default"/>
      </w:rPr>
    </w:lvl>
    <w:lvl w:ilvl="4" w:tplc="F4F059C0" w:tentative="1">
      <w:start w:val="1"/>
      <w:numFmt w:val="bullet"/>
      <w:lvlText w:val=""/>
      <w:lvlJc w:val="left"/>
      <w:pPr>
        <w:tabs>
          <w:tab w:val="num" w:pos="3600"/>
        </w:tabs>
        <w:ind w:left="3600" w:hanging="360"/>
      </w:pPr>
      <w:rPr>
        <w:rFonts w:ascii="Wingdings" w:hAnsi="Wingdings" w:hint="default"/>
      </w:rPr>
    </w:lvl>
    <w:lvl w:ilvl="5" w:tplc="8DB60488" w:tentative="1">
      <w:start w:val="1"/>
      <w:numFmt w:val="bullet"/>
      <w:lvlText w:val=""/>
      <w:lvlJc w:val="left"/>
      <w:pPr>
        <w:tabs>
          <w:tab w:val="num" w:pos="4320"/>
        </w:tabs>
        <w:ind w:left="4320" w:hanging="360"/>
      </w:pPr>
      <w:rPr>
        <w:rFonts w:ascii="Wingdings" w:hAnsi="Wingdings" w:hint="default"/>
      </w:rPr>
    </w:lvl>
    <w:lvl w:ilvl="6" w:tplc="37A08696" w:tentative="1">
      <w:start w:val="1"/>
      <w:numFmt w:val="bullet"/>
      <w:lvlText w:val=""/>
      <w:lvlJc w:val="left"/>
      <w:pPr>
        <w:tabs>
          <w:tab w:val="num" w:pos="5040"/>
        </w:tabs>
        <w:ind w:left="5040" w:hanging="360"/>
      </w:pPr>
      <w:rPr>
        <w:rFonts w:ascii="Wingdings" w:hAnsi="Wingdings" w:hint="default"/>
      </w:rPr>
    </w:lvl>
    <w:lvl w:ilvl="7" w:tplc="A0BA8648" w:tentative="1">
      <w:start w:val="1"/>
      <w:numFmt w:val="bullet"/>
      <w:lvlText w:val=""/>
      <w:lvlJc w:val="left"/>
      <w:pPr>
        <w:tabs>
          <w:tab w:val="num" w:pos="5760"/>
        </w:tabs>
        <w:ind w:left="5760" w:hanging="360"/>
      </w:pPr>
      <w:rPr>
        <w:rFonts w:ascii="Wingdings" w:hAnsi="Wingdings" w:hint="default"/>
      </w:rPr>
    </w:lvl>
    <w:lvl w:ilvl="8" w:tplc="DE2251C0"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7A22D11"/>
    <w:multiLevelType w:val="hybridMultilevel"/>
    <w:tmpl w:val="9B1E7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27AC3879"/>
    <w:multiLevelType w:val="hybridMultilevel"/>
    <w:tmpl w:val="2DFCA3B8"/>
    <w:lvl w:ilvl="0" w:tplc="4C9A3B32">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E9CB2F8">
      <w:start w:val="5"/>
      <w:numFmt w:val="bullet"/>
      <w:lvlText w:val="-"/>
      <w:lvlJc w:val="left"/>
      <w:pPr>
        <w:tabs>
          <w:tab w:val="num" w:pos="2160"/>
        </w:tabs>
        <w:ind w:left="2160" w:hanging="360"/>
      </w:pPr>
      <w:rPr>
        <w:rFonts w:ascii="Arial" w:eastAsia="Times New Roman" w:hAnsi="Arial" w:cs="Arial" w:hint="default"/>
      </w:r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5" w15:restartNumberingAfterBreak="0">
    <w:nsid w:val="27D71FC4"/>
    <w:multiLevelType w:val="hybridMultilevel"/>
    <w:tmpl w:val="9EEAE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840529F"/>
    <w:multiLevelType w:val="hybridMultilevel"/>
    <w:tmpl w:val="AE7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89A68AA"/>
    <w:multiLevelType w:val="hybridMultilevel"/>
    <w:tmpl w:val="235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89B0102"/>
    <w:multiLevelType w:val="hybridMultilevel"/>
    <w:tmpl w:val="584C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29375AC1"/>
    <w:multiLevelType w:val="hybridMultilevel"/>
    <w:tmpl w:val="B87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94F761E"/>
    <w:multiLevelType w:val="hybridMultilevel"/>
    <w:tmpl w:val="FED003C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98C1874"/>
    <w:multiLevelType w:val="hybridMultilevel"/>
    <w:tmpl w:val="8FD0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9FE36EA"/>
    <w:multiLevelType w:val="hybridMultilevel"/>
    <w:tmpl w:val="C7CEDFD0"/>
    <w:lvl w:ilvl="0" w:tplc="D8586354">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E089DDC">
      <w:start w:val="1"/>
      <w:numFmt w:val="bullet"/>
      <w:lvlText w:val="•"/>
      <w:lvlJc w:val="left"/>
      <w:pPr>
        <w:tabs>
          <w:tab w:val="num" w:pos="2160"/>
        </w:tabs>
        <w:ind w:left="2160" w:hanging="360"/>
      </w:pPr>
      <w:rPr>
        <w:rFonts w:ascii="Arial" w:hAnsi="Arial" w:cs="Times New Roman" w:hint="default"/>
      </w:rPr>
    </w:lvl>
    <w:lvl w:ilvl="3" w:tplc="B2865A9A">
      <w:start w:val="1"/>
      <w:numFmt w:val="bullet"/>
      <w:lvlText w:val="•"/>
      <w:lvlJc w:val="left"/>
      <w:pPr>
        <w:tabs>
          <w:tab w:val="num" w:pos="2880"/>
        </w:tabs>
        <w:ind w:left="2880" w:hanging="360"/>
      </w:pPr>
      <w:rPr>
        <w:rFonts w:ascii="Arial" w:hAnsi="Arial" w:cs="Times New Roman" w:hint="default"/>
      </w:rPr>
    </w:lvl>
    <w:lvl w:ilvl="4" w:tplc="4BB4ABC8">
      <w:start w:val="1"/>
      <w:numFmt w:val="bullet"/>
      <w:lvlText w:val="•"/>
      <w:lvlJc w:val="left"/>
      <w:pPr>
        <w:tabs>
          <w:tab w:val="num" w:pos="3600"/>
        </w:tabs>
        <w:ind w:left="3600" w:hanging="360"/>
      </w:pPr>
      <w:rPr>
        <w:rFonts w:ascii="Arial" w:hAnsi="Arial" w:cs="Times New Roman" w:hint="default"/>
      </w:rPr>
    </w:lvl>
    <w:lvl w:ilvl="5" w:tplc="9962CF58">
      <w:start w:val="1"/>
      <w:numFmt w:val="bullet"/>
      <w:lvlText w:val="•"/>
      <w:lvlJc w:val="left"/>
      <w:pPr>
        <w:tabs>
          <w:tab w:val="num" w:pos="4320"/>
        </w:tabs>
        <w:ind w:left="4320" w:hanging="360"/>
      </w:pPr>
      <w:rPr>
        <w:rFonts w:ascii="Arial" w:hAnsi="Arial" w:cs="Times New Roman" w:hint="default"/>
      </w:rPr>
    </w:lvl>
    <w:lvl w:ilvl="6" w:tplc="D84A1BDC">
      <w:start w:val="1"/>
      <w:numFmt w:val="bullet"/>
      <w:lvlText w:val="•"/>
      <w:lvlJc w:val="left"/>
      <w:pPr>
        <w:tabs>
          <w:tab w:val="num" w:pos="5040"/>
        </w:tabs>
        <w:ind w:left="5040" w:hanging="360"/>
      </w:pPr>
      <w:rPr>
        <w:rFonts w:ascii="Arial" w:hAnsi="Arial" w:cs="Times New Roman" w:hint="default"/>
      </w:rPr>
    </w:lvl>
    <w:lvl w:ilvl="7" w:tplc="1C0C7906">
      <w:start w:val="1"/>
      <w:numFmt w:val="bullet"/>
      <w:lvlText w:val="•"/>
      <w:lvlJc w:val="left"/>
      <w:pPr>
        <w:tabs>
          <w:tab w:val="num" w:pos="5760"/>
        </w:tabs>
        <w:ind w:left="5760" w:hanging="360"/>
      </w:pPr>
      <w:rPr>
        <w:rFonts w:ascii="Arial" w:hAnsi="Arial" w:cs="Times New Roman" w:hint="default"/>
      </w:rPr>
    </w:lvl>
    <w:lvl w:ilvl="8" w:tplc="71CAF538">
      <w:start w:val="1"/>
      <w:numFmt w:val="bullet"/>
      <w:lvlText w:val="•"/>
      <w:lvlJc w:val="left"/>
      <w:pPr>
        <w:tabs>
          <w:tab w:val="num" w:pos="6480"/>
        </w:tabs>
        <w:ind w:left="6480" w:hanging="360"/>
      </w:pPr>
      <w:rPr>
        <w:rFonts w:ascii="Arial" w:hAnsi="Arial" w:cs="Times New Roman" w:hint="default"/>
      </w:rPr>
    </w:lvl>
  </w:abstractNum>
  <w:abstractNum w:abstractNumId="93" w15:restartNumberingAfterBreak="0">
    <w:nsid w:val="29FF55A9"/>
    <w:multiLevelType w:val="hybridMultilevel"/>
    <w:tmpl w:val="F69C52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A780341"/>
    <w:multiLevelType w:val="hybridMultilevel"/>
    <w:tmpl w:val="A85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A94239F"/>
    <w:multiLevelType w:val="hybridMultilevel"/>
    <w:tmpl w:val="6BB213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6" w15:restartNumberingAfterBreak="0">
    <w:nsid w:val="2B3B3522"/>
    <w:multiLevelType w:val="hybridMultilevel"/>
    <w:tmpl w:val="DDF82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B797B9C"/>
    <w:multiLevelType w:val="hybridMultilevel"/>
    <w:tmpl w:val="DF2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C0E432B"/>
    <w:multiLevelType w:val="hybridMultilevel"/>
    <w:tmpl w:val="4168A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C8824D6"/>
    <w:multiLevelType w:val="hybridMultilevel"/>
    <w:tmpl w:val="CD4EB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CCA0BEE"/>
    <w:multiLevelType w:val="hybridMultilevel"/>
    <w:tmpl w:val="C2EEBD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2D3751CB"/>
    <w:multiLevelType w:val="hybridMultilevel"/>
    <w:tmpl w:val="BFB86E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2D7A5C9E"/>
    <w:multiLevelType w:val="hybridMultilevel"/>
    <w:tmpl w:val="C0B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E792251"/>
    <w:multiLevelType w:val="hybridMultilevel"/>
    <w:tmpl w:val="0B9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CE3115"/>
    <w:multiLevelType w:val="hybridMultilevel"/>
    <w:tmpl w:val="A6CC7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FD12131"/>
    <w:multiLevelType w:val="hybridMultilevel"/>
    <w:tmpl w:val="8A6A7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31A53D1E"/>
    <w:multiLevelType w:val="hybridMultilevel"/>
    <w:tmpl w:val="B8481EAE"/>
    <w:lvl w:ilvl="0" w:tplc="5296D674">
      <w:start w:val="1"/>
      <w:numFmt w:val="bullet"/>
      <w:lvlText w:val=""/>
      <w:lvlJc w:val="left"/>
      <w:pPr>
        <w:tabs>
          <w:tab w:val="num" w:pos="720"/>
        </w:tabs>
        <w:ind w:left="720" w:hanging="360"/>
      </w:pPr>
      <w:rPr>
        <w:rFonts w:ascii="Wingdings" w:hAnsi="Wingdings" w:hint="default"/>
      </w:rPr>
    </w:lvl>
    <w:lvl w:ilvl="1" w:tplc="E084D112">
      <w:start w:val="3911"/>
      <w:numFmt w:val="bullet"/>
      <w:lvlText w:val=""/>
      <w:lvlJc w:val="left"/>
      <w:pPr>
        <w:tabs>
          <w:tab w:val="num" w:pos="1440"/>
        </w:tabs>
        <w:ind w:left="1440" w:hanging="360"/>
      </w:pPr>
      <w:rPr>
        <w:rFonts w:ascii="Wingdings" w:hAnsi="Wingdings" w:hint="default"/>
      </w:rPr>
    </w:lvl>
    <w:lvl w:ilvl="2" w:tplc="496E7C84" w:tentative="1">
      <w:start w:val="1"/>
      <w:numFmt w:val="bullet"/>
      <w:lvlText w:val=""/>
      <w:lvlJc w:val="left"/>
      <w:pPr>
        <w:tabs>
          <w:tab w:val="num" w:pos="2160"/>
        </w:tabs>
        <w:ind w:left="2160" w:hanging="360"/>
      </w:pPr>
      <w:rPr>
        <w:rFonts w:ascii="Wingdings" w:hAnsi="Wingdings" w:hint="default"/>
      </w:rPr>
    </w:lvl>
    <w:lvl w:ilvl="3" w:tplc="3614052A" w:tentative="1">
      <w:start w:val="1"/>
      <w:numFmt w:val="bullet"/>
      <w:lvlText w:val=""/>
      <w:lvlJc w:val="left"/>
      <w:pPr>
        <w:tabs>
          <w:tab w:val="num" w:pos="2880"/>
        </w:tabs>
        <w:ind w:left="2880" w:hanging="360"/>
      </w:pPr>
      <w:rPr>
        <w:rFonts w:ascii="Wingdings" w:hAnsi="Wingdings" w:hint="default"/>
      </w:rPr>
    </w:lvl>
    <w:lvl w:ilvl="4" w:tplc="8C96C10C" w:tentative="1">
      <w:start w:val="1"/>
      <w:numFmt w:val="bullet"/>
      <w:lvlText w:val=""/>
      <w:lvlJc w:val="left"/>
      <w:pPr>
        <w:tabs>
          <w:tab w:val="num" w:pos="3600"/>
        </w:tabs>
        <w:ind w:left="3600" w:hanging="360"/>
      </w:pPr>
      <w:rPr>
        <w:rFonts w:ascii="Wingdings" w:hAnsi="Wingdings" w:hint="default"/>
      </w:rPr>
    </w:lvl>
    <w:lvl w:ilvl="5" w:tplc="996A0DA2" w:tentative="1">
      <w:start w:val="1"/>
      <w:numFmt w:val="bullet"/>
      <w:lvlText w:val=""/>
      <w:lvlJc w:val="left"/>
      <w:pPr>
        <w:tabs>
          <w:tab w:val="num" w:pos="4320"/>
        </w:tabs>
        <w:ind w:left="4320" w:hanging="360"/>
      </w:pPr>
      <w:rPr>
        <w:rFonts w:ascii="Wingdings" w:hAnsi="Wingdings" w:hint="default"/>
      </w:rPr>
    </w:lvl>
    <w:lvl w:ilvl="6" w:tplc="85CC6E3A" w:tentative="1">
      <w:start w:val="1"/>
      <w:numFmt w:val="bullet"/>
      <w:lvlText w:val=""/>
      <w:lvlJc w:val="left"/>
      <w:pPr>
        <w:tabs>
          <w:tab w:val="num" w:pos="5040"/>
        </w:tabs>
        <w:ind w:left="5040" w:hanging="360"/>
      </w:pPr>
      <w:rPr>
        <w:rFonts w:ascii="Wingdings" w:hAnsi="Wingdings" w:hint="default"/>
      </w:rPr>
    </w:lvl>
    <w:lvl w:ilvl="7" w:tplc="35A43812" w:tentative="1">
      <w:start w:val="1"/>
      <w:numFmt w:val="bullet"/>
      <w:lvlText w:val=""/>
      <w:lvlJc w:val="left"/>
      <w:pPr>
        <w:tabs>
          <w:tab w:val="num" w:pos="5760"/>
        </w:tabs>
        <w:ind w:left="5760" w:hanging="360"/>
      </w:pPr>
      <w:rPr>
        <w:rFonts w:ascii="Wingdings" w:hAnsi="Wingdings" w:hint="default"/>
      </w:rPr>
    </w:lvl>
    <w:lvl w:ilvl="8" w:tplc="5754B9A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2A117CC"/>
    <w:multiLevelType w:val="hybridMultilevel"/>
    <w:tmpl w:val="41AA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09" w15:restartNumberingAfterBreak="0">
    <w:nsid w:val="333E0891"/>
    <w:multiLevelType w:val="hybridMultilevel"/>
    <w:tmpl w:val="863C4C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0" w15:restartNumberingAfterBreak="0">
    <w:nsid w:val="33FB7393"/>
    <w:multiLevelType w:val="hybridMultilevel"/>
    <w:tmpl w:val="5386BD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1" w15:restartNumberingAfterBreak="0">
    <w:nsid w:val="34711C44"/>
    <w:multiLevelType w:val="hybridMultilevel"/>
    <w:tmpl w:val="4AE6B5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2" w15:restartNumberingAfterBreak="0">
    <w:nsid w:val="349F0108"/>
    <w:multiLevelType w:val="hybridMultilevel"/>
    <w:tmpl w:val="86387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36145E71"/>
    <w:multiLevelType w:val="hybridMultilevel"/>
    <w:tmpl w:val="BB206B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6A503BB"/>
    <w:multiLevelType w:val="hybridMultilevel"/>
    <w:tmpl w:val="9020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8002099"/>
    <w:multiLevelType w:val="hybridMultilevel"/>
    <w:tmpl w:val="6EA6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388928F0"/>
    <w:multiLevelType w:val="hybridMultilevel"/>
    <w:tmpl w:val="4F480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8A42911"/>
    <w:multiLevelType w:val="hybridMultilevel"/>
    <w:tmpl w:val="00DAF5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91B7C10"/>
    <w:multiLevelType w:val="hybridMultilevel"/>
    <w:tmpl w:val="964E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9263847"/>
    <w:multiLevelType w:val="hybridMultilevel"/>
    <w:tmpl w:val="27983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A53456B"/>
    <w:multiLevelType w:val="hybridMultilevel"/>
    <w:tmpl w:val="C4A463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3A8D6CD8"/>
    <w:multiLevelType w:val="hybridMultilevel"/>
    <w:tmpl w:val="B866DA96"/>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123" w15:restartNumberingAfterBreak="0">
    <w:nsid w:val="3B835307"/>
    <w:multiLevelType w:val="hybridMultilevel"/>
    <w:tmpl w:val="E22AF700"/>
    <w:lvl w:ilvl="0" w:tplc="0409000F">
      <w:start w:val="1"/>
      <w:numFmt w:val="decimal"/>
      <w:lvlText w:val="%1."/>
      <w:lvlJc w:val="left"/>
      <w:pPr>
        <w:ind w:left="360" w:hanging="360"/>
      </w:pPr>
    </w:lvl>
    <w:lvl w:ilvl="1" w:tplc="0409000F">
      <w:start w:val="1"/>
      <w:numFmt w:val="decimal"/>
      <w:lvlText w:val="%2."/>
      <w:lvlJc w:val="left"/>
      <w:pPr>
        <w:ind w:left="1080" w:hanging="360"/>
      </w:pPr>
      <w:rPr>
        <w:b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4" w15:restartNumberingAfterBreak="0">
    <w:nsid w:val="3CBE14B1"/>
    <w:multiLevelType w:val="hybridMultilevel"/>
    <w:tmpl w:val="6E0C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3D7446E3"/>
    <w:multiLevelType w:val="hybridMultilevel"/>
    <w:tmpl w:val="820C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EBB49CE"/>
    <w:multiLevelType w:val="hybridMultilevel"/>
    <w:tmpl w:val="360E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3ED417F0"/>
    <w:multiLevelType w:val="hybridMultilevel"/>
    <w:tmpl w:val="21E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EF74DFD"/>
    <w:multiLevelType w:val="hybridMultilevel"/>
    <w:tmpl w:val="4B84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3F7B1D23"/>
    <w:multiLevelType w:val="hybridMultilevel"/>
    <w:tmpl w:val="E6341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E74A9B"/>
    <w:multiLevelType w:val="hybridMultilevel"/>
    <w:tmpl w:val="41C81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41534F97"/>
    <w:multiLevelType w:val="hybridMultilevel"/>
    <w:tmpl w:val="3F24D19C"/>
    <w:lvl w:ilvl="0" w:tplc="0E9CB2F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33919A6"/>
    <w:multiLevelType w:val="hybridMultilevel"/>
    <w:tmpl w:val="3384D4B8"/>
    <w:lvl w:ilvl="0" w:tplc="20FA5D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36252FA"/>
    <w:multiLevelType w:val="hybridMultilevel"/>
    <w:tmpl w:val="2CC87E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414779F"/>
    <w:multiLevelType w:val="hybridMultilevel"/>
    <w:tmpl w:val="39DAC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980"/>
        </w:tabs>
        <w:ind w:left="19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519201B"/>
    <w:multiLevelType w:val="hybridMultilevel"/>
    <w:tmpl w:val="E12AB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7" w15:restartNumberingAfterBreak="0">
    <w:nsid w:val="45BC7A66"/>
    <w:multiLevelType w:val="hybridMultilevel"/>
    <w:tmpl w:val="BC907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45F91231"/>
    <w:multiLevelType w:val="hybridMultilevel"/>
    <w:tmpl w:val="4F6A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46962141"/>
    <w:multiLevelType w:val="hybridMultilevel"/>
    <w:tmpl w:val="4C62C70E"/>
    <w:lvl w:ilvl="0" w:tplc="19A8AE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6E15B92"/>
    <w:multiLevelType w:val="hybridMultilevel"/>
    <w:tmpl w:val="019E7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473E5020"/>
    <w:multiLevelType w:val="hybridMultilevel"/>
    <w:tmpl w:val="6C880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75C6AA6"/>
    <w:multiLevelType w:val="multilevel"/>
    <w:tmpl w:val="BECE650E"/>
    <w:lvl w:ilvl="0">
      <w:start w:val="6"/>
      <w:numFmt w:val="decimal"/>
      <w:lvlText w:val="%1"/>
      <w:lvlJc w:val="left"/>
      <w:pPr>
        <w:ind w:left="360" w:hanging="360"/>
      </w:pPr>
    </w:lvl>
    <w:lvl w:ilvl="1">
      <w:start w:val="1"/>
      <w:numFmt w:val="decimal"/>
      <w:isLgl/>
      <w:lvlText w:val="%1.%2"/>
      <w:lvlJc w:val="left"/>
      <w:pPr>
        <w:ind w:left="720" w:hanging="720"/>
      </w:pPr>
    </w:lvl>
    <w:lvl w:ilvl="2">
      <w:start w:val="2"/>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3" w15:restartNumberingAfterBreak="0">
    <w:nsid w:val="478F0002"/>
    <w:multiLevelType w:val="hybridMultilevel"/>
    <w:tmpl w:val="EEF6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8A22BFB"/>
    <w:multiLevelType w:val="hybridMultilevel"/>
    <w:tmpl w:val="8918EED4"/>
    <w:lvl w:ilvl="0" w:tplc="55CE48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8E375B0"/>
    <w:multiLevelType w:val="hybridMultilevel"/>
    <w:tmpl w:val="83B06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A3A5C76"/>
    <w:multiLevelType w:val="hybridMultilevel"/>
    <w:tmpl w:val="F9EEDF6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E9CB2F8">
      <w:start w:val="5"/>
      <w:numFmt w:val="bullet"/>
      <w:lvlText w:val="-"/>
      <w:lvlJc w:val="left"/>
      <w:pPr>
        <w:tabs>
          <w:tab w:val="num" w:pos="2880"/>
        </w:tabs>
        <w:ind w:left="2880" w:hanging="360"/>
      </w:pPr>
      <w:rPr>
        <w:rFonts w:ascii="Arial" w:eastAsia="Times New Roman" w:hAnsi="Arial" w:cs="Aria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15:restartNumberingAfterBreak="0">
    <w:nsid w:val="4A5311C8"/>
    <w:multiLevelType w:val="hybridMultilevel"/>
    <w:tmpl w:val="26563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C1AABD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BEC73CC"/>
    <w:multiLevelType w:val="hybridMultilevel"/>
    <w:tmpl w:val="523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C0B028C"/>
    <w:multiLevelType w:val="hybridMultilevel"/>
    <w:tmpl w:val="60BCA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4C257C6F"/>
    <w:multiLevelType w:val="hybridMultilevel"/>
    <w:tmpl w:val="E670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D5F07F1"/>
    <w:multiLevelType w:val="hybridMultilevel"/>
    <w:tmpl w:val="CBEC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D8476A0"/>
    <w:multiLevelType w:val="hybridMultilevel"/>
    <w:tmpl w:val="E74CD404"/>
    <w:lvl w:ilvl="0" w:tplc="630E9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152ED3"/>
    <w:multiLevelType w:val="hybridMultilevel"/>
    <w:tmpl w:val="F9A02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4" w15:restartNumberingAfterBreak="0">
    <w:nsid w:val="4E4B6227"/>
    <w:multiLevelType w:val="hybridMultilevel"/>
    <w:tmpl w:val="707CD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4E851170"/>
    <w:multiLevelType w:val="hybridMultilevel"/>
    <w:tmpl w:val="470C2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B91FAE"/>
    <w:multiLevelType w:val="hybridMultilevel"/>
    <w:tmpl w:val="190C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0353984"/>
    <w:multiLevelType w:val="hybridMultilevel"/>
    <w:tmpl w:val="96FCC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04823D2"/>
    <w:multiLevelType w:val="hybridMultilevel"/>
    <w:tmpl w:val="F9EEDF6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E9CB2F8">
      <w:start w:val="5"/>
      <w:numFmt w:val="bullet"/>
      <w:lvlText w:val="-"/>
      <w:lvlJc w:val="left"/>
      <w:pPr>
        <w:tabs>
          <w:tab w:val="num" w:pos="2880"/>
        </w:tabs>
        <w:ind w:left="2880" w:hanging="360"/>
      </w:pPr>
      <w:rPr>
        <w:rFonts w:ascii="Arial" w:eastAsia="Times New Roman" w:hAnsi="Arial" w:cs="Aria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15:restartNumberingAfterBreak="0">
    <w:nsid w:val="50D77CDD"/>
    <w:multiLevelType w:val="hybridMultilevel"/>
    <w:tmpl w:val="815AF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29022EB"/>
    <w:multiLevelType w:val="hybridMultilevel"/>
    <w:tmpl w:val="4362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7D22DE"/>
    <w:multiLevelType w:val="hybridMultilevel"/>
    <w:tmpl w:val="D230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163" w15:restartNumberingAfterBreak="0">
    <w:nsid w:val="555A26FB"/>
    <w:multiLevelType w:val="hybridMultilevel"/>
    <w:tmpl w:val="0DD2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5F56367"/>
    <w:multiLevelType w:val="hybridMultilevel"/>
    <w:tmpl w:val="6D62AA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5" w15:restartNumberingAfterBreak="0">
    <w:nsid w:val="586E40C0"/>
    <w:multiLevelType w:val="hybridMultilevel"/>
    <w:tmpl w:val="6708FD40"/>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2E46B712">
      <w:start w:val="1"/>
      <w:numFmt w:val="lowerLetter"/>
      <w:lvlText w:val="(%4)"/>
      <w:lvlJc w:val="left"/>
      <w:pPr>
        <w:ind w:left="3960" w:hanging="360"/>
      </w:pPr>
      <w:rPr>
        <w:color w:val="1F497D"/>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6" w15:restartNumberingAfterBreak="0">
    <w:nsid w:val="59486056"/>
    <w:multiLevelType w:val="hybridMultilevel"/>
    <w:tmpl w:val="FBD8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A0E12D9"/>
    <w:multiLevelType w:val="hybridMultilevel"/>
    <w:tmpl w:val="77BCF86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8" w15:restartNumberingAfterBreak="0">
    <w:nsid w:val="5B040516"/>
    <w:multiLevelType w:val="multilevel"/>
    <w:tmpl w:val="BBAE7944"/>
    <w:lvl w:ilvl="0">
      <w:start w:val="3"/>
      <w:numFmt w:val="decimal"/>
      <w:lvlText w:val="%1"/>
      <w:lvlJc w:val="left"/>
      <w:pPr>
        <w:ind w:left="600" w:hanging="600"/>
      </w:pPr>
    </w:lvl>
    <w:lvl w:ilvl="1">
      <w:start w:val="1"/>
      <w:numFmt w:val="decimal"/>
      <w:lvlText w:val="%1.%2"/>
      <w:lvlJc w:val="left"/>
      <w:pPr>
        <w:ind w:left="840" w:hanging="60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69" w15:restartNumberingAfterBreak="0">
    <w:nsid w:val="5B825413"/>
    <w:multiLevelType w:val="hybridMultilevel"/>
    <w:tmpl w:val="678A882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C0B4C8E"/>
    <w:multiLevelType w:val="multilevel"/>
    <w:tmpl w:val="44606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C0E494F"/>
    <w:multiLevelType w:val="hybridMultilevel"/>
    <w:tmpl w:val="3AE25A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C403DA5"/>
    <w:multiLevelType w:val="hybridMultilevel"/>
    <w:tmpl w:val="8FCAD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5C7E14C3"/>
    <w:multiLevelType w:val="hybridMultilevel"/>
    <w:tmpl w:val="46C20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5CC25060"/>
    <w:multiLevelType w:val="hybridMultilevel"/>
    <w:tmpl w:val="798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EF0713"/>
    <w:multiLevelType w:val="hybridMultilevel"/>
    <w:tmpl w:val="0F32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D9C638A"/>
    <w:multiLevelType w:val="hybridMultilevel"/>
    <w:tmpl w:val="CD6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E9D6CC9"/>
    <w:multiLevelType w:val="hybridMultilevel"/>
    <w:tmpl w:val="77D6EE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5FFE5F65"/>
    <w:multiLevelType w:val="hybridMultilevel"/>
    <w:tmpl w:val="E3303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1A259DE"/>
    <w:multiLevelType w:val="hybridMultilevel"/>
    <w:tmpl w:val="B20056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E9CB2F8">
      <w:start w:val="5"/>
      <w:numFmt w:val="bullet"/>
      <w:lvlText w:val="-"/>
      <w:lvlJc w:val="left"/>
      <w:pPr>
        <w:tabs>
          <w:tab w:val="num" w:pos="2520"/>
        </w:tabs>
        <w:ind w:left="2520" w:hanging="360"/>
      </w:pPr>
      <w:rPr>
        <w:rFonts w:ascii="Arial" w:eastAsia="Times New Roman" w:hAnsi="Arial" w:cs="Aria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0" w15:restartNumberingAfterBreak="0">
    <w:nsid w:val="61BF156C"/>
    <w:multiLevelType w:val="hybridMultilevel"/>
    <w:tmpl w:val="CBD64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61C171FC"/>
    <w:multiLevelType w:val="hybridMultilevel"/>
    <w:tmpl w:val="FC783952"/>
    <w:lvl w:ilvl="0" w:tplc="513850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20D6A5A"/>
    <w:multiLevelType w:val="hybridMultilevel"/>
    <w:tmpl w:val="A64055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3" w15:restartNumberingAfterBreak="0">
    <w:nsid w:val="626A455F"/>
    <w:multiLevelType w:val="hybridMultilevel"/>
    <w:tmpl w:val="3C365B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63C9707A"/>
    <w:multiLevelType w:val="hybridMultilevel"/>
    <w:tmpl w:val="80F6F19E"/>
    <w:lvl w:ilvl="0" w:tplc="D6446652">
      <w:start w:val="1"/>
      <w:numFmt w:val="bullet"/>
      <w:lvlText w:val="•"/>
      <w:lvlJc w:val="left"/>
      <w:pPr>
        <w:tabs>
          <w:tab w:val="num" w:pos="720"/>
        </w:tabs>
        <w:ind w:left="720" w:hanging="360"/>
      </w:pPr>
      <w:rPr>
        <w:rFonts w:ascii="Arial" w:hAnsi="Arial" w:hint="default"/>
      </w:rPr>
    </w:lvl>
    <w:lvl w:ilvl="1" w:tplc="B06006D6">
      <w:start w:val="1534"/>
      <w:numFmt w:val="bullet"/>
      <w:lvlText w:val="–"/>
      <w:lvlJc w:val="left"/>
      <w:pPr>
        <w:tabs>
          <w:tab w:val="num" w:pos="1440"/>
        </w:tabs>
        <w:ind w:left="1440" w:hanging="360"/>
      </w:pPr>
      <w:rPr>
        <w:rFonts w:ascii="Arial" w:hAnsi="Arial" w:hint="default"/>
      </w:rPr>
    </w:lvl>
    <w:lvl w:ilvl="2" w:tplc="AE78E888">
      <w:start w:val="1534"/>
      <w:numFmt w:val="bullet"/>
      <w:lvlText w:val="•"/>
      <w:lvlJc w:val="left"/>
      <w:pPr>
        <w:tabs>
          <w:tab w:val="num" w:pos="2160"/>
        </w:tabs>
        <w:ind w:left="2160" w:hanging="360"/>
      </w:pPr>
      <w:rPr>
        <w:rFonts w:ascii="Arial" w:hAnsi="Arial" w:hint="default"/>
      </w:rPr>
    </w:lvl>
    <w:lvl w:ilvl="3" w:tplc="286E5D40" w:tentative="1">
      <w:start w:val="1"/>
      <w:numFmt w:val="bullet"/>
      <w:lvlText w:val="•"/>
      <w:lvlJc w:val="left"/>
      <w:pPr>
        <w:tabs>
          <w:tab w:val="num" w:pos="2880"/>
        </w:tabs>
        <w:ind w:left="2880" w:hanging="360"/>
      </w:pPr>
      <w:rPr>
        <w:rFonts w:ascii="Arial" w:hAnsi="Arial" w:hint="default"/>
      </w:rPr>
    </w:lvl>
    <w:lvl w:ilvl="4" w:tplc="B3987CEC" w:tentative="1">
      <w:start w:val="1"/>
      <w:numFmt w:val="bullet"/>
      <w:lvlText w:val="•"/>
      <w:lvlJc w:val="left"/>
      <w:pPr>
        <w:tabs>
          <w:tab w:val="num" w:pos="3600"/>
        </w:tabs>
        <w:ind w:left="3600" w:hanging="360"/>
      </w:pPr>
      <w:rPr>
        <w:rFonts w:ascii="Arial" w:hAnsi="Arial" w:hint="default"/>
      </w:rPr>
    </w:lvl>
    <w:lvl w:ilvl="5" w:tplc="CFBAC316" w:tentative="1">
      <w:start w:val="1"/>
      <w:numFmt w:val="bullet"/>
      <w:lvlText w:val="•"/>
      <w:lvlJc w:val="left"/>
      <w:pPr>
        <w:tabs>
          <w:tab w:val="num" w:pos="4320"/>
        </w:tabs>
        <w:ind w:left="4320" w:hanging="360"/>
      </w:pPr>
      <w:rPr>
        <w:rFonts w:ascii="Arial" w:hAnsi="Arial" w:hint="default"/>
      </w:rPr>
    </w:lvl>
    <w:lvl w:ilvl="6" w:tplc="C32AD390" w:tentative="1">
      <w:start w:val="1"/>
      <w:numFmt w:val="bullet"/>
      <w:lvlText w:val="•"/>
      <w:lvlJc w:val="left"/>
      <w:pPr>
        <w:tabs>
          <w:tab w:val="num" w:pos="5040"/>
        </w:tabs>
        <w:ind w:left="5040" w:hanging="360"/>
      </w:pPr>
      <w:rPr>
        <w:rFonts w:ascii="Arial" w:hAnsi="Arial" w:hint="default"/>
      </w:rPr>
    </w:lvl>
    <w:lvl w:ilvl="7" w:tplc="EE4A3E4E" w:tentative="1">
      <w:start w:val="1"/>
      <w:numFmt w:val="bullet"/>
      <w:lvlText w:val="•"/>
      <w:lvlJc w:val="left"/>
      <w:pPr>
        <w:tabs>
          <w:tab w:val="num" w:pos="5760"/>
        </w:tabs>
        <w:ind w:left="5760" w:hanging="360"/>
      </w:pPr>
      <w:rPr>
        <w:rFonts w:ascii="Arial" w:hAnsi="Arial" w:hint="default"/>
      </w:rPr>
    </w:lvl>
    <w:lvl w:ilvl="8" w:tplc="B1D47F0C"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6402636E"/>
    <w:multiLevelType w:val="hybridMultilevel"/>
    <w:tmpl w:val="2DEE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B82AE7"/>
    <w:multiLevelType w:val="hybridMultilevel"/>
    <w:tmpl w:val="32AAFF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7" w15:restartNumberingAfterBreak="0">
    <w:nsid w:val="65C8036D"/>
    <w:multiLevelType w:val="hybridMultilevel"/>
    <w:tmpl w:val="79A2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62D06E3"/>
    <w:multiLevelType w:val="hybridMultilevel"/>
    <w:tmpl w:val="441C36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669660A3"/>
    <w:multiLevelType w:val="hybridMultilevel"/>
    <w:tmpl w:val="2B585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0" w15:restartNumberingAfterBreak="0">
    <w:nsid w:val="671271FE"/>
    <w:multiLevelType w:val="hybridMultilevel"/>
    <w:tmpl w:val="D502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71D06EF"/>
    <w:multiLevelType w:val="hybridMultilevel"/>
    <w:tmpl w:val="4CC6D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7C40C8B"/>
    <w:multiLevelType w:val="hybridMultilevel"/>
    <w:tmpl w:val="2B40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692F7C5B"/>
    <w:multiLevelType w:val="hybridMultilevel"/>
    <w:tmpl w:val="CF16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9756CBC"/>
    <w:multiLevelType w:val="hybridMultilevel"/>
    <w:tmpl w:val="65F27EC8"/>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5" w15:restartNumberingAfterBreak="0">
    <w:nsid w:val="6A191D90"/>
    <w:multiLevelType w:val="hybridMultilevel"/>
    <w:tmpl w:val="90F0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15:restartNumberingAfterBreak="0">
    <w:nsid w:val="6AB27AFC"/>
    <w:multiLevelType w:val="hybridMultilevel"/>
    <w:tmpl w:val="AFC6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6AFD2DC1"/>
    <w:multiLevelType w:val="hybridMultilevel"/>
    <w:tmpl w:val="AEF215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C7212B0"/>
    <w:multiLevelType w:val="hybridMultilevel"/>
    <w:tmpl w:val="D918FD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0" w15:restartNumberingAfterBreak="0">
    <w:nsid w:val="6CC504F5"/>
    <w:multiLevelType w:val="hybridMultilevel"/>
    <w:tmpl w:val="0700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D2A3996"/>
    <w:multiLevelType w:val="hybridMultilevel"/>
    <w:tmpl w:val="E7DA19B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2" w15:restartNumberingAfterBreak="0">
    <w:nsid w:val="6D5537A9"/>
    <w:multiLevelType w:val="hybridMultilevel"/>
    <w:tmpl w:val="28187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3" w15:restartNumberingAfterBreak="0">
    <w:nsid w:val="6D5A669C"/>
    <w:multiLevelType w:val="hybridMultilevel"/>
    <w:tmpl w:val="40207F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6D6E526D"/>
    <w:multiLevelType w:val="hybridMultilevel"/>
    <w:tmpl w:val="F1E2F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D73293F"/>
    <w:multiLevelType w:val="hybridMultilevel"/>
    <w:tmpl w:val="05EA6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EE807A3"/>
    <w:multiLevelType w:val="hybridMultilevel"/>
    <w:tmpl w:val="3042D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EE814CD"/>
    <w:multiLevelType w:val="hybridMultilevel"/>
    <w:tmpl w:val="250C8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70BA67AE"/>
    <w:multiLevelType w:val="hybridMultilevel"/>
    <w:tmpl w:val="AFE0959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9" w15:restartNumberingAfterBreak="0">
    <w:nsid w:val="73206875"/>
    <w:multiLevelType w:val="hybridMultilevel"/>
    <w:tmpl w:val="4572B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3363137"/>
    <w:multiLevelType w:val="hybridMultilevel"/>
    <w:tmpl w:val="56904ECA"/>
    <w:lvl w:ilvl="0" w:tplc="04090003">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7357235B"/>
    <w:multiLevelType w:val="hybridMultilevel"/>
    <w:tmpl w:val="83F4C6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73607FE8"/>
    <w:multiLevelType w:val="hybridMultilevel"/>
    <w:tmpl w:val="717C1A44"/>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13" w15:restartNumberingAfterBreak="0">
    <w:nsid w:val="73B94B09"/>
    <w:multiLevelType w:val="hybridMultilevel"/>
    <w:tmpl w:val="A9C6B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73BE11DD"/>
    <w:multiLevelType w:val="hybridMultilevel"/>
    <w:tmpl w:val="EB1E7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3C75D80"/>
    <w:multiLevelType w:val="hybridMultilevel"/>
    <w:tmpl w:val="F01C26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3FA7DF3"/>
    <w:multiLevelType w:val="hybridMultilevel"/>
    <w:tmpl w:val="28E44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43C608C"/>
    <w:multiLevelType w:val="hybridMultilevel"/>
    <w:tmpl w:val="0A746E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8" w15:restartNumberingAfterBreak="0">
    <w:nsid w:val="74E0132B"/>
    <w:multiLevelType w:val="hybridMultilevel"/>
    <w:tmpl w:val="880E1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5366E3A"/>
    <w:multiLevelType w:val="multilevel"/>
    <w:tmpl w:val="F51E36BC"/>
    <w:lvl w:ilvl="0">
      <w:start w:val="3"/>
      <w:numFmt w:val="decimal"/>
      <w:lvlText w:val="%1"/>
      <w:lvlJc w:val="left"/>
      <w:pPr>
        <w:ind w:left="600" w:hanging="600"/>
      </w:pPr>
      <w:rPr>
        <w:b w:val="0"/>
      </w:rPr>
    </w:lvl>
    <w:lvl w:ilvl="1">
      <w:start w:val="2"/>
      <w:numFmt w:val="decimal"/>
      <w:lvlText w:val="%1.%2"/>
      <w:lvlJc w:val="left"/>
      <w:pPr>
        <w:ind w:left="840" w:hanging="600"/>
      </w:pPr>
      <w:rPr>
        <w:b w:val="0"/>
      </w:rPr>
    </w:lvl>
    <w:lvl w:ilvl="2">
      <w:start w:val="1"/>
      <w:numFmt w:val="decimal"/>
      <w:lvlText w:val="%1.%2.%3"/>
      <w:lvlJc w:val="left"/>
      <w:pPr>
        <w:ind w:left="1200" w:hanging="720"/>
      </w:pPr>
      <w:rPr>
        <w:b w:val="0"/>
      </w:rPr>
    </w:lvl>
    <w:lvl w:ilvl="3">
      <w:start w:val="2"/>
      <w:numFmt w:val="decimal"/>
      <w:lvlText w:val="%1.%2.%3.%4"/>
      <w:lvlJc w:val="left"/>
      <w:pPr>
        <w:ind w:left="1440" w:hanging="720"/>
      </w:pPr>
      <w:rPr>
        <w:b w:val="0"/>
      </w:rPr>
    </w:lvl>
    <w:lvl w:ilvl="4">
      <w:start w:val="1"/>
      <w:numFmt w:val="decimal"/>
      <w:lvlText w:val="%1.%2.%3.%4.%5"/>
      <w:lvlJc w:val="left"/>
      <w:pPr>
        <w:ind w:left="2040" w:hanging="1080"/>
      </w:pPr>
      <w:rPr>
        <w:b w:val="0"/>
      </w:rPr>
    </w:lvl>
    <w:lvl w:ilvl="5">
      <w:start w:val="1"/>
      <w:numFmt w:val="decimal"/>
      <w:lvlText w:val="%1.%2.%3.%4.%5.%6"/>
      <w:lvlJc w:val="left"/>
      <w:pPr>
        <w:ind w:left="2280" w:hanging="1080"/>
      </w:pPr>
      <w:rPr>
        <w:b w:val="0"/>
      </w:rPr>
    </w:lvl>
    <w:lvl w:ilvl="6">
      <w:start w:val="1"/>
      <w:numFmt w:val="decimal"/>
      <w:lvlText w:val="%1.%2.%3.%4.%5.%6.%7"/>
      <w:lvlJc w:val="left"/>
      <w:pPr>
        <w:ind w:left="2880" w:hanging="1440"/>
      </w:pPr>
      <w:rPr>
        <w:b w:val="0"/>
      </w:rPr>
    </w:lvl>
    <w:lvl w:ilvl="7">
      <w:start w:val="1"/>
      <w:numFmt w:val="decimal"/>
      <w:lvlText w:val="%1.%2.%3.%4.%5.%6.%7.%8"/>
      <w:lvlJc w:val="left"/>
      <w:pPr>
        <w:ind w:left="3120" w:hanging="1440"/>
      </w:pPr>
      <w:rPr>
        <w:b w:val="0"/>
      </w:rPr>
    </w:lvl>
    <w:lvl w:ilvl="8">
      <w:start w:val="1"/>
      <w:numFmt w:val="decimal"/>
      <w:lvlText w:val="%1.%2.%3.%4.%5.%6.%7.%8.%9"/>
      <w:lvlJc w:val="left"/>
      <w:pPr>
        <w:ind w:left="3720" w:hanging="1800"/>
      </w:pPr>
      <w:rPr>
        <w:b w:val="0"/>
      </w:rPr>
    </w:lvl>
  </w:abstractNum>
  <w:abstractNum w:abstractNumId="220" w15:restartNumberingAfterBreak="0">
    <w:nsid w:val="75D2529A"/>
    <w:multiLevelType w:val="hybridMultilevel"/>
    <w:tmpl w:val="45845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716565C"/>
    <w:multiLevelType w:val="hybridMultilevel"/>
    <w:tmpl w:val="D65400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22" w15:restartNumberingAfterBreak="0">
    <w:nsid w:val="773218A8"/>
    <w:multiLevelType w:val="hybridMultilevel"/>
    <w:tmpl w:val="87A07CBC"/>
    <w:lvl w:ilvl="0" w:tplc="DA4ADC30">
      <w:start w:val="1"/>
      <w:numFmt w:val="decimal"/>
      <w:lvlText w:val="%1."/>
      <w:lvlJc w:val="left"/>
      <w:pPr>
        <w:ind w:left="360" w:hanging="360"/>
      </w:pPr>
      <w:rPr>
        <w:rFonts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7474077"/>
    <w:multiLevelType w:val="hybridMultilevel"/>
    <w:tmpl w:val="6C7651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7A952BB"/>
    <w:multiLevelType w:val="hybridMultilevel"/>
    <w:tmpl w:val="48D2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78594FFD"/>
    <w:multiLevelType w:val="hybridMultilevel"/>
    <w:tmpl w:val="1A5E0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8681099"/>
    <w:multiLevelType w:val="hybridMultilevel"/>
    <w:tmpl w:val="081A0FC6"/>
    <w:lvl w:ilvl="0" w:tplc="76AE78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9045D1A"/>
    <w:multiLevelType w:val="hybridMultilevel"/>
    <w:tmpl w:val="09C40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410ACD"/>
    <w:multiLevelType w:val="hybridMultilevel"/>
    <w:tmpl w:val="CE3C4A44"/>
    <w:lvl w:ilvl="0" w:tplc="213C5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9563107"/>
    <w:multiLevelType w:val="hybridMultilevel"/>
    <w:tmpl w:val="4AE258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30" w15:restartNumberingAfterBreak="0">
    <w:nsid w:val="7984202F"/>
    <w:multiLevelType w:val="hybridMultilevel"/>
    <w:tmpl w:val="AFB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1E3208"/>
    <w:multiLevelType w:val="hybridMultilevel"/>
    <w:tmpl w:val="2286D6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A4756C9"/>
    <w:multiLevelType w:val="hybridMultilevel"/>
    <w:tmpl w:val="A3DA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B094B88"/>
    <w:multiLevelType w:val="hybridMultilevel"/>
    <w:tmpl w:val="DFB4A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235" w15:restartNumberingAfterBreak="0">
    <w:nsid w:val="7BB6419C"/>
    <w:multiLevelType w:val="hybridMultilevel"/>
    <w:tmpl w:val="767CFC58"/>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6" w15:restartNumberingAfterBreak="0">
    <w:nsid w:val="7C3E3089"/>
    <w:multiLevelType w:val="hybridMultilevel"/>
    <w:tmpl w:val="592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C8B4277"/>
    <w:multiLevelType w:val="hybridMultilevel"/>
    <w:tmpl w:val="54FEF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DFA42FF"/>
    <w:multiLevelType w:val="hybridMultilevel"/>
    <w:tmpl w:val="E0604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9" w15:restartNumberingAfterBreak="0">
    <w:nsid w:val="7E931564"/>
    <w:multiLevelType w:val="hybridMultilevel"/>
    <w:tmpl w:val="C8448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0" w15:restartNumberingAfterBreak="0">
    <w:nsid w:val="7EA37536"/>
    <w:multiLevelType w:val="hybridMultilevel"/>
    <w:tmpl w:val="D1E49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EEB5F5A"/>
    <w:multiLevelType w:val="hybridMultilevel"/>
    <w:tmpl w:val="FA38002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2" w15:restartNumberingAfterBreak="0">
    <w:nsid w:val="7F94149F"/>
    <w:multiLevelType w:val="hybridMultilevel"/>
    <w:tmpl w:val="23B2C6B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234"/>
  </w:num>
  <w:num w:numId="2">
    <w:abstractNumId w:val="45"/>
  </w:num>
  <w:num w:numId="3">
    <w:abstractNumId w:val="108"/>
  </w:num>
  <w:num w:numId="4">
    <w:abstractNumId w:val="162"/>
  </w:num>
  <w:num w:numId="5">
    <w:abstractNumId w:val="135"/>
  </w:num>
  <w:num w:numId="6">
    <w:abstractNumId w:val="198"/>
  </w:num>
  <w:num w:numId="7">
    <w:abstractNumId w:val="135"/>
  </w:num>
  <w:num w:numId="8">
    <w:abstractNumId w:val="116"/>
  </w:num>
  <w:num w:numId="9">
    <w:abstractNumId w:val="196"/>
  </w:num>
  <w:num w:numId="10">
    <w:abstractNumId w:val="175"/>
  </w:num>
  <w:num w:numId="11">
    <w:abstractNumId w:val="164"/>
  </w:num>
  <w:num w:numId="12">
    <w:abstractNumId w:val="122"/>
  </w:num>
  <w:num w:numId="13">
    <w:abstractNumId w:val="63"/>
  </w:num>
  <w:num w:numId="14">
    <w:abstractNumId w:val="53"/>
  </w:num>
  <w:num w:numId="15">
    <w:abstractNumId w:val="126"/>
  </w:num>
  <w:num w:numId="16">
    <w:abstractNumId w:val="199"/>
  </w:num>
  <w:num w:numId="17">
    <w:abstractNumId w:val="22"/>
  </w:num>
  <w:num w:numId="18">
    <w:abstractNumId w:val="201"/>
  </w:num>
  <w:num w:numId="19">
    <w:abstractNumId w:val="242"/>
  </w:num>
  <w:num w:numId="20">
    <w:abstractNumId w:val="235"/>
    <w:lvlOverride w:ilvl="0">
      <w:startOverride w:val="1"/>
    </w:lvlOverride>
    <w:lvlOverride w:ilvl="1"/>
    <w:lvlOverride w:ilvl="2"/>
    <w:lvlOverride w:ilvl="3"/>
    <w:lvlOverride w:ilvl="4"/>
    <w:lvlOverride w:ilvl="5"/>
    <w:lvlOverride w:ilvl="6"/>
    <w:lvlOverride w:ilvl="7"/>
    <w:lvlOverride w:ilvl="8"/>
  </w:num>
  <w:num w:numId="21">
    <w:abstractNumId w:val="153"/>
  </w:num>
  <w:num w:numId="22">
    <w:abstractNumId w:val="165"/>
    <w:lvlOverride w:ilvl="0">
      <w:startOverride w:val="1"/>
    </w:lvlOverride>
    <w:lvlOverride w:ilvl="1"/>
    <w:lvlOverride w:ilvl="2"/>
    <w:lvlOverride w:ilvl="3">
      <w:startOverride w:val="1"/>
    </w:lvlOverride>
    <w:lvlOverride w:ilvl="4"/>
    <w:lvlOverride w:ilvl="5"/>
    <w:lvlOverride w:ilvl="6"/>
    <w:lvlOverride w:ilvl="7"/>
    <w:lvlOverride w:ilvl="8"/>
  </w:num>
  <w:num w:numId="23">
    <w:abstractNumId w:val="37"/>
  </w:num>
  <w:num w:numId="24">
    <w:abstractNumId w:val="68"/>
  </w:num>
  <w:num w:numId="2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0"/>
  </w:num>
  <w:num w:numId="27">
    <w:abstractNumId w:val="177"/>
  </w:num>
  <w:num w:numId="28">
    <w:abstractNumId w:val="70"/>
  </w:num>
  <w:num w:numId="29">
    <w:abstractNumId w:val="128"/>
  </w:num>
  <w:num w:numId="30">
    <w:abstractNumId w:val="92"/>
  </w:num>
  <w:num w:numId="31">
    <w:abstractNumId w:val="96"/>
  </w:num>
  <w:num w:numId="32">
    <w:abstractNumId w:val="176"/>
  </w:num>
  <w:num w:numId="33">
    <w:abstractNumId w:val="12"/>
  </w:num>
  <w:num w:numId="34">
    <w:abstractNumId w:val="39"/>
  </w:num>
  <w:num w:numId="35">
    <w:abstractNumId w:val="134"/>
  </w:num>
  <w:num w:numId="36">
    <w:abstractNumId w:val="32"/>
  </w:num>
  <w:num w:numId="37">
    <w:abstractNumId w:val="202"/>
  </w:num>
  <w:num w:numId="38">
    <w:abstractNumId w:val="120"/>
  </w:num>
  <w:num w:numId="39">
    <w:abstractNumId w:val="191"/>
  </w:num>
  <w:num w:numId="40">
    <w:abstractNumId w:val="204"/>
  </w:num>
  <w:num w:numId="41">
    <w:abstractNumId w:val="166"/>
  </w:num>
  <w:num w:numId="42">
    <w:abstractNumId w:val="104"/>
  </w:num>
  <w:num w:numId="43">
    <w:abstractNumId w:val="197"/>
  </w:num>
  <w:num w:numId="44">
    <w:abstractNumId w:val="112"/>
  </w:num>
  <w:num w:numId="45">
    <w:abstractNumId w:val="195"/>
  </w:num>
  <w:num w:numId="46">
    <w:abstractNumId w:val="93"/>
  </w:num>
  <w:num w:numId="47">
    <w:abstractNumId w:val="72"/>
  </w:num>
  <w:num w:numId="48">
    <w:abstractNumId w:val="90"/>
  </w:num>
  <w:num w:numId="49">
    <w:abstractNumId w:val="45"/>
  </w:num>
  <w:num w:numId="50">
    <w:abstractNumId w:val="14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0"/>
  </w:num>
  <w:num w:numId="53">
    <w:abstractNumId w:val="175"/>
  </w:num>
  <w:num w:numId="54">
    <w:abstractNumId w:val="95"/>
  </w:num>
  <w:num w:numId="55">
    <w:abstractNumId w:val="111"/>
  </w:num>
  <w:num w:numId="56">
    <w:abstractNumId w:val="110"/>
  </w:num>
  <w:num w:numId="57">
    <w:abstractNumId w:val="93"/>
  </w:num>
  <w:num w:numId="58">
    <w:abstractNumId w:val="123"/>
  </w:num>
  <w:num w:numId="59">
    <w:abstractNumId w:val="212"/>
  </w:num>
  <w:num w:numId="60">
    <w:abstractNumId w:val="119"/>
  </w:num>
  <w:num w:numId="61">
    <w:abstractNumId w:val="25"/>
  </w:num>
  <w:num w:numId="62">
    <w:abstractNumId w:val="15"/>
  </w:num>
  <w:num w:numId="63">
    <w:abstractNumId w:val="59"/>
  </w:num>
  <w:num w:numId="64">
    <w:abstractNumId w:val="100"/>
  </w:num>
  <w:num w:numId="65">
    <w:abstractNumId w:val="89"/>
  </w:num>
  <w:num w:numId="66">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9"/>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57"/>
  </w:num>
  <w:num w:numId="72">
    <w:abstractNumId w:val="99"/>
  </w:num>
  <w:num w:numId="73">
    <w:abstractNumId w:val="136"/>
  </w:num>
  <w:num w:numId="74">
    <w:abstractNumId w:val="189"/>
  </w:num>
  <w:num w:numId="75">
    <w:abstractNumId w:val="239"/>
  </w:num>
  <w:num w:numId="76">
    <w:abstractNumId w:val="187"/>
  </w:num>
  <w:num w:numId="77">
    <w:abstractNumId w:val="171"/>
  </w:num>
  <w:num w:numId="78">
    <w:abstractNumId w:val="40"/>
  </w:num>
  <w:num w:numId="79">
    <w:abstractNumId w:val="140"/>
  </w:num>
  <w:num w:numId="80">
    <w:abstractNumId w:val="50"/>
  </w:num>
  <w:num w:numId="81">
    <w:abstractNumId w:val="36"/>
  </w:num>
  <w:num w:numId="82">
    <w:abstractNumId w:val="105"/>
  </w:num>
  <w:num w:numId="83">
    <w:abstractNumId w:val="19"/>
  </w:num>
  <w:num w:numId="8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1"/>
  </w:num>
  <w:num w:numId="87">
    <w:abstractNumId w:val="229"/>
  </w:num>
  <w:num w:numId="88">
    <w:abstractNumId w:val="109"/>
  </w:num>
  <w:num w:numId="89">
    <w:abstractNumId w:val="144"/>
  </w:num>
  <w:num w:numId="90">
    <w:abstractNumId w:val="186"/>
  </w:num>
  <w:num w:numId="91">
    <w:abstractNumId w:val="78"/>
  </w:num>
  <w:num w:numId="92">
    <w:abstractNumId w:val="173"/>
  </w:num>
  <w:num w:numId="93">
    <w:abstractNumId w:val="143"/>
  </w:num>
  <w:num w:numId="94">
    <w:abstractNumId w:val="71"/>
  </w:num>
  <w:num w:numId="95">
    <w:abstractNumId w:val="133"/>
  </w:num>
  <w:num w:numId="96">
    <w:abstractNumId w:val="26"/>
  </w:num>
  <w:num w:numId="97">
    <w:abstractNumId w:val="64"/>
  </w:num>
  <w:num w:numId="98">
    <w:abstractNumId w:val="121"/>
  </w:num>
  <w:num w:numId="99">
    <w:abstractNumId w:val="154"/>
  </w:num>
  <w:num w:numId="100">
    <w:abstractNumId w:val="87"/>
  </w:num>
  <w:num w:numId="101">
    <w:abstractNumId w:val="206"/>
  </w:num>
  <w:num w:numId="102">
    <w:abstractNumId w:val="149"/>
  </w:num>
  <w:num w:numId="103">
    <w:abstractNumId w:val="210"/>
  </w:num>
  <w:num w:numId="104">
    <w:abstractNumId w:val="137"/>
  </w:num>
  <w:num w:numId="105">
    <w:abstractNumId w:val="231"/>
  </w:num>
  <w:num w:numId="106">
    <w:abstractNumId w:val="188"/>
  </w:num>
  <w:num w:numId="107">
    <w:abstractNumId w:val="124"/>
  </w:num>
  <w:num w:numId="108">
    <w:abstractNumId w:val="91"/>
  </w:num>
  <w:num w:numId="109">
    <w:abstractNumId w:val="16"/>
  </w:num>
  <w:num w:numId="110">
    <w:abstractNumId w:val="185"/>
  </w:num>
  <w:num w:numId="111">
    <w:abstractNumId w:val="97"/>
  </w:num>
  <w:num w:numId="112">
    <w:abstractNumId w:val="135"/>
  </w:num>
  <w:num w:numId="113">
    <w:abstractNumId w:val="217"/>
  </w:num>
  <w:num w:numId="114">
    <w:abstractNumId w:val="107"/>
  </w:num>
  <w:num w:numId="115">
    <w:abstractNumId w:val="117"/>
  </w:num>
  <w:num w:numId="116">
    <w:abstractNumId w:val="200"/>
  </w:num>
  <w:num w:numId="117">
    <w:abstractNumId w:val="114"/>
  </w:num>
  <w:num w:numId="118">
    <w:abstractNumId w:val="240"/>
  </w:num>
  <w:num w:numId="119">
    <w:abstractNumId w:val="194"/>
  </w:num>
  <w:num w:numId="120">
    <w:abstractNumId w:val="208"/>
  </w:num>
  <w:num w:numId="121">
    <w:abstractNumId w:val="237"/>
  </w:num>
  <w:num w:numId="122">
    <w:abstractNumId w:val="241"/>
  </w:num>
  <w:num w:numId="123">
    <w:abstractNumId w:val="51"/>
  </w:num>
  <w:num w:numId="124">
    <w:abstractNumId w:val="35"/>
  </w:num>
  <w:num w:numId="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7"/>
  </w:num>
  <w:num w:numId="127">
    <w:abstractNumId w:val="49"/>
  </w:num>
  <w:num w:numId="128">
    <w:abstractNumId w:val="106"/>
  </w:num>
  <w:num w:numId="129">
    <w:abstractNumId w:val="82"/>
  </w:num>
  <w:num w:numId="130">
    <w:abstractNumId w:val="47"/>
  </w:num>
  <w:num w:numId="131">
    <w:abstractNumId w:val="227"/>
  </w:num>
  <w:num w:numId="132">
    <w:abstractNumId w:val="147"/>
  </w:num>
  <w:num w:numId="133">
    <w:abstractNumId w:val="148"/>
  </w:num>
  <w:num w:numId="134">
    <w:abstractNumId w:val="160"/>
  </w:num>
  <w:num w:numId="135">
    <w:abstractNumId w:val="225"/>
  </w:num>
  <w:num w:numId="136">
    <w:abstractNumId w:val="170"/>
  </w:num>
  <w:num w:numId="137">
    <w:abstractNumId w:val="10"/>
  </w:num>
  <w:num w:numId="138">
    <w:abstractNumId w:val="55"/>
  </w:num>
  <w:num w:numId="1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
  </w:num>
  <w:num w:numId="141">
    <w:abstractNumId w:val="54"/>
  </w:num>
  <w:num w:numId="142">
    <w:abstractNumId w:val="31"/>
  </w:num>
  <w:num w:numId="143">
    <w:abstractNumId w:val="218"/>
  </w:num>
  <w:num w:numId="144">
    <w:abstractNumId w:val="222"/>
  </w:num>
  <w:num w:numId="145">
    <w:abstractNumId w:val="44"/>
  </w:num>
  <w:num w:numId="146">
    <w:abstractNumId w:val="115"/>
  </w:num>
  <w:num w:numId="147">
    <w:abstractNumId w:val="18"/>
  </w:num>
  <w:num w:numId="148">
    <w:abstractNumId w:val="213"/>
  </w:num>
  <w:num w:numId="149">
    <w:abstractNumId w:val="11"/>
  </w:num>
  <w:num w:numId="150">
    <w:abstractNumId w:val="17"/>
  </w:num>
  <w:num w:numId="151">
    <w:abstractNumId w:val="41"/>
  </w:num>
  <w:num w:numId="152">
    <w:abstractNumId w:val="101"/>
  </w:num>
  <w:num w:numId="153">
    <w:abstractNumId w:val="127"/>
  </w:num>
  <w:num w:numId="154">
    <w:abstractNumId w:val="230"/>
  </w:num>
  <w:num w:numId="155">
    <w:abstractNumId w:val="48"/>
  </w:num>
  <w:num w:numId="156">
    <w:abstractNumId w:val="103"/>
  </w:num>
  <w:num w:numId="157">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8"/>
  </w:num>
  <w:num w:numId="159">
    <w:abstractNumId w:val="224"/>
  </w:num>
  <w:num w:numId="160">
    <w:abstractNumId w:val="146"/>
  </w:num>
  <w:num w:numId="161">
    <w:abstractNumId w:val="236"/>
  </w:num>
  <w:num w:numId="16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4"/>
  </w:num>
  <w:num w:numId="164">
    <w:abstractNumId w:val="8"/>
  </w:num>
  <w:num w:numId="165">
    <w:abstractNumId w:val="3"/>
  </w:num>
  <w:num w:numId="166">
    <w:abstractNumId w:val="2"/>
  </w:num>
  <w:num w:numId="167">
    <w:abstractNumId w:val="1"/>
  </w:num>
  <w:num w:numId="168">
    <w:abstractNumId w:val="0"/>
  </w:num>
  <w:num w:numId="169">
    <w:abstractNumId w:val="158"/>
  </w:num>
  <w:num w:numId="170">
    <w:abstractNumId w:val="179"/>
  </w:num>
  <w:num w:numId="171">
    <w:abstractNumId w:val="85"/>
  </w:num>
  <w:num w:numId="172">
    <w:abstractNumId w:val="233"/>
  </w:num>
  <w:num w:numId="173">
    <w:abstractNumId w:val="181"/>
  </w:num>
  <w:num w:numId="174">
    <w:abstractNumId w:val="207"/>
  </w:num>
  <w:num w:numId="175">
    <w:abstractNumId w:val="232"/>
  </w:num>
  <w:num w:numId="176">
    <w:abstractNumId w:val="46"/>
  </w:num>
  <w:num w:numId="177">
    <w:abstractNumId w:val="151"/>
  </w:num>
  <w:num w:numId="178">
    <w:abstractNumId w:val="34"/>
  </w:num>
  <w:num w:numId="179">
    <w:abstractNumId w:val="214"/>
  </w:num>
  <w:num w:numId="180">
    <w:abstractNumId w:val="33"/>
  </w:num>
  <w:num w:numId="181">
    <w:abstractNumId w:val="81"/>
  </w:num>
  <w:num w:numId="182">
    <w:abstractNumId w:val="76"/>
  </w:num>
  <w:num w:numId="183">
    <w:abstractNumId w:val="98"/>
  </w:num>
  <w:num w:numId="184">
    <w:abstractNumId w:val="69"/>
  </w:num>
  <w:num w:numId="185">
    <w:abstractNumId w:val="155"/>
  </w:num>
  <w:num w:numId="186">
    <w:abstractNumId w:val="145"/>
  </w:num>
  <w:num w:numId="187">
    <w:abstractNumId w:val="131"/>
  </w:num>
  <w:num w:numId="188">
    <w:abstractNumId w:val="56"/>
  </w:num>
  <w:num w:numId="189">
    <w:abstractNumId w:val="94"/>
  </w:num>
  <w:num w:numId="190">
    <w:abstractNumId w:val="118"/>
  </w:num>
  <w:num w:numId="191">
    <w:abstractNumId w:val="86"/>
  </w:num>
  <w:num w:numId="192">
    <w:abstractNumId w:val="43"/>
  </w:num>
  <w:num w:numId="193">
    <w:abstractNumId w:val="102"/>
  </w:num>
  <w:num w:numId="194">
    <w:abstractNumId w:val="23"/>
  </w:num>
  <w:num w:numId="195">
    <w:abstractNumId w:val="58"/>
  </w:num>
  <w:num w:numId="196">
    <w:abstractNumId w:val="9"/>
  </w:num>
  <w:num w:numId="197">
    <w:abstractNumId w:val="7"/>
  </w:num>
  <w:num w:numId="198">
    <w:abstractNumId w:val="6"/>
  </w:num>
  <w:num w:numId="199">
    <w:abstractNumId w:val="5"/>
  </w:num>
  <w:num w:numId="200">
    <w:abstractNumId w:val="4"/>
  </w:num>
  <w:num w:numId="201">
    <w:abstractNumId w:val="129"/>
  </w:num>
  <w:num w:numId="202">
    <w:abstractNumId w:val="20"/>
  </w:num>
  <w:num w:numId="203">
    <w:abstractNumId w:val="14"/>
  </w:num>
  <w:num w:numId="204">
    <w:abstractNumId w:val="80"/>
  </w:num>
  <w:num w:numId="205">
    <w:abstractNumId w:val="65"/>
  </w:num>
  <w:num w:numId="206">
    <w:abstractNumId w:val="75"/>
  </w:num>
  <w:num w:numId="207">
    <w:abstractNumId w:val="141"/>
  </w:num>
  <w:num w:numId="208">
    <w:abstractNumId w:val="169"/>
  </w:num>
  <w:num w:numId="209">
    <w:abstractNumId w:val="135"/>
    <w:lvlOverride w:ilvl="0">
      <w:startOverride w:val="4"/>
    </w:lvlOverride>
    <w:lvlOverride w:ilvl="1">
      <w:startOverride w:val="1"/>
    </w:lvlOverride>
  </w:num>
  <w:num w:numId="210">
    <w:abstractNumId w:val="192"/>
  </w:num>
  <w:num w:numId="211">
    <w:abstractNumId w:val="167"/>
  </w:num>
  <w:num w:numId="2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
  </w:num>
  <w:num w:numId="214">
    <w:abstractNumId w:val="74"/>
  </w:num>
  <w:num w:numId="215">
    <w:abstractNumId w:val="161"/>
  </w:num>
  <w:num w:numId="216">
    <w:abstractNumId w:val="28"/>
  </w:num>
  <w:num w:numId="217">
    <w:abstractNumId w:val="203"/>
  </w:num>
  <w:num w:numId="218">
    <w:abstractNumId w:val="152"/>
  </w:num>
  <w:num w:numId="219">
    <w:abstractNumId w:val="38"/>
  </w:num>
  <w:num w:numId="220">
    <w:abstractNumId w:val="79"/>
  </w:num>
  <w:num w:numId="221">
    <w:abstractNumId w:val="211"/>
  </w:num>
  <w:num w:numId="222">
    <w:abstractNumId w:val="139"/>
  </w:num>
  <w:num w:numId="223">
    <w:abstractNumId w:val="132"/>
  </w:num>
  <w:num w:numId="224">
    <w:abstractNumId w:val="163"/>
  </w:num>
  <w:num w:numId="225">
    <w:abstractNumId w:val="172"/>
  </w:num>
  <w:num w:numId="226">
    <w:abstractNumId w:val="215"/>
  </w:num>
  <w:num w:numId="227">
    <w:abstractNumId w:val="228"/>
  </w:num>
  <w:num w:numId="228">
    <w:abstractNumId w:val="13"/>
  </w:num>
  <w:num w:numId="229">
    <w:abstractNumId w:val="178"/>
  </w:num>
  <w:num w:numId="230">
    <w:abstractNumId w:val="62"/>
  </w:num>
  <w:num w:numId="231">
    <w:abstractNumId w:val="174"/>
  </w:num>
  <w:num w:numId="232">
    <w:abstractNumId w:val="205"/>
  </w:num>
  <w:num w:numId="233">
    <w:abstractNumId w:val="113"/>
  </w:num>
  <w:num w:numId="234">
    <w:abstractNumId w:val="52"/>
  </w:num>
  <w:num w:numId="235">
    <w:abstractNumId w:val="193"/>
  </w:num>
  <w:num w:numId="236">
    <w:abstractNumId w:val="190"/>
  </w:num>
  <w:num w:numId="237">
    <w:abstractNumId w:val="156"/>
  </w:num>
  <w:num w:numId="238">
    <w:abstractNumId w:val="67"/>
  </w:num>
  <w:num w:numId="239">
    <w:abstractNumId w:val="77"/>
  </w:num>
  <w:num w:numId="240">
    <w:abstractNumId w:val="125"/>
  </w:num>
  <w:num w:numId="241">
    <w:abstractNumId w:val="27"/>
  </w:num>
  <w:num w:numId="242">
    <w:abstractNumId w:val="73"/>
  </w:num>
  <w:num w:numId="243">
    <w:abstractNumId w:val="223"/>
  </w:num>
  <w:num w:numId="244">
    <w:abstractNumId w:val="30"/>
  </w:num>
  <w:num w:numId="245">
    <w:abstractNumId w:val="184"/>
  </w:num>
  <w:num w:numId="246">
    <w:abstractNumId w:val="45"/>
  </w:num>
  <w:num w:numId="247">
    <w:abstractNumId w:val="42"/>
  </w:num>
  <w:num w:numId="248">
    <w:abstractNumId w:val="216"/>
  </w:num>
  <w:num w:numId="249">
    <w:abstractNumId w:val="183"/>
  </w:num>
  <w:num w:numId="250">
    <w:abstractNumId w:val="209"/>
  </w:num>
  <w:num w:numId="251">
    <w:abstractNumId w:val="220"/>
  </w:num>
  <w:num w:numId="252">
    <w:abstractNumId w:val="60"/>
  </w:num>
  <w:num w:numId="253">
    <w:abstractNumId w:val="88"/>
  </w:num>
  <w:num w:numId="254">
    <w:abstractNumId w:val="226"/>
  </w:num>
  <w:num w:numId="255">
    <w:abstractNumId w:val="159"/>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035"/>
    <w:rsid w:val="00000147"/>
    <w:rsid w:val="00000205"/>
    <w:rsid w:val="0000078E"/>
    <w:rsid w:val="000007E5"/>
    <w:rsid w:val="00000AA9"/>
    <w:rsid w:val="00000F70"/>
    <w:rsid w:val="0000106E"/>
    <w:rsid w:val="0000159D"/>
    <w:rsid w:val="0000169E"/>
    <w:rsid w:val="000022CD"/>
    <w:rsid w:val="00002B3F"/>
    <w:rsid w:val="00002C9A"/>
    <w:rsid w:val="000031F5"/>
    <w:rsid w:val="00003458"/>
    <w:rsid w:val="00004111"/>
    <w:rsid w:val="00004200"/>
    <w:rsid w:val="00004A04"/>
    <w:rsid w:val="0000557C"/>
    <w:rsid w:val="00006082"/>
    <w:rsid w:val="0000613F"/>
    <w:rsid w:val="00006335"/>
    <w:rsid w:val="00006791"/>
    <w:rsid w:val="00006AB0"/>
    <w:rsid w:val="00007FE2"/>
    <w:rsid w:val="00011A8A"/>
    <w:rsid w:val="000120F2"/>
    <w:rsid w:val="000122CA"/>
    <w:rsid w:val="000127CC"/>
    <w:rsid w:val="00012A36"/>
    <w:rsid w:val="000141B5"/>
    <w:rsid w:val="00015214"/>
    <w:rsid w:val="00015899"/>
    <w:rsid w:val="00015C8A"/>
    <w:rsid w:val="00016D74"/>
    <w:rsid w:val="00017505"/>
    <w:rsid w:val="00017ACA"/>
    <w:rsid w:val="000205C2"/>
    <w:rsid w:val="00020DEE"/>
    <w:rsid w:val="00020FB3"/>
    <w:rsid w:val="00020FBF"/>
    <w:rsid w:val="000217D0"/>
    <w:rsid w:val="00021DC6"/>
    <w:rsid w:val="00021E09"/>
    <w:rsid w:val="00022144"/>
    <w:rsid w:val="00022791"/>
    <w:rsid w:val="00022893"/>
    <w:rsid w:val="000228B3"/>
    <w:rsid w:val="00022B4E"/>
    <w:rsid w:val="00023281"/>
    <w:rsid w:val="00023829"/>
    <w:rsid w:val="000238D5"/>
    <w:rsid w:val="00023A66"/>
    <w:rsid w:val="00023ACD"/>
    <w:rsid w:val="00024366"/>
    <w:rsid w:val="00024500"/>
    <w:rsid w:val="0002579A"/>
    <w:rsid w:val="000259FF"/>
    <w:rsid w:val="000260F4"/>
    <w:rsid w:val="0002610B"/>
    <w:rsid w:val="000262F8"/>
    <w:rsid w:val="000263C0"/>
    <w:rsid w:val="00026753"/>
    <w:rsid w:val="000267E7"/>
    <w:rsid w:val="00026828"/>
    <w:rsid w:val="00026D9D"/>
    <w:rsid w:val="00026F75"/>
    <w:rsid w:val="00027138"/>
    <w:rsid w:val="00027413"/>
    <w:rsid w:val="000279AC"/>
    <w:rsid w:val="00030153"/>
    <w:rsid w:val="00030505"/>
    <w:rsid w:val="0003163B"/>
    <w:rsid w:val="00031B5A"/>
    <w:rsid w:val="00031BB1"/>
    <w:rsid w:val="0003225C"/>
    <w:rsid w:val="0003458D"/>
    <w:rsid w:val="000351C9"/>
    <w:rsid w:val="000358D8"/>
    <w:rsid w:val="00035DAF"/>
    <w:rsid w:val="00037898"/>
    <w:rsid w:val="000417E3"/>
    <w:rsid w:val="000420F4"/>
    <w:rsid w:val="00042AF0"/>
    <w:rsid w:val="00042C07"/>
    <w:rsid w:val="00042D11"/>
    <w:rsid w:val="0004357B"/>
    <w:rsid w:val="000438AE"/>
    <w:rsid w:val="00043BD7"/>
    <w:rsid w:val="00044206"/>
    <w:rsid w:val="00044C6E"/>
    <w:rsid w:val="0004541C"/>
    <w:rsid w:val="000464FB"/>
    <w:rsid w:val="00046B3E"/>
    <w:rsid w:val="00046CCB"/>
    <w:rsid w:val="0004732B"/>
    <w:rsid w:val="00047681"/>
    <w:rsid w:val="00047EC9"/>
    <w:rsid w:val="00050C58"/>
    <w:rsid w:val="00051927"/>
    <w:rsid w:val="00051A42"/>
    <w:rsid w:val="00052714"/>
    <w:rsid w:val="00053197"/>
    <w:rsid w:val="000532C7"/>
    <w:rsid w:val="00053666"/>
    <w:rsid w:val="000539A9"/>
    <w:rsid w:val="00053A3C"/>
    <w:rsid w:val="00053AEB"/>
    <w:rsid w:val="00053F7A"/>
    <w:rsid w:val="000548F3"/>
    <w:rsid w:val="00054DC1"/>
    <w:rsid w:val="00054FA7"/>
    <w:rsid w:val="0005582A"/>
    <w:rsid w:val="00055A1A"/>
    <w:rsid w:val="00056652"/>
    <w:rsid w:val="000578AE"/>
    <w:rsid w:val="00057D44"/>
    <w:rsid w:val="00062913"/>
    <w:rsid w:val="00063252"/>
    <w:rsid w:val="00063EE7"/>
    <w:rsid w:val="000652C2"/>
    <w:rsid w:val="00065606"/>
    <w:rsid w:val="000656E0"/>
    <w:rsid w:val="00065704"/>
    <w:rsid w:val="00065B64"/>
    <w:rsid w:val="00065E05"/>
    <w:rsid w:val="00066167"/>
    <w:rsid w:val="000661C0"/>
    <w:rsid w:val="000663C7"/>
    <w:rsid w:val="00066AAF"/>
    <w:rsid w:val="00066C11"/>
    <w:rsid w:val="00067180"/>
    <w:rsid w:val="000703AF"/>
    <w:rsid w:val="000709E2"/>
    <w:rsid w:val="000712E3"/>
    <w:rsid w:val="00071D2B"/>
    <w:rsid w:val="00072903"/>
    <w:rsid w:val="00072D24"/>
    <w:rsid w:val="0007330A"/>
    <w:rsid w:val="000734EB"/>
    <w:rsid w:val="0007442A"/>
    <w:rsid w:val="000744A7"/>
    <w:rsid w:val="00074C0D"/>
    <w:rsid w:val="00075089"/>
    <w:rsid w:val="0007512E"/>
    <w:rsid w:val="000753B3"/>
    <w:rsid w:val="00075A81"/>
    <w:rsid w:val="00076831"/>
    <w:rsid w:val="000776D0"/>
    <w:rsid w:val="000778EC"/>
    <w:rsid w:val="000779CD"/>
    <w:rsid w:val="00077CE5"/>
    <w:rsid w:val="0008033D"/>
    <w:rsid w:val="0008091A"/>
    <w:rsid w:val="00080EC0"/>
    <w:rsid w:val="00080F4D"/>
    <w:rsid w:val="00081EAE"/>
    <w:rsid w:val="00082265"/>
    <w:rsid w:val="000822F4"/>
    <w:rsid w:val="0008335B"/>
    <w:rsid w:val="00083F00"/>
    <w:rsid w:val="000842A2"/>
    <w:rsid w:val="00084EBE"/>
    <w:rsid w:val="00085157"/>
    <w:rsid w:val="00085308"/>
    <w:rsid w:val="0008621A"/>
    <w:rsid w:val="0008639E"/>
    <w:rsid w:val="00086AD9"/>
    <w:rsid w:val="000879D6"/>
    <w:rsid w:val="00087F2A"/>
    <w:rsid w:val="0009124D"/>
    <w:rsid w:val="000922A7"/>
    <w:rsid w:val="0009278F"/>
    <w:rsid w:val="00092903"/>
    <w:rsid w:val="00092AEE"/>
    <w:rsid w:val="0009300C"/>
    <w:rsid w:val="00093722"/>
    <w:rsid w:val="00093B8E"/>
    <w:rsid w:val="00093FD3"/>
    <w:rsid w:val="00094AFC"/>
    <w:rsid w:val="000954B2"/>
    <w:rsid w:val="00095C4F"/>
    <w:rsid w:val="00095EDB"/>
    <w:rsid w:val="00096111"/>
    <w:rsid w:val="00096C38"/>
    <w:rsid w:val="00096C76"/>
    <w:rsid w:val="00096D80"/>
    <w:rsid w:val="00097C3D"/>
    <w:rsid w:val="000A08FC"/>
    <w:rsid w:val="000A0E2F"/>
    <w:rsid w:val="000A0E68"/>
    <w:rsid w:val="000A129B"/>
    <w:rsid w:val="000A2177"/>
    <w:rsid w:val="000A3112"/>
    <w:rsid w:val="000A34EB"/>
    <w:rsid w:val="000A35D4"/>
    <w:rsid w:val="000A4722"/>
    <w:rsid w:val="000A4DD8"/>
    <w:rsid w:val="000A4ED9"/>
    <w:rsid w:val="000A5597"/>
    <w:rsid w:val="000A5C37"/>
    <w:rsid w:val="000A5D1A"/>
    <w:rsid w:val="000A6468"/>
    <w:rsid w:val="000A666B"/>
    <w:rsid w:val="000A6E09"/>
    <w:rsid w:val="000A704B"/>
    <w:rsid w:val="000A751B"/>
    <w:rsid w:val="000A7919"/>
    <w:rsid w:val="000A794A"/>
    <w:rsid w:val="000B0574"/>
    <w:rsid w:val="000B098D"/>
    <w:rsid w:val="000B1837"/>
    <w:rsid w:val="000B2135"/>
    <w:rsid w:val="000B216A"/>
    <w:rsid w:val="000B2285"/>
    <w:rsid w:val="000B3BB4"/>
    <w:rsid w:val="000B3E8F"/>
    <w:rsid w:val="000B483D"/>
    <w:rsid w:val="000B4FAD"/>
    <w:rsid w:val="000B5108"/>
    <w:rsid w:val="000B52D1"/>
    <w:rsid w:val="000B5618"/>
    <w:rsid w:val="000B6D3C"/>
    <w:rsid w:val="000B6D9A"/>
    <w:rsid w:val="000B754E"/>
    <w:rsid w:val="000C013E"/>
    <w:rsid w:val="000C0247"/>
    <w:rsid w:val="000C089C"/>
    <w:rsid w:val="000C0BBA"/>
    <w:rsid w:val="000C0DDC"/>
    <w:rsid w:val="000C1112"/>
    <w:rsid w:val="000C19F0"/>
    <w:rsid w:val="000C2C14"/>
    <w:rsid w:val="000C2FB2"/>
    <w:rsid w:val="000C31A0"/>
    <w:rsid w:val="000C39E1"/>
    <w:rsid w:val="000C3B4C"/>
    <w:rsid w:val="000C4749"/>
    <w:rsid w:val="000C537B"/>
    <w:rsid w:val="000C542A"/>
    <w:rsid w:val="000C543B"/>
    <w:rsid w:val="000C5557"/>
    <w:rsid w:val="000C6155"/>
    <w:rsid w:val="000C64FC"/>
    <w:rsid w:val="000C6826"/>
    <w:rsid w:val="000C6874"/>
    <w:rsid w:val="000C6C83"/>
    <w:rsid w:val="000C70B0"/>
    <w:rsid w:val="000C77CA"/>
    <w:rsid w:val="000D0B21"/>
    <w:rsid w:val="000D0C70"/>
    <w:rsid w:val="000D1748"/>
    <w:rsid w:val="000D17F1"/>
    <w:rsid w:val="000D1AA1"/>
    <w:rsid w:val="000D2749"/>
    <w:rsid w:val="000D2A45"/>
    <w:rsid w:val="000D2BF9"/>
    <w:rsid w:val="000D2E43"/>
    <w:rsid w:val="000D30A8"/>
    <w:rsid w:val="000D328A"/>
    <w:rsid w:val="000D3882"/>
    <w:rsid w:val="000D3F1B"/>
    <w:rsid w:val="000D4085"/>
    <w:rsid w:val="000D441A"/>
    <w:rsid w:val="000D44AD"/>
    <w:rsid w:val="000D44E7"/>
    <w:rsid w:val="000D4C74"/>
    <w:rsid w:val="000D511F"/>
    <w:rsid w:val="000D53BD"/>
    <w:rsid w:val="000D5539"/>
    <w:rsid w:val="000D670B"/>
    <w:rsid w:val="000D6E11"/>
    <w:rsid w:val="000D71D2"/>
    <w:rsid w:val="000D72C0"/>
    <w:rsid w:val="000D7FC2"/>
    <w:rsid w:val="000E032F"/>
    <w:rsid w:val="000E0AA4"/>
    <w:rsid w:val="000E0D89"/>
    <w:rsid w:val="000E0EF1"/>
    <w:rsid w:val="000E15A1"/>
    <w:rsid w:val="000E16AB"/>
    <w:rsid w:val="000E1F6E"/>
    <w:rsid w:val="000E298F"/>
    <w:rsid w:val="000E2A54"/>
    <w:rsid w:val="000E2E90"/>
    <w:rsid w:val="000E3566"/>
    <w:rsid w:val="000E406C"/>
    <w:rsid w:val="000E41A5"/>
    <w:rsid w:val="000E41B9"/>
    <w:rsid w:val="000E463C"/>
    <w:rsid w:val="000E51DD"/>
    <w:rsid w:val="000E54B8"/>
    <w:rsid w:val="000E563F"/>
    <w:rsid w:val="000E61B6"/>
    <w:rsid w:val="000E621B"/>
    <w:rsid w:val="000E624A"/>
    <w:rsid w:val="000E657F"/>
    <w:rsid w:val="000E7CB9"/>
    <w:rsid w:val="000E7D7E"/>
    <w:rsid w:val="000E7F18"/>
    <w:rsid w:val="000F16DF"/>
    <w:rsid w:val="000F19EA"/>
    <w:rsid w:val="000F1AD7"/>
    <w:rsid w:val="000F299B"/>
    <w:rsid w:val="000F3014"/>
    <w:rsid w:val="000F3103"/>
    <w:rsid w:val="000F328C"/>
    <w:rsid w:val="000F4F8A"/>
    <w:rsid w:val="000F52BB"/>
    <w:rsid w:val="000F5DB7"/>
    <w:rsid w:val="000F6C4B"/>
    <w:rsid w:val="000F771E"/>
    <w:rsid w:val="000F7CE8"/>
    <w:rsid w:val="0010004B"/>
    <w:rsid w:val="00100064"/>
    <w:rsid w:val="00100433"/>
    <w:rsid w:val="00100723"/>
    <w:rsid w:val="001009AA"/>
    <w:rsid w:val="00101C62"/>
    <w:rsid w:val="001021BC"/>
    <w:rsid w:val="00102320"/>
    <w:rsid w:val="001028EC"/>
    <w:rsid w:val="001049F7"/>
    <w:rsid w:val="001062D3"/>
    <w:rsid w:val="00106357"/>
    <w:rsid w:val="00106C35"/>
    <w:rsid w:val="00106E67"/>
    <w:rsid w:val="0010741E"/>
    <w:rsid w:val="0010758E"/>
    <w:rsid w:val="0011078B"/>
    <w:rsid w:val="0011116E"/>
    <w:rsid w:val="00112E9E"/>
    <w:rsid w:val="0011345E"/>
    <w:rsid w:val="001135EE"/>
    <w:rsid w:val="00113F7C"/>
    <w:rsid w:val="001147F5"/>
    <w:rsid w:val="001154DB"/>
    <w:rsid w:val="00115EEC"/>
    <w:rsid w:val="001160B9"/>
    <w:rsid w:val="001177A2"/>
    <w:rsid w:val="00120076"/>
    <w:rsid w:val="00120BE0"/>
    <w:rsid w:val="00120C89"/>
    <w:rsid w:val="00120F26"/>
    <w:rsid w:val="00120F76"/>
    <w:rsid w:val="00121D83"/>
    <w:rsid w:val="00121ECD"/>
    <w:rsid w:val="00121FE0"/>
    <w:rsid w:val="0012292A"/>
    <w:rsid w:val="00122A1A"/>
    <w:rsid w:val="00122F29"/>
    <w:rsid w:val="001233BF"/>
    <w:rsid w:val="00123564"/>
    <w:rsid w:val="00123754"/>
    <w:rsid w:val="001238AB"/>
    <w:rsid w:val="00123933"/>
    <w:rsid w:val="00123973"/>
    <w:rsid w:val="00124B5F"/>
    <w:rsid w:val="00124B9F"/>
    <w:rsid w:val="00124FAC"/>
    <w:rsid w:val="00125E03"/>
    <w:rsid w:val="0012628F"/>
    <w:rsid w:val="00126795"/>
    <w:rsid w:val="00126E53"/>
    <w:rsid w:val="001272EE"/>
    <w:rsid w:val="0012749A"/>
    <w:rsid w:val="00127527"/>
    <w:rsid w:val="00127AD0"/>
    <w:rsid w:val="001300FB"/>
    <w:rsid w:val="001306E6"/>
    <w:rsid w:val="00130B90"/>
    <w:rsid w:val="00131A24"/>
    <w:rsid w:val="00131CE0"/>
    <w:rsid w:val="00132623"/>
    <w:rsid w:val="00132BEF"/>
    <w:rsid w:val="00132E9C"/>
    <w:rsid w:val="0013389F"/>
    <w:rsid w:val="00133F81"/>
    <w:rsid w:val="00134738"/>
    <w:rsid w:val="00134837"/>
    <w:rsid w:val="00135442"/>
    <w:rsid w:val="00135511"/>
    <w:rsid w:val="00135B31"/>
    <w:rsid w:val="00135C28"/>
    <w:rsid w:val="00135E5B"/>
    <w:rsid w:val="0013601B"/>
    <w:rsid w:val="00136086"/>
    <w:rsid w:val="00136401"/>
    <w:rsid w:val="00136E76"/>
    <w:rsid w:val="0013768C"/>
    <w:rsid w:val="00140A01"/>
    <w:rsid w:val="00141136"/>
    <w:rsid w:val="0014150B"/>
    <w:rsid w:val="00141CC3"/>
    <w:rsid w:val="001425BC"/>
    <w:rsid w:val="001428D6"/>
    <w:rsid w:val="00142E9E"/>
    <w:rsid w:val="0014307A"/>
    <w:rsid w:val="001431EC"/>
    <w:rsid w:val="0014372E"/>
    <w:rsid w:val="001438CF"/>
    <w:rsid w:val="00143C39"/>
    <w:rsid w:val="00143C5D"/>
    <w:rsid w:val="00144053"/>
    <w:rsid w:val="001444AF"/>
    <w:rsid w:val="00144AFD"/>
    <w:rsid w:val="00145B92"/>
    <w:rsid w:val="00145D14"/>
    <w:rsid w:val="001464BE"/>
    <w:rsid w:val="00146BDD"/>
    <w:rsid w:val="00146BFE"/>
    <w:rsid w:val="00146D14"/>
    <w:rsid w:val="00146EBF"/>
    <w:rsid w:val="00147006"/>
    <w:rsid w:val="00150A1F"/>
    <w:rsid w:val="00150ACC"/>
    <w:rsid w:val="00150F07"/>
    <w:rsid w:val="001512F1"/>
    <w:rsid w:val="00151366"/>
    <w:rsid w:val="00152512"/>
    <w:rsid w:val="001526AF"/>
    <w:rsid w:val="001526DD"/>
    <w:rsid w:val="00152FDA"/>
    <w:rsid w:val="001537AE"/>
    <w:rsid w:val="00153C30"/>
    <w:rsid w:val="00153CB5"/>
    <w:rsid w:val="001545F7"/>
    <w:rsid w:val="0015470A"/>
    <w:rsid w:val="00154818"/>
    <w:rsid w:val="00154EB8"/>
    <w:rsid w:val="00155210"/>
    <w:rsid w:val="001555AC"/>
    <w:rsid w:val="00155A06"/>
    <w:rsid w:val="00156373"/>
    <w:rsid w:val="001569DF"/>
    <w:rsid w:val="00156CA6"/>
    <w:rsid w:val="00157411"/>
    <w:rsid w:val="001574C6"/>
    <w:rsid w:val="00157710"/>
    <w:rsid w:val="00157A0B"/>
    <w:rsid w:val="00157A0E"/>
    <w:rsid w:val="00157AC7"/>
    <w:rsid w:val="00160ABE"/>
    <w:rsid w:val="001615F4"/>
    <w:rsid w:val="0016220E"/>
    <w:rsid w:val="001629B2"/>
    <w:rsid w:val="001632E2"/>
    <w:rsid w:val="00163CB1"/>
    <w:rsid w:val="00163DFC"/>
    <w:rsid w:val="00163EC3"/>
    <w:rsid w:val="00164445"/>
    <w:rsid w:val="00164AE0"/>
    <w:rsid w:val="00164FE4"/>
    <w:rsid w:val="0016582B"/>
    <w:rsid w:val="001663A0"/>
    <w:rsid w:val="00166E9F"/>
    <w:rsid w:val="001672A1"/>
    <w:rsid w:val="001672D4"/>
    <w:rsid w:val="00167BAE"/>
    <w:rsid w:val="00170075"/>
    <w:rsid w:val="001709ED"/>
    <w:rsid w:val="00171777"/>
    <w:rsid w:val="00171B5E"/>
    <w:rsid w:val="00171D3A"/>
    <w:rsid w:val="00171E2F"/>
    <w:rsid w:val="001722F1"/>
    <w:rsid w:val="00172436"/>
    <w:rsid w:val="00172778"/>
    <w:rsid w:val="00172943"/>
    <w:rsid w:val="00172D62"/>
    <w:rsid w:val="00173637"/>
    <w:rsid w:val="001737B5"/>
    <w:rsid w:val="00174807"/>
    <w:rsid w:val="00175EEF"/>
    <w:rsid w:val="0017604F"/>
    <w:rsid w:val="001765FC"/>
    <w:rsid w:val="00177BBA"/>
    <w:rsid w:val="00180057"/>
    <w:rsid w:val="0018018C"/>
    <w:rsid w:val="00180A72"/>
    <w:rsid w:val="00180B8F"/>
    <w:rsid w:val="00180C19"/>
    <w:rsid w:val="0018111C"/>
    <w:rsid w:val="00181C2A"/>
    <w:rsid w:val="00181CB0"/>
    <w:rsid w:val="00181F15"/>
    <w:rsid w:val="00183676"/>
    <w:rsid w:val="00183AB9"/>
    <w:rsid w:val="0018494A"/>
    <w:rsid w:val="00184D97"/>
    <w:rsid w:val="0018595D"/>
    <w:rsid w:val="001867D4"/>
    <w:rsid w:val="00186C03"/>
    <w:rsid w:val="0018735C"/>
    <w:rsid w:val="001879D0"/>
    <w:rsid w:val="00187BC1"/>
    <w:rsid w:val="00187DB0"/>
    <w:rsid w:val="001901B9"/>
    <w:rsid w:val="00190C1B"/>
    <w:rsid w:val="00191838"/>
    <w:rsid w:val="00191C60"/>
    <w:rsid w:val="00193093"/>
    <w:rsid w:val="001935B8"/>
    <w:rsid w:val="00193BBA"/>
    <w:rsid w:val="0019464A"/>
    <w:rsid w:val="00194C40"/>
    <w:rsid w:val="0019509C"/>
    <w:rsid w:val="0019559A"/>
    <w:rsid w:val="0019575B"/>
    <w:rsid w:val="00195BA9"/>
    <w:rsid w:val="00196895"/>
    <w:rsid w:val="00197720"/>
    <w:rsid w:val="00197C24"/>
    <w:rsid w:val="001A05E4"/>
    <w:rsid w:val="001A0A9B"/>
    <w:rsid w:val="001A10FF"/>
    <w:rsid w:val="001A1AD4"/>
    <w:rsid w:val="001A3C6B"/>
    <w:rsid w:val="001A4653"/>
    <w:rsid w:val="001A486A"/>
    <w:rsid w:val="001A491A"/>
    <w:rsid w:val="001A5070"/>
    <w:rsid w:val="001A5B49"/>
    <w:rsid w:val="001A5EF4"/>
    <w:rsid w:val="001A6128"/>
    <w:rsid w:val="001A6A14"/>
    <w:rsid w:val="001A6FA0"/>
    <w:rsid w:val="001A7861"/>
    <w:rsid w:val="001A7A61"/>
    <w:rsid w:val="001A7FEF"/>
    <w:rsid w:val="001B05F1"/>
    <w:rsid w:val="001B06BF"/>
    <w:rsid w:val="001B0CE1"/>
    <w:rsid w:val="001B1B96"/>
    <w:rsid w:val="001B2475"/>
    <w:rsid w:val="001B2916"/>
    <w:rsid w:val="001B2A2C"/>
    <w:rsid w:val="001B2A7B"/>
    <w:rsid w:val="001B3290"/>
    <w:rsid w:val="001B454B"/>
    <w:rsid w:val="001B4987"/>
    <w:rsid w:val="001B4C7D"/>
    <w:rsid w:val="001B4D4E"/>
    <w:rsid w:val="001B6889"/>
    <w:rsid w:val="001B7476"/>
    <w:rsid w:val="001B7522"/>
    <w:rsid w:val="001B7821"/>
    <w:rsid w:val="001B7BF0"/>
    <w:rsid w:val="001C00E9"/>
    <w:rsid w:val="001C0C27"/>
    <w:rsid w:val="001C0E7A"/>
    <w:rsid w:val="001C16C5"/>
    <w:rsid w:val="001C2119"/>
    <w:rsid w:val="001C23FA"/>
    <w:rsid w:val="001C2A48"/>
    <w:rsid w:val="001C37A1"/>
    <w:rsid w:val="001C3F4F"/>
    <w:rsid w:val="001C51C3"/>
    <w:rsid w:val="001C57F4"/>
    <w:rsid w:val="001C677C"/>
    <w:rsid w:val="001C68C9"/>
    <w:rsid w:val="001C6997"/>
    <w:rsid w:val="001C6F92"/>
    <w:rsid w:val="001C782D"/>
    <w:rsid w:val="001C78F1"/>
    <w:rsid w:val="001D0BA0"/>
    <w:rsid w:val="001D0D39"/>
    <w:rsid w:val="001D1451"/>
    <w:rsid w:val="001D146C"/>
    <w:rsid w:val="001D194A"/>
    <w:rsid w:val="001D196C"/>
    <w:rsid w:val="001D24E5"/>
    <w:rsid w:val="001D299D"/>
    <w:rsid w:val="001D2B3F"/>
    <w:rsid w:val="001D2CD7"/>
    <w:rsid w:val="001D2ECC"/>
    <w:rsid w:val="001D354A"/>
    <w:rsid w:val="001D3D9B"/>
    <w:rsid w:val="001D47A2"/>
    <w:rsid w:val="001D4A49"/>
    <w:rsid w:val="001D4BE5"/>
    <w:rsid w:val="001D4E11"/>
    <w:rsid w:val="001D4F7A"/>
    <w:rsid w:val="001D56A0"/>
    <w:rsid w:val="001D5A52"/>
    <w:rsid w:val="001D642A"/>
    <w:rsid w:val="001D6754"/>
    <w:rsid w:val="001D6A50"/>
    <w:rsid w:val="001D75A3"/>
    <w:rsid w:val="001D7E72"/>
    <w:rsid w:val="001E035A"/>
    <w:rsid w:val="001E063F"/>
    <w:rsid w:val="001E0937"/>
    <w:rsid w:val="001E098C"/>
    <w:rsid w:val="001E174C"/>
    <w:rsid w:val="001E2419"/>
    <w:rsid w:val="001E374A"/>
    <w:rsid w:val="001E3C57"/>
    <w:rsid w:val="001E3E0B"/>
    <w:rsid w:val="001E40B2"/>
    <w:rsid w:val="001E49C9"/>
    <w:rsid w:val="001E4BE8"/>
    <w:rsid w:val="001E5613"/>
    <w:rsid w:val="001E5640"/>
    <w:rsid w:val="001E6C27"/>
    <w:rsid w:val="001E7023"/>
    <w:rsid w:val="001E7DCE"/>
    <w:rsid w:val="001F04E5"/>
    <w:rsid w:val="001F154F"/>
    <w:rsid w:val="001F1AB1"/>
    <w:rsid w:val="001F2CD4"/>
    <w:rsid w:val="001F342B"/>
    <w:rsid w:val="001F342E"/>
    <w:rsid w:val="001F396E"/>
    <w:rsid w:val="001F3FD2"/>
    <w:rsid w:val="001F42C0"/>
    <w:rsid w:val="001F4B05"/>
    <w:rsid w:val="001F4C39"/>
    <w:rsid w:val="001F5027"/>
    <w:rsid w:val="001F6AB2"/>
    <w:rsid w:val="001F7004"/>
    <w:rsid w:val="001F78B3"/>
    <w:rsid w:val="001F7B04"/>
    <w:rsid w:val="001F7B18"/>
    <w:rsid w:val="00200326"/>
    <w:rsid w:val="00200905"/>
    <w:rsid w:val="00200933"/>
    <w:rsid w:val="00201C6B"/>
    <w:rsid w:val="00202D06"/>
    <w:rsid w:val="002033A6"/>
    <w:rsid w:val="002033F2"/>
    <w:rsid w:val="00204572"/>
    <w:rsid w:val="00204905"/>
    <w:rsid w:val="00204D20"/>
    <w:rsid w:val="00205B01"/>
    <w:rsid w:val="00205E95"/>
    <w:rsid w:val="002063EA"/>
    <w:rsid w:val="0020667A"/>
    <w:rsid w:val="002068B3"/>
    <w:rsid w:val="00206F1C"/>
    <w:rsid w:val="002106C2"/>
    <w:rsid w:val="0021186B"/>
    <w:rsid w:val="00211D78"/>
    <w:rsid w:val="00211D91"/>
    <w:rsid w:val="00211DB5"/>
    <w:rsid w:val="0021338D"/>
    <w:rsid w:val="00213455"/>
    <w:rsid w:val="0021347B"/>
    <w:rsid w:val="00213876"/>
    <w:rsid w:val="0021417F"/>
    <w:rsid w:val="002148AE"/>
    <w:rsid w:val="002148E5"/>
    <w:rsid w:val="00214F0B"/>
    <w:rsid w:val="00215561"/>
    <w:rsid w:val="00215704"/>
    <w:rsid w:val="00215731"/>
    <w:rsid w:val="00216219"/>
    <w:rsid w:val="00216A64"/>
    <w:rsid w:val="002178AA"/>
    <w:rsid w:val="00220498"/>
    <w:rsid w:val="0022082B"/>
    <w:rsid w:val="002211F7"/>
    <w:rsid w:val="00221487"/>
    <w:rsid w:val="00222956"/>
    <w:rsid w:val="00222ABE"/>
    <w:rsid w:val="00222B03"/>
    <w:rsid w:val="00222EAE"/>
    <w:rsid w:val="00224D9F"/>
    <w:rsid w:val="00225179"/>
    <w:rsid w:val="002261F9"/>
    <w:rsid w:val="00227D12"/>
    <w:rsid w:val="00230322"/>
    <w:rsid w:val="00230594"/>
    <w:rsid w:val="00230E3B"/>
    <w:rsid w:val="00230E52"/>
    <w:rsid w:val="002317C7"/>
    <w:rsid w:val="00232E13"/>
    <w:rsid w:val="00233242"/>
    <w:rsid w:val="00233509"/>
    <w:rsid w:val="00233675"/>
    <w:rsid w:val="00233B72"/>
    <w:rsid w:val="00234E86"/>
    <w:rsid w:val="00235279"/>
    <w:rsid w:val="0023574C"/>
    <w:rsid w:val="002358BB"/>
    <w:rsid w:val="00235923"/>
    <w:rsid w:val="002366C4"/>
    <w:rsid w:val="002377DC"/>
    <w:rsid w:val="0024014F"/>
    <w:rsid w:val="00240AE4"/>
    <w:rsid w:val="00240D49"/>
    <w:rsid w:val="0024121A"/>
    <w:rsid w:val="002428E7"/>
    <w:rsid w:val="002433F9"/>
    <w:rsid w:val="0024450B"/>
    <w:rsid w:val="00244C5E"/>
    <w:rsid w:val="00244C8D"/>
    <w:rsid w:val="00244D97"/>
    <w:rsid w:val="002452E0"/>
    <w:rsid w:val="00245370"/>
    <w:rsid w:val="00245CE3"/>
    <w:rsid w:val="002460F2"/>
    <w:rsid w:val="002462E5"/>
    <w:rsid w:val="00246443"/>
    <w:rsid w:val="00246BB9"/>
    <w:rsid w:val="00246D43"/>
    <w:rsid w:val="002477A6"/>
    <w:rsid w:val="002500A7"/>
    <w:rsid w:val="002505C7"/>
    <w:rsid w:val="002507FD"/>
    <w:rsid w:val="002522E7"/>
    <w:rsid w:val="0025238E"/>
    <w:rsid w:val="002524F8"/>
    <w:rsid w:val="00252673"/>
    <w:rsid w:val="002532A8"/>
    <w:rsid w:val="002537FC"/>
    <w:rsid w:val="002548E4"/>
    <w:rsid w:val="002556CA"/>
    <w:rsid w:val="00255797"/>
    <w:rsid w:val="00256064"/>
    <w:rsid w:val="00256672"/>
    <w:rsid w:val="0025727C"/>
    <w:rsid w:val="002579E5"/>
    <w:rsid w:val="00260152"/>
    <w:rsid w:val="00261442"/>
    <w:rsid w:val="00261D31"/>
    <w:rsid w:val="00261F35"/>
    <w:rsid w:val="0026238F"/>
    <w:rsid w:val="00262672"/>
    <w:rsid w:val="002633F7"/>
    <w:rsid w:val="00263B21"/>
    <w:rsid w:val="00263E4A"/>
    <w:rsid w:val="00264767"/>
    <w:rsid w:val="00264895"/>
    <w:rsid w:val="00264AA1"/>
    <w:rsid w:val="00264D20"/>
    <w:rsid w:val="002650E1"/>
    <w:rsid w:val="00266617"/>
    <w:rsid w:val="002667BF"/>
    <w:rsid w:val="00267CC0"/>
    <w:rsid w:val="002705BC"/>
    <w:rsid w:val="002707D1"/>
    <w:rsid w:val="00270C11"/>
    <w:rsid w:val="00270C54"/>
    <w:rsid w:val="00270D7F"/>
    <w:rsid w:val="00271517"/>
    <w:rsid w:val="0027194C"/>
    <w:rsid w:val="002719B4"/>
    <w:rsid w:val="0027230D"/>
    <w:rsid w:val="002723DD"/>
    <w:rsid w:val="0027311D"/>
    <w:rsid w:val="002732BF"/>
    <w:rsid w:val="002733F2"/>
    <w:rsid w:val="002736D5"/>
    <w:rsid w:val="00273A5B"/>
    <w:rsid w:val="00274150"/>
    <w:rsid w:val="00274443"/>
    <w:rsid w:val="00274452"/>
    <w:rsid w:val="002748DA"/>
    <w:rsid w:val="00274A63"/>
    <w:rsid w:val="00274F6F"/>
    <w:rsid w:val="00275EDF"/>
    <w:rsid w:val="0027605C"/>
    <w:rsid w:val="00276804"/>
    <w:rsid w:val="00276F31"/>
    <w:rsid w:val="0027733A"/>
    <w:rsid w:val="00277EB3"/>
    <w:rsid w:val="0028031A"/>
    <w:rsid w:val="00280CB3"/>
    <w:rsid w:val="002815A0"/>
    <w:rsid w:val="00281E4C"/>
    <w:rsid w:val="0028213D"/>
    <w:rsid w:val="0028240E"/>
    <w:rsid w:val="00282489"/>
    <w:rsid w:val="002834F4"/>
    <w:rsid w:val="00284875"/>
    <w:rsid w:val="002852BA"/>
    <w:rsid w:val="0028532A"/>
    <w:rsid w:val="00285E4D"/>
    <w:rsid w:val="00286264"/>
    <w:rsid w:val="0028635C"/>
    <w:rsid w:val="002866B4"/>
    <w:rsid w:val="00286C8D"/>
    <w:rsid w:val="00286D61"/>
    <w:rsid w:val="00286F10"/>
    <w:rsid w:val="00287E16"/>
    <w:rsid w:val="00287E25"/>
    <w:rsid w:val="00290354"/>
    <w:rsid w:val="0029044A"/>
    <w:rsid w:val="002927DC"/>
    <w:rsid w:val="0029290C"/>
    <w:rsid w:val="0029314D"/>
    <w:rsid w:val="002934EE"/>
    <w:rsid w:val="00293D73"/>
    <w:rsid w:val="002947C9"/>
    <w:rsid w:val="00294981"/>
    <w:rsid w:val="00294EEE"/>
    <w:rsid w:val="00295116"/>
    <w:rsid w:val="0029538F"/>
    <w:rsid w:val="00296159"/>
    <w:rsid w:val="002961E9"/>
    <w:rsid w:val="0029679A"/>
    <w:rsid w:val="00296874"/>
    <w:rsid w:val="002969F3"/>
    <w:rsid w:val="00296CD6"/>
    <w:rsid w:val="002979BE"/>
    <w:rsid w:val="00297E28"/>
    <w:rsid w:val="002A078D"/>
    <w:rsid w:val="002A0A6C"/>
    <w:rsid w:val="002A1205"/>
    <w:rsid w:val="002A168E"/>
    <w:rsid w:val="002A1EF4"/>
    <w:rsid w:val="002A234D"/>
    <w:rsid w:val="002A242A"/>
    <w:rsid w:val="002A2EC1"/>
    <w:rsid w:val="002A311D"/>
    <w:rsid w:val="002A315F"/>
    <w:rsid w:val="002A32D5"/>
    <w:rsid w:val="002A3D5D"/>
    <w:rsid w:val="002A3E3E"/>
    <w:rsid w:val="002A468C"/>
    <w:rsid w:val="002A4999"/>
    <w:rsid w:val="002A4B14"/>
    <w:rsid w:val="002A4EA7"/>
    <w:rsid w:val="002A7C46"/>
    <w:rsid w:val="002B2064"/>
    <w:rsid w:val="002B231D"/>
    <w:rsid w:val="002B3599"/>
    <w:rsid w:val="002B392C"/>
    <w:rsid w:val="002B44C6"/>
    <w:rsid w:val="002B4954"/>
    <w:rsid w:val="002B55FD"/>
    <w:rsid w:val="002B56E5"/>
    <w:rsid w:val="002B58FD"/>
    <w:rsid w:val="002B596D"/>
    <w:rsid w:val="002B61CE"/>
    <w:rsid w:val="002B6A83"/>
    <w:rsid w:val="002B6B78"/>
    <w:rsid w:val="002B7033"/>
    <w:rsid w:val="002B7AF1"/>
    <w:rsid w:val="002C085C"/>
    <w:rsid w:val="002C111D"/>
    <w:rsid w:val="002C161A"/>
    <w:rsid w:val="002C1A48"/>
    <w:rsid w:val="002C1E55"/>
    <w:rsid w:val="002C20D4"/>
    <w:rsid w:val="002C219F"/>
    <w:rsid w:val="002C22A8"/>
    <w:rsid w:val="002C27BC"/>
    <w:rsid w:val="002C3088"/>
    <w:rsid w:val="002C3121"/>
    <w:rsid w:val="002C3401"/>
    <w:rsid w:val="002C459D"/>
    <w:rsid w:val="002C4700"/>
    <w:rsid w:val="002C4760"/>
    <w:rsid w:val="002C47FC"/>
    <w:rsid w:val="002C4915"/>
    <w:rsid w:val="002C5101"/>
    <w:rsid w:val="002C55BD"/>
    <w:rsid w:val="002C6325"/>
    <w:rsid w:val="002C63E7"/>
    <w:rsid w:val="002C646A"/>
    <w:rsid w:val="002C6673"/>
    <w:rsid w:val="002C6690"/>
    <w:rsid w:val="002C685E"/>
    <w:rsid w:val="002C6963"/>
    <w:rsid w:val="002C6971"/>
    <w:rsid w:val="002D0769"/>
    <w:rsid w:val="002D0B58"/>
    <w:rsid w:val="002D1FBF"/>
    <w:rsid w:val="002D2099"/>
    <w:rsid w:val="002D270D"/>
    <w:rsid w:val="002D4C72"/>
    <w:rsid w:val="002D5229"/>
    <w:rsid w:val="002D54FC"/>
    <w:rsid w:val="002D59D5"/>
    <w:rsid w:val="002D7264"/>
    <w:rsid w:val="002D74B5"/>
    <w:rsid w:val="002D7943"/>
    <w:rsid w:val="002D79E9"/>
    <w:rsid w:val="002E055C"/>
    <w:rsid w:val="002E0604"/>
    <w:rsid w:val="002E2653"/>
    <w:rsid w:val="002E26E0"/>
    <w:rsid w:val="002E3096"/>
    <w:rsid w:val="002E30EE"/>
    <w:rsid w:val="002E4395"/>
    <w:rsid w:val="002E46E9"/>
    <w:rsid w:val="002E4953"/>
    <w:rsid w:val="002E5D15"/>
    <w:rsid w:val="002E5E7D"/>
    <w:rsid w:val="002E5E91"/>
    <w:rsid w:val="002E5F50"/>
    <w:rsid w:val="002E652A"/>
    <w:rsid w:val="002E6A96"/>
    <w:rsid w:val="002E7486"/>
    <w:rsid w:val="002E74A0"/>
    <w:rsid w:val="002E7B14"/>
    <w:rsid w:val="002F01F7"/>
    <w:rsid w:val="002F0203"/>
    <w:rsid w:val="002F0A59"/>
    <w:rsid w:val="002F2077"/>
    <w:rsid w:val="002F22F7"/>
    <w:rsid w:val="002F2316"/>
    <w:rsid w:val="002F2C8E"/>
    <w:rsid w:val="002F2F91"/>
    <w:rsid w:val="002F4C59"/>
    <w:rsid w:val="002F52B9"/>
    <w:rsid w:val="002F562D"/>
    <w:rsid w:val="002F56AD"/>
    <w:rsid w:val="002F583B"/>
    <w:rsid w:val="002F635A"/>
    <w:rsid w:val="002F6485"/>
    <w:rsid w:val="002F7599"/>
    <w:rsid w:val="002F7A22"/>
    <w:rsid w:val="003002C2"/>
    <w:rsid w:val="00300533"/>
    <w:rsid w:val="00300842"/>
    <w:rsid w:val="00301B10"/>
    <w:rsid w:val="00302A50"/>
    <w:rsid w:val="003031D2"/>
    <w:rsid w:val="00303E69"/>
    <w:rsid w:val="00303EEF"/>
    <w:rsid w:val="003044BA"/>
    <w:rsid w:val="00304DEE"/>
    <w:rsid w:val="00304DFF"/>
    <w:rsid w:val="00305572"/>
    <w:rsid w:val="00305625"/>
    <w:rsid w:val="0030562E"/>
    <w:rsid w:val="00305634"/>
    <w:rsid w:val="003063BB"/>
    <w:rsid w:val="00306734"/>
    <w:rsid w:val="00306A24"/>
    <w:rsid w:val="00306C52"/>
    <w:rsid w:val="00307C99"/>
    <w:rsid w:val="00310FAF"/>
    <w:rsid w:val="00311A72"/>
    <w:rsid w:val="00311CC3"/>
    <w:rsid w:val="00311EBF"/>
    <w:rsid w:val="00312035"/>
    <w:rsid w:val="00312277"/>
    <w:rsid w:val="003124A9"/>
    <w:rsid w:val="0031309A"/>
    <w:rsid w:val="0031357C"/>
    <w:rsid w:val="00313AAE"/>
    <w:rsid w:val="00314896"/>
    <w:rsid w:val="003149E8"/>
    <w:rsid w:val="00314EEE"/>
    <w:rsid w:val="00315949"/>
    <w:rsid w:val="00315C91"/>
    <w:rsid w:val="00315E18"/>
    <w:rsid w:val="0031695C"/>
    <w:rsid w:val="003178FD"/>
    <w:rsid w:val="003209D0"/>
    <w:rsid w:val="0032159C"/>
    <w:rsid w:val="0032190E"/>
    <w:rsid w:val="00321949"/>
    <w:rsid w:val="003219CF"/>
    <w:rsid w:val="00321BA8"/>
    <w:rsid w:val="00321E3C"/>
    <w:rsid w:val="003224F7"/>
    <w:rsid w:val="0032275C"/>
    <w:rsid w:val="003227D9"/>
    <w:rsid w:val="00322B1C"/>
    <w:rsid w:val="00322B45"/>
    <w:rsid w:val="00323FB1"/>
    <w:rsid w:val="00325B5D"/>
    <w:rsid w:val="00326367"/>
    <w:rsid w:val="00326CC6"/>
    <w:rsid w:val="00326E7C"/>
    <w:rsid w:val="00327933"/>
    <w:rsid w:val="00327F27"/>
    <w:rsid w:val="00330146"/>
    <w:rsid w:val="00330CA1"/>
    <w:rsid w:val="0033195C"/>
    <w:rsid w:val="00331CD7"/>
    <w:rsid w:val="00331DD7"/>
    <w:rsid w:val="00331EB5"/>
    <w:rsid w:val="003321BD"/>
    <w:rsid w:val="0033230B"/>
    <w:rsid w:val="00332D3D"/>
    <w:rsid w:val="00333491"/>
    <w:rsid w:val="00333680"/>
    <w:rsid w:val="0033486F"/>
    <w:rsid w:val="00335488"/>
    <w:rsid w:val="00335BA3"/>
    <w:rsid w:val="00335E25"/>
    <w:rsid w:val="003366CA"/>
    <w:rsid w:val="00336C4E"/>
    <w:rsid w:val="0033737B"/>
    <w:rsid w:val="00337454"/>
    <w:rsid w:val="00337EBE"/>
    <w:rsid w:val="00340149"/>
    <w:rsid w:val="003406F7"/>
    <w:rsid w:val="003408B2"/>
    <w:rsid w:val="00340F3E"/>
    <w:rsid w:val="003412E7"/>
    <w:rsid w:val="003416A2"/>
    <w:rsid w:val="00341991"/>
    <w:rsid w:val="00341EBE"/>
    <w:rsid w:val="003427EF"/>
    <w:rsid w:val="00342863"/>
    <w:rsid w:val="003436AE"/>
    <w:rsid w:val="00343EA4"/>
    <w:rsid w:val="00344811"/>
    <w:rsid w:val="0034497A"/>
    <w:rsid w:val="003456DE"/>
    <w:rsid w:val="00345B05"/>
    <w:rsid w:val="00345FC4"/>
    <w:rsid w:val="00347036"/>
    <w:rsid w:val="003470BD"/>
    <w:rsid w:val="00347CDC"/>
    <w:rsid w:val="0035023C"/>
    <w:rsid w:val="003507AA"/>
    <w:rsid w:val="00350849"/>
    <w:rsid w:val="00351AAA"/>
    <w:rsid w:val="00351D92"/>
    <w:rsid w:val="00353838"/>
    <w:rsid w:val="00353CF7"/>
    <w:rsid w:val="0035411F"/>
    <w:rsid w:val="0035477A"/>
    <w:rsid w:val="0035541A"/>
    <w:rsid w:val="00356824"/>
    <w:rsid w:val="0035689B"/>
    <w:rsid w:val="00356F60"/>
    <w:rsid w:val="00356FFA"/>
    <w:rsid w:val="003570AC"/>
    <w:rsid w:val="00357261"/>
    <w:rsid w:val="00357297"/>
    <w:rsid w:val="00357601"/>
    <w:rsid w:val="00357D1C"/>
    <w:rsid w:val="0036021D"/>
    <w:rsid w:val="00360AF6"/>
    <w:rsid w:val="0036107F"/>
    <w:rsid w:val="00361C69"/>
    <w:rsid w:val="00362115"/>
    <w:rsid w:val="00362274"/>
    <w:rsid w:val="00362A1F"/>
    <w:rsid w:val="00362BAF"/>
    <w:rsid w:val="00362BE9"/>
    <w:rsid w:val="00362CB5"/>
    <w:rsid w:val="003637BC"/>
    <w:rsid w:val="003638AA"/>
    <w:rsid w:val="00363CFA"/>
    <w:rsid w:val="003648B6"/>
    <w:rsid w:val="00365B85"/>
    <w:rsid w:val="00365E51"/>
    <w:rsid w:val="003673A0"/>
    <w:rsid w:val="00367784"/>
    <w:rsid w:val="003678A8"/>
    <w:rsid w:val="00367EDE"/>
    <w:rsid w:val="003705C6"/>
    <w:rsid w:val="00370EE9"/>
    <w:rsid w:val="00371E0C"/>
    <w:rsid w:val="00372055"/>
    <w:rsid w:val="003720CA"/>
    <w:rsid w:val="00372132"/>
    <w:rsid w:val="003728FE"/>
    <w:rsid w:val="00372ADB"/>
    <w:rsid w:val="003732D1"/>
    <w:rsid w:val="003732D6"/>
    <w:rsid w:val="00373419"/>
    <w:rsid w:val="00374259"/>
    <w:rsid w:val="00374334"/>
    <w:rsid w:val="00374592"/>
    <w:rsid w:val="0037480A"/>
    <w:rsid w:val="00374D1C"/>
    <w:rsid w:val="003753BC"/>
    <w:rsid w:val="003754C5"/>
    <w:rsid w:val="00375C55"/>
    <w:rsid w:val="00375CB7"/>
    <w:rsid w:val="00376139"/>
    <w:rsid w:val="00376ED9"/>
    <w:rsid w:val="0037749B"/>
    <w:rsid w:val="0037775D"/>
    <w:rsid w:val="0038016E"/>
    <w:rsid w:val="0038026D"/>
    <w:rsid w:val="0038134E"/>
    <w:rsid w:val="00381B33"/>
    <w:rsid w:val="0038273D"/>
    <w:rsid w:val="0038273F"/>
    <w:rsid w:val="00382E51"/>
    <w:rsid w:val="00382F08"/>
    <w:rsid w:val="00384157"/>
    <w:rsid w:val="00384639"/>
    <w:rsid w:val="00385050"/>
    <w:rsid w:val="003857E6"/>
    <w:rsid w:val="00386114"/>
    <w:rsid w:val="00386D38"/>
    <w:rsid w:val="0038790D"/>
    <w:rsid w:val="003905D3"/>
    <w:rsid w:val="00390D5C"/>
    <w:rsid w:val="00392366"/>
    <w:rsid w:val="00392832"/>
    <w:rsid w:val="00392EA5"/>
    <w:rsid w:val="003932F5"/>
    <w:rsid w:val="00393956"/>
    <w:rsid w:val="00394EA8"/>
    <w:rsid w:val="00395D31"/>
    <w:rsid w:val="0039613C"/>
    <w:rsid w:val="00396B77"/>
    <w:rsid w:val="00396C56"/>
    <w:rsid w:val="00396E99"/>
    <w:rsid w:val="00396FCD"/>
    <w:rsid w:val="00397102"/>
    <w:rsid w:val="003971F6"/>
    <w:rsid w:val="00397B6F"/>
    <w:rsid w:val="003A0BB4"/>
    <w:rsid w:val="003A0FC9"/>
    <w:rsid w:val="003A1F5D"/>
    <w:rsid w:val="003A37DE"/>
    <w:rsid w:val="003A4209"/>
    <w:rsid w:val="003A49D3"/>
    <w:rsid w:val="003A573C"/>
    <w:rsid w:val="003A589A"/>
    <w:rsid w:val="003A5BC7"/>
    <w:rsid w:val="003A5C09"/>
    <w:rsid w:val="003A5CA6"/>
    <w:rsid w:val="003A5E33"/>
    <w:rsid w:val="003A5E63"/>
    <w:rsid w:val="003A5EF9"/>
    <w:rsid w:val="003A608E"/>
    <w:rsid w:val="003A6216"/>
    <w:rsid w:val="003A63DD"/>
    <w:rsid w:val="003A6563"/>
    <w:rsid w:val="003A696F"/>
    <w:rsid w:val="003A6F78"/>
    <w:rsid w:val="003A7934"/>
    <w:rsid w:val="003B16AE"/>
    <w:rsid w:val="003B1964"/>
    <w:rsid w:val="003B254B"/>
    <w:rsid w:val="003B2A26"/>
    <w:rsid w:val="003B3AB5"/>
    <w:rsid w:val="003B4689"/>
    <w:rsid w:val="003B49C4"/>
    <w:rsid w:val="003B5B80"/>
    <w:rsid w:val="003B63C9"/>
    <w:rsid w:val="003B6E51"/>
    <w:rsid w:val="003B77EC"/>
    <w:rsid w:val="003C10A2"/>
    <w:rsid w:val="003C13B7"/>
    <w:rsid w:val="003C15E3"/>
    <w:rsid w:val="003C1BC2"/>
    <w:rsid w:val="003C2B3B"/>
    <w:rsid w:val="003C2D59"/>
    <w:rsid w:val="003C371F"/>
    <w:rsid w:val="003C3B06"/>
    <w:rsid w:val="003C3DCC"/>
    <w:rsid w:val="003C4D17"/>
    <w:rsid w:val="003C4E88"/>
    <w:rsid w:val="003C540E"/>
    <w:rsid w:val="003C7066"/>
    <w:rsid w:val="003C7697"/>
    <w:rsid w:val="003C7C26"/>
    <w:rsid w:val="003C7E04"/>
    <w:rsid w:val="003C7E61"/>
    <w:rsid w:val="003C7E80"/>
    <w:rsid w:val="003D0C7E"/>
    <w:rsid w:val="003D0D48"/>
    <w:rsid w:val="003D0D88"/>
    <w:rsid w:val="003D1307"/>
    <w:rsid w:val="003D1D9B"/>
    <w:rsid w:val="003D21D6"/>
    <w:rsid w:val="003D2963"/>
    <w:rsid w:val="003D2B7B"/>
    <w:rsid w:val="003D2EC1"/>
    <w:rsid w:val="003D3036"/>
    <w:rsid w:val="003D33AD"/>
    <w:rsid w:val="003D379C"/>
    <w:rsid w:val="003D3A82"/>
    <w:rsid w:val="003D44B0"/>
    <w:rsid w:val="003D47A1"/>
    <w:rsid w:val="003D52B4"/>
    <w:rsid w:val="003D55EF"/>
    <w:rsid w:val="003D582D"/>
    <w:rsid w:val="003D6825"/>
    <w:rsid w:val="003D6985"/>
    <w:rsid w:val="003D6E7A"/>
    <w:rsid w:val="003D78D8"/>
    <w:rsid w:val="003D7D4A"/>
    <w:rsid w:val="003E0085"/>
    <w:rsid w:val="003E0BEF"/>
    <w:rsid w:val="003E1330"/>
    <w:rsid w:val="003E1719"/>
    <w:rsid w:val="003E1903"/>
    <w:rsid w:val="003E1F73"/>
    <w:rsid w:val="003E2453"/>
    <w:rsid w:val="003E255D"/>
    <w:rsid w:val="003E2ADD"/>
    <w:rsid w:val="003E31BD"/>
    <w:rsid w:val="003E323F"/>
    <w:rsid w:val="003E3538"/>
    <w:rsid w:val="003E35A5"/>
    <w:rsid w:val="003E36C2"/>
    <w:rsid w:val="003E3CD3"/>
    <w:rsid w:val="003E4C54"/>
    <w:rsid w:val="003E5A43"/>
    <w:rsid w:val="003E640A"/>
    <w:rsid w:val="003F0008"/>
    <w:rsid w:val="003F037B"/>
    <w:rsid w:val="003F05A1"/>
    <w:rsid w:val="003F05BB"/>
    <w:rsid w:val="003F0638"/>
    <w:rsid w:val="003F06EF"/>
    <w:rsid w:val="003F1944"/>
    <w:rsid w:val="003F1982"/>
    <w:rsid w:val="003F20DA"/>
    <w:rsid w:val="003F26A5"/>
    <w:rsid w:val="003F271C"/>
    <w:rsid w:val="003F4818"/>
    <w:rsid w:val="003F485C"/>
    <w:rsid w:val="003F5882"/>
    <w:rsid w:val="003F5AA4"/>
    <w:rsid w:val="003F65BA"/>
    <w:rsid w:val="003F73C6"/>
    <w:rsid w:val="003F7496"/>
    <w:rsid w:val="003F7D7D"/>
    <w:rsid w:val="003F7DDB"/>
    <w:rsid w:val="003F7EED"/>
    <w:rsid w:val="0040008D"/>
    <w:rsid w:val="00400263"/>
    <w:rsid w:val="004007C9"/>
    <w:rsid w:val="00400E63"/>
    <w:rsid w:val="0040207A"/>
    <w:rsid w:val="00402856"/>
    <w:rsid w:val="00403D94"/>
    <w:rsid w:val="0040431D"/>
    <w:rsid w:val="004064AB"/>
    <w:rsid w:val="00406EE9"/>
    <w:rsid w:val="00407006"/>
    <w:rsid w:val="00407430"/>
    <w:rsid w:val="00407E4A"/>
    <w:rsid w:val="004105AD"/>
    <w:rsid w:val="00411687"/>
    <w:rsid w:val="00412307"/>
    <w:rsid w:val="0041251A"/>
    <w:rsid w:val="00412EC3"/>
    <w:rsid w:val="00413AB5"/>
    <w:rsid w:val="00413C02"/>
    <w:rsid w:val="00413C2D"/>
    <w:rsid w:val="004142C8"/>
    <w:rsid w:val="00414D3F"/>
    <w:rsid w:val="0041523D"/>
    <w:rsid w:val="004154C3"/>
    <w:rsid w:val="00415A04"/>
    <w:rsid w:val="00416017"/>
    <w:rsid w:val="0041621B"/>
    <w:rsid w:val="00416492"/>
    <w:rsid w:val="00416BF8"/>
    <w:rsid w:val="00416CAC"/>
    <w:rsid w:val="00417850"/>
    <w:rsid w:val="00417A88"/>
    <w:rsid w:val="00417BDC"/>
    <w:rsid w:val="00417DC8"/>
    <w:rsid w:val="00420C8F"/>
    <w:rsid w:val="00420E0C"/>
    <w:rsid w:val="00421FEC"/>
    <w:rsid w:val="00422213"/>
    <w:rsid w:val="004225CB"/>
    <w:rsid w:val="0042276C"/>
    <w:rsid w:val="00422A48"/>
    <w:rsid w:val="00423CC2"/>
    <w:rsid w:val="00424480"/>
    <w:rsid w:val="004248EA"/>
    <w:rsid w:val="004257FC"/>
    <w:rsid w:val="00425E48"/>
    <w:rsid w:val="004260A7"/>
    <w:rsid w:val="00426247"/>
    <w:rsid w:val="004263A5"/>
    <w:rsid w:val="00426F3C"/>
    <w:rsid w:val="0042723D"/>
    <w:rsid w:val="0042762D"/>
    <w:rsid w:val="00427F97"/>
    <w:rsid w:val="00430CC6"/>
    <w:rsid w:val="00430CFA"/>
    <w:rsid w:val="004313EC"/>
    <w:rsid w:val="004316BE"/>
    <w:rsid w:val="004324D0"/>
    <w:rsid w:val="004329D3"/>
    <w:rsid w:val="00433044"/>
    <w:rsid w:val="004332AB"/>
    <w:rsid w:val="00433312"/>
    <w:rsid w:val="004371F5"/>
    <w:rsid w:val="0043741A"/>
    <w:rsid w:val="00437AE0"/>
    <w:rsid w:val="00437CC5"/>
    <w:rsid w:val="00440175"/>
    <w:rsid w:val="00440370"/>
    <w:rsid w:val="0044095D"/>
    <w:rsid w:val="00441C25"/>
    <w:rsid w:val="00441D6C"/>
    <w:rsid w:val="004420D9"/>
    <w:rsid w:val="0044254A"/>
    <w:rsid w:val="00442950"/>
    <w:rsid w:val="00442D8A"/>
    <w:rsid w:val="004430AC"/>
    <w:rsid w:val="004433D6"/>
    <w:rsid w:val="004434EE"/>
    <w:rsid w:val="00443B95"/>
    <w:rsid w:val="004444FA"/>
    <w:rsid w:val="0044482A"/>
    <w:rsid w:val="004461DC"/>
    <w:rsid w:val="00446867"/>
    <w:rsid w:val="00446911"/>
    <w:rsid w:val="004469ED"/>
    <w:rsid w:val="00447056"/>
    <w:rsid w:val="00447C56"/>
    <w:rsid w:val="00450CA3"/>
    <w:rsid w:val="00450F1E"/>
    <w:rsid w:val="0045120E"/>
    <w:rsid w:val="00451595"/>
    <w:rsid w:val="004515FF"/>
    <w:rsid w:val="00451DEC"/>
    <w:rsid w:val="00452059"/>
    <w:rsid w:val="00452D9A"/>
    <w:rsid w:val="00453419"/>
    <w:rsid w:val="004538FE"/>
    <w:rsid w:val="00453DBE"/>
    <w:rsid w:val="00454975"/>
    <w:rsid w:val="00455157"/>
    <w:rsid w:val="004556D5"/>
    <w:rsid w:val="00455C62"/>
    <w:rsid w:val="00456AD6"/>
    <w:rsid w:val="00457947"/>
    <w:rsid w:val="00457BDC"/>
    <w:rsid w:val="004603DC"/>
    <w:rsid w:val="004607F4"/>
    <w:rsid w:val="00460EC5"/>
    <w:rsid w:val="00461452"/>
    <w:rsid w:val="00461968"/>
    <w:rsid w:val="00461AC3"/>
    <w:rsid w:val="00462410"/>
    <w:rsid w:val="004625A4"/>
    <w:rsid w:val="00462BD0"/>
    <w:rsid w:val="00463DF6"/>
    <w:rsid w:val="004645FA"/>
    <w:rsid w:val="0046473E"/>
    <w:rsid w:val="00464B26"/>
    <w:rsid w:val="00464DF8"/>
    <w:rsid w:val="00465302"/>
    <w:rsid w:val="00465460"/>
    <w:rsid w:val="00465E12"/>
    <w:rsid w:val="0046606F"/>
    <w:rsid w:val="00466167"/>
    <w:rsid w:val="00470720"/>
    <w:rsid w:val="00471511"/>
    <w:rsid w:val="004716B4"/>
    <w:rsid w:val="00471DB7"/>
    <w:rsid w:val="00471E9C"/>
    <w:rsid w:val="00472A40"/>
    <w:rsid w:val="00472AFA"/>
    <w:rsid w:val="00472C52"/>
    <w:rsid w:val="004732F6"/>
    <w:rsid w:val="0047402F"/>
    <w:rsid w:val="004740D4"/>
    <w:rsid w:val="004741AC"/>
    <w:rsid w:val="00474B15"/>
    <w:rsid w:val="00476163"/>
    <w:rsid w:val="004766A2"/>
    <w:rsid w:val="00476B3D"/>
    <w:rsid w:val="0047769D"/>
    <w:rsid w:val="00480065"/>
    <w:rsid w:val="004801EC"/>
    <w:rsid w:val="0048117C"/>
    <w:rsid w:val="004813C9"/>
    <w:rsid w:val="00481485"/>
    <w:rsid w:val="004818FD"/>
    <w:rsid w:val="00481F19"/>
    <w:rsid w:val="00482E63"/>
    <w:rsid w:val="00483074"/>
    <w:rsid w:val="0048431D"/>
    <w:rsid w:val="004848E7"/>
    <w:rsid w:val="00484A1D"/>
    <w:rsid w:val="00484DE2"/>
    <w:rsid w:val="00485DEC"/>
    <w:rsid w:val="0048661E"/>
    <w:rsid w:val="00486B53"/>
    <w:rsid w:val="004874EF"/>
    <w:rsid w:val="00490EBF"/>
    <w:rsid w:val="0049141D"/>
    <w:rsid w:val="0049262A"/>
    <w:rsid w:val="00493677"/>
    <w:rsid w:val="00493E2E"/>
    <w:rsid w:val="00493F7E"/>
    <w:rsid w:val="00493FC7"/>
    <w:rsid w:val="004941E8"/>
    <w:rsid w:val="00494690"/>
    <w:rsid w:val="0049489F"/>
    <w:rsid w:val="00494E80"/>
    <w:rsid w:val="00495D1B"/>
    <w:rsid w:val="004972D5"/>
    <w:rsid w:val="0049730B"/>
    <w:rsid w:val="0049748A"/>
    <w:rsid w:val="004975EF"/>
    <w:rsid w:val="004A04C1"/>
    <w:rsid w:val="004A0718"/>
    <w:rsid w:val="004A1302"/>
    <w:rsid w:val="004A1BDB"/>
    <w:rsid w:val="004A39C0"/>
    <w:rsid w:val="004A4091"/>
    <w:rsid w:val="004A44A5"/>
    <w:rsid w:val="004A49E8"/>
    <w:rsid w:val="004A5051"/>
    <w:rsid w:val="004A5279"/>
    <w:rsid w:val="004A54C4"/>
    <w:rsid w:val="004A5D9E"/>
    <w:rsid w:val="004A5EFD"/>
    <w:rsid w:val="004A6444"/>
    <w:rsid w:val="004A69C9"/>
    <w:rsid w:val="004A7656"/>
    <w:rsid w:val="004B0017"/>
    <w:rsid w:val="004B068D"/>
    <w:rsid w:val="004B0EF2"/>
    <w:rsid w:val="004B128B"/>
    <w:rsid w:val="004B1A8F"/>
    <w:rsid w:val="004B3432"/>
    <w:rsid w:val="004B3806"/>
    <w:rsid w:val="004B3CAA"/>
    <w:rsid w:val="004B4B1F"/>
    <w:rsid w:val="004B4ED2"/>
    <w:rsid w:val="004B5C2B"/>
    <w:rsid w:val="004B5ED4"/>
    <w:rsid w:val="004B633D"/>
    <w:rsid w:val="004C013F"/>
    <w:rsid w:val="004C063D"/>
    <w:rsid w:val="004C0D09"/>
    <w:rsid w:val="004C0F50"/>
    <w:rsid w:val="004C12E7"/>
    <w:rsid w:val="004C1432"/>
    <w:rsid w:val="004C23BF"/>
    <w:rsid w:val="004C2528"/>
    <w:rsid w:val="004C2A54"/>
    <w:rsid w:val="004C2B4B"/>
    <w:rsid w:val="004C30B1"/>
    <w:rsid w:val="004C37AE"/>
    <w:rsid w:val="004C3BCC"/>
    <w:rsid w:val="004C3C5F"/>
    <w:rsid w:val="004C3CFC"/>
    <w:rsid w:val="004C4035"/>
    <w:rsid w:val="004C45FB"/>
    <w:rsid w:val="004C48E8"/>
    <w:rsid w:val="004C4A33"/>
    <w:rsid w:val="004C4EE1"/>
    <w:rsid w:val="004C5E74"/>
    <w:rsid w:val="004C6BE2"/>
    <w:rsid w:val="004C7937"/>
    <w:rsid w:val="004C7B47"/>
    <w:rsid w:val="004C7EAC"/>
    <w:rsid w:val="004D06AE"/>
    <w:rsid w:val="004D0719"/>
    <w:rsid w:val="004D0BC9"/>
    <w:rsid w:val="004D0FD9"/>
    <w:rsid w:val="004D16A5"/>
    <w:rsid w:val="004D16F0"/>
    <w:rsid w:val="004D19B9"/>
    <w:rsid w:val="004D28B9"/>
    <w:rsid w:val="004D2AB4"/>
    <w:rsid w:val="004D3577"/>
    <w:rsid w:val="004D383E"/>
    <w:rsid w:val="004D3FA1"/>
    <w:rsid w:val="004D44E1"/>
    <w:rsid w:val="004D5550"/>
    <w:rsid w:val="004D5AE0"/>
    <w:rsid w:val="004D5B25"/>
    <w:rsid w:val="004D5D76"/>
    <w:rsid w:val="004D6685"/>
    <w:rsid w:val="004D66A8"/>
    <w:rsid w:val="004D67E4"/>
    <w:rsid w:val="004D7752"/>
    <w:rsid w:val="004D7F01"/>
    <w:rsid w:val="004E096D"/>
    <w:rsid w:val="004E168F"/>
    <w:rsid w:val="004E1E28"/>
    <w:rsid w:val="004E2429"/>
    <w:rsid w:val="004E25E5"/>
    <w:rsid w:val="004E2DB5"/>
    <w:rsid w:val="004E327C"/>
    <w:rsid w:val="004E38DA"/>
    <w:rsid w:val="004E47F6"/>
    <w:rsid w:val="004E4871"/>
    <w:rsid w:val="004E5DE0"/>
    <w:rsid w:val="004E5E7A"/>
    <w:rsid w:val="004E5EC9"/>
    <w:rsid w:val="004E61AF"/>
    <w:rsid w:val="004E6476"/>
    <w:rsid w:val="004E699F"/>
    <w:rsid w:val="004E747F"/>
    <w:rsid w:val="004E752B"/>
    <w:rsid w:val="004E75DA"/>
    <w:rsid w:val="004E76E0"/>
    <w:rsid w:val="004E78AF"/>
    <w:rsid w:val="004E78D2"/>
    <w:rsid w:val="004E7BF7"/>
    <w:rsid w:val="004E7CA7"/>
    <w:rsid w:val="004E7EBC"/>
    <w:rsid w:val="004F0E5C"/>
    <w:rsid w:val="004F11B8"/>
    <w:rsid w:val="004F1E5F"/>
    <w:rsid w:val="004F1E78"/>
    <w:rsid w:val="004F1F90"/>
    <w:rsid w:val="004F23CE"/>
    <w:rsid w:val="004F263D"/>
    <w:rsid w:val="004F28B5"/>
    <w:rsid w:val="004F2B43"/>
    <w:rsid w:val="004F3267"/>
    <w:rsid w:val="004F4029"/>
    <w:rsid w:val="004F4455"/>
    <w:rsid w:val="004F49BE"/>
    <w:rsid w:val="004F4DE2"/>
    <w:rsid w:val="004F4ECC"/>
    <w:rsid w:val="004F4F93"/>
    <w:rsid w:val="004F5346"/>
    <w:rsid w:val="004F5448"/>
    <w:rsid w:val="004F5532"/>
    <w:rsid w:val="004F5799"/>
    <w:rsid w:val="004F5C73"/>
    <w:rsid w:val="004F5C81"/>
    <w:rsid w:val="004F67C2"/>
    <w:rsid w:val="004F697A"/>
    <w:rsid w:val="004F6C0A"/>
    <w:rsid w:val="004F721B"/>
    <w:rsid w:val="004F79F4"/>
    <w:rsid w:val="00500523"/>
    <w:rsid w:val="005015EF"/>
    <w:rsid w:val="00501740"/>
    <w:rsid w:val="00502B87"/>
    <w:rsid w:val="00503126"/>
    <w:rsid w:val="005033B4"/>
    <w:rsid w:val="00503443"/>
    <w:rsid w:val="0050349F"/>
    <w:rsid w:val="005037BC"/>
    <w:rsid w:val="00503DF8"/>
    <w:rsid w:val="00503F79"/>
    <w:rsid w:val="00503FED"/>
    <w:rsid w:val="00504199"/>
    <w:rsid w:val="00505DCA"/>
    <w:rsid w:val="005062E1"/>
    <w:rsid w:val="005072AD"/>
    <w:rsid w:val="00507903"/>
    <w:rsid w:val="0050794C"/>
    <w:rsid w:val="00507BEC"/>
    <w:rsid w:val="00507C1E"/>
    <w:rsid w:val="00510717"/>
    <w:rsid w:val="00510A46"/>
    <w:rsid w:val="00511047"/>
    <w:rsid w:val="005116F7"/>
    <w:rsid w:val="00512085"/>
    <w:rsid w:val="005124CF"/>
    <w:rsid w:val="005124D7"/>
    <w:rsid w:val="00512768"/>
    <w:rsid w:val="00512B5E"/>
    <w:rsid w:val="005135E8"/>
    <w:rsid w:val="00514F83"/>
    <w:rsid w:val="00515558"/>
    <w:rsid w:val="00516017"/>
    <w:rsid w:val="0051648C"/>
    <w:rsid w:val="00516E47"/>
    <w:rsid w:val="00517353"/>
    <w:rsid w:val="005174EC"/>
    <w:rsid w:val="005203F0"/>
    <w:rsid w:val="0052066C"/>
    <w:rsid w:val="005209A9"/>
    <w:rsid w:val="00520D64"/>
    <w:rsid w:val="0052107B"/>
    <w:rsid w:val="0052139F"/>
    <w:rsid w:val="0052262B"/>
    <w:rsid w:val="00523530"/>
    <w:rsid w:val="00523D3B"/>
    <w:rsid w:val="00524213"/>
    <w:rsid w:val="005242BC"/>
    <w:rsid w:val="005245A7"/>
    <w:rsid w:val="0052515C"/>
    <w:rsid w:val="00525B8C"/>
    <w:rsid w:val="0052605B"/>
    <w:rsid w:val="0052634A"/>
    <w:rsid w:val="0052698F"/>
    <w:rsid w:val="00527335"/>
    <w:rsid w:val="00527618"/>
    <w:rsid w:val="0053076C"/>
    <w:rsid w:val="005314DC"/>
    <w:rsid w:val="005317D7"/>
    <w:rsid w:val="00532177"/>
    <w:rsid w:val="0053244C"/>
    <w:rsid w:val="0053247B"/>
    <w:rsid w:val="005326E9"/>
    <w:rsid w:val="00532EE2"/>
    <w:rsid w:val="0053394C"/>
    <w:rsid w:val="00535DCC"/>
    <w:rsid w:val="00536515"/>
    <w:rsid w:val="00536D22"/>
    <w:rsid w:val="00537009"/>
    <w:rsid w:val="005378E0"/>
    <w:rsid w:val="00540585"/>
    <w:rsid w:val="0054174C"/>
    <w:rsid w:val="00541ED1"/>
    <w:rsid w:val="00543329"/>
    <w:rsid w:val="00544066"/>
    <w:rsid w:val="005443A2"/>
    <w:rsid w:val="005449BA"/>
    <w:rsid w:val="00545056"/>
    <w:rsid w:val="00545134"/>
    <w:rsid w:val="00545515"/>
    <w:rsid w:val="00546207"/>
    <w:rsid w:val="00546A71"/>
    <w:rsid w:val="00547B3E"/>
    <w:rsid w:val="00547C5D"/>
    <w:rsid w:val="00550369"/>
    <w:rsid w:val="005505E0"/>
    <w:rsid w:val="00550A3D"/>
    <w:rsid w:val="00550AF5"/>
    <w:rsid w:val="00550DB7"/>
    <w:rsid w:val="005518BF"/>
    <w:rsid w:val="0055197E"/>
    <w:rsid w:val="00551C07"/>
    <w:rsid w:val="005522FA"/>
    <w:rsid w:val="005525C4"/>
    <w:rsid w:val="005527C8"/>
    <w:rsid w:val="00552869"/>
    <w:rsid w:val="0055291D"/>
    <w:rsid w:val="00553637"/>
    <w:rsid w:val="005542E0"/>
    <w:rsid w:val="0055545D"/>
    <w:rsid w:val="0055547A"/>
    <w:rsid w:val="00557011"/>
    <w:rsid w:val="00557789"/>
    <w:rsid w:val="005579CD"/>
    <w:rsid w:val="00560359"/>
    <w:rsid w:val="00560AD6"/>
    <w:rsid w:val="00562195"/>
    <w:rsid w:val="00562B40"/>
    <w:rsid w:val="00563036"/>
    <w:rsid w:val="005638D7"/>
    <w:rsid w:val="005643BA"/>
    <w:rsid w:val="005649D5"/>
    <w:rsid w:val="0056595E"/>
    <w:rsid w:val="00565A51"/>
    <w:rsid w:val="0056637E"/>
    <w:rsid w:val="0056644D"/>
    <w:rsid w:val="005666B9"/>
    <w:rsid w:val="00570CA7"/>
    <w:rsid w:val="00571013"/>
    <w:rsid w:val="00571609"/>
    <w:rsid w:val="00571BB2"/>
    <w:rsid w:val="00572057"/>
    <w:rsid w:val="005721CF"/>
    <w:rsid w:val="00572B69"/>
    <w:rsid w:val="00572C02"/>
    <w:rsid w:val="00573D6B"/>
    <w:rsid w:val="00574099"/>
    <w:rsid w:val="00574E84"/>
    <w:rsid w:val="005758BB"/>
    <w:rsid w:val="00576B57"/>
    <w:rsid w:val="005770A7"/>
    <w:rsid w:val="00577540"/>
    <w:rsid w:val="00577BCD"/>
    <w:rsid w:val="00577EB4"/>
    <w:rsid w:val="005811BC"/>
    <w:rsid w:val="0058134B"/>
    <w:rsid w:val="00581558"/>
    <w:rsid w:val="005819D4"/>
    <w:rsid w:val="00582483"/>
    <w:rsid w:val="005824E5"/>
    <w:rsid w:val="00582534"/>
    <w:rsid w:val="00582FCE"/>
    <w:rsid w:val="005837B0"/>
    <w:rsid w:val="00583B37"/>
    <w:rsid w:val="0058426C"/>
    <w:rsid w:val="00584F4D"/>
    <w:rsid w:val="0058543E"/>
    <w:rsid w:val="0058562B"/>
    <w:rsid w:val="005859DA"/>
    <w:rsid w:val="005860DE"/>
    <w:rsid w:val="005867C3"/>
    <w:rsid w:val="005869D0"/>
    <w:rsid w:val="00586DE0"/>
    <w:rsid w:val="00587163"/>
    <w:rsid w:val="005875A7"/>
    <w:rsid w:val="00587E28"/>
    <w:rsid w:val="0059039D"/>
    <w:rsid w:val="00590657"/>
    <w:rsid w:val="00590C38"/>
    <w:rsid w:val="00590C5E"/>
    <w:rsid w:val="00591783"/>
    <w:rsid w:val="0059182E"/>
    <w:rsid w:val="00591B7F"/>
    <w:rsid w:val="00591CD4"/>
    <w:rsid w:val="00591D77"/>
    <w:rsid w:val="00592764"/>
    <w:rsid w:val="00593166"/>
    <w:rsid w:val="005932AA"/>
    <w:rsid w:val="00593592"/>
    <w:rsid w:val="00593A22"/>
    <w:rsid w:val="00594692"/>
    <w:rsid w:val="00595077"/>
    <w:rsid w:val="00595E43"/>
    <w:rsid w:val="00595F57"/>
    <w:rsid w:val="005960EE"/>
    <w:rsid w:val="00596474"/>
    <w:rsid w:val="00597053"/>
    <w:rsid w:val="005974C1"/>
    <w:rsid w:val="00597DE0"/>
    <w:rsid w:val="005A0611"/>
    <w:rsid w:val="005A107E"/>
    <w:rsid w:val="005A164A"/>
    <w:rsid w:val="005A16C8"/>
    <w:rsid w:val="005A1EA5"/>
    <w:rsid w:val="005A26D4"/>
    <w:rsid w:val="005A2EC9"/>
    <w:rsid w:val="005A34A0"/>
    <w:rsid w:val="005A437B"/>
    <w:rsid w:val="005A472F"/>
    <w:rsid w:val="005A4924"/>
    <w:rsid w:val="005A539D"/>
    <w:rsid w:val="005A56D6"/>
    <w:rsid w:val="005A5D64"/>
    <w:rsid w:val="005A5DD6"/>
    <w:rsid w:val="005A628D"/>
    <w:rsid w:val="005A6494"/>
    <w:rsid w:val="005A7546"/>
    <w:rsid w:val="005A7A13"/>
    <w:rsid w:val="005B0B55"/>
    <w:rsid w:val="005B21F5"/>
    <w:rsid w:val="005B30F9"/>
    <w:rsid w:val="005B3247"/>
    <w:rsid w:val="005B47A1"/>
    <w:rsid w:val="005B483A"/>
    <w:rsid w:val="005B485F"/>
    <w:rsid w:val="005B516C"/>
    <w:rsid w:val="005B57D9"/>
    <w:rsid w:val="005B5A4D"/>
    <w:rsid w:val="005B5D03"/>
    <w:rsid w:val="005B5D17"/>
    <w:rsid w:val="005B5E6D"/>
    <w:rsid w:val="005B7C09"/>
    <w:rsid w:val="005C09A6"/>
    <w:rsid w:val="005C0B76"/>
    <w:rsid w:val="005C0E23"/>
    <w:rsid w:val="005C1407"/>
    <w:rsid w:val="005C15C5"/>
    <w:rsid w:val="005C1C46"/>
    <w:rsid w:val="005C1CC0"/>
    <w:rsid w:val="005C271E"/>
    <w:rsid w:val="005C29C0"/>
    <w:rsid w:val="005C4682"/>
    <w:rsid w:val="005C4824"/>
    <w:rsid w:val="005C49A8"/>
    <w:rsid w:val="005C4F82"/>
    <w:rsid w:val="005C5CA6"/>
    <w:rsid w:val="005C71E4"/>
    <w:rsid w:val="005C74BF"/>
    <w:rsid w:val="005C7503"/>
    <w:rsid w:val="005C7A4A"/>
    <w:rsid w:val="005C7D8C"/>
    <w:rsid w:val="005D0143"/>
    <w:rsid w:val="005D0586"/>
    <w:rsid w:val="005D0E24"/>
    <w:rsid w:val="005D12EB"/>
    <w:rsid w:val="005D147A"/>
    <w:rsid w:val="005D1506"/>
    <w:rsid w:val="005D2000"/>
    <w:rsid w:val="005D2276"/>
    <w:rsid w:val="005D22E9"/>
    <w:rsid w:val="005D260E"/>
    <w:rsid w:val="005D370A"/>
    <w:rsid w:val="005D3C36"/>
    <w:rsid w:val="005D4556"/>
    <w:rsid w:val="005D4A2D"/>
    <w:rsid w:val="005D4B5C"/>
    <w:rsid w:val="005D4C62"/>
    <w:rsid w:val="005D4C7C"/>
    <w:rsid w:val="005D4F0C"/>
    <w:rsid w:val="005D5E47"/>
    <w:rsid w:val="005D71B5"/>
    <w:rsid w:val="005E0FE4"/>
    <w:rsid w:val="005E1169"/>
    <w:rsid w:val="005E1887"/>
    <w:rsid w:val="005E21D3"/>
    <w:rsid w:val="005E2574"/>
    <w:rsid w:val="005E2ABF"/>
    <w:rsid w:val="005E2AFF"/>
    <w:rsid w:val="005E2D28"/>
    <w:rsid w:val="005E37C9"/>
    <w:rsid w:val="005E3D4D"/>
    <w:rsid w:val="005E40CF"/>
    <w:rsid w:val="005E413B"/>
    <w:rsid w:val="005E49A4"/>
    <w:rsid w:val="005E52D5"/>
    <w:rsid w:val="005E52F7"/>
    <w:rsid w:val="005E587D"/>
    <w:rsid w:val="005E59F2"/>
    <w:rsid w:val="005E6346"/>
    <w:rsid w:val="005E6F92"/>
    <w:rsid w:val="005F000B"/>
    <w:rsid w:val="005F0022"/>
    <w:rsid w:val="005F07B3"/>
    <w:rsid w:val="005F0DAB"/>
    <w:rsid w:val="005F0DEA"/>
    <w:rsid w:val="005F1385"/>
    <w:rsid w:val="005F1836"/>
    <w:rsid w:val="005F1D25"/>
    <w:rsid w:val="005F1FE8"/>
    <w:rsid w:val="005F2022"/>
    <w:rsid w:val="005F20BB"/>
    <w:rsid w:val="005F255B"/>
    <w:rsid w:val="005F256D"/>
    <w:rsid w:val="005F2B1A"/>
    <w:rsid w:val="005F32A9"/>
    <w:rsid w:val="005F32E5"/>
    <w:rsid w:val="005F3308"/>
    <w:rsid w:val="005F3DB7"/>
    <w:rsid w:val="005F4891"/>
    <w:rsid w:val="005F5275"/>
    <w:rsid w:val="005F5440"/>
    <w:rsid w:val="005F5942"/>
    <w:rsid w:val="005F6422"/>
    <w:rsid w:val="005F6CDE"/>
    <w:rsid w:val="005F71AB"/>
    <w:rsid w:val="005F7251"/>
    <w:rsid w:val="005F76CB"/>
    <w:rsid w:val="006001DF"/>
    <w:rsid w:val="006004AF"/>
    <w:rsid w:val="00600BD3"/>
    <w:rsid w:val="00601351"/>
    <w:rsid w:val="00601460"/>
    <w:rsid w:val="00601A4A"/>
    <w:rsid w:val="00601E15"/>
    <w:rsid w:val="0060242B"/>
    <w:rsid w:val="00602BD6"/>
    <w:rsid w:val="00603386"/>
    <w:rsid w:val="00604ADD"/>
    <w:rsid w:val="00604B79"/>
    <w:rsid w:val="00605141"/>
    <w:rsid w:val="00605195"/>
    <w:rsid w:val="006051B6"/>
    <w:rsid w:val="006055F0"/>
    <w:rsid w:val="00605E30"/>
    <w:rsid w:val="00606233"/>
    <w:rsid w:val="006070B5"/>
    <w:rsid w:val="00607541"/>
    <w:rsid w:val="00610BA7"/>
    <w:rsid w:val="00610EE4"/>
    <w:rsid w:val="00611E42"/>
    <w:rsid w:val="0061228C"/>
    <w:rsid w:val="0061268E"/>
    <w:rsid w:val="006127DE"/>
    <w:rsid w:val="0061286D"/>
    <w:rsid w:val="00612CBB"/>
    <w:rsid w:val="00613061"/>
    <w:rsid w:val="0061356E"/>
    <w:rsid w:val="00613D18"/>
    <w:rsid w:val="00614917"/>
    <w:rsid w:val="00614935"/>
    <w:rsid w:val="00614E21"/>
    <w:rsid w:val="00614ECB"/>
    <w:rsid w:val="0061508A"/>
    <w:rsid w:val="006153CD"/>
    <w:rsid w:val="00615507"/>
    <w:rsid w:val="006164AA"/>
    <w:rsid w:val="0061681B"/>
    <w:rsid w:val="006169E8"/>
    <w:rsid w:val="00616C27"/>
    <w:rsid w:val="00616D46"/>
    <w:rsid w:val="00616E66"/>
    <w:rsid w:val="00617EEC"/>
    <w:rsid w:val="0062026E"/>
    <w:rsid w:val="00622F8E"/>
    <w:rsid w:val="00623258"/>
    <w:rsid w:val="00624762"/>
    <w:rsid w:val="0062528A"/>
    <w:rsid w:val="00625C79"/>
    <w:rsid w:val="0062636A"/>
    <w:rsid w:val="006264FC"/>
    <w:rsid w:val="006276DD"/>
    <w:rsid w:val="00631B8E"/>
    <w:rsid w:val="00631B9E"/>
    <w:rsid w:val="006326FD"/>
    <w:rsid w:val="00632786"/>
    <w:rsid w:val="00632CC7"/>
    <w:rsid w:val="00632D6D"/>
    <w:rsid w:val="006330B7"/>
    <w:rsid w:val="006338C7"/>
    <w:rsid w:val="006342AF"/>
    <w:rsid w:val="00634E86"/>
    <w:rsid w:val="00635A12"/>
    <w:rsid w:val="006362F9"/>
    <w:rsid w:val="006366B3"/>
    <w:rsid w:val="006368E9"/>
    <w:rsid w:val="00637414"/>
    <w:rsid w:val="00637493"/>
    <w:rsid w:val="006375BE"/>
    <w:rsid w:val="00640366"/>
    <w:rsid w:val="00641471"/>
    <w:rsid w:val="006418F6"/>
    <w:rsid w:val="00641A10"/>
    <w:rsid w:val="00642F1C"/>
    <w:rsid w:val="00643DA1"/>
    <w:rsid w:val="00644A72"/>
    <w:rsid w:val="00644ACB"/>
    <w:rsid w:val="00645185"/>
    <w:rsid w:val="00645A4E"/>
    <w:rsid w:val="00645C37"/>
    <w:rsid w:val="006469D8"/>
    <w:rsid w:val="00646D51"/>
    <w:rsid w:val="0064750F"/>
    <w:rsid w:val="006475F1"/>
    <w:rsid w:val="0064791A"/>
    <w:rsid w:val="0065027E"/>
    <w:rsid w:val="006502C9"/>
    <w:rsid w:val="006509A3"/>
    <w:rsid w:val="006513CA"/>
    <w:rsid w:val="00652A58"/>
    <w:rsid w:val="00652AF6"/>
    <w:rsid w:val="00652DF8"/>
    <w:rsid w:val="00652F68"/>
    <w:rsid w:val="00653362"/>
    <w:rsid w:val="0065349D"/>
    <w:rsid w:val="00653716"/>
    <w:rsid w:val="00653C63"/>
    <w:rsid w:val="00654033"/>
    <w:rsid w:val="006548FF"/>
    <w:rsid w:val="00655AFC"/>
    <w:rsid w:val="006566B0"/>
    <w:rsid w:val="006570ED"/>
    <w:rsid w:val="00657E79"/>
    <w:rsid w:val="00657F86"/>
    <w:rsid w:val="0066107F"/>
    <w:rsid w:val="00661A60"/>
    <w:rsid w:val="006623E5"/>
    <w:rsid w:val="00662E89"/>
    <w:rsid w:val="006634CF"/>
    <w:rsid w:val="00664444"/>
    <w:rsid w:val="00664981"/>
    <w:rsid w:val="0066514E"/>
    <w:rsid w:val="00665262"/>
    <w:rsid w:val="00665385"/>
    <w:rsid w:val="00665EE8"/>
    <w:rsid w:val="00665FD6"/>
    <w:rsid w:val="00666BCE"/>
    <w:rsid w:val="00667144"/>
    <w:rsid w:val="00670A3B"/>
    <w:rsid w:val="006714F1"/>
    <w:rsid w:val="0067207F"/>
    <w:rsid w:val="00672208"/>
    <w:rsid w:val="00673349"/>
    <w:rsid w:val="006735DB"/>
    <w:rsid w:val="00673E76"/>
    <w:rsid w:val="006741E7"/>
    <w:rsid w:val="006774F5"/>
    <w:rsid w:val="006776D7"/>
    <w:rsid w:val="00680806"/>
    <w:rsid w:val="00680EC6"/>
    <w:rsid w:val="00681D19"/>
    <w:rsid w:val="00681E26"/>
    <w:rsid w:val="0068206B"/>
    <w:rsid w:val="00682779"/>
    <w:rsid w:val="00682CD7"/>
    <w:rsid w:val="00683F8E"/>
    <w:rsid w:val="006852D3"/>
    <w:rsid w:val="00685397"/>
    <w:rsid w:val="00685725"/>
    <w:rsid w:val="0068602E"/>
    <w:rsid w:val="00687188"/>
    <w:rsid w:val="00687254"/>
    <w:rsid w:val="006901E2"/>
    <w:rsid w:val="00690C93"/>
    <w:rsid w:val="0069164E"/>
    <w:rsid w:val="00691CE8"/>
    <w:rsid w:val="00691CF9"/>
    <w:rsid w:val="006930FE"/>
    <w:rsid w:val="00693862"/>
    <w:rsid w:val="0069488A"/>
    <w:rsid w:val="00694921"/>
    <w:rsid w:val="00694952"/>
    <w:rsid w:val="00695098"/>
    <w:rsid w:val="006951C4"/>
    <w:rsid w:val="006953E5"/>
    <w:rsid w:val="00695C12"/>
    <w:rsid w:val="00695CD3"/>
    <w:rsid w:val="00695FB7"/>
    <w:rsid w:val="006972DF"/>
    <w:rsid w:val="00697E43"/>
    <w:rsid w:val="00697F70"/>
    <w:rsid w:val="006A0407"/>
    <w:rsid w:val="006A05FA"/>
    <w:rsid w:val="006A0CC9"/>
    <w:rsid w:val="006A0DCC"/>
    <w:rsid w:val="006A101C"/>
    <w:rsid w:val="006A17F8"/>
    <w:rsid w:val="006A26A7"/>
    <w:rsid w:val="006A27B0"/>
    <w:rsid w:val="006A2C15"/>
    <w:rsid w:val="006A49E1"/>
    <w:rsid w:val="006A4B98"/>
    <w:rsid w:val="006A582E"/>
    <w:rsid w:val="006A5B19"/>
    <w:rsid w:val="006A600B"/>
    <w:rsid w:val="006A6465"/>
    <w:rsid w:val="006A6B3C"/>
    <w:rsid w:val="006A76A3"/>
    <w:rsid w:val="006A78E8"/>
    <w:rsid w:val="006A79C1"/>
    <w:rsid w:val="006A7A56"/>
    <w:rsid w:val="006B10A2"/>
    <w:rsid w:val="006B1168"/>
    <w:rsid w:val="006B182D"/>
    <w:rsid w:val="006B192A"/>
    <w:rsid w:val="006B19D2"/>
    <w:rsid w:val="006B1BDE"/>
    <w:rsid w:val="006B26C5"/>
    <w:rsid w:val="006B2722"/>
    <w:rsid w:val="006B2C16"/>
    <w:rsid w:val="006B2D5F"/>
    <w:rsid w:val="006B378A"/>
    <w:rsid w:val="006B5CEC"/>
    <w:rsid w:val="006B6150"/>
    <w:rsid w:val="006B61F2"/>
    <w:rsid w:val="006B67AF"/>
    <w:rsid w:val="006B6B13"/>
    <w:rsid w:val="006B6F17"/>
    <w:rsid w:val="006B6F95"/>
    <w:rsid w:val="006B7753"/>
    <w:rsid w:val="006B78D3"/>
    <w:rsid w:val="006B7975"/>
    <w:rsid w:val="006C0394"/>
    <w:rsid w:val="006C077D"/>
    <w:rsid w:val="006C0FA0"/>
    <w:rsid w:val="006C1A4B"/>
    <w:rsid w:val="006C254D"/>
    <w:rsid w:val="006C2CAC"/>
    <w:rsid w:val="006C316F"/>
    <w:rsid w:val="006C32DE"/>
    <w:rsid w:val="006C3768"/>
    <w:rsid w:val="006C3DAF"/>
    <w:rsid w:val="006C3F41"/>
    <w:rsid w:val="006C517B"/>
    <w:rsid w:val="006C5560"/>
    <w:rsid w:val="006C5887"/>
    <w:rsid w:val="006C5C5C"/>
    <w:rsid w:val="006C6113"/>
    <w:rsid w:val="006C6355"/>
    <w:rsid w:val="006C649B"/>
    <w:rsid w:val="006C736C"/>
    <w:rsid w:val="006C7989"/>
    <w:rsid w:val="006D001A"/>
    <w:rsid w:val="006D0058"/>
    <w:rsid w:val="006D0170"/>
    <w:rsid w:val="006D04F4"/>
    <w:rsid w:val="006D078A"/>
    <w:rsid w:val="006D116E"/>
    <w:rsid w:val="006D124E"/>
    <w:rsid w:val="006D1737"/>
    <w:rsid w:val="006D1AAB"/>
    <w:rsid w:val="006D1F5D"/>
    <w:rsid w:val="006D268D"/>
    <w:rsid w:val="006D2FE7"/>
    <w:rsid w:val="006D3D8B"/>
    <w:rsid w:val="006D47FF"/>
    <w:rsid w:val="006D50D0"/>
    <w:rsid w:val="006D5304"/>
    <w:rsid w:val="006D5A6D"/>
    <w:rsid w:val="006D5FD2"/>
    <w:rsid w:val="006D6456"/>
    <w:rsid w:val="006D6CF6"/>
    <w:rsid w:val="006D6E70"/>
    <w:rsid w:val="006D6FB0"/>
    <w:rsid w:val="006D744F"/>
    <w:rsid w:val="006D771F"/>
    <w:rsid w:val="006D77FD"/>
    <w:rsid w:val="006D7F79"/>
    <w:rsid w:val="006E035F"/>
    <w:rsid w:val="006E1B1D"/>
    <w:rsid w:val="006E2006"/>
    <w:rsid w:val="006E23EC"/>
    <w:rsid w:val="006E2468"/>
    <w:rsid w:val="006E2755"/>
    <w:rsid w:val="006E3360"/>
    <w:rsid w:val="006E4680"/>
    <w:rsid w:val="006E4AE7"/>
    <w:rsid w:val="006E503C"/>
    <w:rsid w:val="006E5A48"/>
    <w:rsid w:val="006E6A4E"/>
    <w:rsid w:val="006E7772"/>
    <w:rsid w:val="006E79A1"/>
    <w:rsid w:val="006E7A7A"/>
    <w:rsid w:val="006E7C67"/>
    <w:rsid w:val="006E7D7E"/>
    <w:rsid w:val="006F06F2"/>
    <w:rsid w:val="006F077A"/>
    <w:rsid w:val="006F086A"/>
    <w:rsid w:val="006F0CC6"/>
    <w:rsid w:val="006F11D9"/>
    <w:rsid w:val="006F1342"/>
    <w:rsid w:val="006F2039"/>
    <w:rsid w:val="006F235B"/>
    <w:rsid w:val="006F2C93"/>
    <w:rsid w:val="006F3603"/>
    <w:rsid w:val="006F36CE"/>
    <w:rsid w:val="006F3BBD"/>
    <w:rsid w:val="006F3DC4"/>
    <w:rsid w:val="006F440F"/>
    <w:rsid w:val="006F557C"/>
    <w:rsid w:val="006F5A89"/>
    <w:rsid w:val="006F5DD7"/>
    <w:rsid w:val="006F652B"/>
    <w:rsid w:val="006F6776"/>
    <w:rsid w:val="006F6BF7"/>
    <w:rsid w:val="006F6DD6"/>
    <w:rsid w:val="006F71FA"/>
    <w:rsid w:val="006F733B"/>
    <w:rsid w:val="006F7A48"/>
    <w:rsid w:val="006F7C28"/>
    <w:rsid w:val="007007B3"/>
    <w:rsid w:val="00700BA3"/>
    <w:rsid w:val="00700C50"/>
    <w:rsid w:val="0070107F"/>
    <w:rsid w:val="00701AB3"/>
    <w:rsid w:val="00701BB4"/>
    <w:rsid w:val="00701BF1"/>
    <w:rsid w:val="00701D78"/>
    <w:rsid w:val="00702237"/>
    <w:rsid w:val="00702C8D"/>
    <w:rsid w:val="00703DB5"/>
    <w:rsid w:val="00703DFF"/>
    <w:rsid w:val="00704704"/>
    <w:rsid w:val="007049D4"/>
    <w:rsid w:val="007051E4"/>
    <w:rsid w:val="0070523C"/>
    <w:rsid w:val="00705653"/>
    <w:rsid w:val="00705C2E"/>
    <w:rsid w:val="00705DBC"/>
    <w:rsid w:val="0070610E"/>
    <w:rsid w:val="00706544"/>
    <w:rsid w:val="007067A0"/>
    <w:rsid w:val="00706D03"/>
    <w:rsid w:val="00706E63"/>
    <w:rsid w:val="00707804"/>
    <w:rsid w:val="00707BB7"/>
    <w:rsid w:val="00707E57"/>
    <w:rsid w:val="00707F47"/>
    <w:rsid w:val="00710C47"/>
    <w:rsid w:val="00710DD9"/>
    <w:rsid w:val="0071103E"/>
    <w:rsid w:val="007112A5"/>
    <w:rsid w:val="00711904"/>
    <w:rsid w:val="00711B49"/>
    <w:rsid w:val="00712198"/>
    <w:rsid w:val="00713508"/>
    <w:rsid w:val="00713C13"/>
    <w:rsid w:val="007141B1"/>
    <w:rsid w:val="007145B4"/>
    <w:rsid w:val="0071478D"/>
    <w:rsid w:val="0071543E"/>
    <w:rsid w:val="007155EF"/>
    <w:rsid w:val="00715C99"/>
    <w:rsid w:val="00715D53"/>
    <w:rsid w:val="00717648"/>
    <w:rsid w:val="00717C71"/>
    <w:rsid w:val="00717C8F"/>
    <w:rsid w:val="007200E1"/>
    <w:rsid w:val="007210C6"/>
    <w:rsid w:val="00721B00"/>
    <w:rsid w:val="00721F03"/>
    <w:rsid w:val="007230DD"/>
    <w:rsid w:val="007230FC"/>
    <w:rsid w:val="00723C6D"/>
    <w:rsid w:val="00723E54"/>
    <w:rsid w:val="00724402"/>
    <w:rsid w:val="007247D6"/>
    <w:rsid w:val="00724DF7"/>
    <w:rsid w:val="00724F8F"/>
    <w:rsid w:val="00725D0D"/>
    <w:rsid w:val="00725D1A"/>
    <w:rsid w:val="00725EAA"/>
    <w:rsid w:val="007266ED"/>
    <w:rsid w:val="007269CE"/>
    <w:rsid w:val="00726B89"/>
    <w:rsid w:val="007271BF"/>
    <w:rsid w:val="0072794B"/>
    <w:rsid w:val="00727CB3"/>
    <w:rsid w:val="0073147F"/>
    <w:rsid w:val="00731714"/>
    <w:rsid w:val="0073204F"/>
    <w:rsid w:val="007321AC"/>
    <w:rsid w:val="00732328"/>
    <w:rsid w:val="0073370D"/>
    <w:rsid w:val="00734A2B"/>
    <w:rsid w:val="0073559D"/>
    <w:rsid w:val="00736F31"/>
    <w:rsid w:val="00737882"/>
    <w:rsid w:val="00737D21"/>
    <w:rsid w:val="00737E72"/>
    <w:rsid w:val="00737FBF"/>
    <w:rsid w:val="00740AE1"/>
    <w:rsid w:val="007419FE"/>
    <w:rsid w:val="00741B7C"/>
    <w:rsid w:val="00742208"/>
    <w:rsid w:val="00742906"/>
    <w:rsid w:val="00742940"/>
    <w:rsid w:val="00743572"/>
    <w:rsid w:val="00743EE9"/>
    <w:rsid w:val="007445EB"/>
    <w:rsid w:val="007446CD"/>
    <w:rsid w:val="00744E10"/>
    <w:rsid w:val="00745227"/>
    <w:rsid w:val="0074635B"/>
    <w:rsid w:val="00746446"/>
    <w:rsid w:val="00746933"/>
    <w:rsid w:val="007472D6"/>
    <w:rsid w:val="00747386"/>
    <w:rsid w:val="007476E0"/>
    <w:rsid w:val="007506E6"/>
    <w:rsid w:val="00750AA4"/>
    <w:rsid w:val="00750B99"/>
    <w:rsid w:val="00751231"/>
    <w:rsid w:val="00751850"/>
    <w:rsid w:val="00751F41"/>
    <w:rsid w:val="00752472"/>
    <w:rsid w:val="007524D9"/>
    <w:rsid w:val="00752727"/>
    <w:rsid w:val="00753DAA"/>
    <w:rsid w:val="0075519A"/>
    <w:rsid w:val="00755251"/>
    <w:rsid w:val="007553F5"/>
    <w:rsid w:val="007555C3"/>
    <w:rsid w:val="00755BFB"/>
    <w:rsid w:val="00755CA7"/>
    <w:rsid w:val="00755E3F"/>
    <w:rsid w:val="00756DB9"/>
    <w:rsid w:val="00757277"/>
    <w:rsid w:val="00757635"/>
    <w:rsid w:val="00757676"/>
    <w:rsid w:val="00757A4E"/>
    <w:rsid w:val="00757CF6"/>
    <w:rsid w:val="007600DF"/>
    <w:rsid w:val="007606E5"/>
    <w:rsid w:val="007607CC"/>
    <w:rsid w:val="00760F1C"/>
    <w:rsid w:val="0076112A"/>
    <w:rsid w:val="007612E6"/>
    <w:rsid w:val="0076262C"/>
    <w:rsid w:val="00763170"/>
    <w:rsid w:val="00763407"/>
    <w:rsid w:val="0076410F"/>
    <w:rsid w:val="00764E03"/>
    <w:rsid w:val="00765545"/>
    <w:rsid w:val="00765C3F"/>
    <w:rsid w:val="00766001"/>
    <w:rsid w:val="00766749"/>
    <w:rsid w:val="007668BC"/>
    <w:rsid w:val="00766CAB"/>
    <w:rsid w:val="00766CDD"/>
    <w:rsid w:val="0076719C"/>
    <w:rsid w:val="007671EB"/>
    <w:rsid w:val="00767E3F"/>
    <w:rsid w:val="00770B86"/>
    <w:rsid w:val="00770CC2"/>
    <w:rsid w:val="00771856"/>
    <w:rsid w:val="00771B25"/>
    <w:rsid w:val="00772AC4"/>
    <w:rsid w:val="00772E55"/>
    <w:rsid w:val="00772EE0"/>
    <w:rsid w:val="00773589"/>
    <w:rsid w:val="0077380C"/>
    <w:rsid w:val="0077435E"/>
    <w:rsid w:val="00774515"/>
    <w:rsid w:val="00775026"/>
    <w:rsid w:val="0077590F"/>
    <w:rsid w:val="00775CF7"/>
    <w:rsid w:val="00775FCA"/>
    <w:rsid w:val="0077608E"/>
    <w:rsid w:val="007765FE"/>
    <w:rsid w:val="007767AC"/>
    <w:rsid w:val="00776FE5"/>
    <w:rsid w:val="007775A9"/>
    <w:rsid w:val="00777B5B"/>
    <w:rsid w:val="00780051"/>
    <w:rsid w:val="00780466"/>
    <w:rsid w:val="0078265D"/>
    <w:rsid w:val="007826C6"/>
    <w:rsid w:val="00783517"/>
    <w:rsid w:val="007835BE"/>
    <w:rsid w:val="00784664"/>
    <w:rsid w:val="00786423"/>
    <w:rsid w:val="007864CC"/>
    <w:rsid w:val="00786863"/>
    <w:rsid w:val="00786A30"/>
    <w:rsid w:val="00786D03"/>
    <w:rsid w:val="0079002A"/>
    <w:rsid w:val="007919BF"/>
    <w:rsid w:val="00792EA7"/>
    <w:rsid w:val="00793130"/>
    <w:rsid w:val="00793527"/>
    <w:rsid w:val="0079358E"/>
    <w:rsid w:val="007939C7"/>
    <w:rsid w:val="00793AFA"/>
    <w:rsid w:val="00793BA2"/>
    <w:rsid w:val="00794359"/>
    <w:rsid w:val="00794475"/>
    <w:rsid w:val="00795015"/>
    <w:rsid w:val="00795981"/>
    <w:rsid w:val="00795BE8"/>
    <w:rsid w:val="00796871"/>
    <w:rsid w:val="00796E14"/>
    <w:rsid w:val="007970DF"/>
    <w:rsid w:val="00797A1F"/>
    <w:rsid w:val="00797A60"/>
    <w:rsid w:val="007A09C7"/>
    <w:rsid w:val="007A0CF0"/>
    <w:rsid w:val="007A0F21"/>
    <w:rsid w:val="007A1B5F"/>
    <w:rsid w:val="007A1EF3"/>
    <w:rsid w:val="007A2435"/>
    <w:rsid w:val="007A24D6"/>
    <w:rsid w:val="007A2AD5"/>
    <w:rsid w:val="007A3385"/>
    <w:rsid w:val="007A37BC"/>
    <w:rsid w:val="007A3AB6"/>
    <w:rsid w:val="007A4148"/>
    <w:rsid w:val="007A5090"/>
    <w:rsid w:val="007A5EFD"/>
    <w:rsid w:val="007A61D8"/>
    <w:rsid w:val="007A6589"/>
    <w:rsid w:val="007A671D"/>
    <w:rsid w:val="007A67E6"/>
    <w:rsid w:val="007A6D5F"/>
    <w:rsid w:val="007A6D8B"/>
    <w:rsid w:val="007A721E"/>
    <w:rsid w:val="007A78EE"/>
    <w:rsid w:val="007B11C9"/>
    <w:rsid w:val="007B1A85"/>
    <w:rsid w:val="007B1C43"/>
    <w:rsid w:val="007B20C1"/>
    <w:rsid w:val="007B22F2"/>
    <w:rsid w:val="007B2601"/>
    <w:rsid w:val="007B2BF0"/>
    <w:rsid w:val="007B3196"/>
    <w:rsid w:val="007B34A0"/>
    <w:rsid w:val="007B3555"/>
    <w:rsid w:val="007B38EB"/>
    <w:rsid w:val="007B3A63"/>
    <w:rsid w:val="007B4411"/>
    <w:rsid w:val="007B4B61"/>
    <w:rsid w:val="007B530F"/>
    <w:rsid w:val="007B5506"/>
    <w:rsid w:val="007B7476"/>
    <w:rsid w:val="007B7C30"/>
    <w:rsid w:val="007C02D3"/>
    <w:rsid w:val="007C05CE"/>
    <w:rsid w:val="007C07DB"/>
    <w:rsid w:val="007C2331"/>
    <w:rsid w:val="007C2A94"/>
    <w:rsid w:val="007C3DB7"/>
    <w:rsid w:val="007C45A6"/>
    <w:rsid w:val="007C49CF"/>
    <w:rsid w:val="007C4B4F"/>
    <w:rsid w:val="007C5CC1"/>
    <w:rsid w:val="007C7018"/>
    <w:rsid w:val="007C7761"/>
    <w:rsid w:val="007C79CF"/>
    <w:rsid w:val="007C7A35"/>
    <w:rsid w:val="007D0147"/>
    <w:rsid w:val="007D05A3"/>
    <w:rsid w:val="007D061D"/>
    <w:rsid w:val="007D0C5E"/>
    <w:rsid w:val="007D0E12"/>
    <w:rsid w:val="007D10C6"/>
    <w:rsid w:val="007D1A7B"/>
    <w:rsid w:val="007D1E46"/>
    <w:rsid w:val="007D256F"/>
    <w:rsid w:val="007D295A"/>
    <w:rsid w:val="007D2E5A"/>
    <w:rsid w:val="007D40A1"/>
    <w:rsid w:val="007D4123"/>
    <w:rsid w:val="007D4374"/>
    <w:rsid w:val="007D50AB"/>
    <w:rsid w:val="007D543C"/>
    <w:rsid w:val="007D6D9E"/>
    <w:rsid w:val="007D7014"/>
    <w:rsid w:val="007E069E"/>
    <w:rsid w:val="007E0B7F"/>
    <w:rsid w:val="007E0F8D"/>
    <w:rsid w:val="007E153E"/>
    <w:rsid w:val="007E16AF"/>
    <w:rsid w:val="007E1E89"/>
    <w:rsid w:val="007E1F90"/>
    <w:rsid w:val="007E2482"/>
    <w:rsid w:val="007E42EF"/>
    <w:rsid w:val="007E4950"/>
    <w:rsid w:val="007E4ACE"/>
    <w:rsid w:val="007E4E87"/>
    <w:rsid w:val="007E560B"/>
    <w:rsid w:val="007E583D"/>
    <w:rsid w:val="007E5A27"/>
    <w:rsid w:val="007E5A47"/>
    <w:rsid w:val="007E5CA9"/>
    <w:rsid w:val="007E65DD"/>
    <w:rsid w:val="007E68A5"/>
    <w:rsid w:val="007E6A09"/>
    <w:rsid w:val="007E6D5F"/>
    <w:rsid w:val="007E7CA3"/>
    <w:rsid w:val="007F0223"/>
    <w:rsid w:val="007F1795"/>
    <w:rsid w:val="007F17D7"/>
    <w:rsid w:val="007F1C88"/>
    <w:rsid w:val="007F26D8"/>
    <w:rsid w:val="007F306F"/>
    <w:rsid w:val="007F33F4"/>
    <w:rsid w:val="007F38A5"/>
    <w:rsid w:val="007F38AA"/>
    <w:rsid w:val="007F38DD"/>
    <w:rsid w:val="007F3E08"/>
    <w:rsid w:val="007F4501"/>
    <w:rsid w:val="007F4903"/>
    <w:rsid w:val="007F4F6B"/>
    <w:rsid w:val="007F5892"/>
    <w:rsid w:val="007F6554"/>
    <w:rsid w:val="007F67FC"/>
    <w:rsid w:val="007F6DC9"/>
    <w:rsid w:val="007F7083"/>
    <w:rsid w:val="008001B9"/>
    <w:rsid w:val="00800416"/>
    <w:rsid w:val="00802BEE"/>
    <w:rsid w:val="00802DD1"/>
    <w:rsid w:val="00802F96"/>
    <w:rsid w:val="008034D9"/>
    <w:rsid w:val="00803591"/>
    <w:rsid w:val="00803C26"/>
    <w:rsid w:val="008045D3"/>
    <w:rsid w:val="00804BED"/>
    <w:rsid w:val="00805ABF"/>
    <w:rsid w:val="00805E75"/>
    <w:rsid w:val="008060DE"/>
    <w:rsid w:val="0080624E"/>
    <w:rsid w:val="008063DF"/>
    <w:rsid w:val="00806855"/>
    <w:rsid w:val="0080698C"/>
    <w:rsid w:val="0080787D"/>
    <w:rsid w:val="00807FB3"/>
    <w:rsid w:val="00810175"/>
    <w:rsid w:val="00810377"/>
    <w:rsid w:val="0081038E"/>
    <w:rsid w:val="00810640"/>
    <w:rsid w:val="00810850"/>
    <w:rsid w:val="0081181D"/>
    <w:rsid w:val="00812346"/>
    <w:rsid w:val="00813A87"/>
    <w:rsid w:val="00813F8D"/>
    <w:rsid w:val="0081407D"/>
    <w:rsid w:val="00814273"/>
    <w:rsid w:val="0081456F"/>
    <w:rsid w:val="00814C60"/>
    <w:rsid w:val="00814F85"/>
    <w:rsid w:val="00816472"/>
    <w:rsid w:val="0081668C"/>
    <w:rsid w:val="00816CDC"/>
    <w:rsid w:val="00816DA7"/>
    <w:rsid w:val="00817489"/>
    <w:rsid w:val="00817827"/>
    <w:rsid w:val="00817CBF"/>
    <w:rsid w:val="00820692"/>
    <w:rsid w:val="00820F01"/>
    <w:rsid w:val="0082139D"/>
    <w:rsid w:val="00823235"/>
    <w:rsid w:val="00823615"/>
    <w:rsid w:val="00823A8F"/>
    <w:rsid w:val="00824403"/>
    <w:rsid w:val="008246AD"/>
    <w:rsid w:val="00825ED3"/>
    <w:rsid w:val="0082624E"/>
    <w:rsid w:val="00826B15"/>
    <w:rsid w:val="00827003"/>
    <w:rsid w:val="00827D23"/>
    <w:rsid w:val="00827EFC"/>
    <w:rsid w:val="00830682"/>
    <w:rsid w:val="00830982"/>
    <w:rsid w:val="008309DE"/>
    <w:rsid w:val="00830BF7"/>
    <w:rsid w:val="00831015"/>
    <w:rsid w:val="00831332"/>
    <w:rsid w:val="00831669"/>
    <w:rsid w:val="00831D03"/>
    <w:rsid w:val="008320AB"/>
    <w:rsid w:val="00832BAB"/>
    <w:rsid w:val="008330E6"/>
    <w:rsid w:val="00833387"/>
    <w:rsid w:val="00833BCE"/>
    <w:rsid w:val="00833D1A"/>
    <w:rsid w:val="00833E86"/>
    <w:rsid w:val="00834183"/>
    <w:rsid w:val="008351FC"/>
    <w:rsid w:val="0083551F"/>
    <w:rsid w:val="0083584B"/>
    <w:rsid w:val="008358C8"/>
    <w:rsid w:val="00835A70"/>
    <w:rsid w:val="00836F44"/>
    <w:rsid w:val="0083749E"/>
    <w:rsid w:val="00837AE5"/>
    <w:rsid w:val="00837C71"/>
    <w:rsid w:val="0084007B"/>
    <w:rsid w:val="00840590"/>
    <w:rsid w:val="00840800"/>
    <w:rsid w:val="008408B6"/>
    <w:rsid w:val="00840DB8"/>
    <w:rsid w:val="00840E82"/>
    <w:rsid w:val="008410E3"/>
    <w:rsid w:val="008412CF"/>
    <w:rsid w:val="0084176F"/>
    <w:rsid w:val="00841AE1"/>
    <w:rsid w:val="0084292F"/>
    <w:rsid w:val="00842CCC"/>
    <w:rsid w:val="00843026"/>
    <w:rsid w:val="0084304D"/>
    <w:rsid w:val="00843106"/>
    <w:rsid w:val="008436C6"/>
    <w:rsid w:val="00843710"/>
    <w:rsid w:val="0084434A"/>
    <w:rsid w:val="0084443E"/>
    <w:rsid w:val="00844ABB"/>
    <w:rsid w:val="00844C49"/>
    <w:rsid w:val="00844E5F"/>
    <w:rsid w:val="00844FE1"/>
    <w:rsid w:val="00845172"/>
    <w:rsid w:val="008452D3"/>
    <w:rsid w:val="00845832"/>
    <w:rsid w:val="00845EA5"/>
    <w:rsid w:val="008463DA"/>
    <w:rsid w:val="00846CAB"/>
    <w:rsid w:val="00846EE2"/>
    <w:rsid w:val="0084724B"/>
    <w:rsid w:val="0084748A"/>
    <w:rsid w:val="008475B6"/>
    <w:rsid w:val="008475B8"/>
    <w:rsid w:val="0084767C"/>
    <w:rsid w:val="00847CB1"/>
    <w:rsid w:val="00850666"/>
    <w:rsid w:val="008506FE"/>
    <w:rsid w:val="008508DA"/>
    <w:rsid w:val="00850BD1"/>
    <w:rsid w:val="00850DAF"/>
    <w:rsid w:val="0085105F"/>
    <w:rsid w:val="00851C51"/>
    <w:rsid w:val="0085317D"/>
    <w:rsid w:val="008533BA"/>
    <w:rsid w:val="00853978"/>
    <w:rsid w:val="00854701"/>
    <w:rsid w:val="00854904"/>
    <w:rsid w:val="00854973"/>
    <w:rsid w:val="00856853"/>
    <w:rsid w:val="008571F9"/>
    <w:rsid w:val="00860F46"/>
    <w:rsid w:val="00862540"/>
    <w:rsid w:val="00862A9B"/>
    <w:rsid w:val="00862CA4"/>
    <w:rsid w:val="00862E4E"/>
    <w:rsid w:val="008633DE"/>
    <w:rsid w:val="00863786"/>
    <w:rsid w:val="0086379A"/>
    <w:rsid w:val="00863D20"/>
    <w:rsid w:val="00863E6A"/>
    <w:rsid w:val="008649BC"/>
    <w:rsid w:val="0086634B"/>
    <w:rsid w:val="0086683C"/>
    <w:rsid w:val="00866ECC"/>
    <w:rsid w:val="0086786A"/>
    <w:rsid w:val="008679EE"/>
    <w:rsid w:val="00867CAB"/>
    <w:rsid w:val="008702FF"/>
    <w:rsid w:val="00870877"/>
    <w:rsid w:val="00870C60"/>
    <w:rsid w:val="00871014"/>
    <w:rsid w:val="0087189C"/>
    <w:rsid w:val="00871E15"/>
    <w:rsid w:val="00872EF5"/>
    <w:rsid w:val="00873080"/>
    <w:rsid w:val="00873907"/>
    <w:rsid w:val="008747A1"/>
    <w:rsid w:val="008749F9"/>
    <w:rsid w:val="0087558B"/>
    <w:rsid w:val="00876B61"/>
    <w:rsid w:val="00876E7C"/>
    <w:rsid w:val="00877C56"/>
    <w:rsid w:val="00877DDB"/>
    <w:rsid w:val="00880D6D"/>
    <w:rsid w:val="00880DC4"/>
    <w:rsid w:val="00880F4E"/>
    <w:rsid w:val="00881292"/>
    <w:rsid w:val="008816BC"/>
    <w:rsid w:val="008817D0"/>
    <w:rsid w:val="00881BB0"/>
    <w:rsid w:val="00881C80"/>
    <w:rsid w:val="008821E5"/>
    <w:rsid w:val="0088228C"/>
    <w:rsid w:val="008826FD"/>
    <w:rsid w:val="00882856"/>
    <w:rsid w:val="00882987"/>
    <w:rsid w:val="00882C7E"/>
    <w:rsid w:val="00883639"/>
    <w:rsid w:val="00883B19"/>
    <w:rsid w:val="008845A0"/>
    <w:rsid w:val="00884D6F"/>
    <w:rsid w:val="00885130"/>
    <w:rsid w:val="00885183"/>
    <w:rsid w:val="00885310"/>
    <w:rsid w:val="00885580"/>
    <w:rsid w:val="00885CFB"/>
    <w:rsid w:val="00886344"/>
    <w:rsid w:val="0088721C"/>
    <w:rsid w:val="00887979"/>
    <w:rsid w:val="0089020D"/>
    <w:rsid w:val="008903D7"/>
    <w:rsid w:val="00890F2B"/>
    <w:rsid w:val="0089140E"/>
    <w:rsid w:val="00891D14"/>
    <w:rsid w:val="00891EC4"/>
    <w:rsid w:val="00894D85"/>
    <w:rsid w:val="00895781"/>
    <w:rsid w:val="00895A2B"/>
    <w:rsid w:val="00896079"/>
    <w:rsid w:val="008960C5"/>
    <w:rsid w:val="00896414"/>
    <w:rsid w:val="008970F5"/>
    <w:rsid w:val="0089716E"/>
    <w:rsid w:val="008974D2"/>
    <w:rsid w:val="008975A1"/>
    <w:rsid w:val="00897691"/>
    <w:rsid w:val="00897E86"/>
    <w:rsid w:val="008A06D3"/>
    <w:rsid w:val="008A1109"/>
    <w:rsid w:val="008A1DCE"/>
    <w:rsid w:val="008A3823"/>
    <w:rsid w:val="008A3FB8"/>
    <w:rsid w:val="008A433D"/>
    <w:rsid w:val="008A4349"/>
    <w:rsid w:val="008A75EC"/>
    <w:rsid w:val="008A7A38"/>
    <w:rsid w:val="008A7F95"/>
    <w:rsid w:val="008B04F9"/>
    <w:rsid w:val="008B08B0"/>
    <w:rsid w:val="008B194C"/>
    <w:rsid w:val="008B25CA"/>
    <w:rsid w:val="008B2A93"/>
    <w:rsid w:val="008B3368"/>
    <w:rsid w:val="008B3E0E"/>
    <w:rsid w:val="008B41DA"/>
    <w:rsid w:val="008B47D9"/>
    <w:rsid w:val="008B4C9B"/>
    <w:rsid w:val="008B53E8"/>
    <w:rsid w:val="008B6A3A"/>
    <w:rsid w:val="008B6B4F"/>
    <w:rsid w:val="008B7613"/>
    <w:rsid w:val="008B7E13"/>
    <w:rsid w:val="008C11A0"/>
    <w:rsid w:val="008C1485"/>
    <w:rsid w:val="008C27C9"/>
    <w:rsid w:val="008C29D0"/>
    <w:rsid w:val="008C3870"/>
    <w:rsid w:val="008C3982"/>
    <w:rsid w:val="008C3DC6"/>
    <w:rsid w:val="008C43A8"/>
    <w:rsid w:val="008C468B"/>
    <w:rsid w:val="008C4F09"/>
    <w:rsid w:val="008C4F60"/>
    <w:rsid w:val="008C5025"/>
    <w:rsid w:val="008C5BA9"/>
    <w:rsid w:val="008C670E"/>
    <w:rsid w:val="008C6848"/>
    <w:rsid w:val="008C6B50"/>
    <w:rsid w:val="008C7019"/>
    <w:rsid w:val="008C75FF"/>
    <w:rsid w:val="008C786B"/>
    <w:rsid w:val="008C7D31"/>
    <w:rsid w:val="008C7E64"/>
    <w:rsid w:val="008D0D5B"/>
    <w:rsid w:val="008D1095"/>
    <w:rsid w:val="008D11CC"/>
    <w:rsid w:val="008D1549"/>
    <w:rsid w:val="008D1B06"/>
    <w:rsid w:val="008D2512"/>
    <w:rsid w:val="008D2E1B"/>
    <w:rsid w:val="008D3202"/>
    <w:rsid w:val="008D33A8"/>
    <w:rsid w:val="008D455F"/>
    <w:rsid w:val="008D505E"/>
    <w:rsid w:val="008D5660"/>
    <w:rsid w:val="008D5C28"/>
    <w:rsid w:val="008D621F"/>
    <w:rsid w:val="008D698D"/>
    <w:rsid w:val="008D74F0"/>
    <w:rsid w:val="008D753E"/>
    <w:rsid w:val="008D77B7"/>
    <w:rsid w:val="008D7819"/>
    <w:rsid w:val="008D7A86"/>
    <w:rsid w:val="008D7E16"/>
    <w:rsid w:val="008E0BF7"/>
    <w:rsid w:val="008E11B5"/>
    <w:rsid w:val="008E1C96"/>
    <w:rsid w:val="008E2165"/>
    <w:rsid w:val="008E2755"/>
    <w:rsid w:val="008E2A30"/>
    <w:rsid w:val="008E34F6"/>
    <w:rsid w:val="008E3BD5"/>
    <w:rsid w:val="008E46A5"/>
    <w:rsid w:val="008E558B"/>
    <w:rsid w:val="008E55F2"/>
    <w:rsid w:val="008E5685"/>
    <w:rsid w:val="008E6626"/>
    <w:rsid w:val="008E6690"/>
    <w:rsid w:val="008F095D"/>
    <w:rsid w:val="008F0A15"/>
    <w:rsid w:val="008F0D18"/>
    <w:rsid w:val="008F0F75"/>
    <w:rsid w:val="008F1740"/>
    <w:rsid w:val="008F1F6E"/>
    <w:rsid w:val="008F2E69"/>
    <w:rsid w:val="008F3477"/>
    <w:rsid w:val="008F38C5"/>
    <w:rsid w:val="008F4168"/>
    <w:rsid w:val="008F46B7"/>
    <w:rsid w:val="008F4700"/>
    <w:rsid w:val="008F4D5F"/>
    <w:rsid w:val="008F5368"/>
    <w:rsid w:val="008F57AE"/>
    <w:rsid w:val="008F594E"/>
    <w:rsid w:val="008F6BC9"/>
    <w:rsid w:val="008F6F3E"/>
    <w:rsid w:val="008F782A"/>
    <w:rsid w:val="008F7A5E"/>
    <w:rsid w:val="009007C4"/>
    <w:rsid w:val="00900C39"/>
    <w:rsid w:val="0090151F"/>
    <w:rsid w:val="009016FE"/>
    <w:rsid w:val="00902640"/>
    <w:rsid w:val="00902C94"/>
    <w:rsid w:val="0090317F"/>
    <w:rsid w:val="009039F4"/>
    <w:rsid w:val="00903FB7"/>
    <w:rsid w:val="009042D1"/>
    <w:rsid w:val="009044AA"/>
    <w:rsid w:val="009044EA"/>
    <w:rsid w:val="00904B33"/>
    <w:rsid w:val="00906804"/>
    <w:rsid w:val="009068CA"/>
    <w:rsid w:val="00906975"/>
    <w:rsid w:val="00906BFC"/>
    <w:rsid w:val="00907818"/>
    <w:rsid w:val="009108FC"/>
    <w:rsid w:val="00910911"/>
    <w:rsid w:val="0091096E"/>
    <w:rsid w:val="009127D9"/>
    <w:rsid w:val="00912CFE"/>
    <w:rsid w:val="00912DDD"/>
    <w:rsid w:val="00913170"/>
    <w:rsid w:val="009137DC"/>
    <w:rsid w:val="00913BBA"/>
    <w:rsid w:val="009145FA"/>
    <w:rsid w:val="00914FDE"/>
    <w:rsid w:val="0091601A"/>
    <w:rsid w:val="009177E6"/>
    <w:rsid w:val="00917C10"/>
    <w:rsid w:val="00920CFC"/>
    <w:rsid w:val="00920D4C"/>
    <w:rsid w:val="00920E47"/>
    <w:rsid w:val="00920EF6"/>
    <w:rsid w:val="0092123E"/>
    <w:rsid w:val="009215AD"/>
    <w:rsid w:val="00922A6F"/>
    <w:rsid w:val="00922A73"/>
    <w:rsid w:val="00922C2F"/>
    <w:rsid w:val="0092314D"/>
    <w:rsid w:val="0092373C"/>
    <w:rsid w:val="00923BD5"/>
    <w:rsid w:val="0092410C"/>
    <w:rsid w:val="00924267"/>
    <w:rsid w:val="00924849"/>
    <w:rsid w:val="00924870"/>
    <w:rsid w:val="00924ADE"/>
    <w:rsid w:val="009251E7"/>
    <w:rsid w:val="00925871"/>
    <w:rsid w:val="00925B26"/>
    <w:rsid w:val="00925C46"/>
    <w:rsid w:val="0092645A"/>
    <w:rsid w:val="009270A4"/>
    <w:rsid w:val="00927518"/>
    <w:rsid w:val="00930741"/>
    <w:rsid w:val="009312A6"/>
    <w:rsid w:val="00931704"/>
    <w:rsid w:val="009318E9"/>
    <w:rsid w:val="00933037"/>
    <w:rsid w:val="00933262"/>
    <w:rsid w:val="0093465C"/>
    <w:rsid w:val="00934986"/>
    <w:rsid w:val="009354DB"/>
    <w:rsid w:val="009364B1"/>
    <w:rsid w:val="00936C05"/>
    <w:rsid w:val="00937DB7"/>
    <w:rsid w:val="009406BF"/>
    <w:rsid w:val="0094086A"/>
    <w:rsid w:val="00940AB4"/>
    <w:rsid w:val="0094145A"/>
    <w:rsid w:val="0094166C"/>
    <w:rsid w:val="009419E1"/>
    <w:rsid w:val="00941B42"/>
    <w:rsid w:val="0094226D"/>
    <w:rsid w:val="009433FA"/>
    <w:rsid w:val="009434F3"/>
    <w:rsid w:val="009445DB"/>
    <w:rsid w:val="00944D06"/>
    <w:rsid w:val="00944E25"/>
    <w:rsid w:val="0094526E"/>
    <w:rsid w:val="009453D5"/>
    <w:rsid w:val="00945FCB"/>
    <w:rsid w:val="00946D6F"/>
    <w:rsid w:val="0094713E"/>
    <w:rsid w:val="009472BD"/>
    <w:rsid w:val="0095154F"/>
    <w:rsid w:val="009539D0"/>
    <w:rsid w:val="009540DF"/>
    <w:rsid w:val="00954530"/>
    <w:rsid w:val="00954B98"/>
    <w:rsid w:val="00954C07"/>
    <w:rsid w:val="00954FD6"/>
    <w:rsid w:val="00955025"/>
    <w:rsid w:val="009551ED"/>
    <w:rsid w:val="00955483"/>
    <w:rsid w:val="0095642D"/>
    <w:rsid w:val="00956CD7"/>
    <w:rsid w:val="009570F1"/>
    <w:rsid w:val="00957718"/>
    <w:rsid w:val="00957872"/>
    <w:rsid w:val="00957B95"/>
    <w:rsid w:val="00957C31"/>
    <w:rsid w:val="00957CFA"/>
    <w:rsid w:val="00960131"/>
    <w:rsid w:val="009604F6"/>
    <w:rsid w:val="009608CD"/>
    <w:rsid w:val="00960D13"/>
    <w:rsid w:val="00961A35"/>
    <w:rsid w:val="00963003"/>
    <w:rsid w:val="009636EE"/>
    <w:rsid w:val="00963966"/>
    <w:rsid w:val="00963B45"/>
    <w:rsid w:val="00965A9A"/>
    <w:rsid w:val="00966102"/>
    <w:rsid w:val="00966B19"/>
    <w:rsid w:val="00966C3D"/>
    <w:rsid w:val="00966E2F"/>
    <w:rsid w:val="00967509"/>
    <w:rsid w:val="009677F8"/>
    <w:rsid w:val="00967ECB"/>
    <w:rsid w:val="009701BB"/>
    <w:rsid w:val="00970A1B"/>
    <w:rsid w:val="00970DB1"/>
    <w:rsid w:val="00970F7A"/>
    <w:rsid w:val="0097101E"/>
    <w:rsid w:val="0097186B"/>
    <w:rsid w:val="00971A04"/>
    <w:rsid w:val="009720E0"/>
    <w:rsid w:val="00972D13"/>
    <w:rsid w:val="00973712"/>
    <w:rsid w:val="00973B9F"/>
    <w:rsid w:val="00975002"/>
    <w:rsid w:val="00975834"/>
    <w:rsid w:val="009762A8"/>
    <w:rsid w:val="00976305"/>
    <w:rsid w:val="009769FA"/>
    <w:rsid w:val="00976BCB"/>
    <w:rsid w:val="00977CC3"/>
    <w:rsid w:val="00980203"/>
    <w:rsid w:val="00980A65"/>
    <w:rsid w:val="0098127B"/>
    <w:rsid w:val="00981EC3"/>
    <w:rsid w:val="00982607"/>
    <w:rsid w:val="00982CB2"/>
    <w:rsid w:val="00983064"/>
    <w:rsid w:val="009831FD"/>
    <w:rsid w:val="009837A0"/>
    <w:rsid w:val="009839BA"/>
    <w:rsid w:val="00984E57"/>
    <w:rsid w:val="00985BFB"/>
    <w:rsid w:val="0098749D"/>
    <w:rsid w:val="009877A6"/>
    <w:rsid w:val="009879C4"/>
    <w:rsid w:val="009907D2"/>
    <w:rsid w:val="0099105E"/>
    <w:rsid w:val="009913F5"/>
    <w:rsid w:val="0099156E"/>
    <w:rsid w:val="00991982"/>
    <w:rsid w:val="00991E25"/>
    <w:rsid w:val="009920B0"/>
    <w:rsid w:val="00992B8E"/>
    <w:rsid w:val="0099327D"/>
    <w:rsid w:val="00993F38"/>
    <w:rsid w:val="00993F6F"/>
    <w:rsid w:val="00994052"/>
    <w:rsid w:val="009940E3"/>
    <w:rsid w:val="009943E5"/>
    <w:rsid w:val="00994A36"/>
    <w:rsid w:val="00994D45"/>
    <w:rsid w:val="00995357"/>
    <w:rsid w:val="009958D7"/>
    <w:rsid w:val="00995B5A"/>
    <w:rsid w:val="00995C1B"/>
    <w:rsid w:val="00995C70"/>
    <w:rsid w:val="00997203"/>
    <w:rsid w:val="0099759B"/>
    <w:rsid w:val="00997CEB"/>
    <w:rsid w:val="009A0B75"/>
    <w:rsid w:val="009A0DB0"/>
    <w:rsid w:val="009A0ECF"/>
    <w:rsid w:val="009A11A8"/>
    <w:rsid w:val="009A1CA0"/>
    <w:rsid w:val="009A2021"/>
    <w:rsid w:val="009A287C"/>
    <w:rsid w:val="009A28B3"/>
    <w:rsid w:val="009A2CD9"/>
    <w:rsid w:val="009A3834"/>
    <w:rsid w:val="009A3F9F"/>
    <w:rsid w:val="009A4333"/>
    <w:rsid w:val="009A4783"/>
    <w:rsid w:val="009A4B7B"/>
    <w:rsid w:val="009A4FAD"/>
    <w:rsid w:val="009A50BF"/>
    <w:rsid w:val="009A54E1"/>
    <w:rsid w:val="009A6179"/>
    <w:rsid w:val="009A6E4B"/>
    <w:rsid w:val="009A7142"/>
    <w:rsid w:val="009A7C45"/>
    <w:rsid w:val="009B0459"/>
    <w:rsid w:val="009B0712"/>
    <w:rsid w:val="009B093E"/>
    <w:rsid w:val="009B1A84"/>
    <w:rsid w:val="009B2039"/>
    <w:rsid w:val="009B2375"/>
    <w:rsid w:val="009B2878"/>
    <w:rsid w:val="009B32DC"/>
    <w:rsid w:val="009B39B3"/>
    <w:rsid w:val="009B43A2"/>
    <w:rsid w:val="009B4A66"/>
    <w:rsid w:val="009B4CB2"/>
    <w:rsid w:val="009B58E7"/>
    <w:rsid w:val="009B5EA4"/>
    <w:rsid w:val="009B61EF"/>
    <w:rsid w:val="009B69E4"/>
    <w:rsid w:val="009C0623"/>
    <w:rsid w:val="009C0EE3"/>
    <w:rsid w:val="009C1542"/>
    <w:rsid w:val="009C1BC9"/>
    <w:rsid w:val="009C33C5"/>
    <w:rsid w:val="009C3E41"/>
    <w:rsid w:val="009C4072"/>
    <w:rsid w:val="009C49D4"/>
    <w:rsid w:val="009C4E19"/>
    <w:rsid w:val="009C4FC1"/>
    <w:rsid w:val="009C53A2"/>
    <w:rsid w:val="009C7196"/>
    <w:rsid w:val="009C72FC"/>
    <w:rsid w:val="009C75D4"/>
    <w:rsid w:val="009C78FC"/>
    <w:rsid w:val="009C7ABA"/>
    <w:rsid w:val="009D0AD3"/>
    <w:rsid w:val="009D0E1E"/>
    <w:rsid w:val="009D11CC"/>
    <w:rsid w:val="009D1307"/>
    <w:rsid w:val="009D192A"/>
    <w:rsid w:val="009D2609"/>
    <w:rsid w:val="009D2EA6"/>
    <w:rsid w:val="009D3271"/>
    <w:rsid w:val="009D3D6D"/>
    <w:rsid w:val="009D42F6"/>
    <w:rsid w:val="009D4780"/>
    <w:rsid w:val="009D4CC6"/>
    <w:rsid w:val="009D4F0E"/>
    <w:rsid w:val="009D4FFA"/>
    <w:rsid w:val="009D507A"/>
    <w:rsid w:val="009D566A"/>
    <w:rsid w:val="009D56C3"/>
    <w:rsid w:val="009D57CA"/>
    <w:rsid w:val="009D5C89"/>
    <w:rsid w:val="009D641B"/>
    <w:rsid w:val="009D69A2"/>
    <w:rsid w:val="009D69EE"/>
    <w:rsid w:val="009E08C9"/>
    <w:rsid w:val="009E1572"/>
    <w:rsid w:val="009E19AC"/>
    <w:rsid w:val="009E2021"/>
    <w:rsid w:val="009E2563"/>
    <w:rsid w:val="009E2572"/>
    <w:rsid w:val="009E26DA"/>
    <w:rsid w:val="009E2FA7"/>
    <w:rsid w:val="009E3660"/>
    <w:rsid w:val="009E36C0"/>
    <w:rsid w:val="009E37E7"/>
    <w:rsid w:val="009E4FE9"/>
    <w:rsid w:val="009E52E5"/>
    <w:rsid w:val="009E5606"/>
    <w:rsid w:val="009E6067"/>
    <w:rsid w:val="009E60B6"/>
    <w:rsid w:val="009E64AD"/>
    <w:rsid w:val="009E6724"/>
    <w:rsid w:val="009E72A0"/>
    <w:rsid w:val="009F07C0"/>
    <w:rsid w:val="009F0987"/>
    <w:rsid w:val="009F0B31"/>
    <w:rsid w:val="009F0EF7"/>
    <w:rsid w:val="009F118E"/>
    <w:rsid w:val="009F13E2"/>
    <w:rsid w:val="009F2242"/>
    <w:rsid w:val="009F23DB"/>
    <w:rsid w:val="009F3BBC"/>
    <w:rsid w:val="009F3BC9"/>
    <w:rsid w:val="009F3E05"/>
    <w:rsid w:val="009F5DB6"/>
    <w:rsid w:val="009F629F"/>
    <w:rsid w:val="009F65FC"/>
    <w:rsid w:val="009F6AA3"/>
    <w:rsid w:val="009F76BF"/>
    <w:rsid w:val="009F770C"/>
    <w:rsid w:val="009F792D"/>
    <w:rsid w:val="009F7D8F"/>
    <w:rsid w:val="009F7F5F"/>
    <w:rsid w:val="00A00454"/>
    <w:rsid w:val="00A00B7C"/>
    <w:rsid w:val="00A019EB"/>
    <w:rsid w:val="00A01AC3"/>
    <w:rsid w:val="00A02935"/>
    <w:rsid w:val="00A03279"/>
    <w:rsid w:val="00A03A9B"/>
    <w:rsid w:val="00A04057"/>
    <w:rsid w:val="00A040EC"/>
    <w:rsid w:val="00A04358"/>
    <w:rsid w:val="00A04379"/>
    <w:rsid w:val="00A0449C"/>
    <w:rsid w:val="00A057D9"/>
    <w:rsid w:val="00A058E3"/>
    <w:rsid w:val="00A05B6B"/>
    <w:rsid w:val="00A0635D"/>
    <w:rsid w:val="00A06D1C"/>
    <w:rsid w:val="00A072AA"/>
    <w:rsid w:val="00A07583"/>
    <w:rsid w:val="00A079CE"/>
    <w:rsid w:val="00A07CFB"/>
    <w:rsid w:val="00A1021E"/>
    <w:rsid w:val="00A10DA5"/>
    <w:rsid w:val="00A11346"/>
    <w:rsid w:val="00A114EB"/>
    <w:rsid w:val="00A11D87"/>
    <w:rsid w:val="00A11DAB"/>
    <w:rsid w:val="00A12507"/>
    <w:rsid w:val="00A13B82"/>
    <w:rsid w:val="00A14044"/>
    <w:rsid w:val="00A143C6"/>
    <w:rsid w:val="00A14D94"/>
    <w:rsid w:val="00A14EC4"/>
    <w:rsid w:val="00A15299"/>
    <w:rsid w:val="00A15638"/>
    <w:rsid w:val="00A16050"/>
    <w:rsid w:val="00A165C4"/>
    <w:rsid w:val="00A16D58"/>
    <w:rsid w:val="00A178CA"/>
    <w:rsid w:val="00A17C17"/>
    <w:rsid w:val="00A202B2"/>
    <w:rsid w:val="00A2065D"/>
    <w:rsid w:val="00A20AB0"/>
    <w:rsid w:val="00A20ED4"/>
    <w:rsid w:val="00A21435"/>
    <w:rsid w:val="00A21E2E"/>
    <w:rsid w:val="00A222A7"/>
    <w:rsid w:val="00A227DA"/>
    <w:rsid w:val="00A22E56"/>
    <w:rsid w:val="00A23984"/>
    <w:rsid w:val="00A2436F"/>
    <w:rsid w:val="00A24506"/>
    <w:rsid w:val="00A24762"/>
    <w:rsid w:val="00A24884"/>
    <w:rsid w:val="00A25046"/>
    <w:rsid w:val="00A25342"/>
    <w:rsid w:val="00A253F6"/>
    <w:rsid w:val="00A25618"/>
    <w:rsid w:val="00A26101"/>
    <w:rsid w:val="00A26C03"/>
    <w:rsid w:val="00A26F2E"/>
    <w:rsid w:val="00A27D4A"/>
    <w:rsid w:val="00A30469"/>
    <w:rsid w:val="00A30810"/>
    <w:rsid w:val="00A30AD7"/>
    <w:rsid w:val="00A323A4"/>
    <w:rsid w:val="00A32645"/>
    <w:rsid w:val="00A33565"/>
    <w:rsid w:val="00A3369A"/>
    <w:rsid w:val="00A339C3"/>
    <w:rsid w:val="00A33CEA"/>
    <w:rsid w:val="00A34380"/>
    <w:rsid w:val="00A344B7"/>
    <w:rsid w:val="00A34A05"/>
    <w:rsid w:val="00A350F6"/>
    <w:rsid w:val="00A36267"/>
    <w:rsid w:val="00A36B45"/>
    <w:rsid w:val="00A36BF0"/>
    <w:rsid w:val="00A37252"/>
    <w:rsid w:val="00A37C94"/>
    <w:rsid w:val="00A405AB"/>
    <w:rsid w:val="00A40D1C"/>
    <w:rsid w:val="00A40D5F"/>
    <w:rsid w:val="00A40D70"/>
    <w:rsid w:val="00A40D89"/>
    <w:rsid w:val="00A40F3A"/>
    <w:rsid w:val="00A415BA"/>
    <w:rsid w:val="00A41A0C"/>
    <w:rsid w:val="00A423DD"/>
    <w:rsid w:val="00A42487"/>
    <w:rsid w:val="00A428E9"/>
    <w:rsid w:val="00A43B57"/>
    <w:rsid w:val="00A4429D"/>
    <w:rsid w:val="00A4472D"/>
    <w:rsid w:val="00A44CA9"/>
    <w:rsid w:val="00A4589B"/>
    <w:rsid w:val="00A460FD"/>
    <w:rsid w:val="00A46866"/>
    <w:rsid w:val="00A470FE"/>
    <w:rsid w:val="00A479AD"/>
    <w:rsid w:val="00A47BDA"/>
    <w:rsid w:val="00A47C1E"/>
    <w:rsid w:val="00A5063F"/>
    <w:rsid w:val="00A51421"/>
    <w:rsid w:val="00A51DCD"/>
    <w:rsid w:val="00A528E8"/>
    <w:rsid w:val="00A52E07"/>
    <w:rsid w:val="00A53F1B"/>
    <w:rsid w:val="00A54000"/>
    <w:rsid w:val="00A559CE"/>
    <w:rsid w:val="00A55E15"/>
    <w:rsid w:val="00A56160"/>
    <w:rsid w:val="00A56592"/>
    <w:rsid w:val="00A5697C"/>
    <w:rsid w:val="00A570C1"/>
    <w:rsid w:val="00A575A5"/>
    <w:rsid w:val="00A57C6B"/>
    <w:rsid w:val="00A606A1"/>
    <w:rsid w:val="00A607F9"/>
    <w:rsid w:val="00A60BC8"/>
    <w:rsid w:val="00A60E65"/>
    <w:rsid w:val="00A61163"/>
    <w:rsid w:val="00A61727"/>
    <w:rsid w:val="00A63255"/>
    <w:rsid w:val="00A63555"/>
    <w:rsid w:val="00A648E1"/>
    <w:rsid w:val="00A64E95"/>
    <w:rsid w:val="00A661EB"/>
    <w:rsid w:val="00A664D7"/>
    <w:rsid w:val="00A665AE"/>
    <w:rsid w:val="00A668C3"/>
    <w:rsid w:val="00A66E0D"/>
    <w:rsid w:val="00A66FA0"/>
    <w:rsid w:val="00A67A29"/>
    <w:rsid w:val="00A705EC"/>
    <w:rsid w:val="00A70C0A"/>
    <w:rsid w:val="00A71452"/>
    <w:rsid w:val="00A71F0A"/>
    <w:rsid w:val="00A724D4"/>
    <w:rsid w:val="00A725CF"/>
    <w:rsid w:val="00A738D5"/>
    <w:rsid w:val="00A73ADD"/>
    <w:rsid w:val="00A74267"/>
    <w:rsid w:val="00A74406"/>
    <w:rsid w:val="00A746D3"/>
    <w:rsid w:val="00A74D69"/>
    <w:rsid w:val="00A756B9"/>
    <w:rsid w:val="00A76137"/>
    <w:rsid w:val="00A76346"/>
    <w:rsid w:val="00A769A4"/>
    <w:rsid w:val="00A76A2A"/>
    <w:rsid w:val="00A773E5"/>
    <w:rsid w:val="00A775F8"/>
    <w:rsid w:val="00A7770E"/>
    <w:rsid w:val="00A77D5A"/>
    <w:rsid w:val="00A80C33"/>
    <w:rsid w:val="00A80E2B"/>
    <w:rsid w:val="00A812DF"/>
    <w:rsid w:val="00A8135E"/>
    <w:rsid w:val="00A8178D"/>
    <w:rsid w:val="00A82747"/>
    <w:rsid w:val="00A82EF7"/>
    <w:rsid w:val="00A8323E"/>
    <w:rsid w:val="00A836F6"/>
    <w:rsid w:val="00A83D81"/>
    <w:rsid w:val="00A84223"/>
    <w:rsid w:val="00A846C4"/>
    <w:rsid w:val="00A84CA6"/>
    <w:rsid w:val="00A8587B"/>
    <w:rsid w:val="00A860B7"/>
    <w:rsid w:val="00A86DF0"/>
    <w:rsid w:val="00A86E6C"/>
    <w:rsid w:val="00A878EB"/>
    <w:rsid w:val="00A879A1"/>
    <w:rsid w:val="00A90B95"/>
    <w:rsid w:val="00A914CD"/>
    <w:rsid w:val="00A917B4"/>
    <w:rsid w:val="00A91EA1"/>
    <w:rsid w:val="00A92765"/>
    <w:rsid w:val="00A92BD6"/>
    <w:rsid w:val="00A92E03"/>
    <w:rsid w:val="00A93D37"/>
    <w:rsid w:val="00A94401"/>
    <w:rsid w:val="00A9482E"/>
    <w:rsid w:val="00A94854"/>
    <w:rsid w:val="00A96C8F"/>
    <w:rsid w:val="00A96E31"/>
    <w:rsid w:val="00AA058E"/>
    <w:rsid w:val="00AA0BD8"/>
    <w:rsid w:val="00AA1C65"/>
    <w:rsid w:val="00AA2387"/>
    <w:rsid w:val="00AA3392"/>
    <w:rsid w:val="00AA468F"/>
    <w:rsid w:val="00AA5684"/>
    <w:rsid w:val="00AA579E"/>
    <w:rsid w:val="00AA59D3"/>
    <w:rsid w:val="00AA61E3"/>
    <w:rsid w:val="00AA693E"/>
    <w:rsid w:val="00AA6B0A"/>
    <w:rsid w:val="00AA73E7"/>
    <w:rsid w:val="00AA7E3C"/>
    <w:rsid w:val="00AA7F12"/>
    <w:rsid w:val="00AB1DB8"/>
    <w:rsid w:val="00AB2354"/>
    <w:rsid w:val="00AB2541"/>
    <w:rsid w:val="00AB2FAA"/>
    <w:rsid w:val="00AB3A96"/>
    <w:rsid w:val="00AB3B8F"/>
    <w:rsid w:val="00AB4A9C"/>
    <w:rsid w:val="00AB4DE4"/>
    <w:rsid w:val="00AB50D7"/>
    <w:rsid w:val="00AB52FE"/>
    <w:rsid w:val="00AB6ADA"/>
    <w:rsid w:val="00AB6C23"/>
    <w:rsid w:val="00AB6CA9"/>
    <w:rsid w:val="00AB7127"/>
    <w:rsid w:val="00AB7440"/>
    <w:rsid w:val="00AB765B"/>
    <w:rsid w:val="00AB77A6"/>
    <w:rsid w:val="00AB7986"/>
    <w:rsid w:val="00AB79A0"/>
    <w:rsid w:val="00AC0ABB"/>
    <w:rsid w:val="00AC0FE3"/>
    <w:rsid w:val="00AC11BC"/>
    <w:rsid w:val="00AC1BBB"/>
    <w:rsid w:val="00AC1BC9"/>
    <w:rsid w:val="00AC21ED"/>
    <w:rsid w:val="00AC29C9"/>
    <w:rsid w:val="00AC2C50"/>
    <w:rsid w:val="00AC2E40"/>
    <w:rsid w:val="00AC32F9"/>
    <w:rsid w:val="00AC33F2"/>
    <w:rsid w:val="00AC3493"/>
    <w:rsid w:val="00AC4998"/>
    <w:rsid w:val="00AC4CE3"/>
    <w:rsid w:val="00AC544C"/>
    <w:rsid w:val="00AC5BE4"/>
    <w:rsid w:val="00AC70AD"/>
    <w:rsid w:val="00AC7BD6"/>
    <w:rsid w:val="00AD0DB1"/>
    <w:rsid w:val="00AD10F5"/>
    <w:rsid w:val="00AD16C9"/>
    <w:rsid w:val="00AD19B1"/>
    <w:rsid w:val="00AD2180"/>
    <w:rsid w:val="00AD2CE5"/>
    <w:rsid w:val="00AD2E8B"/>
    <w:rsid w:val="00AD35B0"/>
    <w:rsid w:val="00AD3A98"/>
    <w:rsid w:val="00AD3B08"/>
    <w:rsid w:val="00AD47F8"/>
    <w:rsid w:val="00AD4F9F"/>
    <w:rsid w:val="00AD54BA"/>
    <w:rsid w:val="00AD5840"/>
    <w:rsid w:val="00AD58C5"/>
    <w:rsid w:val="00AD59C2"/>
    <w:rsid w:val="00AD5D24"/>
    <w:rsid w:val="00AD627B"/>
    <w:rsid w:val="00AD63B3"/>
    <w:rsid w:val="00AE012B"/>
    <w:rsid w:val="00AE03BD"/>
    <w:rsid w:val="00AE0FB0"/>
    <w:rsid w:val="00AE1133"/>
    <w:rsid w:val="00AE1149"/>
    <w:rsid w:val="00AE1D0A"/>
    <w:rsid w:val="00AE1EF6"/>
    <w:rsid w:val="00AE2DEE"/>
    <w:rsid w:val="00AE3733"/>
    <w:rsid w:val="00AE3B12"/>
    <w:rsid w:val="00AE3BF0"/>
    <w:rsid w:val="00AE3D3A"/>
    <w:rsid w:val="00AE404B"/>
    <w:rsid w:val="00AE46F3"/>
    <w:rsid w:val="00AE5578"/>
    <w:rsid w:val="00AE5C0A"/>
    <w:rsid w:val="00AE7052"/>
    <w:rsid w:val="00AE72A2"/>
    <w:rsid w:val="00AE7905"/>
    <w:rsid w:val="00AE7B52"/>
    <w:rsid w:val="00AE7E55"/>
    <w:rsid w:val="00AE7F35"/>
    <w:rsid w:val="00AF04BE"/>
    <w:rsid w:val="00AF13CE"/>
    <w:rsid w:val="00AF1EBE"/>
    <w:rsid w:val="00AF25ED"/>
    <w:rsid w:val="00AF28D2"/>
    <w:rsid w:val="00AF348C"/>
    <w:rsid w:val="00AF3C17"/>
    <w:rsid w:val="00AF3E64"/>
    <w:rsid w:val="00AF50D4"/>
    <w:rsid w:val="00AF553A"/>
    <w:rsid w:val="00AF555D"/>
    <w:rsid w:val="00AF5ADD"/>
    <w:rsid w:val="00AF65A0"/>
    <w:rsid w:val="00AF666C"/>
    <w:rsid w:val="00AF6E72"/>
    <w:rsid w:val="00AF79E1"/>
    <w:rsid w:val="00B00904"/>
    <w:rsid w:val="00B00C1C"/>
    <w:rsid w:val="00B00C22"/>
    <w:rsid w:val="00B00E71"/>
    <w:rsid w:val="00B028E7"/>
    <w:rsid w:val="00B03D5B"/>
    <w:rsid w:val="00B04269"/>
    <w:rsid w:val="00B04F4D"/>
    <w:rsid w:val="00B05573"/>
    <w:rsid w:val="00B059CE"/>
    <w:rsid w:val="00B05E0F"/>
    <w:rsid w:val="00B06436"/>
    <w:rsid w:val="00B06DE4"/>
    <w:rsid w:val="00B07DA6"/>
    <w:rsid w:val="00B12512"/>
    <w:rsid w:val="00B126F3"/>
    <w:rsid w:val="00B132CB"/>
    <w:rsid w:val="00B1399B"/>
    <w:rsid w:val="00B13F41"/>
    <w:rsid w:val="00B144A3"/>
    <w:rsid w:val="00B15CEB"/>
    <w:rsid w:val="00B163D5"/>
    <w:rsid w:val="00B165D1"/>
    <w:rsid w:val="00B1671A"/>
    <w:rsid w:val="00B167A4"/>
    <w:rsid w:val="00B17E85"/>
    <w:rsid w:val="00B17ED9"/>
    <w:rsid w:val="00B20B15"/>
    <w:rsid w:val="00B20BBA"/>
    <w:rsid w:val="00B20BD3"/>
    <w:rsid w:val="00B20D8F"/>
    <w:rsid w:val="00B22A8A"/>
    <w:rsid w:val="00B23944"/>
    <w:rsid w:val="00B23B50"/>
    <w:rsid w:val="00B2424C"/>
    <w:rsid w:val="00B255B1"/>
    <w:rsid w:val="00B25ECF"/>
    <w:rsid w:val="00B264D2"/>
    <w:rsid w:val="00B26B1D"/>
    <w:rsid w:val="00B26B6D"/>
    <w:rsid w:val="00B277FB"/>
    <w:rsid w:val="00B27CA2"/>
    <w:rsid w:val="00B27DCF"/>
    <w:rsid w:val="00B30807"/>
    <w:rsid w:val="00B311CA"/>
    <w:rsid w:val="00B31592"/>
    <w:rsid w:val="00B324A6"/>
    <w:rsid w:val="00B32701"/>
    <w:rsid w:val="00B32AE3"/>
    <w:rsid w:val="00B33071"/>
    <w:rsid w:val="00B33955"/>
    <w:rsid w:val="00B33C09"/>
    <w:rsid w:val="00B3432F"/>
    <w:rsid w:val="00B3465B"/>
    <w:rsid w:val="00B34B25"/>
    <w:rsid w:val="00B34B72"/>
    <w:rsid w:val="00B34B9E"/>
    <w:rsid w:val="00B35943"/>
    <w:rsid w:val="00B35F60"/>
    <w:rsid w:val="00B3677D"/>
    <w:rsid w:val="00B36B9C"/>
    <w:rsid w:val="00B36CED"/>
    <w:rsid w:val="00B36E9F"/>
    <w:rsid w:val="00B3726D"/>
    <w:rsid w:val="00B37692"/>
    <w:rsid w:val="00B37ECA"/>
    <w:rsid w:val="00B404C2"/>
    <w:rsid w:val="00B4052D"/>
    <w:rsid w:val="00B406A1"/>
    <w:rsid w:val="00B406F1"/>
    <w:rsid w:val="00B40AE4"/>
    <w:rsid w:val="00B40FF6"/>
    <w:rsid w:val="00B4104C"/>
    <w:rsid w:val="00B414FA"/>
    <w:rsid w:val="00B41B84"/>
    <w:rsid w:val="00B42079"/>
    <w:rsid w:val="00B426F3"/>
    <w:rsid w:val="00B43647"/>
    <w:rsid w:val="00B439D6"/>
    <w:rsid w:val="00B43FE7"/>
    <w:rsid w:val="00B44090"/>
    <w:rsid w:val="00B44175"/>
    <w:rsid w:val="00B4428B"/>
    <w:rsid w:val="00B444E3"/>
    <w:rsid w:val="00B45F65"/>
    <w:rsid w:val="00B4664B"/>
    <w:rsid w:val="00B468C1"/>
    <w:rsid w:val="00B46B90"/>
    <w:rsid w:val="00B46C4A"/>
    <w:rsid w:val="00B46D08"/>
    <w:rsid w:val="00B477C2"/>
    <w:rsid w:val="00B47AE3"/>
    <w:rsid w:val="00B47D9D"/>
    <w:rsid w:val="00B509FC"/>
    <w:rsid w:val="00B51036"/>
    <w:rsid w:val="00B5161B"/>
    <w:rsid w:val="00B51962"/>
    <w:rsid w:val="00B51F96"/>
    <w:rsid w:val="00B5293B"/>
    <w:rsid w:val="00B52D50"/>
    <w:rsid w:val="00B538AB"/>
    <w:rsid w:val="00B539B0"/>
    <w:rsid w:val="00B53C81"/>
    <w:rsid w:val="00B53E8D"/>
    <w:rsid w:val="00B545EB"/>
    <w:rsid w:val="00B54FA6"/>
    <w:rsid w:val="00B551C8"/>
    <w:rsid w:val="00B55A6C"/>
    <w:rsid w:val="00B569CD"/>
    <w:rsid w:val="00B62472"/>
    <w:rsid w:val="00B6360B"/>
    <w:rsid w:val="00B637AA"/>
    <w:rsid w:val="00B637E2"/>
    <w:rsid w:val="00B641B6"/>
    <w:rsid w:val="00B644AF"/>
    <w:rsid w:val="00B645B7"/>
    <w:rsid w:val="00B6471A"/>
    <w:rsid w:val="00B64E7F"/>
    <w:rsid w:val="00B6598D"/>
    <w:rsid w:val="00B659AC"/>
    <w:rsid w:val="00B65E2A"/>
    <w:rsid w:val="00B660CC"/>
    <w:rsid w:val="00B66452"/>
    <w:rsid w:val="00B66D3C"/>
    <w:rsid w:val="00B67392"/>
    <w:rsid w:val="00B67967"/>
    <w:rsid w:val="00B7119B"/>
    <w:rsid w:val="00B71742"/>
    <w:rsid w:val="00B722C6"/>
    <w:rsid w:val="00B726A0"/>
    <w:rsid w:val="00B72C3A"/>
    <w:rsid w:val="00B72FD3"/>
    <w:rsid w:val="00B73C98"/>
    <w:rsid w:val="00B7435A"/>
    <w:rsid w:val="00B746BF"/>
    <w:rsid w:val="00B75DD8"/>
    <w:rsid w:val="00B768B5"/>
    <w:rsid w:val="00B76997"/>
    <w:rsid w:val="00B76AEE"/>
    <w:rsid w:val="00B77913"/>
    <w:rsid w:val="00B77FED"/>
    <w:rsid w:val="00B80550"/>
    <w:rsid w:val="00B8115B"/>
    <w:rsid w:val="00B811B1"/>
    <w:rsid w:val="00B81BC1"/>
    <w:rsid w:val="00B827DF"/>
    <w:rsid w:val="00B82B17"/>
    <w:rsid w:val="00B82EDE"/>
    <w:rsid w:val="00B832C0"/>
    <w:rsid w:val="00B83D0E"/>
    <w:rsid w:val="00B83D83"/>
    <w:rsid w:val="00B849EE"/>
    <w:rsid w:val="00B84E9F"/>
    <w:rsid w:val="00B85383"/>
    <w:rsid w:val="00B85B7E"/>
    <w:rsid w:val="00B86CC4"/>
    <w:rsid w:val="00B86EE1"/>
    <w:rsid w:val="00B86F9D"/>
    <w:rsid w:val="00B870BF"/>
    <w:rsid w:val="00B87950"/>
    <w:rsid w:val="00B906E4"/>
    <w:rsid w:val="00B909CA"/>
    <w:rsid w:val="00B90AC6"/>
    <w:rsid w:val="00B90F26"/>
    <w:rsid w:val="00B911DC"/>
    <w:rsid w:val="00B91756"/>
    <w:rsid w:val="00B91DBB"/>
    <w:rsid w:val="00B91FD2"/>
    <w:rsid w:val="00B9221F"/>
    <w:rsid w:val="00B9351E"/>
    <w:rsid w:val="00B93E98"/>
    <w:rsid w:val="00B93F32"/>
    <w:rsid w:val="00B9404E"/>
    <w:rsid w:val="00B940EA"/>
    <w:rsid w:val="00B947CE"/>
    <w:rsid w:val="00B94F9D"/>
    <w:rsid w:val="00B95027"/>
    <w:rsid w:val="00B95396"/>
    <w:rsid w:val="00B95E11"/>
    <w:rsid w:val="00B96223"/>
    <w:rsid w:val="00B96633"/>
    <w:rsid w:val="00B96BB1"/>
    <w:rsid w:val="00B973F7"/>
    <w:rsid w:val="00B975B3"/>
    <w:rsid w:val="00B97701"/>
    <w:rsid w:val="00B97B80"/>
    <w:rsid w:val="00B97D31"/>
    <w:rsid w:val="00B97FDE"/>
    <w:rsid w:val="00BA065C"/>
    <w:rsid w:val="00BA09FA"/>
    <w:rsid w:val="00BA0B0F"/>
    <w:rsid w:val="00BA1098"/>
    <w:rsid w:val="00BA1E5B"/>
    <w:rsid w:val="00BA2E6E"/>
    <w:rsid w:val="00BA318C"/>
    <w:rsid w:val="00BA363A"/>
    <w:rsid w:val="00BA3BD1"/>
    <w:rsid w:val="00BA42F0"/>
    <w:rsid w:val="00BA42FB"/>
    <w:rsid w:val="00BA44DE"/>
    <w:rsid w:val="00BA45CA"/>
    <w:rsid w:val="00BA4F2B"/>
    <w:rsid w:val="00BA52A4"/>
    <w:rsid w:val="00BA557B"/>
    <w:rsid w:val="00BA686A"/>
    <w:rsid w:val="00BA6B10"/>
    <w:rsid w:val="00BA70AC"/>
    <w:rsid w:val="00BA7532"/>
    <w:rsid w:val="00BA7FCD"/>
    <w:rsid w:val="00BB070F"/>
    <w:rsid w:val="00BB1262"/>
    <w:rsid w:val="00BB16D7"/>
    <w:rsid w:val="00BB17E5"/>
    <w:rsid w:val="00BB2F57"/>
    <w:rsid w:val="00BB3052"/>
    <w:rsid w:val="00BB33CE"/>
    <w:rsid w:val="00BB38EE"/>
    <w:rsid w:val="00BB403C"/>
    <w:rsid w:val="00BB47C2"/>
    <w:rsid w:val="00BB4964"/>
    <w:rsid w:val="00BB51A4"/>
    <w:rsid w:val="00BB62EC"/>
    <w:rsid w:val="00BB6670"/>
    <w:rsid w:val="00BB74F7"/>
    <w:rsid w:val="00BB7584"/>
    <w:rsid w:val="00BB7603"/>
    <w:rsid w:val="00BB765B"/>
    <w:rsid w:val="00BC0BE4"/>
    <w:rsid w:val="00BC0BF5"/>
    <w:rsid w:val="00BC15C4"/>
    <w:rsid w:val="00BC1611"/>
    <w:rsid w:val="00BC171D"/>
    <w:rsid w:val="00BC18CC"/>
    <w:rsid w:val="00BC1C2A"/>
    <w:rsid w:val="00BC216F"/>
    <w:rsid w:val="00BC2741"/>
    <w:rsid w:val="00BC3D5E"/>
    <w:rsid w:val="00BC40D3"/>
    <w:rsid w:val="00BC4E99"/>
    <w:rsid w:val="00BC5702"/>
    <w:rsid w:val="00BC6277"/>
    <w:rsid w:val="00BC7036"/>
    <w:rsid w:val="00BC7496"/>
    <w:rsid w:val="00BC796D"/>
    <w:rsid w:val="00BC79D6"/>
    <w:rsid w:val="00BD013A"/>
    <w:rsid w:val="00BD06FA"/>
    <w:rsid w:val="00BD0A9B"/>
    <w:rsid w:val="00BD0DFF"/>
    <w:rsid w:val="00BD11D6"/>
    <w:rsid w:val="00BD153C"/>
    <w:rsid w:val="00BD15CD"/>
    <w:rsid w:val="00BD15CE"/>
    <w:rsid w:val="00BD1B30"/>
    <w:rsid w:val="00BD1EBB"/>
    <w:rsid w:val="00BD2FB1"/>
    <w:rsid w:val="00BD38F3"/>
    <w:rsid w:val="00BD3B23"/>
    <w:rsid w:val="00BD4738"/>
    <w:rsid w:val="00BD4BC7"/>
    <w:rsid w:val="00BD4E58"/>
    <w:rsid w:val="00BD59CE"/>
    <w:rsid w:val="00BD5EE7"/>
    <w:rsid w:val="00BD6784"/>
    <w:rsid w:val="00BD72DA"/>
    <w:rsid w:val="00BD7766"/>
    <w:rsid w:val="00BD7D66"/>
    <w:rsid w:val="00BD7E9C"/>
    <w:rsid w:val="00BE02D8"/>
    <w:rsid w:val="00BE09C0"/>
    <w:rsid w:val="00BE185B"/>
    <w:rsid w:val="00BE278B"/>
    <w:rsid w:val="00BE30C5"/>
    <w:rsid w:val="00BE5E27"/>
    <w:rsid w:val="00BE64FD"/>
    <w:rsid w:val="00BE6894"/>
    <w:rsid w:val="00BE7528"/>
    <w:rsid w:val="00BE76B2"/>
    <w:rsid w:val="00BE770E"/>
    <w:rsid w:val="00BE7827"/>
    <w:rsid w:val="00BE7B22"/>
    <w:rsid w:val="00BF03A5"/>
    <w:rsid w:val="00BF0533"/>
    <w:rsid w:val="00BF06BF"/>
    <w:rsid w:val="00BF0C73"/>
    <w:rsid w:val="00BF1144"/>
    <w:rsid w:val="00BF18F9"/>
    <w:rsid w:val="00BF2094"/>
    <w:rsid w:val="00BF2C02"/>
    <w:rsid w:val="00BF347C"/>
    <w:rsid w:val="00BF3C0F"/>
    <w:rsid w:val="00BF3D50"/>
    <w:rsid w:val="00BF508E"/>
    <w:rsid w:val="00BF5B7C"/>
    <w:rsid w:val="00BF5C69"/>
    <w:rsid w:val="00BF5DBE"/>
    <w:rsid w:val="00BF5ECA"/>
    <w:rsid w:val="00BF6435"/>
    <w:rsid w:val="00BF675A"/>
    <w:rsid w:val="00BF6983"/>
    <w:rsid w:val="00BF6E4C"/>
    <w:rsid w:val="00BF7214"/>
    <w:rsid w:val="00BF79A2"/>
    <w:rsid w:val="00C000E6"/>
    <w:rsid w:val="00C0019A"/>
    <w:rsid w:val="00C0040E"/>
    <w:rsid w:val="00C0058E"/>
    <w:rsid w:val="00C0184D"/>
    <w:rsid w:val="00C01BBC"/>
    <w:rsid w:val="00C02CC9"/>
    <w:rsid w:val="00C03221"/>
    <w:rsid w:val="00C03513"/>
    <w:rsid w:val="00C0430B"/>
    <w:rsid w:val="00C04B93"/>
    <w:rsid w:val="00C04C88"/>
    <w:rsid w:val="00C04D78"/>
    <w:rsid w:val="00C05738"/>
    <w:rsid w:val="00C064D7"/>
    <w:rsid w:val="00C06565"/>
    <w:rsid w:val="00C06BDF"/>
    <w:rsid w:val="00C06E82"/>
    <w:rsid w:val="00C0737C"/>
    <w:rsid w:val="00C07457"/>
    <w:rsid w:val="00C07657"/>
    <w:rsid w:val="00C076F3"/>
    <w:rsid w:val="00C07937"/>
    <w:rsid w:val="00C07DE4"/>
    <w:rsid w:val="00C10036"/>
    <w:rsid w:val="00C11532"/>
    <w:rsid w:val="00C12021"/>
    <w:rsid w:val="00C12097"/>
    <w:rsid w:val="00C121D3"/>
    <w:rsid w:val="00C122B6"/>
    <w:rsid w:val="00C12852"/>
    <w:rsid w:val="00C13690"/>
    <w:rsid w:val="00C13DED"/>
    <w:rsid w:val="00C145B3"/>
    <w:rsid w:val="00C148A5"/>
    <w:rsid w:val="00C14D66"/>
    <w:rsid w:val="00C1627D"/>
    <w:rsid w:val="00C164E3"/>
    <w:rsid w:val="00C16580"/>
    <w:rsid w:val="00C16675"/>
    <w:rsid w:val="00C16B38"/>
    <w:rsid w:val="00C16B99"/>
    <w:rsid w:val="00C1747A"/>
    <w:rsid w:val="00C17B08"/>
    <w:rsid w:val="00C208DF"/>
    <w:rsid w:val="00C214B7"/>
    <w:rsid w:val="00C21B13"/>
    <w:rsid w:val="00C226F3"/>
    <w:rsid w:val="00C22F05"/>
    <w:rsid w:val="00C23702"/>
    <w:rsid w:val="00C23DE5"/>
    <w:rsid w:val="00C243BF"/>
    <w:rsid w:val="00C24563"/>
    <w:rsid w:val="00C24744"/>
    <w:rsid w:val="00C25A49"/>
    <w:rsid w:val="00C25EE9"/>
    <w:rsid w:val="00C2662A"/>
    <w:rsid w:val="00C26889"/>
    <w:rsid w:val="00C26BB5"/>
    <w:rsid w:val="00C26CE0"/>
    <w:rsid w:val="00C26D8B"/>
    <w:rsid w:val="00C275EC"/>
    <w:rsid w:val="00C3006B"/>
    <w:rsid w:val="00C302D6"/>
    <w:rsid w:val="00C30824"/>
    <w:rsid w:val="00C30887"/>
    <w:rsid w:val="00C30A2B"/>
    <w:rsid w:val="00C3120E"/>
    <w:rsid w:val="00C317C2"/>
    <w:rsid w:val="00C31D54"/>
    <w:rsid w:val="00C32841"/>
    <w:rsid w:val="00C333D7"/>
    <w:rsid w:val="00C33762"/>
    <w:rsid w:val="00C33986"/>
    <w:rsid w:val="00C34187"/>
    <w:rsid w:val="00C34872"/>
    <w:rsid w:val="00C348E1"/>
    <w:rsid w:val="00C355FC"/>
    <w:rsid w:val="00C35D4D"/>
    <w:rsid w:val="00C3601A"/>
    <w:rsid w:val="00C36023"/>
    <w:rsid w:val="00C36657"/>
    <w:rsid w:val="00C36948"/>
    <w:rsid w:val="00C36B15"/>
    <w:rsid w:val="00C36D90"/>
    <w:rsid w:val="00C37468"/>
    <w:rsid w:val="00C37BAC"/>
    <w:rsid w:val="00C4008F"/>
    <w:rsid w:val="00C4032D"/>
    <w:rsid w:val="00C40C29"/>
    <w:rsid w:val="00C40C35"/>
    <w:rsid w:val="00C40CBA"/>
    <w:rsid w:val="00C40FE8"/>
    <w:rsid w:val="00C417AB"/>
    <w:rsid w:val="00C418EF"/>
    <w:rsid w:val="00C423CE"/>
    <w:rsid w:val="00C42783"/>
    <w:rsid w:val="00C428BC"/>
    <w:rsid w:val="00C42C48"/>
    <w:rsid w:val="00C42F0F"/>
    <w:rsid w:val="00C440B3"/>
    <w:rsid w:val="00C4437B"/>
    <w:rsid w:val="00C443DE"/>
    <w:rsid w:val="00C44667"/>
    <w:rsid w:val="00C45060"/>
    <w:rsid w:val="00C45A94"/>
    <w:rsid w:val="00C45CA7"/>
    <w:rsid w:val="00C45DBA"/>
    <w:rsid w:val="00C4621F"/>
    <w:rsid w:val="00C4657B"/>
    <w:rsid w:val="00C4715D"/>
    <w:rsid w:val="00C508E2"/>
    <w:rsid w:val="00C50C4B"/>
    <w:rsid w:val="00C51338"/>
    <w:rsid w:val="00C51509"/>
    <w:rsid w:val="00C51A2E"/>
    <w:rsid w:val="00C51D2D"/>
    <w:rsid w:val="00C520B8"/>
    <w:rsid w:val="00C52754"/>
    <w:rsid w:val="00C5284A"/>
    <w:rsid w:val="00C52AC7"/>
    <w:rsid w:val="00C52F93"/>
    <w:rsid w:val="00C52FD1"/>
    <w:rsid w:val="00C53EE5"/>
    <w:rsid w:val="00C5450B"/>
    <w:rsid w:val="00C54D4C"/>
    <w:rsid w:val="00C54EED"/>
    <w:rsid w:val="00C5526F"/>
    <w:rsid w:val="00C56335"/>
    <w:rsid w:val="00C56451"/>
    <w:rsid w:val="00C56629"/>
    <w:rsid w:val="00C57135"/>
    <w:rsid w:val="00C61B48"/>
    <w:rsid w:val="00C62B32"/>
    <w:rsid w:val="00C62D5C"/>
    <w:rsid w:val="00C633FF"/>
    <w:rsid w:val="00C6387F"/>
    <w:rsid w:val="00C63A30"/>
    <w:rsid w:val="00C63CF2"/>
    <w:rsid w:val="00C64019"/>
    <w:rsid w:val="00C64482"/>
    <w:rsid w:val="00C646E2"/>
    <w:rsid w:val="00C64BA4"/>
    <w:rsid w:val="00C65566"/>
    <w:rsid w:val="00C6560E"/>
    <w:rsid w:val="00C65A2B"/>
    <w:rsid w:val="00C65D77"/>
    <w:rsid w:val="00C65F23"/>
    <w:rsid w:val="00C6618C"/>
    <w:rsid w:val="00C66359"/>
    <w:rsid w:val="00C67069"/>
    <w:rsid w:val="00C675C6"/>
    <w:rsid w:val="00C7006B"/>
    <w:rsid w:val="00C7022F"/>
    <w:rsid w:val="00C70C9B"/>
    <w:rsid w:val="00C70DF4"/>
    <w:rsid w:val="00C71E16"/>
    <w:rsid w:val="00C735F8"/>
    <w:rsid w:val="00C740A5"/>
    <w:rsid w:val="00C749B1"/>
    <w:rsid w:val="00C756ED"/>
    <w:rsid w:val="00C76E2F"/>
    <w:rsid w:val="00C7737E"/>
    <w:rsid w:val="00C774AF"/>
    <w:rsid w:val="00C77BD2"/>
    <w:rsid w:val="00C77D4B"/>
    <w:rsid w:val="00C806E4"/>
    <w:rsid w:val="00C80A3F"/>
    <w:rsid w:val="00C80B40"/>
    <w:rsid w:val="00C80B72"/>
    <w:rsid w:val="00C80F6D"/>
    <w:rsid w:val="00C81814"/>
    <w:rsid w:val="00C82C40"/>
    <w:rsid w:val="00C82F6E"/>
    <w:rsid w:val="00C8395B"/>
    <w:rsid w:val="00C83B95"/>
    <w:rsid w:val="00C83D09"/>
    <w:rsid w:val="00C8412D"/>
    <w:rsid w:val="00C84907"/>
    <w:rsid w:val="00C84A0A"/>
    <w:rsid w:val="00C85332"/>
    <w:rsid w:val="00C8539B"/>
    <w:rsid w:val="00C85718"/>
    <w:rsid w:val="00C860A8"/>
    <w:rsid w:val="00C8620C"/>
    <w:rsid w:val="00C8708D"/>
    <w:rsid w:val="00C8750E"/>
    <w:rsid w:val="00C87893"/>
    <w:rsid w:val="00C87A04"/>
    <w:rsid w:val="00C87C97"/>
    <w:rsid w:val="00C90849"/>
    <w:rsid w:val="00C90B71"/>
    <w:rsid w:val="00C90ED9"/>
    <w:rsid w:val="00C91443"/>
    <w:rsid w:val="00C91D0C"/>
    <w:rsid w:val="00C9236C"/>
    <w:rsid w:val="00C9250E"/>
    <w:rsid w:val="00C93294"/>
    <w:rsid w:val="00C9344F"/>
    <w:rsid w:val="00C936DB"/>
    <w:rsid w:val="00C94157"/>
    <w:rsid w:val="00C9436F"/>
    <w:rsid w:val="00C9573F"/>
    <w:rsid w:val="00C96499"/>
    <w:rsid w:val="00C96B88"/>
    <w:rsid w:val="00C97D8F"/>
    <w:rsid w:val="00CA0399"/>
    <w:rsid w:val="00CA0D9B"/>
    <w:rsid w:val="00CA1294"/>
    <w:rsid w:val="00CA1BEF"/>
    <w:rsid w:val="00CA47FC"/>
    <w:rsid w:val="00CA502E"/>
    <w:rsid w:val="00CA517E"/>
    <w:rsid w:val="00CA5403"/>
    <w:rsid w:val="00CA659F"/>
    <w:rsid w:val="00CA7618"/>
    <w:rsid w:val="00CA7A9B"/>
    <w:rsid w:val="00CA7BE0"/>
    <w:rsid w:val="00CB05C9"/>
    <w:rsid w:val="00CB141B"/>
    <w:rsid w:val="00CB16D8"/>
    <w:rsid w:val="00CB31F8"/>
    <w:rsid w:val="00CB3482"/>
    <w:rsid w:val="00CB34AE"/>
    <w:rsid w:val="00CB3831"/>
    <w:rsid w:val="00CB3BDB"/>
    <w:rsid w:val="00CB3BFB"/>
    <w:rsid w:val="00CB4896"/>
    <w:rsid w:val="00CB4C4D"/>
    <w:rsid w:val="00CB4D42"/>
    <w:rsid w:val="00CB514F"/>
    <w:rsid w:val="00CB6D6F"/>
    <w:rsid w:val="00CB6ECE"/>
    <w:rsid w:val="00CB7C91"/>
    <w:rsid w:val="00CC0C94"/>
    <w:rsid w:val="00CC176B"/>
    <w:rsid w:val="00CC1B5C"/>
    <w:rsid w:val="00CC1C17"/>
    <w:rsid w:val="00CC29A4"/>
    <w:rsid w:val="00CC3ADB"/>
    <w:rsid w:val="00CC457E"/>
    <w:rsid w:val="00CC465E"/>
    <w:rsid w:val="00CC4AD8"/>
    <w:rsid w:val="00CC4CB7"/>
    <w:rsid w:val="00CC59DC"/>
    <w:rsid w:val="00CC62E1"/>
    <w:rsid w:val="00CC6A4B"/>
    <w:rsid w:val="00CC72C4"/>
    <w:rsid w:val="00CC788E"/>
    <w:rsid w:val="00CD0359"/>
    <w:rsid w:val="00CD036A"/>
    <w:rsid w:val="00CD09B0"/>
    <w:rsid w:val="00CD0A86"/>
    <w:rsid w:val="00CD0B47"/>
    <w:rsid w:val="00CD115C"/>
    <w:rsid w:val="00CD1DCC"/>
    <w:rsid w:val="00CD2150"/>
    <w:rsid w:val="00CD272F"/>
    <w:rsid w:val="00CD2D74"/>
    <w:rsid w:val="00CD31AA"/>
    <w:rsid w:val="00CD35B4"/>
    <w:rsid w:val="00CD37A1"/>
    <w:rsid w:val="00CD3846"/>
    <w:rsid w:val="00CD4631"/>
    <w:rsid w:val="00CD49BD"/>
    <w:rsid w:val="00CD4FEB"/>
    <w:rsid w:val="00CD62C6"/>
    <w:rsid w:val="00CD655E"/>
    <w:rsid w:val="00CD6F97"/>
    <w:rsid w:val="00CD72BE"/>
    <w:rsid w:val="00CE0F93"/>
    <w:rsid w:val="00CE1532"/>
    <w:rsid w:val="00CE15AD"/>
    <w:rsid w:val="00CE1910"/>
    <w:rsid w:val="00CE1A4F"/>
    <w:rsid w:val="00CE1ED6"/>
    <w:rsid w:val="00CE1F2D"/>
    <w:rsid w:val="00CE2149"/>
    <w:rsid w:val="00CE22D4"/>
    <w:rsid w:val="00CE247F"/>
    <w:rsid w:val="00CE248A"/>
    <w:rsid w:val="00CE2AF3"/>
    <w:rsid w:val="00CE2C43"/>
    <w:rsid w:val="00CE52FC"/>
    <w:rsid w:val="00CE5754"/>
    <w:rsid w:val="00CE5E7D"/>
    <w:rsid w:val="00CE64C9"/>
    <w:rsid w:val="00CE6A2C"/>
    <w:rsid w:val="00CE6EB0"/>
    <w:rsid w:val="00CE7FFE"/>
    <w:rsid w:val="00CF1377"/>
    <w:rsid w:val="00CF14F5"/>
    <w:rsid w:val="00CF1AB9"/>
    <w:rsid w:val="00CF1FCB"/>
    <w:rsid w:val="00CF261E"/>
    <w:rsid w:val="00CF27D0"/>
    <w:rsid w:val="00CF323E"/>
    <w:rsid w:val="00CF4515"/>
    <w:rsid w:val="00CF4FE6"/>
    <w:rsid w:val="00CF5008"/>
    <w:rsid w:val="00CF554E"/>
    <w:rsid w:val="00CF585C"/>
    <w:rsid w:val="00CF5C33"/>
    <w:rsid w:val="00CF5FC3"/>
    <w:rsid w:val="00CF6464"/>
    <w:rsid w:val="00CF696D"/>
    <w:rsid w:val="00CF69B4"/>
    <w:rsid w:val="00CF69EE"/>
    <w:rsid w:val="00CF6A5D"/>
    <w:rsid w:val="00CF74A7"/>
    <w:rsid w:val="00CF7F2A"/>
    <w:rsid w:val="00D00182"/>
    <w:rsid w:val="00D002FA"/>
    <w:rsid w:val="00D008FF"/>
    <w:rsid w:val="00D00EC8"/>
    <w:rsid w:val="00D013DD"/>
    <w:rsid w:val="00D015BA"/>
    <w:rsid w:val="00D0191F"/>
    <w:rsid w:val="00D01CBF"/>
    <w:rsid w:val="00D01E3A"/>
    <w:rsid w:val="00D02938"/>
    <w:rsid w:val="00D029C4"/>
    <w:rsid w:val="00D02BD2"/>
    <w:rsid w:val="00D02C2D"/>
    <w:rsid w:val="00D03367"/>
    <w:rsid w:val="00D04CE6"/>
    <w:rsid w:val="00D05077"/>
    <w:rsid w:val="00D05492"/>
    <w:rsid w:val="00D06167"/>
    <w:rsid w:val="00D0695E"/>
    <w:rsid w:val="00D06E36"/>
    <w:rsid w:val="00D06F42"/>
    <w:rsid w:val="00D06F99"/>
    <w:rsid w:val="00D074D1"/>
    <w:rsid w:val="00D07861"/>
    <w:rsid w:val="00D07B1F"/>
    <w:rsid w:val="00D103BB"/>
    <w:rsid w:val="00D107C6"/>
    <w:rsid w:val="00D10C2B"/>
    <w:rsid w:val="00D11F6D"/>
    <w:rsid w:val="00D12B44"/>
    <w:rsid w:val="00D12C93"/>
    <w:rsid w:val="00D13757"/>
    <w:rsid w:val="00D13D70"/>
    <w:rsid w:val="00D13F01"/>
    <w:rsid w:val="00D144D0"/>
    <w:rsid w:val="00D146D4"/>
    <w:rsid w:val="00D14727"/>
    <w:rsid w:val="00D15508"/>
    <w:rsid w:val="00D15F3F"/>
    <w:rsid w:val="00D16871"/>
    <w:rsid w:val="00D16F82"/>
    <w:rsid w:val="00D171EA"/>
    <w:rsid w:val="00D174FE"/>
    <w:rsid w:val="00D1773B"/>
    <w:rsid w:val="00D200FC"/>
    <w:rsid w:val="00D21C8D"/>
    <w:rsid w:val="00D21EB9"/>
    <w:rsid w:val="00D220F2"/>
    <w:rsid w:val="00D22417"/>
    <w:rsid w:val="00D228A5"/>
    <w:rsid w:val="00D23D0F"/>
    <w:rsid w:val="00D24D00"/>
    <w:rsid w:val="00D265A4"/>
    <w:rsid w:val="00D2674D"/>
    <w:rsid w:val="00D272C0"/>
    <w:rsid w:val="00D27E8F"/>
    <w:rsid w:val="00D300AB"/>
    <w:rsid w:val="00D30877"/>
    <w:rsid w:val="00D30AA6"/>
    <w:rsid w:val="00D30C35"/>
    <w:rsid w:val="00D30C88"/>
    <w:rsid w:val="00D30F73"/>
    <w:rsid w:val="00D31F69"/>
    <w:rsid w:val="00D31F7E"/>
    <w:rsid w:val="00D32102"/>
    <w:rsid w:val="00D323B6"/>
    <w:rsid w:val="00D32ACF"/>
    <w:rsid w:val="00D34491"/>
    <w:rsid w:val="00D34785"/>
    <w:rsid w:val="00D34FAF"/>
    <w:rsid w:val="00D35446"/>
    <w:rsid w:val="00D3764D"/>
    <w:rsid w:val="00D379A1"/>
    <w:rsid w:val="00D37CCE"/>
    <w:rsid w:val="00D402F7"/>
    <w:rsid w:val="00D40714"/>
    <w:rsid w:val="00D40934"/>
    <w:rsid w:val="00D40D82"/>
    <w:rsid w:val="00D413DB"/>
    <w:rsid w:val="00D414C6"/>
    <w:rsid w:val="00D415ED"/>
    <w:rsid w:val="00D41801"/>
    <w:rsid w:val="00D41869"/>
    <w:rsid w:val="00D4186E"/>
    <w:rsid w:val="00D42782"/>
    <w:rsid w:val="00D42B2E"/>
    <w:rsid w:val="00D42CA8"/>
    <w:rsid w:val="00D42E9C"/>
    <w:rsid w:val="00D435A4"/>
    <w:rsid w:val="00D43E75"/>
    <w:rsid w:val="00D462B1"/>
    <w:rsid w:val="00D46758"/>
    <w:rsid w:val="00D46858"/>
    <w:rsid w:val="00D468F4"/>
    <w:rsid w:val="00D46AE0"/>
    <w:rsid w:val="00D47582"/>
    <w:rsid w:val="00D478B9"/>
    <w:rsid w:val="00D47A85"/>
    <w:rsid w:val="00D47C6D"/>
    <w:rsid w:val="00D50B78"/>
    <w:rsid w:val="00D52168"/>
    <w:rsid w:val="00D5231C"/>
    <w:rsid w:val="00D5305B"/>
    <w:rsid w:val="00D533A5"/>
    <w:rsid w:val="00D53D9B"/>
    <w:rsid w:val="00D54104"/>
    <w:rsid w:val="00D541BF"/>
    <w:rsid w:val="00D542A5"/>
    <w:rsid w:val="00D548C8"/>
    <w:rsid w:val="00D55227"/>
    <w:rsid w:val="00D55F3B"/>
    <w:rsid w:val="00D56768"/>
    <w:rsid w:val="00D568D8"/>
    <w:rsid w:val="00D5695C"/>
    <w:rsid w:val="00D56C99"/>
    <w:rsid w:val="00D578BA"/>
    <w:rsid w:val="00D57939"/>
    <w:rsid w:val="00D57980"/>
    <w:rsid w:val="00D57E63"/>
    <w:rsid w:val="00D613D8"/>
    <w:rsid w:val="00D61F2D"/>
    <w:rsid w:val="00D620CE"/>
    <w:rsid w:val="00D62321"/>
    <w:rsid w:val="00D62DCB"/>
    <w:rsid w:val="00D630AA"/>
    <w:rsid w:val="00D63377"/>
    <w:rsid w:val="00D63413"/>
    <w:rsid w:val="00D6381C"/>
    <w:rsid w:val="00D64081"/>
    <w:rsid w:val="00D64F8E"/>
    <w:rsid w:val="00D6641B"/>
    <w:rsid w:val="00D67B9F"/>
    <w:rsid w:val="00D67EB8"/>
    <w:rsid w:val="00D67F2F"/>
    <w:rsid w:val="00D70669"/>
    <w:rsid w:val="00D70CCC"/>
    <w:rsid w:val="00D70DC4"/>
    <w:rsid w:val="00D71222"/>
    <w:rsid w:val="00D7124D"/>
    <w:rsid w:val="00D7185F"/>
    <w:rsid w:val="00D71B97"/>
    <w:rsid w:val="00D71FFC"/>
    <w:rsid w:val="00D723BF"/>
    <w:rsid w:val="00D727DA"/>
    <w:rsid w:val="00D72A06"/>
    <w:rsid w:val="00D73102"/>
    <w:rsid w:val="00D731E8"/>
    <w:rsid w:val="00D73561"/>
    <w:rsid w:val="00D738BC"/>
    <w:rsid w:val="00D73CAB"/>
    <w:rsid w:val="00D73F46"/>
    <w:rsid w:val="00D74A7F"/>
    <w:rsid w:val="00D74EB0"/>
    <w:rsid w:val="00D767F7"/>
    <w:rsid w:val="00D769E5"/>
    <w:rsid w:val="00D76A8B"/>
    <w:rsid w:val="00D777E9"/>
    <w:rsid w:val="00D7785E"/>
    <w:rsid w:val="00D77B50"/>
    <w:rsid w:val="00D77F6F"/>
    <w:rsid w:val="00D805E7"/>
    <w:rsid w:val="00D80735"/>
    <w:rsid w:val="00D80B97"/>
    <w:rsid w:val="00D80D9E"/>
    <w:rsid w:val="00D80E2B"/>
    <w:rsid w:val="00D8127F"/>
    <w:rsid w:val="00D81E70"/>
    <w:rsid w:val="00D8261A"/>
    <w:rsid w:val="00D83E5A"/>
    <w:rsid w:val="00D8511B"/>
    <w:rsid w:val="00D85B06"/>
    <w:rsid w:val="00D85B7E"/>
    <w:rsid w:val="00D85DE8"/>
    <w:rsid w:val="00D862D3"/>
    <w:rsid w:val="00D86A6C"/>
    <w:rsid w:val="00D87607"/>
    <w:rsid w:val="00D877BB"/>
    <w:rsid w:val="00D87D61"/>
    <w:rsid w:val="00D90903"/>
    <w:rsid w:val="00D90ED6"/>
    <w:rsid w:val="00D915AB"/>
    <w:rsid w:val="00D91E1D"/>
    <w:rsid w:val="00D92445"/>
    <w:rsid w:val="00D9251F"/>
    <w:rsid w:val="00D925AA"/>
    <w:rsid w:val="00D92B09"/>
    <w:rsid w:val="00D92BB9"/>
    <w:rsid w:val="00D93249"/>
    <w:rsid w:val="00D93843"/>
    <w:rsid w:val="00D9599C"/>
    <w:rsid w:val="00D95B91"/>
    <w:rsid w:val="00D96A2D"/>
    <w:rsid w:val="00D96C46"/>
    <w:rsid w:val="00D971A1"/>
    <w:rsid w:val="00DA1271"/>
    <w:rsid w:val="00DA1A6F"/>
    <w:rsid w:val="00DA2238"/>
    <w:rsid w:val="00DA22FB"/>
    <w:rsid w:val="00DA23D9"/>
    <w:rsid w:val="00DA27C7"/>
    <w:rsid w:val="00DA34CC"/>
    <w:rsid w:val="00DA34DA"/>
    <w:rsid w:val="00DA3FD3"/>
    <w:rsid w:val="00DA4223"/>
    <w:rsid w:val="00DA42A6"/>
    <w:rsid w:val="00DA49BB"/>
    <w:rsid w:val="00DA4E84"/>
    <w:rsid w:val="00DA5207"/>
    <w:rsid w:val="00DA531C"/>
    <w:rsid w:val="00DA5A7F"/>
    <w:rsid w:val="00DA5FC0"/>
    <w:rsid w:val="00DA68BE"/>
    <w:rsid w:val="00DA6CF0"/>
    <w:rsid w:val="00DA6D7B"/>
    <w:rsid w:val="00DA6E19"/>
    <w:rsid w:val="00DA75A3"/>
    <w:rsid w:val="00DA769D"/>
    <w:rsid w:val="00DB03FC"/>
    <w:rsid w:val="00DB0F9E"/>
    <w:rsid w:val="00DB12E1"/>
    <w:rsid w:val="00DB1565"/>
    <w:rsid w:val="00DB1797"/>
    <w:rsid w:val="00DB1AE2"/>
    <w:rsid w:val="00DB28A3"/>
    <w:rsid w:val="00DB2D3F"/>
    <w:rsid w:val="00DB379A"/>
    <w:rsid w:val="00DB38D3"/>
    <w:rsid w:val="00DB39CD"/>
    <w:rsid w:val="00DB3DEC"/>
    <w:rsid w:val="00DB4491"/>
    <w:rsid w:val="00DB49D1"/>
    <w:rsid w:val="00DB5AD7"/>
    <w:rsid w:val="00DB5ADD"/>
    <w:rsid w:val="00DB61D9"/>
    <w:rsid w:val="00DB65D3"/>
    <w:rsid w:val="00DB6EB5"/>
    <w:rsid w:val="00DB75A7"/>
    <w:rsid w:val="00DB75EB"/>
    <w:rsid w:val="00DC081D"/>
    <w:rsid w:val="00DC0A45"/>
    <w:rsid w:val="00DC0B3C"/>
    <w:rsid w:val="00DC0F03"/>
    <w:rsid w:val="00DC31B9"/>
    <w:rsid w:val="00DC3717"/>
    <w:rsid w:val="00DC48C0"/>
    <w:rsid w:val="00DC672C"/>
    <w:rsid w:val="00DC727B"/>
    <w:rsid w:val="00DC7969"/>
    <w:rsid w:val="00DD0121"/>
    <w:rsid w:val="00DD0133"/>
    <w:rsid w:val="00DD04FE"/>
    <w:rsid w:val="00DD073E"/>
    <w:rsid w:val="00DD0CB4"/>
    <w:rsid w:val="00DD1882"/>
    <w:rsid w:val="00DD21FE"/>
    <w:rsid w:val="00DD23D7"/>
    <w:rsid w:val="00DD24AE"/>
    <w:rsid w:val="00DD2935"/>
    <w:rsid w:val="00DD308E"/>
    <w:rsid w:val="00DD324D"/>
    <w:rsid w:val="00DD350F"/>
    <w:rsid w:val="00DD3E96"/>
    <w:rsid w:val="00DD545D"/>
    <w:rsid w:val="00DD5666"/>
    <w:rsid w:val="00DD570F"/>
    <w:rsid w:val="00DD592A"/>
    <w:rsid w:val="00DD64FB"/>
    <w:rsid w:val="00DD7487"/>
    <w:rsid w:val="00DD7818"/>
    <w:rsid w:val="00DE03EA"/>
    <w:rsid w:val="00DE0D6C"/>
    <w:rsid w:val="00DE11E3"/>
    <w:rsid w:val="00DE1F2C"/>
    <w:rsid w:val="00DE1FBE"/>
    <w:rsid w:val="00DE2EAB"/>
    <w:rsid w:val="00DE3519"/>
    <w:rsid w:val="00DE4C05"/>
    <w:rsid w:val="00DE4D0A"/>
    <w:rsid w:val="00DE5870"/>
    <w:rsid w:val="00DE6512"/>
    <w:rsid w:val="00DE67C9"/>
    <w:rsid w:val="00DE6ED8"/>
    <w:rsid w:val="00DE6F5F"/>
    <w:rsid w:val="00DE73F4"/>
    <w:rsid w:val="00DE78E9"/>
    <w:rsid w:val="00DF017D"/>
    <w:rsid w:val="00DF02D8"/>
    <w:rsid w:val="00DF06B0"/>
    <w:rsid w:val="00DF0BA1"/>
    <w:rsid w:val="00DF14DC"/>
    <w:rsid w:val="00DF1B28"/>
    <w:rsid w:val="00DF203F"/>
    <w:rsid w:val="00DF2B1D"/>
    <w:rsid w:val="00DF2C32"/>
    <w:rsid w:val="00DF315E"/>
    <w:rsid w:val="00DF31D6"/>
    <w:rsid w:val="00DF334E"/>
    <w:rsid w:val="00DF3A64"/>
    <w:rsid w:val="00DF5618"/>
    <w:rsid w:val="00DF56EA"/>
    <w:rsid w:val="00DF5C47"/>
    <w:rsid w:val="00DF732D"/>
    <w:rsid w:val="00DF7F21"/>
    <w:rsid w:val="00E0040D"/>
    <w:rsid w:val="00E015D4"/>
    <w:rsid w:val="00E019CD"/>
    <w:rsid w:val="00E01F07"/>
    <w:rsid w:val="00E02FC4"/>
    <w:rsid w:val="00E042BD"/>
    <w:rsid w:val="00E04726"/>
    <w:rsid w:val="00E047D3"/>
    <w:rsid w:val="00E04ABD"/>
    <w:rsid w:val="00E05341"/>
    <w:rsid w:val="00E05836"/>
    <w:rsid w:val="00E060D1"/>
    <w:rsid w:val="00E0611D"/>
    <w:rsid w:val="00E06A04"/>
    <w:rsid w:val="00E06DF2"/>
    <w:rsid w:val="00E06F8A"/>
    <w:rsid w:val="00E10DB5"/>
    <w:rsid w:val="00E115CD"/>
    <w:rsid w:val="00E11C55"/>
    <w:rsid w:val="00E12346"/>
    <w:rsid w:val="00E13417"/>
    <w:rsid w:val="00E144A3"/>
    <w:rsid w:val="00E14601"/>
    <w:rsid w:val="00E14973"/>
    <w:rsid w:val="00E149C8"/>
    <w:rsid w:val="00E151B9"/>
    <w:rsid w:val="00E160A7"/>
    <w:rsid w:val="00E16431"/>
    <w:rsid w:val="00E16545"/>
    <w:rsid w:val="00E166C9"/>
    <w:rsid w:val="00E167DC"/>
    <w:rsid w:val="00E16E49"/>
    <w:rsid w:val="00E17342"/>
    <w:rsid w:val="00E177D7"/>
    <w:rsid w:val="00E17EAE"/>
    <w:rsid w:val="00E2049B"/>
    <w:rsid w:val="00E204CB"/>
    <w:rsid w:val="00E20D2F"/>
    <w:rsid w:val="00E22732"/>
    <w:rsid w:val="00E22D45"/>
    <w:rsid w:val="00E23506"/>
    <w:rsid w:val="00E23D82"/>
    <w:rsid w:val="00E23EDC"/>
    <w:rsid w:val="00E243C7"/>
    <w:rsid w:val="00E24550"/>
    <w:rsid w:val="00E25311"/>
    <w:rsid w:val="00E25921"/>
    <w:rsid w:val="00E25A43"/>
    <w:rsid w:val="00E26090"/>
    <w:rsid w:val="00E26236"/>
    <w:rsid w:val="00E262CC"/>
    <w:rsid w:val="00E2671B"/>
    <w:rsid w:val="00E267C2"/>
    <w:rsid w:val="00E26850"/>
    <w:rsid w:val="00E272ED"/>
    <w:rsid w:val="00E27F53"/>
    <w:rsid w:val="00E3010F"/>
    <w:rsid w:val="00E301B6"/>
    <w:rsid w:val="00E309BD"/>
    <w:rsid w:val="00E30AC3"/>
    <w:rsid w:val="00E31169"/>
    <w:rsid w:val="00E32423"/>
    <w:rsid w:val="00E328A5"/>
    <w:rsid w:val="00E32A8C"/>
    <w:rsid w:val="00E32D91"/>
    <w:rsid w:val="00E337F1"/>
    <w:rsid w:val="00E339DB"/>
    <w:rsid w:val="00E33AAC"/>
    <w:rsid w:val="00E34ABC"/>
    <w:rsid w:val="00E3518E"/>
    <w:rsid w:val="00E35770"/>
    <w:rsid w:val="00E360A2"/>
    <w:rsid w:val="00E360ED"/>
    <w:rsid w:val="00E36211"/>
    <w:rsid w:val="00E37039"/>
    <w:rsid w:val="00E377E1"/>
    <w:rsid w:val="00E377FC"/>
    <w:rsid w:val="00E379B8"/>
    <w:rsid w:val="00E37B40"/>
    <w:rsid w:val="00E41853"/>
    <w:rsid w:val="00E422F3"/>
    <w:rsid w:val="00E42C54"/>
    <w:rsid w:val="00E42D61"/>
    <w:rsid w:val="00E42DE6"/>
    <w:rsid w:val="00E43392"/>
    <w:rsid w:val="00E433BF"/>
    <w:rsid w:val="00E438B7"/>
    <w:rsid w:val="00E43947"/>
    <w:rsid w:val="00E43D68"/>
    <w:rsid w:val="00E440ED"/>
    <w:rsid w:val="00E44654"/>
    <w:rsid w:val="00E44FAA"/>
    <w:rsid w:val="00E453E7"/>
    <w:rsid w:val="00E46024"/>
    <w:rsid w:val="00E460D6"/>
    <w:rsid w:val="00E4613C"/>
    <w:rsid w:val="00E47200"/>
    <w:rsid w:val="00E475F5"/>
    <w:rsid w:val="00E510A2"/>
    <w:rsid w:val="00E510F0"/>
    <w:rsid w:val="00E5174F"/>
    <w:rsid w:val="00E51AD7"/>
    <w:rsid w:val="00E520E4"/>
    <w:rsid w:val="00E52499"/>
    <w:rsid w:val="00E5399E"/>
    <w:rsid w:val="00E539A5"/>
    <w:rsid w:val="00E54440"/>
    <w:rsid w:val="00E54CE2"/>
    <w:rsid w:val="00E54CE5"/>
    <w:rsid w:val="00E54F38"/>
    <w:rsid w:val="00E54F77"/>
    <w:rsid w:val="00E556CC"/>
    <w:rsid w:val="00E55765"/>
    <w:rsid w:val="00E55DBD"/>
    <w:rsid w:val="00E56428"/>
    <w:rsid w:val="00E569F1"/>
    <w:rsid w:val="00E56F6B"/>
    <w:rsid w:val="00E573F1"/>
    <w:rsid w:val="00E605CC"/>
    <w:rsid w:val="00E60EED"/>
    <w:rsid w:val="00E61253"/>
    <w:rsid w:val="00E62C48"/>
    <w:rsid w:val="00E62DB6"/>
    <w:rsid w:val="00E639A5"/>
    <w:rsid w:val="00E63B42"/>
    <w:rsid w:val="00E644D6"/>
    <w:rsid w:val="00E649CE"/>
    <w:rsid w:val="00E64F96"/>
    <w:rsid w:val="00E652DC"/>
    <w:rsid w:val="00E65870"/>
    <w:rsid w:val="00E65B30"/>
    <w:rsid w:val="00E663DC"/>
    <w:rsid w:val="00E6696D"/>
    <w:rsid w:val="00E66B82"/>
    <w:rsid w:val="00E671F6"/>
    <w:rsid w:val="00E677B0"/>
    <w:rsid w:val="00E70110"/>
    <w:rsid w:val="00E71141"/>
    <w:rsid w:val="00E71610"/>
    <w:rsid w:val="00E71766"/>
    <w:rsid w:val="00E71C35"/>
    <w:rsid w:val="00E71ECB"/>
    <w:rsid w:val="00E71F58"/>
    <w:rsid w:val="00E720E1"/>
    <w:rsid w:val="00E7312D"/>
    <w:rsid w:val="00E73C83"/>
    <w:rsid w:val="00E73D29"/>
    <w:rsid w:val="00E742A2"/>
    <w:rsid w:val="00E742DE"/>
    <w:rsid w:val="00E743FE"/>
    <w:rsid w:val="00E749D3"/>
    <w:rsid w:val="00E74B51"/>
    <w:rsid w:val="00E74EE1"/>
    <w:rsid w:val="00E75437"/>
    <w:rsid w:val="00E762ED"/>
    <w:rsid w:val="00E76673"/>
    <w:rsid w:val="00E7704D"/>
    <w:rsid w:val="00E7713C"/>
    <w:rsid w:val="00E7735D"/>
    <w:rsid w:val="00E7783C"/>
    <w:rsid w:val="00E77E45"/>
    <w:rsid w:val="00E8041C"/>
    <w:rsid w:val="00E8103B"/>
    <w:rsid w:val="00E81145"/>
    <w:rsid w:val="00E81586"/>
    <w:rsid w:val="00E81E71"/>
    <w:rsid w:val="00E82324"/>
    <w:rsid w:val="00E827B0"/>
    <w:rsid w:val="00E82BA1"/>
    <w:rsid w:val="00E82BAF"/>
    <w:rsid w:val="00E83574"/>
    <w:rsid w:val="00E83B6C"/>
    <w:rsid w:val="00E83F4B"/>
    <w:rsid w:val="00E83F6D"/>
    <w:rsid w:val="00E84217"/>
    <w:rsid w:val="00E84392"/>
    <w:rsid w:val="00E84968"/>
    <w:rsid w:val="00E84A4C"/>
    <w:rsid w:val="00E84C44"/>
    <w:rsid w:val="00E853BC"/>
    <w:rsid w:val="00E858C4"/>
    <w:rsid w:val="00E8591D"/>
    <w:rsid w:val="00E85D65"/>
    <w:rsid w:val="00E867FC"/>
    <w:rsid w:val="00E868BC"/>
    <w:rsid w:val="00E87054"/>
    <w:rsid w:val="00E87D11"/>
    <w:rsid w:val="00E87FB6"/>
    <w:rsid w:val="00E90210"/>
    <w:rsid w:val="00E9042B"/>
    <w:rsid w:val="00E90C4D"/>
    <w:rsid w:val="00E919C6"/>
    <w:rsid w:val="00E91AD1"/>
    <w:rsid w:val="00E91E47"/>
    <w:rsid w:val="00E930C3"/>
    <w:rsid w:val="00E9337D"/>
    <w:rsid w:val="00E939ED"/>
    <w:rsid w:val="00E96A39"/>
    <w:rsid w:val="00E96AC1"/>
    <w:rsid w:val="00E96D69"/>
    <w:rsid w:val="00E9732E"/>
    <w:rsid w:val="00E97C97"/>
    <w:rsid w:val="00E97DF3"/>
    <w:rsid w:val="00EA0571"/>
    <w:rsid w:val="00EA088F"/>
    <w:rsid w:val="00EA1DD6"/>
    <w:rsid w:val="00EA21EA"/>
    <w:rsid w:val="00EA222F"/>
    <w:rsid w:val="00EA285F"/>
    <w:rsid w:val="00EA2F1E"/>
    <w:rsid w:val="00EA3691"/>
    <w:rsid w:val="00EA4361"/>
    <w:rsid w:val="00EA4925"/>
    <w:rsid w:val="00EA4B56"/>
    <w:rsid w:val="00EA4E81"/>
    <w:rsid w:val="00EA5D66"/>
    <w:rsid w:val="00EA6E8F"/>
    <w:rsid w:val="00EA7C7D"/>
    <w:rsid w:val="00EB04E2"/>
    <w:rsid w:val="00EB114F"/>
    <w:rsid w:val="00EB1CE2"/>
    <w:rsid w:val="00EB22A4"/>
    <w:rsid w:val="00EB2785"/>
    <w:rsid w:val="00EB27CD"/>
    <w:rsid w:val="00EB3A2E"/>
    <w:rsid w:val="00EB4026"/>
    <w:rsid w:val="00EB4162"/>
    <w:rsid w:val="00EB4341"/>
    <w:rsid w:val="00EB4501"/>
    <w:rsid w:val="00EB517E"/>
    <w:rsid w:val="00EB5A5D"/>
    <w:rsid w:val="00EB705A"/>
    <w:rsid w:val="00EB7668"/>
    <w:rsid w:val="00EC0935"/>
    <w:rsid w:val="00EC1890"/>
    <w:rsid w:val="00EC1E65"/>
    <w:rsid w:val="00EC1E73"/>
    <w:rsid w:val="00EC27EC"/>
    <w:rsid w:val="00EC2DDB"/>
    <w:rsid w:val="00EC33C2"/>
    <w:rsid w:val="00EC3750"/>
    <w:rsid w:val="00EC3782"/>
    <w:rsid w:val="00EC3985"/>
    <w:rsid w:val="00EC3DE4"/>
    <w:rsid w:val="00EC48BD"/>
    <w:rsid w:val="00EC4CBC"/>
    <w:rsid w:val="00EC50F2"/>
    <w:rsid w:val="00EC525A"/>
    <w:rsid w:val="00EC52C2"/>
    <w:rsid w:val="00EC5C7D"/>
    <w:rsid w:val="00EC5DED"/>
    <w:rsid w:val="00EC5F94"/>
    <w:rsid w:val="00EC6804"/>
    <w:rsid w:val="00EC6E7D"/>
    <w:rsid w:val="00EC7234"/>
    <w:rsid w:val="00EC7C5D"/>
    <w:rsid w:val="00ED022D"/>
    <w:rsid w:val="00ED0918"/>
    <w:rsid w:val="00ED0E9A"/>
    <w:rsid w:val="00ED10F1"/>
    <w:rsid w:val="00ED306E"/>
    <w:rsid w:val="00ED3C4D"/>
    <w:rsid w:val="00ED42BC"/>
    <w:rsid w:val="00ED46D8"/>
    <w:rsid w:val="00ED5CA0"/>
    <w:rsid w:val="00ED5E79"/>
    <w:rsid w:val="00ED67C4"/>
    <w:rsid w:val="00ED6F63"/>
    <w:rsid w:val="00ED745F"/>
    <w:rsid w:val="00ED7B08"/>
    <w:rsid w:val="00ED7C07"/>
    <w:rsid w:val="00EE0109"/>
    <w:rsid w:val="00EE065A"/>
    <w:rsid w:val="00EE166E"/>
    <w:rsid w:val="00EE1F66"/>
    <w:rsid w:val="00EE298D"/>
    <w:rsid w:val="00EE2C42"/>
    <w:rsid w:val="00EE2D20"/>
    <w:rsid w:val="00EE32A3"/>
    <w:rsid w:val="00EE35AE"/>
    <w:rsid w:val="00EE49EA"/>
    <w:rsid w:val="00EE52D9"/>
    <w:rsid w:val="00EE5351"/>
    <w:rsid w:val="00EE54E5"/>
    <w:rsid w:val="00EE6A57"/>
    <w:rsid w:val="00EE7420"/>
    <w:rsid w:val="00EF0BDF"/>
    <w:rsid w:val="00EF10BD"/>
    <w:rsid w:val="00EF242D"/>
    <w:rsid w:val="00EF2B2F"/>
    <w:rsid w:val="00EF4137"/>
    <w:rsid w:val="00EF41F3"/>
    <w:rsid w:val="00EF46BA"/>
    <w:rsid w:val="00EF4A59"/>
    <w:rsid w:val="00EF507B"/>
    <w:rsid w:val="00EF6117"/>
    <w:rsid w:val="00EF6681"/>
    <w:rsid w:val="00EF6BE7"/>
    <w:rsid w:val="00EF6CD1"/>
    <w:rsid w:val="00EF7CBF"/>
    <w:rsid w:val="00F00293"/>
    <w:rsid w:val="00F01682"/>
    <w:rsid w:val="00F02000"/>
    <w:rsid w:val="00F02728"/>
    <w:rsid w:val="00F028D0"/>
    <w:rsid w:val="00F0327C"/>
    <w:rsid w:val="00F03554"/>
    <w:rsid w:val="00F0363A"/>
    <w:rsid w:val="00F041A9"/>
    <w:rsid w:val="00F042BE"/>
    <w:rsid w:val="00F044BF"/>
    <w:rsid w:val="00F06452"/>
    <w:rsid w:val="00F066C5"/>
    <w:rsid w:val="00F06893"/>
    <w:rsid w:val="00F06E99"/>
    <w:rsid w:val="00F07A6B"/>
    <w:rsid w:val="00F07AEA"/>
    <w:rsid w:val="00F1046E"/>
    <w:rsid w:val="00F106A8"/>
    <w:rsid w:val="00F10C85"/>
    <w:rsid w:val="00F11752"/>
    <w:rsid w:val="00F11959"/>
    <w:rsid w:val="00F11C3B"/>
    <w:rsid w:val="00F12743"/>
    <w:rsid w:val="00F12963"/>
    <w:rsid w:val="00F13600"/>
    <w:rsid w:val="00F13B63"/>
    <w:rsid w:val="00F147C3"/>
    <w:rsid w:val="00F149F7"/>
    <w:rsid w:val="00F14BD5"/>
    <w:rsid w:val="00F151BA"/>
    <w:rsid w:val="00F1549E"/>
    <w:rsid w:val="00F154C0"/>
    <w:rsid w:val="00F15596"/>
    <w:rsid w:val="00F16A98"/>
    <w:rsid w:val="00F20BD9"/>
    <w:rsid w:val="00F20C97"/>
    <w:rsid w:val="00F21F40"/>
    <w:rsid w:val="00F2256A"/>
    <w:rsid w:val="00F22B78"/>
    <w:rsid w:val="00F22D48"/>
    <w:rsid w:val="00F22DBD"/>
    <w:rsid w:val="00F231CB"/>
    <w:rsid w:val="00F23EEC"/>
    <w:rsid w:val="00F25728"/>
    <w:rsid w:val="00F26F33"/>
    <w:rsid w:val="00F26F42"/>
    <w:rsid w:val="00F2730E"/>
    <w:rsid w:val="00F3054E"/>
    <w:rsid w:val="00F3055B"/>
    <w:rsid w:val="00F30824"/>
    <w:rsid w:val="00F31A88"/>
    <w:rsid w:val="00F31E60"/>
    <w:rsid w:val="00F32DE6"/>
    <w:rsid w:val="00F33260"/>
    <w:rsid w:val="00F33E89"/>
    <w:rsid w:val="00F342C2"/>
    <w:rsid w:val="00F344FC"/>
    <w:rsid w:val="00F34685"/>
    <w:rsid w:val="00F349D8"/>
    <w:rsid w:val="00F34D6D"/>
    <w:rsid w:val="00F35A51"/>
    <w:rsid w:val="00F3663E"/>
    <w:rsid w:val="00F3706C"/>
    <w:rsid w:val="00F40388"/>
    <w:rsid w:val="00F40490"/>
    <w:rsid w:val="00F40623"/>
    <w:rsid w:val="00F4098C"/>
    <w:rsid w:val="00F40BB2"/>
    <w:rsid w:val="00F40F19"/>
    <w:rsid w:val="00F410D2"/>
    <w:rsid w:val="00F417F8"/>
    <w:rsid w:val="00F429F2"/>
    <w:rsid w:val="00F42CAB"/>
    <w:rsid w:val="00F42EB8"/>
    <w:rsid w:val="00F43672"/>
    <w:rsid w:val="00F43713"/>
    <w:rsid w:val="00F446C9"/>
    <w:rsid w:val="00F44792"/>
    <w:rsid w:val="00F44D9B"/>
    <w:rsid w:val="00F451D0"/>
    <w:rsid w:val="00F461E7"/>
    <w:rsid w:val="00F4734D"/>
    <w:rsid w:val="00F477F6"/>
    <w:rsid w:val="00F50339"/>
    <w:rsid w:val="00F51AAB"/>
    <w:rsid w:val="00F51B1F"/>
    <w:rsid w:val="00F5205B"/>
    <w:rsid w:val="00F5244D"/>
    <w:rsid w:val="00F52AE2"/>
    <w:rsid w:val="00F52D35"/>
    <w:rsid w:val="00F52E72"/>
    <w:rsid w:val="00F53882"/>
    <w:rsid w:val="00F53C39"/>
    <w:rsid w:val="00F54205"/>
    <w:rsid w:val="00F54326"/>
    <w:rsid w:val="00F5517B"/>
    <w:rsid w:val="00F55595"/>
    <w:rsid w:val="00F555F6"/>
    <w:rsid w:val="00F55A81"/>
    <w:rsid w:val="00F55DF4"/>
    <w:rsid w:val="00F567C0"/>
    <w:rsid w:val="00F56B10"/>
    <w:rsid w:val="00F56DC4"/>
    <w:rsid w:val="00F56E51"/>
    <w:rsid w:val="00F57207"/>
    <w:rsid w:val="00F57961"/>
    <w:rsid w:val="00F57D97"/>
    <w:rsid w:val="00F6071D"/>
    <w:rsid w:val="00F60CD6"/>
    <w:rsid w:val="00F60F2C"/>
    <w:rsid w:val="00F6112A"/>
    <w:rsid w:val="00F61283"/>
    <w:rsid w:val="00F61374"/>
    <w:rsid w:val="00F61883"/>
    <w:rsid w:val="00F63044"/>
    <w:rsid w:val="00F6384E"/>
    <w:rsid w:val="00F6468A"/>
    <w:rsid w:val="00F64C98"/>
    <w:rsid w:val="00F65053"/>
    <w:rsid w:val="00F65BA8"/>
    <w:rsid w:val="00F6628A"/>
    <w:rsid w:val="00F66ADE"/>
    <w:rsid w:val="00F67079"/>
    <w:rsid w:val="00F67396"/>
    <w:rsid w:val="00F676FB"/>
    <w:rsid w:val="00F67BFD"/>
    <w:rsid w:val="00F703D4"/>
    <w:rsid w:val="00F7061B"/>
    <w:rsid w:val="00F70662"/>
    <w:rsid w:val="00F7161A"/>
    <w:rsid w:val="00F7169C"/>
    <w:rsid w:val="00F71AF4"/>
    <w:rsid w:val="00F71F50"/>
    <w:rsid w:val="00F7273B"/>
    <w:rsid w:val="00F72D3E"/>
    <w:rsid w:val="00F72DE6"/>
    <w:rsid w:val="00F7315C"/>
    <w:rsid w:val="00F73368"/>
    <w:rsid w:val="00F73536"/>
    <w:rsid w:val="00F73DA7"/>
    <w:rsid w:val="00F73DAF"/>
    <w:rsid w:val="00F7494A"/>
    <w:rsid w:val="00F767F7"/>
    <w:rsid w:val="00F76994"/>
    <w:rsid w:val="00F76A7C"/>
    <w:rsid w:val="00F76D5C"/>
    <w:rsid w:val="00F76E2F"/>
    <w:rsid w:val="00F77E7C"/>
    <w:rsid w:val="00F80D4F"/>
    <w:rsid w:val="00F81E53"/>
    <w:rsid w:val="00F82281"/>
    <w:rsid w:val="00F82CC6"/>
    <w:rsid w:val="00F842D7"/>
    <w:rsid w:val="00F84505"/>
    <w:rsid w:val="00F847EC"/>
    <w:rsid w:val="00F849F7"/>
    <w:rsid w:val="00F8546B"/>
    <w:rsid w:val="00F85DB9"/>
    <w:rsid w:val="00F85E3E"/>
    <w:rsid w:val="00F85F7E"/>
    <w:rsid w:val="00F862E7"/>
    <w:rsid w:val="00F86434"/>
    <w:rsid w:val="00F866BE"/>
    <w:rsid w:val="00F87074"/>
    <w:rsid w:val="00F8759F"/>
    <w:rsid w:val="00F87DBD"/>
    <w:rsid w:val="00F87F52"/>
    <w:rsid w:val="00F9066C"/>
    <w:rsid w:val="00F90C5F"/>
    <w:rsid w:val="00F92122"/>
    <w:rsid w:val="00F92CDC"/>
    <w:rsid w:val="00F932D6"/>
    <w:rsid w:val="00F93403"/>
    <w:rsid w:val="00F9413B"/>
    <w:rsid w:val="00F9458C"/>
    <w:rsid w:val="00F9482E"/>
    <w:rsid w:val="00F949B0"/>
    <w:rsid w:val="00F94A49"/>
    <w:rsid w:val="00F94C74"/>
    <w:rsid w:val="00F94E74"/>
    <w:rsid w:val="00F94F60"/>
    <w:rsid w:val="00F9524E"/>
    <w:rsid w:val="00F95517"/>
    <w:rsid w:val="00F9589C"/>
    <w:rsid w:val="00F95AB3"/>
    <w:rsid w:val="00F95E10"/>
    <w:rsid w:val="00F96064"/>
    <w:rsid w:val="00F97416"/>
    <w:rsid w:val="00F97BD5"/>
    <w:rsid w:val="00FA0B0D"/>
    <w:rsid w:val="00FA1593"/>
    <w:rsid w:val="00FA16B4"/>
    <w:rsid w:val="00FA1872"/>
    <w:rsid w:val="00FA1AA1"/>
    <w:rsid w:val="00FA251B"/>
    <w:rsid w:val="00FA2FE3"/>
    <w:rsid w:val="00FA3463"/>
    <w:rsid w:val="00FA4B1C"/>
    <w:rsid w:val="00FA4BF2"/>
    <w:rsid w:val="00FA4FB1"/>
    <w:rsid w:val="00FA5958"/>
    <w:rsid w:val="00FA595A"/>
    <w:rsid w:val="00FA61BC"/>
    <w:rsid w:val="00FA648F"/>
    <w:rsid w:val="00FA6B35"/>
    <w:rsid w:val="00FA6BE2"/>
    <w:rsid w:val="00FA72A3"/>
    <w:rsid w:val="00FA7872"/>
    <w:rsid w:val="00FA7C1F"/>
    <w:rsid w:val="00FA7EFD"/>
    <w:rsid w:val="00FB02AC"/>
    <w:rsid w:val="00FB0A0E"/>
    <w:rsid w:val="00FB0E97"/>
    <w:rsid w:val="00FB1110"/>
    <w:rsid w:val="00FB14F1"/>
    <w:rsid w:val="00FB155D"/>
    <w:rsid w:val="00FB17FD"/>
    <w:rsid w:val="00FB27B8"/>
    <w:rsid w:val="00FB2D9D"/>
    <w:rsid w:val="00FB2E04"/>
    <w:rsid w:val="00FB30B2"/>
    <w:rsid w:val="00FB3640"/>
    <w:rsid w:val="00FB4328"/>
    <w:rsid w:val="00FB43F7"/>
    <w:rsid w:val="00FB43F9"/>
    <w:rsid w:val="00FB45EB"/>
    <w:rsid w:val="00FB4D12"/>
    <w:rsid w:val="00FB5DDB"/>
    <w:rsid w:val="00FB72EA"/>
    <w:rsid w:val="00FB75AF"/>
    <w:rsid w:val="00FB76BA"/>
    <w:rsid w:val="00FC01B0"/>
    <w:rsid w:val="00FC0FCB"/>
    <w:rsid w:val="00FC1C36"/>
    <w:rsid w:val="00FC24A6"/>
    <w:rsid w:val="00FC283E"/>
    <w:rsid w:val="00FC30E3"/>
    <w:rsid w:val="00FC35EE"/>
    <w:rsid w:val="00FC36DA"/>
    <w:rsid w:val="00FC37C2"/>
    <w:rsid w:val="00FC3AAD"/>
    <w:rsid w:val="00FC3C8F"/>
    <w:rsid w:val="00FC3CA9"/>
    <w:rsid w:val="00FC4BD0"/>
    <w:rsid w:val="00FC618C"/>
    <w:rsid w:val="00FC63EC"/>
    <w:rsid w:val="00FC6572"/>
    <w:rsid w:val="00FC680B"/>
    <w:rsid w:val="00FC6D6F"/>
    <w:rsid w:val="00FC6E64"/>
    <w:rsid w:val="00FC6F91"/>
    <w:rsid w:val="00FC742F"/>
    <w:rsid w:val="00FC7A91"/>
    <w:rsid w:val="00FC7F46"/>
    <w:rsid w:val="00FC7FCD"/>
    <w:rsid w:val="00FD01EE"/>
    <w:rsid w:val="00FD052A"/>
    <w:rsid w:val="00FD0D9E"/>
    <w:rsid w:val="00FD18BF"/>
    <w:rsid w:val="00FD222E"/>
    <w:rsid w:val="00FD2621"/>
    <w:rsid w:val="00FD2633"/>
    <w:rsid w:val="00FD34EB"/>
    <w:rsid w:val="00FD3510"/>
    <w:rsid w:val="00FD3E20"/>
    <w:rsid w:val="00FD425B"/>
    <w:rsid w:val="00FD4370"/>
    <w:rsid w:val="00FD4A20"/>
    <w:rsid w:val="00FD4D07"/>
    <w:rsid w:val="00FD56AE"/>
    <w:rsid w:val="00FD5B28"/>
    <w:rsid w:val="00FD5D23"/>
    <w:rsid w:val="00FD5ED6"/>
    <w:rsid w:val="00FD7318"/>
    <w:rsid w:val="00FD769D"/>
    <w:rsid w:val="00FD78B0"/>
    <w:rsid w:val="00FE0564"/>
    <w:rsid w:val="00FE0591"/>
    <w:rsid w:val="00FE1CBD"/>
    <w:rsid w:val="00FE1D6E"/>
    <w:rsid w:val="00FE2045"/>
    <w:rsid w:val="00FE2720"/>
    <w:rsid w:val="00FE31C2"/>
    <w:rsid w:val="00FE3476"/>
    <w:rsid w:val="00FE3683"/>
    <w:rsid w:val="00FE3E90"/>
    <w:rsid w:val="00FE4635"/>
    <w:rsid w:val="00FE48B6"/>
    <w:rsid w:val="00FE4A98"/>
    <w:rsid w:val="00FE5600"/>
    <w:rsid w:val="00FE5667"/>
    <w:rsid w:val="00FE5690"/>
    <w:rsid w:val="00FE5CFE"/>
    <w:rsid w:val="00FE5E9F"/>
    <w:rsid w:val="00FE676F"/>
    <w:rsid w:val="00FE6789"/>
    <w:rsid w:val="00FE6ABD"/>
    <w:rsid w:val="00FE7484"/>
    <w:rsid w:val="00FE7D1B"/>
    <w:rsid w:val="00FE7FC2"/>
    <w:rsid w:val="00FF39F0"/>
    <w:rsid w:val="00FF3BBC"/>
    <w:rsid w:val="00FF4643"/>
    <w:rsid w:val="00FF4DD6"/>
    <w:rsid w:val="00FF5A89"/>
    <w:rsid w:val="00FF63D4"/>
    <w:rsid w:val="00FF6F1D"/>
    <w:rsid w:val="00FF705B"/>
    <w:rsid w:val="00FF7243"/>
    <w:rsid w:val="00FF7279"/>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2106c6,#1d05ab,#1052c8,#1379c5"/>
    </o:shapedefaults>
    <o:shapelayout v:ext="edit">
      <o:idmap v:ext="edit" data="1"/>
    </o:shapelayout>
  </w:shapeDefaults>
  <w:decimalSymbol w:val="."/>
  <w:listSeparator w:val=","/>
  <w14:docId w14:val="646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5E"/>
    <w:pPr>
      <w:spacing w:after="160" w:line="259" w:lineRule="auto"/>
    </w:pPr>
    <w:rPr>
      <w:rFonts w:asciiTheme="minorHAnsi" w:eastAsiaTheme="minorHAnsi" w:hAnsiTheme="minorHAnsi" w:cstheme="minorBidi"/>
      <w:sz w:val="22"/>
      <w:szCs w:val="22"/>
    </w:rPr>
  </w:style>
  <w:style w:type="paragraph" w:styleId="Heading1">
    <w:name w:val="heading 1"/>
    <w:aliases w:val="h1,l1,H1,header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h2,l2,H2,header 2"/>
    <w:basedOn w:val="Normal"/>
    <w:next w:val="ParaText"/>
    <w:link w:val="Heading2Char"/>
    <w:qFormat/>
    <w:rsid w:val="006475F1"/>
    <w:pPr>
      <w:keepNext/>
      <w:numPr>
        <w:ilvl w:val="1"/>
        <w:numId w:val="5"/>
      </w:numPr>
      <w:spacing w:after="240"/>
      <w:outlineLvl w:val="1"/>
    </w:pPr>
    <w:rPr>
      <w:b/>
      <w:sz w:val="30"/>
    </w:rPr>
  </w:style>
  <w:style w:type="paragraph" w:styleId="Heading3">
    <w:name w:val="heading 3"/>
    <w:aliases w:val="3,h3,l3,H3,Heading 3 Char1,h3 Char Char,Heading 3 Char Char,h3 Char"/>
    <w:basedOn w:val="Normal"/>
    <w:next w:val="ParaText"/>
    <w:link w:val="Heading3Char"/>
    <w:qFormat/>
    <w:rsid w:val="006475F1"/>
    <w:pPr>
      <w:keepNext/>
      <w:numPr>
        <w:ilvl w:val="2"/>
        <w:numId w:val="5"/>
      </w:numPr>
      <w:spacing w:after="240"/>
      <w:outlineLvl w:val="2"/>
    </w:pPr>
    <w:rPr>
      <w:b/>
      <w:sz w:val="26"/>
    </w:rPr>
  </w:style>
  <w:style w:type="paragraph" w:styleId="Heading4">
    <w:name w:val="heading 4"/>
    <w:aliases w:val="h4,l4,H4"/>
    <w:basedOn w:val="Normal"/>
    <w:next w:val="ParaText"/>
    <w:link w:val="Heading4Char"/>
    <w:qFormat/>
    <w:rsid w:val="006475F1"/>
    <w:pPr>
      <w:keepNext/>
      <w:numPr>
        <w:ilvl w:val="3"/>
        <w:numId w:val="5"/>
      </w:numPr>
      <w:spacing w:after="240"/>
      <w:outlineLvl w:val="3"/>
    </w:pPr>
    <w:rPr>
      <w:b/>
    </w:rPr>
  </w:style>
  <w:style w:type="paragraph" w:styleId="Heading5">
    <w:name w:val="heading 5"/>
    <w:aliases w:val="h5,l5,H5"/>
    <w:basedOn w:val="Normal"/>
    <w:next w:val="ParaText"/>
    <w:link w:val="Heading5Char"/>
    <w:qFormat/>
    <w:rsid w:val="006475F1"/>
    <w:pPr>
      <w:keepNext/>
      <w:numPr>
        <w:ilvl w:val="4"/>
        <w:numId w:val="5"/>
      </w:numPr>
      <w:spacing w:after="240"/>
      <w:outlineLvl w:val="4"/>
    </w:pPr>
    <w:rPr>
      <w:b/>
    </w:rPr>
  </w:style>
  <w:style w:type="paragraph" w:styleId="Heading6">
    <w:name w:val="heading 6"/>
    <w:basedOn w:val="Normal"/>
    <w:next w:val="ParaText"/>
    <w:link w:val="Heading6Char"/>
    <w:qFormat/>
    <w:rsid w:val="006475F1"/>
    <w:pPr>
      <w:spacing w:after="240"/>
      <w:outlineLvl w:val="5"/>
    </w:pPr>
    <w:rPr>
      <w:b/>
      <w:sz w:val="32"/>
    </w:rPr>
  </w:style>
  <w:style w:type="paragraph" w:styleId="Heading7">
    <w:name w:val="heading 7"/>
    <w:basedOn w:val="Normal"/>
    <w:next w:val="ParaText"/>
    <w:link w:val="Heading7Char"/>
    <w:qFormat/>
    <w:rsid w:val="006475F1"/>
    <w:pPr>
      <w:spacing w:after="240"/>
      <w:outlineLvl w:val="6"/>
    </w:pPr>
    <w:rPr>
      <w:b/>
      <w:i/>
      <w:sz w:val="26"/>
    </w:rPr>
  </w:style>
  <w:style w:type="paragraph" w:styleId="Heading8">
    <w:name w:val="heading 8"/>
    <w:basedOn w:val="Normal"/>
    <w:next w:val="ParaText"/>
    <w:link w:val="Heading8Char"/>
    <w:qFormat/>
    <w:rsid w:val="006475F1"/>
    <w:pPr>
      <w:spacing w:after="240"/>
      <w:outlineLvl w:val="7"/>
    </w:pPr>
    <w:rPr>
      <w:b/>
    </w:rPr>
  </w:style>
  <w:style w:type="paragraph" w:styleId="Heading9">
    <w:name w:val="heading 9"/>
    <w:basedOn w:val="Normal"/>
    <w:next w:val="Normal"/>
    <w:link w:val="Heading9Char"/>
    <w:qFormat/>
    <w:rsid w:val="006475F1"/>
    <w:pPr>
      <w:keepNext/>
      <w:outlineLvl w:val="8"/>
    </w:pPr>
    <w:rPr>
      <w:b/>
      <w:bCs/>
      <w:sz w:val="32"/>
    </w:rPr>
  </w:style>
  <w:style w:type="character" w:default="1" w:styleId="DefaultParagraphFont">
    <w:name w:val="Default Paragraph Font"/>
    <w:uiPriority w:val="1"/>
    <w:semiHidden/>
    <w:unhideWhenUsed/>
    <w:rsid w:val="008D50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505E"/>
  </w:style>
  <w:style w:type="paragraph" w:customStyle="1" w:styleId="ParaText">
    <w:name w:val="ParaText"/>
    <w:basedOn w:val="Normal"/>
    <w:link w:val="ParaTextChar1"/>
    <w:rsid w:val="006475F1"/>
    <w:pPr>
      <w:spacing w:after="240" w:line="300" w:lineRule="auto"/>
    </w:pPr>
  </w:style>
  <w:style w:type="character" w:customStyle="1" w:styleId="ParaTextChar1">
    <w:name w:val="ParaText Char1"/>
    <w:link w:val="ParaText"/>
    <w:rsid w:val="007524D9"/>
    <w:rPr>
      <w:rFonts w:ascii="Arial" w:hAnsi="Arial"/>
      <w:sz w:val="22"/>
    </w:rPr>
  </w:style>
  <w:style w:type="character" w:customStyle="1" w:styleId="Heading1Char">
    <w:name w:val="Heading 1 Char"/>
    <w:aliases w:val="h1 Char,l1 Char,H1 Char,header 1 Char"/>
    <w:link w:val="Heading1"/>
    <w:rsid w:val="007524D9"/>
    <w:rPr>
      <w:rFonts w:ascii="Arial" w:hAnsi="Arial"/>
      <w:b/>
      <w:kern w:val="28"/>
      <w:sz w:val="34"/>
    </w:rPr>
  </w:style>
  <w:style w:type="character" w:customStyle="1" w:styleId="Heading2Char">
    <w:name w:val="Heading 2 Char"/>
    <w:aliases w:val="2 Char,h2 Char,l2 Char,H2 Char,header 2 Char"/>
    <w:link w:val="Heading2"/>
    <w:rsid w:val="00FB27B8"/>
    <w:rPr>
      <w:rFonts w:ascii="Arial" w:hAnsi="Arial"/>
      <w:b/>
      <w:sz w:val="30"/>
    </w:rPr>
  </w:style>
  <w:style w:type="character" w:customStyle="1" w:styleId="Heading3Char">
    <w:name w:val="Heading 3 Char"/>
    <w:aliases w:val="3 Char,h3 Char1,l3 Char,H3 Char,Heading 3 Char1 Char,h3 Char Char Char,Heading 3 Char Char Char,h3 Char Char1"/>
    <w:link w:val="Heading3"/>
    <w:rsid w:val="00FB27B8"/>
    <w:rPr>
      <w:rFonts w:ascii="Arial" w:hAnsi="Arial"/>
      <w:b/>
      <w:sz w:val="26"/>
    </w:rPr>
  </w:style>
  <w:style w:type="character" w:customStyle="1" w:styleId="Heading4Char">
    <w:name w:val="Heading 4 Char"/>
    <w:aliases w:val="h4 Char,l4 Char,H4 Char"/>
    <w:link w:val="Heading4"/>
    <w:rsid w:val="00B46C4A"/>
    <w:rPr>
      <w:rFonts w:ascii="Arial" w:hAnsi="Arial"/>
      <w:b/>
      <w:sz w:val="22"/>
    </w:rPr>
  </w:style>
  <w:style w:type="character" w:customStyle="1" w:styleId="Heading5Char">
    <w:name w:val="Heading 5 Char"/>
    <w:aliases w:val="h5 Char,l5 Char,H5 Char"/>
    <w:basedOn w:val="DefaultParagraphFont"/>
    <w:link w:val="Heading5"/>
    <w:rsid w:val="00143C39"/>
    <w:rPr>
      <w:rFonts w:ascii="Arial" w:hAnsi="Arial"/>
      <w:b/>
      <w:sz w:val="22"/>
    </w:rPr>
  </w:style>
  <w:style w:type="character" w:customStyle="1" w:styleId="Heading6Char">
    <w:name w:val="Heading 6 Char"/>
    <w:basedOn w:val="DefaultParagraphFont"/>
    <w:link w:val="Heading6"/>
    <w:rsid w:val="00143C39"/>
    <w:rPr>
      <w:rFonts w:ascii="Arial" w:hAnsi="Arial"/>
      <w:b/>
      <w:sz w:val="32"/>
    </w:rPr>
  </w:style>
  <w:style w:type="character" w:customStyle="1" w:styleId="Heading7Char">
    <w:name w:val="Heading 7 Char"/>
    <w:basedOn w:val="DefaultParagraphFont"/>
    <w:link w:val="Heading7"/>
    <w:rsid w:val="00143C39"/>
    <w:rPr>
      <w:rFonts w:ascii="Arial" w:hAnsi="Arial"/>
      <w:b/>
      <w:i/>
      <w:sz w:val="26"/>
    </w:rPr>
  </w:style>
  <w:style w:type="character" w:customStyle="1" w:styleId="Heading8Char">
    <w:name w:val="Heading 8 Char"/>
    <w:basedOn w:val="DefaultParagraphFont"/>
    <w:link w:val="Heading8"/>
    <w:rsid w:val="00143C39"/>
    <w:rPr>
      <w:rFonts w:ascii="Arial" w:hAnsi="Arial"/>
      <w:b/>
      <w:sz w:val="22"/>
    </w:rPr>
  </w:style>
  <w:style w:type="character" w:customStyle="1" w:styleId="Heading9Char">
    <w:name w:val="Heading 9 Char"/>
    <w:basedOn w:val="DefaultParagraphFont"/>
    <w:link w:val="Heading9"/>
    <w:rsid w:val="00143C39"/>
    <w:rPr>
      <w:rFonts w:ascii="Arial" w:hAnsi="Arial"/>
      <w:b/>
      <w:bCs/>
      <w:sz w:val="32"/>
    </w:rPr>
  </w:style>
  <w:style w:type="paragraph" w:styleId="Header">
    <w:name w:val="header"/>
    <w:basedOn w:val="Normal"/>
    <w:link w:val="HeaderChar"/>
    <w:uiPriority w:val="99"/>
    <w:qFormat/>
    <w:rsid w:val="006475F1"/>
    <w:pPr>
      <w:tabs>
        <w:tab w:val="center" w:pos="4320"/>
        <w:tab w:val="right" w:pos="8640"/>
      </w:tabs>
    </w:pPr>
    <w:rPr>
      <w:b/>
    </w:rPr>
  </w:style>
  <w:style w:type="character" w:customStyle="1" w:styleId="HeaderChar">
    <w:name w:val="Header Char"/>
    <w:link w:val="Header"/>
    <w:uiPriority w:val="99"/>
    <w:rsid w:val="00924ADE"/>
    <w:rPr>
      <w:rFonts w:ascii="Arial" w:hAnsi="Arial"/>
      <w:b/>
      <w:sz w:val="22"/>
    </w:rPr>
  </w:style>
  <w:style w:type="paragraph" w:styleId="Footer">
    <w:name w:val="footer"/>
    <w:basedOn w:val="Normal"/>
    <w:link w:val="FooterChar"/>
    <w:uiPriority w:val="99"/>
    <w:qFormat/>
    <w:rsid w:val="006475F1"/>
    <w:pPr>
      <w:pBdr>
        <w:top w:val="single" w:sz="12" w:space="1" w:color="auto"/>
      </w:pBdr>
      <w:tabs>
        <w:tab w:val="right" w:pos="9360"/>
      </w:tabs>
    </w:pPr>
    <w:rPr>
      <w:i/>
      <w:sz w:val="18"/>
    </w:rPr>
  </w:style>
  <w:style w:type="character" w:customStyle="1" w:styleId="FooterChar">
    <w:name w:val="Footer Char"/>
    <w:link w:val="Footer"/>
    <w:uiPriority w:val="99"/>
    <w:rsid w:val="00B17E85"/>
    <w:rPr>
      <w:rFonts w:ascii="Arial" w:hAnsi="Arial"/>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8"/>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line="300" w:lineRule="auto"/>
    </w:pPr>
  </w:style>
  <w:style w:type="character" w:customStyle="1" w:styleId="Bullet1Char">
    <w:name w:val="Bullet1 Char"/>
    <w:link w:val="Bullet1"/>
    <w:rsid w:val="00770CC2"/>
    <w:rPr>
      <w:rFonts w:ascii="Arial" w:hAnsi="Arial"/>
      <w:sz w:val="22"/>
    </w:rPr>
  </w:style>
  <w:style w:type="paragraph" w:customStyle="1" w:styleId="Bullet1HRt">
    <w:name w:val="Bullet1[HRt]"/>
    <w:basedOn w:val="Normal"/>
    <w:link w:val="Bullet1HRtChar"/>
    <w:rsid w:val="006475F1"/>
    <w:pPr>
      <w:numPr>
        <w:numId w:val="2"/>
      </w:numPr>
      <w:spacing w:after="240" w:line="300" w:lineRule="auto"/>
    </w:pPr>
  </w:style>
  <w:style w:type="character" w:customStyle="1" w:styleId="Bullet1HRtChar">
    <w:name w:val="Bullet1[HRt] Char"/>
    <w:link w:val="Bullet1HRt"/>
    <w:rsid w:val="004848E7"/>
    <w:rPr>
      <w:rFonts w:ascii="Arial" w:hAnsi="Arial"/>
      <w:sz w:val="22"/>
    </w:rPr>
  </w:style>
  <w:style w:type="paragraph" w:customStyle="1" w:styleId="Bullet2">
    <w:name w:val="Bullet2"/>
    <w:basedOn w:val="Normal"/>
    <w:rsid w:val="006475F1"/>
    <w:pPr>
      <w:numPr>
        <w:numId w:val="3"/>
      </w:numPr>
      <w:spacing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qFormat/>
    <w:rsid w:val="006475F1"/>
    <w:pPr>
      <w:ind w:left="440" w:hanging="440"/>
    </w:pPr>
  </w:style>
  <w:style w:type="paragraph" w:styleId="TOC2">
    <w:name w:val="toc 2"/>
    <w:basedOn w:val="Normal"/>
    <w:next w:val="Normal"/>
    <w:autoRedefine/>
    <w:uiPriority w:val="39"/>
    <w:rsid w:val="007A721E"/>
    <w:pPr>
      <w:tabs>
        <w:tab w:val="left" w:pos="720"/>
        <w:tab w:val="left" w:pos="1008"/>
        <w:tab w:val="right" w:leader="dot" w:pos="9360"/>
      </w:tabs>
      <w:ind w:left="540" w:hanging="540"/>
    </w:pPr>
    <w:rPr>
      <w:b/>
      <w:noProof/>
    </w:rPr>
  </w:style>
  <w:style w:type="paragraph" w:styleId="TOC3">
    <w:name w:val="toc 3"/>
    <w:basedOn w:val="Normal"/>
    <w:next w:val="Normal"/>
    <w:autoRedefine/>
    <w:uiPriority w:val="39"/>
    <w:rsid w:val="002211F7"/>
    <w:pPr>
      <w:tabs>
        <w:tab w:val="left" w:pos="1440"/>
        <w:tab w:val="left" w:pos="1728"/>
        <w:tab w:val="left" w:pos="244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uiPriority w:val="1"/>
    <w:qFormat/>
    <w:rsid w:val="009769FA"/>
    <w:pPr>
      <w:keepNext/>
      <w:spacing w:before="120"/>
      <w:jc w:val="center"/>
    </w:pPr>
    <w:rPr>
      <w:b/>
    </w:rPr>
  </w:style>
  <w:style w:type="paragraph" w:styleId="Title">
    <w:name w:val="Title"/>
    <w:basedOn w:val="Normal"/>
    <w:next w:val="Subtitle"/>
    <w:link w:val="TitleChar"/>
    <w:qFormat/>
    <w:rsid w:val="006475F1"/>
    <w:pPr>
      <w:keepNext/>
      <w:keepLines/>
      <w:tabs>
        <w:tab w:val="left" w:pos="576"/>
      </w:tabs>
      <w:spacing w:before="240" w:after="240"/>
      <w:jc w:val="center"/>
    </w:pPr>
    <w:rPr>
      <w:kern w:val="28"/>
      <w:sz w:val="48"/>
    </w:rPr>
  </w:style>
  <w:style w:type="paragraph" w:styleId="Subtitle">
    <w:name w:val="Subtitle"/>
    <w:basedOn w:val="Normal"/>
    <w:link w:val="SubtitleChar"/>
    <w:qFormat/>
    <w:rsid w:val="006475F1"/>
    <w:pPr>
      <w:spacing w:after="60"/>
      <w:jc w:val="center"/>
      <w:outlineLvl w:val="1"/>
    </w:pPr>
    <w:rPr>
      <w:rFonts w:cs="Arial"/>
    </w:rPr>
  </w:style>
  <w:style w:type="character" w:customStyle="1" w:styleId="SubtitleChar">
    <w:name w:val="Subtitle Char"/>
    <w:basedOn w:val="DefaultParagraphFont"/>
    <w:link w:val="Subtitle"/>
    <w:rsid w:val="00143C39"/>
    <w:rPr>
      <w:rFonts w:ascii="Arial" w:hAnsi="Arial" w:cs="Arial"/>
      <w:sz w:val="24"/>
      <w:szCs w:val="24"/>
    </w:rPr>
  </w:style>
  <w:style w:type="character" w:customStyle="1" w:styleId="TitleChar">
    <w:name w:val="Title Char"/>
    <w:basedOn w:val="DefaultParagraphFont"/>
    <w:link w:val="Title"/>
    <w:rsid w:val="00143C39"/>
    <w:rPr>
      <w:rFonts w:ascii="Arial" w:hAnsi="Arial"/>
      <w:kern w:val="28"/>
      <w:sz w:val="48"/>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qFormat/>
    <w:rsid w:val="006475F1"/>
    <w:pPr>
      <w:keepLines/>
      <w:widowControl w:val="0"/>
      <w:suppressAutoHyphens/>
    </w:pPr>
    <w:rPr>
      <w:i/>
      <w:kern w:val="16"/>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qFormat/>
    <w:rsid w:val="006475F1"/>
    <w:pPr>
      <w:suppressAutoHyphens/>
      <w:spacing w:before="50"/>
      <w:ind w:left="216" w:hanging="216"/>
    </w:pPr>
    <w:rPr>
      <w:kern w:val="16"/>
      <w:sz w:val="18"/>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924ADE"/>
    <w:rPr>
      <w:rFonts w:ascii="Arial" w:hAnsi="Arial"/>
      <w:kern w:val="16"/>
      <w:sz w:val="18"/>
    </w:rPr>
  </w:style>
  <w:style w:type="character" w:styleId="FootnoteReference">
    <w:name w:val="footnote reference"/>
    <w:aliases w:val="o,fr,o1,o2,o3,o4,o5,o6,o11,o21,o7"/>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qFormat/>
    <w:rsid w:val="006475F1"/>
    <w:pPr>
      <w:suppressAutoHyphens/>
      <w:spacing w:before="120"/>
    </w:pPr>
    <w:rPr>
      <w:kern w:val="16"/>
    </w:rPr>
  </w:style>
  <w:style w:type="character" w:customStyle="1" w:styleId="ParagraphChar">
    <w:name w:val="Paragraph Char"/>
    <w:link w:val="Paragraph"/>
    <w:rsid w:val="008702FF"/>
    <w:rPr>
      <w:kern w:val="16"/>
      <w:sz w:val="24"/>
      <w:lang w:val="en-US" w:eastAsia="en-US" w:bidi="ar-SA"/>
    </w:rPr>
  </w:style>
  <w:style w:type="paragraph" w:styleId="CommentText">
    <w:name w:val="annotation text"/>
    <w:basedOn w:val="Normal"/>
    <w:link w:val="CommentTextChar"/>
    <w:rsid w:val="00DB49D1"/>
    <w:rPr>
      <w:sz w:val="20"/>
    </w:rPr>
  </w:style>
  <w:style w:type="character" w:customStyle="1" w:styleId="CommentTextChar">
    <w:name w:val="Comment Text Char"/>
    <w:link w:val="CommentText"/>
    <w:rsid w:val="007524D9"/>
    <w:rPr>
      <w:rFonts w:ascii="Arial" w:hAnsi="Arial"/>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link w:val="BalloonTextChar"/>
    <w:uiPriority w:val="99"/>
    <w:semiHidden/>
    <w:rsid w:val="006475F1"/>
    <w:rPr>
      <w:rFonts w:ascii="Tahoma" w:hAnsi="Tahoma" w:cs="Tahoma"/>
      <w:sz w:val="16"/>
      <w:szCs w:val="16"/>
    </w:rPr>
  </w:style>
  <w:style w:type="character" w:customStyle="1" w:styleId="BalloonTextChar">
    <w:name w:val="Balloon Text Char"/>
    <w:basedOn w:val="DefaultParagraphFont"/>
    <w:link w:val="BalloonText"/>
    <w:uiPriority w:val="99"/>
    <w:semiHidden/>
    <w:rsid w:val="00143C39"/>
    <w:rPr>
      <w:rFonts w:ascii="Tahoma" w:hAnsi="Tahoma" w:cs="Tahoma"/>
      <w:sz w:val="16"/>
      <w:szCs w:val="16"/>
    </w:rPr>
  </w:style>
  <w:style w:type="paragraph" w:styleId="CommentSubject">
    <w:name w:val="annotation subject"/>
    <w:basedOn w:val="CommentText"/>
    <w:next w:val="CommentText"/>
    <w:link w:val="CommentSubjectChar"/>
    <w:rsid w:val="00DB49D1"/>
    <w:rPr>
      <w:b/>
      <w:bCs/>
    </w:rPr>
  </w:style>
  <w:style w:type="character" w:customStyle="1" w:styleId="CommentSubjectChar">
    <w:name w:val="Comment Subject Char"/>
    <w:basedOn w:val="CommentTextChar"/>
    <w:link w:val="CommentSubject"/>
    <w:rsid w:val="00143C39"/>
    <w:rPr>
      <w:rFonts w:ascii="Arial" w:hAnsi="Arial"/>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paragraph" w:styleId="DocumentMap">
    <w:name w:val="Document Map"/>
    <w:basedOn w:val="Normal"/>
    <w:semiHidden/>
    <w:rsid w:val="00F767F7"/>
    <w:pPr>
      <w:shd w:val="clear" w:color="auto" w:fill="000080"/>
    </w:pPr>
    <w:rPr>
      <w:rFonts w:ascii="Tahoma" w:hAnsi="Tahoma" w:cs="Tahoma"/>
      <w:sz w:val="20"/>
    </w:rPr>
  </w:style>
  <w:style w:type="paragraph" w:customStyle="1" w:styleId="BPM">
    <w:name w:val="BPM"/>
    <w:basedOn w:val="ParaText"/>
    <w:link w:val="BPMChar"/>
    <w:qFormat/>
    <w:rsid w:val="007524D9"/>
  </w:style>
  <w:style w:type="character" w:customStyle="1" w:styleId="BPMChar">
    <w:name w:val="BPM Char"/>
    <w:link w:val="BPM"/>
    <w:rsid w:val="007524D9"/>
    <w:rPr>
      <w:rFonts w:ascii="Arial" w:hAnsi="Arial" w:cs="Arial"/>
      <w:sz w:val="22"/>
    </w:rPr>
  </w:style>
  <w:style w:type="paragraph" w:styleId="ListParagraph">
    <w:name w:val="List Paragraph"/>
    <w:basedOn w:val="Normal"/>
    <w:uiPriority w:val="34"/>
    <w:qFormat/>
    <w:rsid w:val="004848E7"/>
    <w:pPr>
      <w:ind w:left="720"/>
    </w:pPr>
  </w:style>
  <w:style w:type="paragraph" w:customStyle="1" w:styleId="BPM2">
    <w:name w:val="BPM2"/>
    <w:basedOn w:val="Bullet1HRt"/>
    <w:link w:val="BPM2Char"/>
    <w:qFormat/>
    <w:rsid w:val="004848E7"/>
  </w:style>
  <w:style w:type="character" w:customStyle="1" w:styleId="BPM2Char">
    <w:name w:val="BPM2 Char"/>
    <w:link w:val="BPM2"/>
    <w:rsid w:val="004848E7"/>
    <w:rPr>
      <w:rFonts w:ascii="Arial" w:hAnsi="Arial" w:cs="Arial"/>
      <w:sz w:val="22"/>
    </w:rPr>
  </w:style>
  <w:style w:type="paragraph" w:customStyle="1" w:styleId="BPM3">
    <w:name w:val="BPM 3"/>
    <w:basedOn w:val="Heading4"/>
    <w:link w:val="BPM3Char"/>
    <w:qFormat/>
    <w:rsid w:val="00B46C4A"/>
  </w:style>
  <w:style w:type="character" w:customStyle="1" w:styleId="BPM3Char">
    <w:name w:val="BPM 3 Char"/>
    <w:link w:val="BPM3"/>
    <w:rsid w:val="00B46C4A"/>
    <w:rPr>
      <w:rFonts w:ascii="Arial" w:hAnsi="Arial" w:cs="Arial"/>
      <w:b/>
      <w:sz w:val="22"/>
    </w:rPr>
  </w:style>
  <w:style w:type="paragraph" w:customStyle="1" w:styleId="BPM1">
    <w:name w:val="BPM1"/>
    <w:basedOn w:val="Heading2"/>
    <w:link w:val="BPM1Char"/>
    <w:qFormat/>
    <w:rsid w:val="00FB27B8"/>
  </w:style>
  <w:style w:type="character" w:customStyle="1" w:styleId="BPM1Char">
    <w:name w:val="BPM1 Char"/>
    <w:link w:val="BPM1"/>
    <w:rsid w:val="00FB27B8"/>
    <w:rPr>
      <w:rFonts w:ascii="Arial" w:hAnsi="Arial" w:cs="Arial"/>
      <w:b/>
      <w:sz w:val="30"/>
    </w:rPr>
  </w:style>
  <w:style w:type="paragraph" w:customStyle="1" w:styleId="Style1">
    <w:name w:val="Style1"/>
    <w:basedOn w:val="Heading4"/>
    <w:link w:val="Style1Char"/>
    <w:qFormat/>
    <w:rsid w:val="00FB27B8"/>
  </w:style>
  <w:style w:type="character" w:customStyle="1" w:styleId="Style1Char">
    <w:name w:val="Style1 Char"/>
    <w:link w:val="Style1"/>
    <w:rsid w:val="00FB27B8"/>
    <w:rPr>
      <w:rFonts w:ascii="Arial" w:hAnsi="Arial" w:cs="Arial"/>
      <w:b/>
      <w:sz w:val="22"/>
    </w:rPr>
  </w:style>
  <w:style w:type="paragraph" w:customStyle="1" w:styleId="Style2">
    <w:name w:val="Style2"/>
    <w:basedOn w:val="Heading3"/>
    <w:link w:val="Style2Char"/>
    <w:qFormat/>
    <w:rsid w:val="00FB27B8"/>
  </w:style>
  <w:style w:type="character" w:customStyle="1" w:styleId="Style2Char">
    <w:name w:val="Style2 Char"/>
    <w:link w:val="Style2"/>
    <w:rsid w:val="00FB27B8"/>
    <w:rPr>
      <w:rFonts w:ascii="Arial" w:hAnsi="Arial" w:cs="Arial"/>
      <w:b/>
      <w:sz w:val="26"/>
    </w:rPr>
  </w:style>
  <w:style w:type="paragraph" w:customStyle="1" w:styleId="Style3">
    <w:name w:val="Style3"/>
    <w:basedOn w:val="ParaText"/>
    <w:link w:val="Style3Char"/>
    <w:qFormat/>
    <w:rsid w:val="00D6381C"/>
  </w:style>
  <w:style w:type="character" w:customStyle="1" w:styleId="Style3Char">
    <w:name w:val="Style3 Char"/>
    <w:link w:val="Style3"/>
    <w:rsid w:val="00D6381C"/>
    <w:rPr>
      <w:rFonts w:ascii="Arial" w:hAnsi="Arial" w:cs="Arial"/>
      <w:sz w:val="22"/>
    </w:rPr>
  </w:style>
  <w:style w:type="paragraph" w:customStyle="1" w:styleId="Style4">
    <w:name w:val="Style4"/>
    <w:basedOn w:val="ParaText"/>
    <w:link w:val="Style4Char"/>
    <w:qFormat/>
    <w:rsid w:val="00180B8F"/>
    <w:pPr>
      <w:spacing w:before="120" w:after="0"/>
    </w:pPr>
  </w:style>
  <w:style w:type="character" w:customStyle="1" w:styleId="Style4Char">
    <w:name w:val="Style4 Char"/>
    <w:link w:val="Style4"/>
    <w:rsid w:val="00180B8F"/>
    <w:rPr>
      <w:rFonts w:ascii="Arial" w:hAnsi="Arial" w:cs="Arial"/>
      <w:sz w:val="22"/>
    </w:rPr>
  </w:style>
  <w:style w:type="paragraph" w:customStyle="1" w:styleId="Style5">
    <w:name w:val="Style5"/>
    <w:basedOn w:val="ParaText"/>
    <w:link w:val="Style5Char"/>
    <w:qFormat/>
    <w:rsid w:val="00AC7BD6"/>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style>
  <w:style w:type="character" w:customStyle="1" w:styleId="Style6Char">
    <w:name w:val="Style6 Char"/>
    <w:link w:val="Style6"/>
    <w:rsid w:val="00770CC2"/>
    <w:rPr>
      <w:rFonts w:ascii="Arial" w:hAnsi="Arial" w:cs="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basedOn w:val="DefaultParagraphFont"/>
    <w:rsid w:val="00C35D4D"/>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p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ind w:left="720"/>
      <w:contextualSpacing/>
    </w:pPr>
  </w:style>
  <w:style w:type="table" w:customStyle="1" w:styleId="TableGrid1">
    <w:name w:val="Table Grid1"/>
    <w:basedOn w:val="TableNormal"/>
    <w:next w:val="TableGrid"/>
    <w:uiPriority w:val="59"/>
    <w:rsid w:val="0061268E"/>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126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0D13"/>
    <w:rPr>
      <w:color w:val="800080"/>
      <w:u w:val="single"/>
    </w:rPr>
  </w:style>
  <w:style w:type="character" w:customStyle="1" w:styleId="ContentChar">
    <w:name w:val="Content Char"/>
    <w:link w:val="Content"/>
    <w:locked/>
    <w:rsid w:val="008F7A5E"/>
    <w:rPr>
      <w:rFonts w:ascii="Arial" w:hAnsi="Arial" w:cs="Arial"/>
      <w:sz w:val="22"/>
    </w:rPr>
  </w:style>
  <w:style w:type="paragraph" w:customStyle="1" w:styleId="Content">
    <w:name w:val="Content"/>
    <w:basedOn w:val="Normal"/>
    <w:link w:val="ContentChar"/>
    <w:qFormat/>
    <w:rsid w:val="008F7A5E"/>
    <w:pPr>
      <w:spacing w:after="240" w:line="300" w:lineRule="auto"/>
    </w:pPr>
  </w:style>
  <w:style w:type="character" w:customStyle="1" w:styleId="BulletsChar">
    <w:name w:val="Bullets Char"/>
    <w:link w:val="Bullets"/>
    <w:locked/>
    <w:rsid w:val="008F7A5E"/>
    <w:rPr>
      <w:rFonts w:ascii="Arial" w:hAnsi="Arial" w:cs="Arial"/>
      <w:sz w:val="22"/>
    </w:rPr>
  </w:style>
  <w:style w:type="paragraph" w:customStyle="1" w:styleId="Bullets">
    <w:name w:val="Bullets"/>
    <w:basedOn w:val="Bullet1HRt"/>
    <w:link w:val="BulletsChar"/>
    <w:qFormat/>
    <w:rsid w:val="008F7A5E"/>
    <w:pPr>
      <w:numPr>
        <w:numId w:val="0"/>
      </w:numPr>
      <w:tabs>
        <w:tab w:val="num" w:pos="720"/>
      </w:tabs>
      <w:ind w:left="720" w:hanging="360"/>
    </w:pPr>
  </w:style>
  <w:style w:type="paragraph" w:customStyle="1" w:styleId="hangingsection">
    <w:name w:val="hanging section"/>
    <w:basedOn w:val="Normal"/>
    <w:qFormat/>
    <w:rsid w:val="00C63A30"/>
    <w:pPr>
      <w:widowControl w:val="0"/>
      <w:suppressAutoHyphens/>
      <w:autoSpaceDE w:val="0"/>
      <w:autoSpaceDN w:val="0"/>
      <w:adjustRightInd w:val="0"/>
      <w:spacing w:after="240"/>
      <w:ind w:left="1440" w:hanging="720"/>
    </w:pPr>
    <w:rPr>
      <w:rFonts w:cs="Arial"/>
      <w:kern w:val="16"/>
    </w:rPr>
  </w:style>
  <w:style w:type="character" w:styleId="Emphasis">
    <w:name w:val="Emphasis"/>
    <w:qFormat/>
    <w:rsid w:val="00C63A30"/>
    <w:rPr>
      <w:rFonts w:ascii="Arial" w:hAnsi="Arial"/>
      <w:i/>
      <w:iCs/>
      <w:color w:val="0000FF"/>
      <w:sz w:val="22"/>
      <w:szCs w:val="20"/>
    </w:rPr>
  </w:style>
  <w:style w:type="paragraph" w:styleId="Revision">
    <w:name w:val="Revision"/>
    <w:hidden/>
    <w:uiPriority w:val="99"/>
    <w:semiHidden/>
    <w:rsid w:val="00021E09"/>
    <w:rPr>
      <w:rFonts w:ascii="Arial" w:hAnsi="Arial"/>
      <w:sz w:val="22"/>
    </w:rPr>
  </w:style>
  <w:style w:type="paragraph" w:customStyle="1" w:styleId="AFID">
    <w:name w:val="AFID"/>
    <w:basedOn w:val="Normal"/>
    <w:qFormat/>
    <w:rsid w:val="00924ADE"/>
    <w:pPr>
      <w:spacing w:line="480" w:lineRule="auto"/>
      <w:ind w:firstLine="720"/>
    </w:pPr>
    <w:rPr>
      <w:rFonts w:eastAsia="Calibri" w:cs="Arial"/>
    </w:rPr>
  </w:style>
  <w:style w:type="paragraph" w:styleId="Closing">
    <w:name w:val="Closing"/>
    <w:basedOn w:val="Normal"/>
    <w:link w:val="ClosingChar"/>
    <w:rsid w:val="007C3DB7"/>
    <w:pPr>
      <w:spacing w:line="220" w:lineRule="atLeast"/>
      <w:ind w:left="840" w:right="-360"/>
    </w:pPr>
    <w:rPr>
      <w:sz w:val="20"/>
    </w:rPr>
  </w:style>
  <w:style w:type="character" w:customStyle="1" w:styleId="ClosingChar">
    <w:name w:val="Closing Char"/>
    <w:basedOn w:val="DefaultParagraphFont"/>
    <w:link w:val="Closing"/>
    <w:rsid w:val="007C3DB7"/>
  </w:style>
  <w:style w:type="paragraph" w:styleId="PlainText">
    <w:name w:val="Plain Text"/>
    <w:basedOn w:val="Normal"/>
    <w:link w:val="PlainTextChar"/>
    <w:uiPriority w:val="99"/>
    <w:unhideWhenUsed/>
    <w:rsid w:val="002F635A"/>
    <w:rPr>
      <w:rFonts w:ascii="Calibri" w:eastAsia="Calibri" w:hAnsi="Calibri"/>
      <w:szCs w:val="21"/>
    </w:rPr>
  </w:style>
  <w:style w:type="character" w:customStyle="1" w:styleId="PlainTextChar">
    <w:name w:val="Plain Text Char"/>
    <w:link w:val="PlainText"/>
    <w:uiPriority w:val="99"/>
    <w:rsid w:val="002F635A"/>
    <w:rPr>
      <w:rFonts w:ascii="Calibri" w:eastAsia="Calibri" w:hAnsi="Calibri"/>
      <w:sz w:val="22"/>
      <w:szCs w:val="21"/>
    </w:rPr>
  </w:style>
  <w:style w:type="paragraph" w:customStyle="1" w:styleId="hangingnumber">
    <w:name w:val="hanging number"/>
    <w:basedOn w:val="Normal"/>
    <w:qFormat/>
    <w:rsid w:val="00E87D11"/>
    <w:pPr>
      <w:widowControl w:val="0"/>
      <w:autoSpaceDE w:val="0"/>
      <w:autoSpaceDN w:val="0"/>
      <w:adjustRightInd w:val="0"/>
      <w:spacing w:after="240"/>
      <w:ind w:left="2160" w:hanging="720"/>
    </w:pPr>
    <w:rPr>
      <w:rFonts w:cs="Arial"/>
      <w:kern w:val="16"/>
    </w:rPr>
  </w:style>
  <w:style w:type="table" w:customStyle="1" w:styleId="TableGrid3">
    <w:name w:val="Table Grid3"/>
    <w:basedOn w:val="TableNormal"/>
    <w:next w:val="TableGrid"/>
    <w:uiPriority w:val="59"/>
    <w:rsid w:val="00DB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9CD"/>
    <w:pPr>
      <w:spacing w:before="100" w:beforeAutospacing="1" w:after="100" w:afterAutospacing="1"/>
    </w:pPr>
    <w:rPr>
      <w:rFonts w:eastAsiaTheme="minorEastAsia"/>
    </w:rPr>
  </w:style>
  <w:style w:type="paragraph" w:customStyle="1" w:styleId="Figure">
    <w:name w:val="Figure"/>
    <w:basedOn w:val="Normal"/>
    <w:next w:val="Caption"/>
    <w:uiPriority w:val="1"/>
    <w:qFormat/>
    <w:rsid w:val="00DB39CD"/>
    <w:pPr>
      <w:keepNext/>
      <w:keepLines/>
      <w:widowControl w:val="0"/>
      <w:suppressAutoHyphens/>
      <w:spacing w:before="120"/>
      <w:jc w:val="center"/>
    </w:pPr>
    <w:rPr>
      <w:kern w:val="16"/>
    </w:rPr>
  </w:style>
  <w:style w:type="paragraph" w:customStyle="1" w:styleId="bullet">
    <w:name w:val="bullet"/>
    <w:basedOn w:val="Normal"/>
    <w:rsid w:val="00143C39"/>
    <w:pPr>
      <w:spacing w:before="120"/>
    </w:pPr>
    <w:rPr>
      <w:sz w:val="20"/>
    </w:rPr>
  </w:style>
  <w:style w:type="paragraph" w:customStyle="1" w:styleId="heading10">
    <w:name w:val="heading1"/>
    <w:basedOn w:val="Normal"/>
    <w:rsid w:val="00143C39"/>
    <w:pPr>
      <w:tabs>
        <w:tab w:val="left" w:pos="450"/>
        <w:tab w:val="left" w:pos="1080"/>
        <w:tab w:val="left" w:pos="1800"/>
        <w:tab w:val="left" w:pos="2610"/>
      </w:tabs>
      <w:spacing w:before="120"/>
    </w:pPr>
  </w:style>
  <w:style w:type="paragraph" w:customStyle="1" w:styleId="level4">
    <w:name w:val="level 4"/>
    <w:basedOn w:val="Normal"/>
    <w:rsid w:val="00143C39"/>
    <w:pPr>
      <w:spacing w:before="120"/>
      <w:ind w:left="634"/>
    </w:pPr>
  </w:style>
  <w:style w:type="paragraph" w:customStyle="1" w:styleId="level5">
    <w:name w:val="level 5"/>
    <w:basedOn w:val="Normal"/>
    <w:rsid w:val="00143C39"/>
    <w:pPr>
      <w:tabs>
        <w:tab w:val="left" w:pos="2520"/>
      </w:tabs>
      <w:spacing w:before="120"/>
      <w:ind w:left="1440"/>
    </w:pPr>
  </w:style>
  <w:style w:type="paragraph" w:customStyle="1" w:styleId="TOCEntry">
    <w:name w:val="TOCEntry"/>
    <w:basedOn w:val="Normal"/>
    <w:rsid w:val="00143C39"/>
    <w:pPr>
      <w:keepNext/>
      <w:keepLines/>
      <w:spacing w:before="120" w:after="240" w:line="240" w:lineRule="atLeast"/>
    </w:pPr>
    <w:rPr>
      <w:b/>
      <w:sz w:val="36"/>
    </w:rPr>
  </w:style>
  <w:style w:type="paragraph" w:customStyle="1" w:styleId="template">
    <w:name w:val="template"/>
    <w:basedOn w:val="Normal"/>
    <w:rsid w:val="00143C39"/>
    <w:pPr>
      <w:spacing w:before="120"/>
    </w:pPr>
    <w:rPr>
      <w:i/>
    </w:rPr>
  </w:style>
  <w:style w:type="paragraph" w:customStyle="1" w:styleId="level3text">
    <w:name w:val="level 3 text"/>
    <w:basedOn w:val="Normal"/>
    <w:rsid w:val="00143C39"/>
    <w:pPr>
      <w:spacing w:before="120" w:line="220" w:lineRule="exact"/>
      <w:ind w:left="1350" w:hanging="716"/>
    </w:pPr>
    <w:rPr>
      <w:i/>
    </w:rPr>
  </w:style>
  <w:style w:type="paragraph" w:customStyle="1" w:styleId="requirement">
    <w:name w:val="requirement"/>
    <w:basedOn w:val="level4"/>
    <w:rsid w:val="00143C39"/>
    <w:pPr>
      <w:spacing w:before="0"/>
      <w:ind w:left="2348" w:hanging="994"/>
    </w:pPr>
  </w:style>
  <w:style w:type="paragraph" w:customStyle="1" w:styleId="ByLine">
    <w:name w:val="ByLine"/>
    <w:basedOn w:val="Title"/>
    <w:rsid w:val="00143C39"/>
    <w:pPr>
      <w:keepNext w:val="0"/>
      <w:keepLines w:val="0"/>
      <w:tabs>
        <w:tab w:val="clear" w:pos="576"/>
      </w:tabs>
      <w:spacing w:after="720"/>
      <w:jc w:val="right"/>
    </w:pPr>
    <w:rPr>
      <w:b/>
      <w:sz w:val="28"/>
    </w:rPr>
  </w:style>
  <w:style w:type="paragraph" w:customStyle="1" w:styleId="ChangeHistoryTitle">
    <w:name w:val="ChangeHistory Title"/>
    <w:basedOn w:val="Normal"/>
    <w:rsid w:val="00143C39"/>
    <w:pPr>
      <w:keepNext/>
      <w:spacing w:before="60" w:after="60"/>
      <w:jc w:val="center"/>
    </w:pPr>
    <w:rPr>
      <w:b/>
      <w:sz w:val="36"/>
    </w:rPr>
  </w:style>
  <w:style w:type="paragraph" w:customStyle="1" w:styleId="SuperTitle">
    <w:name w:val="SuperTitle"/>
    <w:basedOn w:val="Title"/>
    <w:next w:val="Normal"/>
    <w:rsid w:val="00143C39"/>
    <w:pPr>
      <w:keepNext w:val="0"/>
      <w:keepLines w:val="0"/>
      <w:pBdr>
        <w:top w:val="single" w:sz="48" w:space="1" w:color="auto"/>
      </w:pBdr>
      <w:tabs>
        <w:tab w:val="clear" w:pos="576"/>
      </w:tabs>
      <w:spacing w:before="960" w:after="0"/>
      <w:jc w:val="right"/>
    </w:pPr>
    <w:rPr>
      <w:b/>
      <w:sz w:val="28"/>
    </w:rPr>
  </w:style>
  <w:style w:type="paragraph" w:customStyle="1" w:styleId="line">
    <w:name w:val="line"/>
    <w:basedOn w:val="Title"/>
    <w:rsid w:val="00143C39"/>
    <w:pPr>
      <w:keepNext w:val="0"/>
      <w:keepLines w:val="0"/>
      <w:pBdr>
        <w:top w:val="single" w:sz="36" w:space="1" w:color="auto"/>
      </w:pBdr>
      <w:tabs>
        <w:tab w:val="clear" w:pos="576"/>
      </w:tabs>
      <w:spacing w:after="0"/>
      <w:jc w:val="right"/>
    </w:pPr>
    <w:rPr>
      <w:b/>
      <w:sz w:val="40"/>
    </w:rPr>
  </w:style>
  <w:style w:type="paragraph" w:customStyle="1" w:styleId="Tabletext">
    <w:name w:val="Tabletext"/>
    <w:basedOn w:val="Normal"/>
    <w:rsid w:val="00143C39"/>
    <w:pPr>
      <w:keepLines/>
      <w:widowControl w:val="0"/>
      <w:spacing w:before="120" w:line="240" w:lineRule="atLeast"/>
    </w:pPr>
    <w:rPr>
      <w:sz w:val="20"/>
    </w:rPr>
  </w:style>
  <w:style w:type="paragraph" w:styleId="BodyText2">
    <w:name w:val="Body Text 2"/>
    <w:basedOn w:val="Normal"/>
    <w:link w:val="BodyText2Char"/>
    <w:rsid w:val="00143C39"/>
    <w:pPr>
      <w:spacing w:before="120"/>
    </w:pPr>
    <w:rPr>
      <w:sz w:val="20"/>
    </w:rPr>
  </w:style>
  <w:style w:type="character" w:customStyle="1" w:styleId="BodyText2Char">
    <w:name w:val="Body Text 2 Char"/>
    <w:basedOn w:val="DefaultParagraphFont"/>
    <w:link w:val="BodyText2"/>
    <w:rsid w:val="00143C39"/>
    <w:rPr>
      <w:szCs w:val="24"/>
    </w:rPr>
  </w:style>
  <w:style w:type="paragraph" w:styleId="BodyTextIndent3">
    <w:name w:val="Body Text Indent 3"/>
    <w:basedOn w:val="Normal"/>
    <w:link w:val="BodyTextIndent3Char"/>
    <w:rsid w:val="00143C39"/>
    <w:pPr>
      <w:spacing w:before="120"/>
      <w:ind w:left="360"/>
    </w:pPr>
    <w:rPr>
      <w:sz w:val="16"/>
      <w:szCs w:val="16"/>
    </w:rPr>
  </w:style>
  <w:style w:type="character" w:customStyle="1" w:styleId="BodyTextIndent3Char">
    <w:name w:val="Body Text Indent 3 Char"/>
    <w:basedOn w:val="DefaultParagraphFont"/>
    <w:link w:val="BodyTextIndent3"/>
    <w:rsid w:val="00143C39"/>
    <w:rPr>
      <w:rFonts w:ascii="Arial" w:hAnsi="Arial"/>
      <w:sz w:val="16"/>
      <w:szCs w:val="16"/>
    </w:rPr>
  </w:style>
  <w:style w:type="paragraph" w:styleId="BodyTextIndent">
    <w:name w:val="Body Text Indent"/>
    <w:basedOn w:val="Normal"/>
    <w:link w:val="BodyTextIndentChar"/>
    <w:rsid w:val="00143C39"/>
    <w:pPr>
      <w:spacing w:before="120"/>
      <w:ind w:left="720"/>
    </w:pPr>
    <w:rPr>
      <w:sz w:val="20"/>
    </w:rPr>
  </w:style>
  <w:style w:type="character" w:customStyle="1" w:styleId="BodyTextIndentChar">
    <w:name w:val="Body Text Indent Char"/>
    <w:basedOn w:val="DefaultParagraphFont"/>
    <w:link w:val="BodyTextIndent"/>
    <w:rsid w:val="00143C39"/>
    <w:rPr>
      <w:rFonts w:ascii="Arial" w:hAnsi="Arial"/>
    </w:rPr>
  </w:style>
  <w:style w:type="paragraph" w:customStyle="1" w:styleId="TableColumnHeads">
    <w:name w:val="Table Column Heads"/>
    <w:basedOn w:val="Normal"/>
    <w:rsid w:val="00143C39"/>
    <w:pPr>
      <w:keepLines/>
      <w:spacing w:before="120"/>
    </w:pPr>
    <w:rPr>
      <w:rFonts w:ascii="Arial Narrow" w:hAnsi="Arial Narrow"/>
      <w:b/>
      <w:bCs/>
      <w:smallCaps/>
    </w:rPr>
  </w:style>
  <w:style w:type="paragraph" w:styleId="BodyTextIndent2">
    <w:name w:val="Body Text Indent 2"/>
    <w:basedOn w:val="Normal"/>
    <w:link w:val="BodyTextIndent2Char"/>
    <w:rsid w:val="00143C39"/>
    <w:pPr>
      <w:spacing w:before="120"/>
      <w:ind w:left="720"/>
    </w:pPr>
  </w:style>
  <w:style w:type="character" w:customStyle="1" w:styleId="BodyTextIndent2Char">
    <w:name w:val="Body Text Indent 2 Char"/>
    <w:basedOn w:val="DefaultParagraphFont"/>
    <w:link w:val="BodyTextIndent2"/>
    <w:rsid w:val="00143C39"/>
    <w:rPr>
      <w:rFonts w:ascii="Arial" w:hAnsi="Arial"/>
      <w:sz w:val="22"/>
    </w:rPr>
  </w:style>
  <w:style w:type="paragraph" w:customStyle="1" w:styleId="InfoBlue">
    <w:name w:val="InfoBlue"/>
    <w:basedOn w:val="Normal"/>
    <w:next w:val="BodyText"/>
    <w:autoRedefine/>
    <w:rsid w:val="00143C39"/>
    <w:pPr>
      <w:spacing w:before="120"/>
    </w:pPr>
    <w:rPr>
      <w:b/>
      <w:bCs/>
      <w:i/>
      <w:color w:val="0000FF"/>
      <w:sz w:val="20"/>
    </w:rPr>
  </w:style>
  <w:style w:type="paragraph" w:customStyle="1" w:styleId="SectionLabel">
    <w:name w:val="Section Label"/>
    <w:basedOn w:val="Normal"/>
    <w:next w:val="Normal"/>
    <w:rsid w:val="00143C39"/>
    <w:pPr>
      <w:spacing w:before="2040" w:after="360" w:line="480" w:lineRule="atLeast"/>
    </w:pPr>
    <w:rPr>
      <w:rFonts w:ascii="Arial Black" w:hAnsi="Arial Black"/>
      <w:color w:val="808080"/>
      <w:spacing w:val="-35"/>
      <w:sz w:val="48"/>
    </w:rPr>
  </w:style>
  <w:style w:type="character" w:styleId="LineNumber">
    <w:name w:val="line number"/>
    <w:basedOn w:val="DefaultParagraphFont"/>
    <w:rsid w:val="00143C39"/>
  </w:style>
  <w:style w:type="paragraph" w:customStyle="1" w:styleId="TableText0">
    <w:name w:val="Table Text"/>
    <w:basedOn w:val="Normal"/>
    <w:link w:val="TableTextCharChar"/>
    <w:autoRedefine/>
    <w:rsid w:val="00143C39"/>
    <w:pPr>
      <w:spacing w:before="120"/>
    </w:pPr>
    <w:rPr>
      <w:rFonts w:eastAsia="Calibri"/>
      <w:sz w:val="20"/>
    </w:rPr>
  </w:style>
  <w:style w:type="character" w:customStyle="1" w:styleId="TableTextCharChar">
    <w:name w:val="Table Text Char Char"/>
    <w:basedOn w:val="DefaultParagraphFont"/>
    <w:link w:val="TableText0"/>
    <w:locked/>
    <w:rsid w:val="00143C39"/>
    <w:rPr>
      <w:rFonts w:ascii="Arial" w:eastAsia="Calibri" w:hAnsi="Arial"/>
    </w:rPr>
  </w:style>
  <w:style w:type="character" w:customStyle="1" w:styleId="msoins0">
    <w:name w:val="msoins"/>
    <w:basedOn w:val="DefaultParagraphFont"/>
    <w:rsid w:val="00143C39"/>
  </w:style>
  <w:style w:type="character" w:customStyle="1" w:styleId="content1">
    <w:name w:val="content1"/>
    <w:basedOn w:val="DefaultParagraphFont"/>
    <w:rsid w:val="00143C39"/>
    <w:rPr>
      <w:rFonts w:ascii="Arial" w:hAnsi="Arial" w:cs="Arial" w:hint="default"/>
      <w:color w:val="000000"/>
      <w:sz w:val="17"/>
      <w:szCs w:val="17"/>
    </w:rPr>
  </w:style>
  <w:style w:type="character" w:customStyle="1" w:styleId="EmailStyle161">
    <w:name w:val="EmailStyle161"/>
    <w:basedOn w:val="DefaultParagraphFont"/>
    <w:rsid w:val="00C35D4D"/>
    <w:rPr>
      <w:rFonts w:ascii="Arial" w:hAnsi="Arial" w:cs="Arial"/>
      <w:color w:val="auto"/>
      <w:sz w:val="20"/>
    </w:rPr>
  </w:style>
  <w:style w:type="paragraph" w:styleId="EndnoteText">
    <w:name w:val="endnote text"/>
    <w:basedOn w:val="Paragraph"/>
    <w:link w:val="EndnoteTextChar"/>
    <w:rsid w:val="00143C39"/>
    <w:pPr>
      <w:spacing w:before="55"/>
    </w:pPr>
    <w:rPr>
      <w:kern w:val="0"/>
    </w:rPr>
  </w:style>
  <w:style w:type="character" w:customStyle="1" w:styleId="EndnoteTextChar">
    <w:name w:val="Endnote Text Char"/>
    <w:basedOn w:val="DefaultParagraphFont"/>
    <w:link w:val="EndnoteText"/>
    <w:rsid w:val="00143C39"/>
    <w:rPr>
      <w:sz w:val="22"/>
      <w:szCs w:val="24"/>
    </w:rPr>
  </w:style>
  <w:style w:type="paragraph" w:styleId="EnvelopeAddress">
    <w:name w:val="envelope address"/>
    <w:basedOn w:val="Normal"/>
    <w:rsid w:val="00143C39"/>
    <w:pPr>
      <w:keepNext/>
      <w:keepLines/>
      <w:framePr w:w="7920" w:wrap="around" w:hAnchor="text" w:xAlign="center" w:yAlign="bottom"/>
      <w:widowControl w:val="0"/>
      <w:suppressAutoHyphens/>
      <w:ind w:left="2880"/>
    </w:pPr>
  </w:style>
  <w:style w:type="paragraph" w:styleId="EnvelopeReturn">
    <w:name w:val="envelope return"/>
    <w:basedOn w:val="Normal"/>
    <w:next w:val="EnvelopeAddress"/>
    <w:rsid w:val="00143C39"/>
    <w:pPr>
      <w:keepNext/>
      <w:keepLines/>
      <w:widowControl w:val="0"/>
      <w:suppressAutoHyphens/>
      <w:ind w:right="4320"/>
    </w:pPr>
  </w:style>
  <w:style w:type="paragraph" w:styleId="MessageHeader">
    <w:name w:val="Message Header"/>
    <w:basedOn w:val="Normal"/>
    <w:link w:val="MessageHeaderChar"/>
    <w:qFormat/>
    <w:rsid w:val="00143C39"/>
    <w:pPr>
      <w:widowControl w:val="0"/>
      <w:tabs>
        <w:tab w:val="center" w:pos="4680"/>
        <w:tab w:val="right" w:pos="9360"/>
      </w:tabs>
      <w:suppressAutoHyphens/>
    </w:pPr>
  </w:style>
  <w:style w:type="character" w:customStyle="1" w:styleId="MessageHeaderChar">
    <w:name w:val="Message Header Char"/>
    <w:basedOn w:val="DefaultParagraphFont"/>
    <w:link w:val="MessageHeader"/>
    <w:rsid w:val="00143C39"/>
    <w:rPr>
      <w:sz w:val="24"/>
      <w:szCs w:val="24"/>
    </w:rPr>
  </w:style>
  <w:style w:type="paragraph" w:customStyle="1" w:styleId="Equation">
    <w:name w:val="Equation"/>
    <w:basedOn w:val="MessageHeader"/>
    <w:next w:val="Paragraph"/>
    <w:uiPriority w:val="1"/>
    <w:qFormat/>
    <w:rsid w:val="00143C39"/>
    <w:pPr>
      <w:keepLines/>
      <w:spacing w:before="120"/>
    </w:pPr>
  </w:style>
  <w:style w:type="paragraph" w:customStyle="1" w:styleId="Fill">
    <w:name w:val="Fill"/>
    <w:basedOn w:val="Normal"/>
    <w:uiPriority w:val="1"/>
    <w:rsid w:val="00143C39"/>
    <w:pPr>
      <w:widowControl w:val="0"/>
      <w:tabs>
        <w:tab w:val="right" w:leader="underscore" w:pos="9360"/>
      </w:tabs>
      <w:suppressAutoHyphens/>
    </w:pPr>
  </w:style>
  <w:style w:type="paragraph" w:customStyle="1" w:styleId="FramedCaption">
    <w:name w:val="Framed Caption"/>
    <w:basedOn w:val="Caption"/>
    <w:next w:val="Paragraph"/>
    <w:uiPriority w:val="1"/>
    <w:qFormat/>
    <w:rsid w:val="00143C39"/>
    <w:pPr>
      <w:keepNext w:val="0"/>
      <w:keepLines/>
      <w:framePr w:wrap="notBeside" w:vAnchor="text" w:hAnchor="text" w:xAlign="center" w:y="1"/>
      <w:widowControl w:val="0"/>
      <w:suppressAutoHyphens/>
    </w:pPr>
    <w:rPr>
      <w:i/>
    </w:rPr>
  </w:style>
  <w:style w:type="paragraph" w:customStyle="1" w:styleId="FramedFigure">
    <w:name w:val="Framed Figure"/>
    <w:basedOn w:val="Figure"/>
    <w:next w:val="FramedCaption"/>
    <w:uiPriority w:val="1"/>
    <w:qFormat/>
    <w:rsid w:val="00143C39"/>
    <w:pPr>
      <w:framePr w:wrap="notBeside" w:vAnchor="text" w:hAnchor="text" w:xAlign="center" w:y="1"/>
      <w:spacing w:before="240" w:after="120"/>
    </w:pPr>
    <w:rPr>
      <w:kern w:val="0"/>
    </w:rPr>
  </w:style>
  <w:style w:type="paragraph" w:customStyle="1" w:styleId="Table">
    <w:name w:val="Table"/>
    <w:basedOn w:val="Normal"/>
    <w:qFormat/>
    <w:rsid w:val="00143C39"/>
    <w:pPr>
      <w:widowControl w:val="0"/>
      <w:suppressAutoHyphens/>
      <w:jc w:val="center"/>
    </w:pPr>
  </w:style>
  <w:style w:type="paragraph" w:customStyle="1" w:styleId="FramedTable">
    <w:name w:val="Framed Table"/>
    <w:basedOn w:val="Table"/>
    <w:uiPriority w:val="1"/>
    <w:qFormat/>
    <w:rsid w:val="00143C39"/>
    <w:pPr>
      <w:framePr w:wrap="notBeside" w:vAnchor="text" w:hAnchor="text" w:xAlign="center" w:y="1"/>
    </w:pPr>
  </w:style>
  <w:style w:type="paragraph" w:styleId="Index1">
    <w:name w:val="index 1"/>
    <w:basedOn w:val="BodyText"/>
    <w:rsid w:val="00143C39"/>
    <w:pPr>
      <w:tabs>
        <w:tab w:val="right" w:leader="dot" w:pos="4320"/>
      </w:tabs>
      <w:suppressAutoHyphens/>
      <w:spacing w:before="0"/>
      <w:ind w:hanging="360"/>
    </w:pPr>
  </w:style>
  <w:style w:type="paragraph" w:styleId="Index2">
    <w:name w:val="index 2"/>
    <w:basedOn w:val="Index1"/>
    <w:rsid w:val="00143C39"/>
    <w:pPr>
      <w:ind w:left="720"/>
    </w:pPr>
  </w:style>
  <w:style w:type="paragraph" w:styleId="Index3">
    <w:name w:val="index 3"/>
    <w:basedOn w:val="Index2"/>
    <w:rsid w:val="00143C39"/>
    <w:pPr>
      <w:ind w:left="1080"/>
    </w:pPr>
  </w:style>
  <w:style w:type="paragraph" w:styleId="Index4">
    <w:name w:val="index 4"/>
    <w:basedOn w:val="Index3"/>
    <w:rsid w:val="00143C39"/>
    <w:pPr>
      <w:ind w:left="1440"/>
    </w:pPr>
  </w:style>
  <w:style w:type="paragraph" w:styleId="Index5">
    <w:name w:val="index 5"/>
    <w:basedOn w:val="Index4"/>
    <w:rsid w:val="00143C39"/>
    <w:pPr>
      <w:ind w:left="1800"/>
    </w:pPr>
  </w:style>
  <w:style w:type="paragraph" w:styleId="Index6">
    <w:name w:val="index 6"/>
    <w:basedOn w:val="Index5"/>
    <w:rsid w:val="00143C39"/>
    <w:pPr>
      <w:ind w:left="2160"/>
    </w:pPr>
  </w:style>
  <w:style w:type="paragraph" w:styleId="Index7">
    <w:name w:val="index 7"/>
    <w:basedOn w:val="Index6"/>
    <w:rsid w:val="00143C39"/>
    <w:pPr>
      <w:ind w:left="2520"/>
    </w:pPr>
  </w:style>
  <w:style w:type="paragraph" w:styleId="Index8">
    <w:name w:val="index 8"/>
    <w:basedOn w:val="Index7"/>
    <w:rsid w:val="00143C39"/>
    <w:pPr>
      <w:ind w:left="2880"/>
    </w:pPr>
  </w:style>
  <w:style w:type="paragraph" w:styleId="Index9">
    <w:name w:val="index 9"/>
    <w:basedOn w:val="Index8"/>
    <w:rsid w:val="00143C39"/>
    <w:pPr>
      <w:ind w:left="3240"/>
    </w:pPr>
  </w:style>
  <w:style w:type="paragraph" w:styleId="IndexHeading">
    <w:name w:val="index heading"/>
    <w:basedOn w:val="Normal"/>
    <w:next w:val="Index1"/>
    <w:qFormat/>
    <w:rsid w:val="00143C39"/>
    <w:pPr>
      <w:keepNext/>
      <w:keepLines/>
      <w:widowControl w:val="0"/>
      <w:suppressAutoHyphens/>
      <w:spacing w:before="110" w:after="55"/>
    </w:pPr>
    <w:rPr>
      <w:b/>
      <w:i/>
    </w:rPr>
  </w:style>
  <w:style w:type="paragraph" w:styleId="MacroText">
    <w:name w:val="macro"/>
    <w:basedOn w:val="Normal"/>
    <w:link w:val="MacroTextChar"/>
    <w:rsid w:val="00143C39"/>
    <w:pPr>
      <w:widowControl w:val="0"/>
      <w:suppressAutoHyphens/>
    </w:pPr>
    <w:rPr>
      <w:rFonts w:ascii="Courier New" w:hAnsi="Courier New"/>
      <w:sz w:val="20"/>
    </w:rPr>
  </w:style>
  <w:style w:type="character" w:customStyle="1" w:styleId="MacroTextChar">
    <w:name w:val="Macro Text Char"/>
    <w:basedOn w:val="DefaultParagraphFont"/>
    <w:link w:val="MacroText"/>
    <w:rsid w:val="00143C39"/>
    <w:rPr>
      <w:rFonts w:ascii="Courier New" w:hAnsi="Courier New"/>
      <w:szCs w:val="24"/>
    </w:rPr>
  </w:style>
  <w:style w:type="paragraph" w:customStyle="1" w:styleId="ParagraphFirstIndent">
    <w:name w:val="Paragraph First Indent"/>
    <w:basedOn w:val="Paragraph"/>
    <w:rsid w:val="00143C39"/>
    <w:pPr>
      <w:ind w:firstLine="360"/>
    </w:pPr>
    <w:rPr>
      <w:kern w:val="0"/>
    </w:rPr>
  </w:style>
  <w:style w:type="paragraph" w:customStyle="1" w:styleId="ParagraphHangingIndent">
    <w:name w:val="Paragraph Hanging Indent"/>
    <w:basedOn w:val="Paragraph"/>
    <w:rsid w:val="00143C39"/>
    <w:pPr>
      <w:ind w:left="360" w:hanging="360"/>
    </w:pPr>
    <w:rPr>
      <w:kern w:val="0"/>
    </w:rPr>
  </w:style>
  <w:style w:type="paragraph" w:customStyle="1" w:styleId="ParagraphIndent">
    <w:name w:val="Paragraph Indent"/>
    <w:basedOn w:val="Paragraph"/>
    <w:rsid w:val="00143C39"/>
    <w:pPr>
      <w:ind w:left="360"/>
    </w:pPr>
    <w:rPr>
      <w:kern w:val="0"/>
    </w:rPr>
  </w:style>
  <w:style w:type="paragraph" w:styleId="Quote">
    <w:name w:val="Quote"/>
    <w:basedOn w:val="Paragraph"/>
    <w:next w:val="Paragraph"/>
    <w:link w:val="QuoteChar"/>
    <w:qFormat/>
    <w:rsid w:val="00143C39"/>
    <w:pPr>
      <w:ind w:left="720" w:right="720"/>
    </w:pPr>
    <w:rPr>
      <w:rFonts w:ascii="Arial" w:hAnsi="Arial"/>
      <w:kern w:val="0"/>
    </w:rPr>
  </w:style>
  <w:style w:type="character" w:customStyle="1" w:styleId="QuoteChar">
    <w:name w:val="Quote Char"/>
    <w:basedOn w:val="DefaultParagraphFont"/>
    <w:link w:val="Quote"/>
    <w:rsid w:val="00143C39"/>
    <w:rPr>
      <w:rFonts w:ascii="Arial" w:hAnsi="Arial"/>
      <w:sz w:val="22"/>
      <w:szCs w:val="24"/>
    </w:rPr>
  </w:style>
  <w:style w:type="paragraph" w:customStyle="1" w:styleId="Reference">
    <w:name w:val="Reference"/>
    <w:basedOn w:val="EndnoteText"/>
    <w:qFormat/>
    <w:rsid w:val="00143C39"/>
    <w:pPr>
      <w:ind w:left="360" w:hanging="360"/>
    </w:pPr>
  </w:style>
  <w:style w:type="paragraph" w:customStyle="1" w:styleId="Title2">
    <w:name w:val="Title 2"/>
    <w:basedOn w:val="Heading2"/>
    <w:next w:val="Paragraph"/>
    <w:rsid w:val="00143C39"/>
    <w:pPr>
      <w:keepLines/>
      <w:widowControl w:val="0"/>
      <w:numPr>
        <w:ilvl w:val="0"/>
        <w:numId w:val="0"/>
      </w:numPr>
      <w:suppressAutoHyphens/>
      <w:spacing w:before="360" w:after="60"/>
    </w:pPr>
    <w:rPr>
      <w:rFonts w:ascii="Times New Roman Bold" w:hAnsi="Times New Roman Bold"/>
      <w:sz w:val="24"/>
    </w:rPr>
  </w:style>
  <w:style w:type="paragraph" w:styleId="TableofAuthorities">
    <w:name w:val="table of authorities"/>
    <w:basedOn w:val="Index1"/>
    <w:rsid w:val="00143C39"/>
    <w:pPr>
      <w:tabs>
        <w:tab w:val="clear" w:pos="4320"/>
        <w:tab w:val="right" w:leader="dot" w:pos="9360"/>
      </w:tabs>
    </w:pPr>
  </w:style>
  <w:style w:type="paragraph" w:customStyle="1" w:styleId="Title1">
    <w:name w:val="Title 1"/>
    <w:basedOn w:val="Heading1"/>
    <w:next w:val="Paragraph"/>
    <w:rsid w:val="00143C39"/>
    <w:pPr>
      <w:keepLines/>
      <w:widowControl w:val="0"/>
      <w:numPr>
        <w:numId w:val="0"/>
      </w:numPr>
      <w:suppressAutoHyphens/>
      <w:spacing w:before="480" w:after="60"/>
    </w:pPr>
    <w:rPr>
      <w:rFonts w:ascii="Times New Roman Bold" w:hAnsi="Times New Roman Bold"/>
      <w:kern w:val="0"/>
      <w:sz w:val="24"/>
    </w:rPr>
  </w:style>
  <w:style w:type="paragraph" w:customStyle="1" w:styleId="Title3">
    <w:name w:val="Title 3"/>
    <w:basedOn w:val="Heading3"/>
    <w:next w:val="Paragraph"/>
    <w:rsid w:val="00143C39"/>
    <w:pPr>
      <w:keepLines/>
      <w:widowControl w:val="0"/>
      <w:numPr>
        <w:ilvl w:val="0"/>
        <w:numId w:val="0"/>
      </w:numPr>
      <w:suppressAutoHyphens/>
      <w:spacing w:before="240" w:after="60"/>
    </w:pPr>
    <w:rPr>
      <w:rFonts w:ascii="Times New Roman Bold" w:hAnsi="Times New Roman Bold"/>
      <w:sz w:val="24"/>
    </w:rPr>
  </w:style>
  <w:style w:type="paragraph" w:styleId="TOAHeading">
    <w:name w:val="toa heading"/>
    <w:basedOn w:val="IndexHeading"/>
    <w:next w:val="TableofAuthorities"/>
    <w:rsid w:val="00143C39"/>
  </w:style>
  <w:style w:type="paragraph" w:styleId="TOCHeading">
    <w:name w:val="TOC Heading"/>
    <w:basedOn w:val="Normal"/>
    <w:next w:val="TOC1"/>
    <w:rsid w:val="00143C39"/>
    <w:pPr>
      <w:keepNext/>
      <w:keepLines/>
      <w:widowControl w:val="0"/>
      <w:suppressAutoHyphens/>
      <w:spacing w:before="120"/>
      <w:jc w:val="right"/>
    </w:pPr>
    <w:rPr>
      <w:b/>
      <w:i/>
    </w:rPr>
  </w:style>
  <w:style w:type="paragraph" w:styleId="ListNumber">
    <w:name w:val="List Number"/>
    <w:basedOn w:val="Normal"/>
    <w:uiPriority w:val="99"/>
    <w:unhideWhenUsed/>
    <w:rsid w:val="00143C39"/>
    <w:pPr>
      <w:widowControl w:val="0"/>
      <w:numPr>
        <w:numId w:val="164"/>
      </w:numPr>
      <w:suppressAutoHyphens/>
      <w:contextualSpacing/>
    </w:pPr>
  </w:style>
  <w:style w:type="paragraph" w:styleId="ListNumber2">
    <w:name w:val="List Number 2"/>
    <w:basedOn w:val="Normal"/>
    <w:uiPriority w:val="99"/>
    <w:unhideWhenUsed/>
    <w:rsid w:val="00143C39"/>
    <w:pPr>
      <w:widowControl w:val="0"/>
      <w:numPr>
        <w:numId w:val="165"/>
      </w:numPr>
      <w:suppressAutoHyphens/>
      <w:contextualSpacing/>
    </w:pPr>
  </w:style>
  <w:style w:type="paragraph" w:styleId="ListNumber3">
    <w:name w:val="List Number 3"/>
    <w:basedOn w:val="Normal"/>
    <w:uiPriority w:val="99"/>
    <w:unhideWhenUsed/>
    <w:rsid w:val="00143C39"/>
    <w:pPr>
      <w:widowControl w:val="0"/>
      <w:numPr>
        <w:numId w:val="166"/>
      </w:numPr>
      <w:suppressAutoHyphens/>
      <w:contextualSpacing/>
    </w:pPr>
  </w:style>
  <w:style w:type="paragraph" w:styleId="ListNumber4">
    <w:name w:val="List Number 4"/>
    <w:basedOn w:val="Normal"/>
    <w:uiPriority w:val="99"/>
    <w:unhideWhenUsed/>
    <w:rsid w:val="00143C39"/>
    <w:pPr>
      <w:widowControl w:val="0"/>
      <w:numPr>
        <w:numId w:val="167"/>
      </w:numPr>
      <w:suppressAutoHyphens/>
      <w:contextualSpacing/>
    </w:pPr>
  </w:style>
  <w:style w:type="paragraph" w:styleId="ListNumber5">
    <w:name w:val="List Number 5"/>
    <w:basedOn w:val="Normal"/>
    <w:uiPriority w:val="99"/>
    <w:unhideWhenUsed/>
    <w:rsid w:val="00143C39"/>
    <w:pPr>
      <w:widowControl w:val="0"/>
      <w:numPr>
        <w:numId w:val="168"/>
      </w:numPr>
      <w:suppressAutoHyphens/>
      <w:contextualSpacing/>
    </w:pPr>
  </w:style>
  <w:style w:type="table" w:customStyle="1" w:styleId="TableGrid4">
    <w:name w:val="Table Grid4"/>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597">
      <w:bodyDiv w:val="1"/>
      <w:marLeft w:val="0"/>
      <w:marRight w:val="0"/>
      <w:marTop w:val="0"/>
      <w:marBottom w:val="0"/>
      <w:divBdr>
        <w:top w:val="none" w:sz="0" w:space="0" w:color="auto"/>
        <w:left w:val="none" w:sz="0" w:space="0" w:color="auto"/>
        <w:bottom w:val="none" w:sz="0" w:space="0" w:color="auto"/>
        <w:right w:val="none" w:sz="0" w:space="0" w:color="auto"/>
      </w:divBdr>
    </w:div>
    <w:div w:id="58288785">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62488098">
      <w:bodyDiv w:val="1"/>
      <w:marLeft w:val="0"/>
      <w:marRight w:val="0"/>
      <w:marTop w:val="0"/>
      <w:marBottom w:val="0"/>
      <w:divBdr>
        <w:top w:val="none" w:sz="0" w:space="0" w:color="auto"/>
        <w:left w:val="none" w:sz="0" w:space="0" w:color="auto"/>
        <w:bottom w:val="none" w:sz="0" w:space="0" w:color="auto"/>
        <w:right w:val="none" w:sz="0" w:space="0" w:color="auto"/>
      </w:divBdr>
    </w:div>
    <w:div w:id="97333329">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10830485">
      <w:bodyDiv w:val="1"/>
      <w:marLeft w:val="0"/>
      <w:marRight w:val="0"/>
      <w:marTop w:val="0"/>
      <w:marBottom w:val="0"/>
      <w:divBdr>
        <w:top w:val="none" w:sz="0" w:space="0" w:color="auto"/>
        <w:left w:val="none" w:sz="0" w:space="0" w:color="auto"/>
        <w:bottom w:val="none" w:sz="0" w:space="0" w:color="auto"/>
        <w:right w:val="none" w:sz="0" w:space="0" w:color="auto"/>
      </w:divBdr>
    </w:div>
    <w:div w:id="112217138">
      <w:bodyDiv w:val="1"/>
      <w:marLeft w:val="0"/>
      <w:marRight w:val="0"/>
      <w:marTop w:val="0"/>
      <w:marBottom w:val="0"/>
      <w:divBdr>
        <w:top w:val="none" w:sz="0" w:space="0" w:color="auto"/>
        <w:left w:val="none" w:sz="0" w:space="0" w:color="auto"/>
        <w:bottom w:val="none" w:sz="0" w:space="0" w:color="auto"/>
        <w:right w:val="none" w:sz="0" w:space="0" w:color="auto"/>
      </w:divBdr>
    </w:div>
    <w:div w:id="127942379">
      <w:bodyDiv w:val="1"/>
      <w:marLeft w:val="0"/>
      <w:marRight w:val="0"/>
      <w:marTop w:val="0"/>
      <w:marBottom w:val="0"/>
      <w:divBdr>
        <w:top w:val="none" w:sz="0" w:space="0" w:color="auto"/>
        <w:left w:val="none" w:sz="0" w:space="0" w:color="auto"/>
        <w:bottom w:val="none" w:sz="0" w:space="0" w:color="auto"/>
        <w:right w:val="none" w:sz="0" w:space="0" w:color="auto"/>
      </w:divBdr>
    </w:div>
    <w:div w:id="132794549">
      <w:bodyDiv w:val="1"/>
      <w:marLeft w:val="0"/>
      <w:marRight w:val="0"/>
      <w:marTop w:val="0"/>
      <w:marBottom w:val="0"/>
      <w:divBdr>
        <w:top w:val="none" w:sz="0" w:space="0" w:color="auto"/>
        <w:left w:val="none" w:sz="0" w:space="0" w:color="auto"/>
        <w:bottom w:val="none" w:sz="0" w:space="0" w:color="auto"/>
        <w:right w:val="none" w:sz="0" w:space="0" w:color="auto"/>
      </w:divBdr>
    </w:div>
    <w:div w:id="191387136">
      <w:bodyDiv w:val="1"/>
      <w:marLeft w:val="0"/>
      <w:marRight w:val="0"/>
      <w:marTop w:val="0"/>
      <w:marBottom w:val="0"/>
      <w:divBdr>
        <w:top w:val="none" w:sz="0" w:space="0" w:color="auto"/>
        <w:left w:val="none" w:sz="0" w:space="0" w:color="auto"/>
        <w:bottom w:val="none" w:sz="0" w:space="0" w:color="auto"/>
        <w:right w:val="none" w:sz="0" w:space="0" w:color="auto"/>
      </w:divBdr>
    </w:div>
    <w:div w:id="197662450">
      <w:bodyDiv w:val="1"/>
      <w:marLeft w:val="0"/>
      <w:marRight w:val="0"/>
      <w:marTop w:val="0"/>
      <w:marBottom w:val="0"/>
      <w:divBdr>
        <w:top w:val="none" w:sz="0" w:space="0" w:color="auto"/>
        <w:left w:val="none" w:sz="0" w:space="0" w:color="auto"/>
        <w:bottom w:val="none" w:sz="0" w:space="0" w:color="auto"/>
        <w:right w:val="none" w:sz="0" w:space="0" w:color="auto"/>
      </w:divBdr>
    </w:div>
    <w:div w:id="238637207">
      <w:bodyDiv w:val="1"/>
      <w:marLeft w:val="0"/>
      <w:marRight w:val="0"/>
      <w:marTop w:val="0"/>
      <w:marBottom w:val="0"/>
      <w:divBdr>
        <w:top w:val="none" w:sz="0" w:space="0" w:color="auto"/>
        <w:left w:val="none" w:sz="0" w:space="0" w:color="auto"/>
        <w:bottom w:val="none" w:sz="0" w:space="0" w:color="auto"/>
        <w:right w:val="none" w:sz="0" w:space="0" w:color="auto"/>
      </w:divBdr>
    </w:div>
    <w:div w:id="250546341">
      <w:bodyDiv w:val="1"/>
      <w:marLeft w:val="0"/>
      <w:marRight w:val="0"/>
      <w:marTop w:val="0"/>
      <w:marBottom w:val="0"/>
      <w:divBdr>
        <w:top w:val="none" w:sz="0" w:space="0" w:color="auto"/>
        <w:left w:val="none" w:sz="0" w:space="0" w:color="auto"/>
        <w:bottom w:val="none" w:sz="0" w:space="0" w:color="auto"/>
        <w:right w:val="none" w:sz="0" w:space="0" w:color="auto"/>
      </w:divBdr>
    </w:div>
    <w:div w:id="271672709">
      <w:bodyDiv w:val="1"/>
      <w:marLeft w:val="0"/>
      <w:marRight w:val="0"/>
      <w:marTop w:val="0"/>
      <w:marBottom w:val="0"/>
      <w:divBdr>
        <w:top w:val="none" w:sz="0" w:space="0" w:color="auto"/>
        <w:left w:val="none" w:sz="0" w:space="0" w:color="auto"/>
        <w:bottom w:val="none" w:sz="0" w:space="0" w:color="auto"/>
        <w:right w:val="none" w:sz="0" w:space="0" w:color="auto"/>
      </w:divBdr>
    </w:div>
    <w:div w:id="280382045">
      <w:bodyDiv w:val="1"/>
      <w:marLeft w:val="0"/>
      <w:marRight w:val="0"/>
      <w:marTop w:val="0"/>
      <w:marBottom w:val="0"/>
      <w:divBdr>
        <w:top w:val="none" w:sz="0" w:space="0" w:color="auto"/>
        <w:left w:val="none" w:sz="0" w:space="0" w:color="auto"/>
        <w:bottom w:val="none" w:sz="0" w:space="0" w:color="auto"/>
        <w:right w:val="none" w:sz="0" w:space="0" w:color="auto"/>
      </w:divBdr>
    </w:div>
    <w:div w:id="285892418">
      <w:bodyDiv w:val="1"/>
      <w:marLeft w:val="0"/>
      <w:marRight w:val="0"/>
      <w:marTop w:val="0"/>
      <w:marBottom w:val="0"/>
      <w:divBdr>
        <w:top w:val="none" w:sz="0" w:space="0" w:color="auto"/>
        <w:left w:val="none" w:sz="0" w:space="0" w:color="auto"/>
        <w:bottom w:val="none" w:sz="0" w:space="0" w:color="auto"/>
        <w:right w:val="none" w:sz="0" w:space="0" w:color="auto"/>
      </w:divBdr>
    </w:div>
    <w:div w:id="286393628">
      <w:bodyDiv w:val="1"/>
      <w:marLeft w:val="0"/>
      <w:marRight w:val="0"/>
      <w:marTop w:val="0"/>
      <w:marBottom w:val="0"/>
      <w:divBdr>
        <w:top w:val="none" w:sz="0" w:space="0" w:color="auto"/>
        <w:left w:val="none" w:sz="0" w:space="0" w:color="auto"/>
        <w:bottom w:val="none" w:sz="0" w:space="0" w:color="auto"/>
        <w:right w:val="none" w:sz="0" w:space="0" w:color="auto"/>
      </w:divBdr>
    </w:div>
    <w:div w:id="388892371">
      <w:bodyDiv w:val="1"/>
      <w:marLeft w:val="0"/>
      <w:marRight w:val="0"/>
      <w:marTop w:val="0"/>
      <w:marBottom w:val="0"/>
      <w:divBdr>
        <w:top w:val="none" w:sz="0" w:space="0" w:color="auto"/>
        <w:left w:val="none" w:sz="0" w:space="0" w:color="auto"/>
        <w:bottom w:val="none" w:sz="0" w:space="0" w:color="auto"/>
        <w:right w:val="none" w:sz="0" w:space="0" w:color="auto"/>
      </w:divBdr>
    </w:div>
    <w:div w:id="39743926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452753797">
      <w:bodyDiv w:val="1"/>
      <w:marLeft w:val="0"/>
      <w:marRight w:val="0"/>
      <w:marTop w:val="0"/>
      <w:marBottom w:val="0"/>
      <w:divBdr>
        <w:top w:val="none" w:sz="0" w:space="0" w:color="auto"/>
        <w:left w:val="none" w:sz="0" w:space="0" w:color="auto"/>
        <w:bottom w:val="none" w:sz="0" w:space="0" w:color="auto"/>
        <w:right w:val="none" w:sz="0" w:space="0" w:color="auto"/>
      </w:divBdr>
    </w:div>
    <w:div w:id="469710312">
      <w:bodyDiv w:val="1"/>
      <w:marLeft w:val="0"/>
      <w:marRight w:val="0"/>
      <w:marTop w:val="0"/>
      <w:marBottom w:val="0"/>
      <w:divBdr>
        <w:top w:val="none" w:sz="0" w:space="0" w:color="auto"/>
        <w:left w:val="none" w:sz="0" w:space="0" w:color="auto"/>
        <w:bottom w:val="none" w:sz="0" w:space="0" w:color="auto"/>
        <w:right w:val="none" w:sz="0" w:space="0" w:color="auto"/>
      </w:divBdr>
    </w:div>
    <w:div w:id="478692939">
      <w:bodyDiv w:val="1"/>
      <w:marLeft w:val="0"/>
      <w:marRight w:val="0"/>
      <w:marTop w:val="0"/>
      <w:marBottom w:val="0"/>
      <w:divBdr>
        <w:top w:val="none" w:sz="0" w:space="0" w:color="auto"/>
        <w:left w:val="none" w:sz="0" w:space="0" w:color="auto"/>
        <w:bottom w:val="none" w:sz="0" w:space="0" w:color="auto"/>
        <w:right w:val="none" w:sz="0" w:space="0" w:color="auto"/>
      </w:divBdr>
    </w:div>
    <w:div w:id="485322979">
      <w:bodyDiv w:val="1"/>
      <w:marLeft w:val="0"/>
      <w:marRight w:val="0"/>
      <w:marTop w:val="0"/>
      <w:marBottom w:val="0"/>
      <w:divBdr>
        <w:top w:val="none" w:sz="0" w:space="0" w:color="auto"/>
        <w:left w:val="none" w:sz="0" w:space="0" w:color="auto"/>
        <w:bottom w:val="none" w:sz="0" w:space="0" w:color="auto"/>
        <w:right w:val="none" w:sz="0" w:space="0" w:color="auto"/>
      </w:divBdr>
    </w:div>
    <w:div w:id="487287362">
      <w:bodyDiv w:val="1"/>
      <w:marLeft w:val="0"/>
      <w:marRight w:val="0"/>
      <w:marTop w:val="0"/>
      <w:marBottom w:val="0"/>
      <w:divBdr>
        <w:top w:val="none" w:sz="0" w:space="0" w:color="auto"/>
        <w:left w:val="none" w:sz="0" w:space="0" w:color="auto"/>
        <w:bottom w:val="none" w:sz="0" w:space="0" w:color="auto"/>
        <w:right w:val="none" w:sz="0" w:space="0" w:color="auto"/>
      </w:divBdr>
    </w:div>
    <w:div w:id="516310065">
      <w:bodyDiv w:val="1"/>
      <w:marLeft w:val="0"/>
      <w:marRight w:val="0"/>
      <w:marTop w:val="0"/>
      <w:marBottom w:val="0"/>
      <w:divBdr>
        <w:top w:val="none" w:sz="0" w:space="0" w:color="auto"/>
        <w:left w:val="none" w:sz="0" w:space="0" w:color="auto"/>
        <w:bottom w:val="none" w:sz="0" w:space="0" w:color="auto"/>
        <w:right w:val="none" w:sz="0" w:space="0" w:color="auto"/>
      </w:divBdr>
    </w:div>
    <w:div w:id="531116982">
      <w:bodyDiv w:val="1"/>
      <w:marLeft w:val="0"/>
      <w:marRight w:val="0"/>
      <w:marTop w:val="0"/>
      <w:marBottom w:val="0"/>
      <w:divBdr>
        <w:top w:val="none" w:sz="0" w:space="0" w:color="auto"/>
        <w:left w:val="none" w:sz="0" w:space="0" w:color="auto"/>
        <w:bottom w:val="none" w:sz="0" w:space="0" w:color="auto"/>
        <w:right w:val="none" w:sz="0" w:space="0" w:color="auto"/>
      </w:divBdr>
    </w:div>
    <w:div w:id="531381619">
      <w:bodyDiv w:val="1"/>
      <w:marLeft w:val="0"/>
      <w:marRight w:val="0"/>
      <w:marTop w:val="0"/>
      <w:marBottom w:val="0"/>
      <w:divBdr>
        <w:top w:val="none" w:sz="0" w:space="0" w:color="auto"/>
        <w:left w:val="none" w:sz="0" w:space="0" w:color="auto"/>
        <w:bottom w:val="none" w:sz="0" w:space="0" w:color="auto"/>
        <w:right w:val="none" w:sz="0" w:space="0" w:color="auto"/>
      </w:divBdr>
    </w:div>
    <w:div w:id="543256631">
      <w:bodyDiv w:val="1"/>
      <w:marLeft w:val="0"/>
      <w:marRight w:val="0"/>
      <w:marTop w:val="0"/>
      <w:marBottom w:val="0"/>
      <w:divBdr>
        <w:top w:val="none" w:sz="0" w:space="0" w:color="auto"/>
        <w:left w:val="none" w:sz="0" w:space="0" w:color="auto"/>
        <w:bottom w:val="none" w:sz="0" w:space="0" w:color="auto"/>
        <w:right w:val="none" w:sz="0" w:space="0" w:color="auto"/>
      </w:divBdr>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612984110">
      <w:bodyDiv w:val="1"/>
      <w:marLeft w:val="0"/>
      <w:marRight w:val="0"/>
      <w:marTop w:val="0"/>
      <w:marBottom w:val="0"/>
      <w:divBdr>
        <w:top w:val="none" w:sz="0" w:space="0" w:color="auto"/>
        <w:left w:val="none" w:sz="0" w:space="0" w:color="auto"/>
        <w:bottom w:val="none" w:sz="0" w:space="0" w:color="auto"/>
        <w:right w:val="none" w:sz="0" w:space="0" w:color="auto"/>
      </w:divBdr>
    </w:div>
    <w:div w:id="656301833">
      <w:bodyDiv w:val="1"/>
      <w:marLeft w:val="0"/>
      <w:marRight w:val="0"/>
      <w:marTop w:val="0"/>
      <w:marBottom w:val="0"/>
      <w:divBdr>
        <w:top w:val="none" w:sz="0" w:space="0" w:color="auto"/>
        <w:left w:val="none" w:sz="0" w:space="0" w:color="auto"/>
        <w:bottom w:val="none" w:sz="0" w:space="0" w:color="auto"/>
        <w:right w:val="none" w:sz="0" w:space="0" w:color="auto"/>
      </w:divBdr>
    </w:div>
    <w:div w:id="685643555">
      <w:bodyDiv w:val="1"/>
      <w:marLeft w:val="0"/>
      <w:marRight w:val="0"/>
      <w:marTop w:val="0"/>
      <w:marBottom w:val="0"/>
      <w:divBdr>
        <w:top w:val="none" w:sz="0" w:space="0" w:color="auto"/>
        <w:left w:val="none" w:sz="0" w:space="0" w:color="auto"/>
        <w:bottom w:val="none" w:sz="0" w:space="0" w:color="auto"/>
        <w:right w:val="none" w:sz="0" w:space="0" w:color="auto"/>
      </w:divBdr>
    </w:div>
    <w:div w:id="697702518">
      <w:bodyDiv w:val="1"/>
      <w:marLeft w:val="0"/>
      <w:marRight w:val="0"/>
      <w:marTop w:val="0"/>
      <w:marBottom w:val="0"/>
      <w:divBdr>
        <w:top w:val="none" w:sz="0" w:space="0" w:color="auto"/>
        <w:left w:val="none" w:sz="0" w:space="0" w:color="auto"/>
        <w:bottom w:val="none" w:sz="0" w:space="0" w:color="auto"/>
        <w:right w:val="none" w:sz="0" w:space="0" w:color="auto"/>
      </w:divBdr>
    </w:div>
    <w:div w:id="703018060">
      <w:bodyDiv w:val="1"/>
      <w:marLeft w:val="0"/>
      <w:marRight w:val="0"/>
      <w:marTop w:val="0"/>
      <w:marBottom w:val="0"/>
      <w:divBdr>
        <w:top w:val="none" w:sz="0" w:space="0" w:color="auto"/>
        <w:left w:val="none" w:sz="0" w:space="0" w:color="auto"/>
        <w:bottom w:val="none" w:sz="0" w:space="0" w:color="auto"/>
        <w:right w:val="none" w:sz="0" w:space="0" w:color="auto"/>
      </w:divBdr>
    </w:div>
    <w:div w:id="812796782">
      <w:bodyDiv w:val="1"/>
      <w:marLeft w:val="0"/>
      <w:marRight w:val="0"/>
      <w:marTop w:val="0"/>
      <w:marBottom w:val="0"/>
      <w:divBdr>
        <w:top w:val="none" w:sz="0" w:space="0" w:color="auto"/>
        <w:left w:val="none" w:sz="0" w:space="0" w:color="auto"/>
        <w:bottom w:val="none" w:sz="0" w:space="0" w:color="auto"/>
        <w:right w:val="none" w:sz="0" w:space="0" w:color="auto"/>
      </w:divBdr>
    </w:div>
    <w:div w:id="862938504">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010834312">
      <w:bodyDiv w:val="1"/>
      <w:marLeft w:val="0"/>
      <w:marRight w:val="0"/>
      <w:marTop w:val="0"/>
      <w:marBottom w:val="0"/>
      <w:divBdr>
        <w:top w:val="none" w:sz="0" w:space="0" w:color="auto"/>
        <w:left w:val="none" w:sz="0" w:space="0" w:color="auto"/>
        <w:bottom w:val="none" w:sz="0" w:space="0" w:color="auto"/>
        <w:right w:val="none" w:sz="0" w:space="0" w:color="auto"/>
      </w:divBdr>
    </w:div>
    <w:div w:id="1035496722">
      <w:bodyDiv w:val="1"/>
      <w:marLeft w:val="0"/>
      <w:marRight w:val="0"/>
      <w:marTop w:val="0"/>
      <w:marBottom w:val="0"/>
      <w:divBdr>
        <w:top w:val="none" w:sz="0" w:space="0" w:color="auto"/>
        <w:left w:val="none" w:sz="0" w:space="0" w:color="auto"/>
        <w:bottom w:val="none" w:sz="0" w:space="0" w:color="auto"/>
        <w:right w:val="none" w:sz="0" w:space="0" w:color="auto"/>
      </w:divBdr>
    </w:div>
    <w:div w:id="1112091860">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144466873">
      <w:bodyDiv w:val="1"/>
      <w:marLeft w:val="0"/>
      <w:marRight w:val="0"/>
      <w:marTop w:val="0"/>
      <w:marBottom w:val="0"/>
      <w:divBdr>
        <w:top w:val="none" w:sz="0" w:space="0" w:color="auto"/>
        <w:left w:val="none" w:sz="0" w:space="0" w:color="auto"/>
        <w:bottom w:val="none" w:sz="0" w:space="0" w:color="auto"/>
        <w:right w:val="none" w:sz="0" w:space="0" w:color="auto"/>
      </w:divBdr>
    </w:div>
    <w:div w:id="1152719843">
      <w:bodyDiv w:val="1"/>
      <w:marLeft w:val="0"/>
      <w:marRight w:val="0"/>
      <w:marTop w:val="0"/>
      <w:marBottom w:val="0"/>
      <w:divBdr>
        <w:top w:val="none" w:sz="0" w:space="0" w:color="auto"/>
        <w:left w:val="none" w:sz="0" w:space="0" w:color="auto"/>
        <w:bottom w:val="none" w:sz="0" w:space="0" w:color="auto"/>
        <w:right w:val="none" w:sz="0" w:space="0" w:color="auto"/>
      </w:divBdr>
    </w:div>
    <w:div w:id="1155412999">
      <w:bodyDiv w:val="1"/>
      <w:marLeft w:val="0"/>
      <w:marRight w:val="0"/>
      <w:marTop w:val="0"/>
      <w:marBottom w:val="0"/>
      <w:divBdr>
        <w:top w:val="none" w:sz="0" w:space="0" w:color="auto"/>
        <w:left w:val="none" w:sz="0" w:space="0" w:color="auto"/>
        <w:bottom w:val="none" w:sz="0" w:space="0" w:color="auto"/>
        <w:right w:val="none" w:sz="0" w:space="0" w:color="auto"/>
      </w:divBdr>
    </w:div>
    <w:div w:id="1203908732">
      <w:bodyDiv w:val="1"/>
      <w:marLeft w:val="0"/>
      <w:marRight w:val="0"/>
      <w:marTop w:val="0"/>
      <w:marBottom w:val="0"/>
      <w:divBdr>
        <w:top w:val="none" w:sz="0" w:space="0" w:color="auto"/>
        <w:left w:val="none" w:sz="0" w:space="0" w:color="auto"/>
        <w:bottom w:val="none" w:sz="0" w:space="0" w:color="auto"/>
        <w:right w:val="none" w:sz="0" w:space="0" w:color="auto"/>
      </w:divBdr>
    </w:div>
    <w:div w:id="1219248487">
      <w:bodyDiv w:val="1"/>
      <w:marLeft w:val="0"/>
      <w:marRight w:val="0"/>
      <w:marTop w:val="0"/>
      <w:marBottom w:val="0"/>
      <w:divBdr>
        <w:top w:val="none" w:sz="0" w:space="0" w:color="auto"/>
        <w:left w:val="none" w:sz="0" w:space="0" w:color="auto"/>
        <w:bottom w:val="none" w:sz="0" w:space="0" w:color="auto"/>
        <w:right w:val="none" w:sz="0" w:space="0" w:color="auto"/>
      </w:divBdr>
    </w:div>
    <w:div w:id="1241215680">
      <w:bodyDiv w:val="1"/>
      <w:marLeft w:val="0"/>
      <w:marRight w:val="0"/>
      <w:marTop w:val="0"/>
      <w:marBottom w:val="0"/>
      <w:divBdr>
        <w:top w:val="none" w:sz="0" w:space="0" w:color="auto"/>
        <w:left w:val="none" w:sz="0" w:space="0" w:color="auto"/>
        <w:bottom w:val="none" w:sz="0" w:space="0" w:color="auto"/>
        <w:right w:val="none" w:sz="0" w:space="0" w:color="auto"/>
      </w:divBdr>
    </w:div>
    <w:div w:id="1248689418">
      <w:bodyDiv w:val="1"/>
      <w:marLeft w:val="0"/>
      <w:marRight w:val="0"/>
      <w:marTop w:val="0"/>
      <w:marBottom w:val="0"/>
      <w:divBdr>
        <w:top w:val="none" w:sz="0" w:space="0" w:color="auto"/>
        <w:left w:val="none" w:sz="0" w:space="0" w:color="auto"/>
        <w:bottom w:val="none" w:sz="0" w:space="0" w:color="auto"/>
        <w:right w:val="none" w:sz="0" w:space="0" w:color="auto"/>
      </w:divBdr>
    </w:div>
    <w:div w:id="1296644246">
      <w:bodyDiv w:val="1"/>
      <w:marLeft w:val="0"/>
      <w:marRight w:val="0"/>
      <w:marTop w:val="0"/>
      <w:marBottom w:val="0"/>
      <w:divBdr>
        <w:top w:val="none" w:sz="0" w:space="0" w:color="auto"/>
        <w:left w:val="none" w:sz="0" w:space="0" w:color="auto"/>
        <w:bottom w:val="none" w:sz="0" w:space="0" w:color="auto"/>
        <w:right w:val="none" w:sz="0" w:space="0" w:color="auto"/>
      </w:divBdr>
    </w:div>
    <w:div w:id="1302685630">
      <w:bodyDiv w:val="1"/>
      <w:marLeft w:val="0"/>
      <w:marRight w:val="0"/>
      <w:marTop w:val="0"/>
      <w:marBottom w:val="0"/>
      <w:divBdr>
        <w:top w:val="none" w:sz="0" w:space="0" w:color="auto"/>
        <w:left w:val="none" w:sz="0" w:space="0" w:color="auto"/>
        <w:bottom w:val="none" w:sz="0" w:space="0" w:color="auto"/>
        <w:right w:val="none" w:sz="0" w:space="0" w:color="auto"/>
      </w:divBdr>
    </w:div>
    <w:div w:id="1323195450">
      <w:bodyDiv w:val="1"/>
      <w:marLeft w:val="0"/>
      <w:marRight w:val="0"/>
      <w:marTop w:val="0"/>
      <w:marBottom w:val="0"/>
      <w:divBdr>
        <w:top w:val="none" w:sz="0" w:space="0" w:color="auto"/>
        <w:left w:val="none" w:sz="0" w:space="0" w:color="auto"/>
        <w:bottom w:val="none" w:sz="0" w:space="0" w:color="auto"/>
        <w:right w:val="none" w:sz="0" w:space="0" w:color="auto"/>
      </w:divBdr>
    </w:div>
    <w:div w:id="1330518768">
      <w:bodyDiv w:val="1"/>
      <w:marLeft w:val="0"/>
      <w:marRight w:val="0"/>
      <w:marTop w:val="0"/>
      <w:marBottom w:val="0"/>
      <w:divBdr>
        <w:top w:val="none" w:sz="0" w:space="0" w:color="auto"/>
        <w:left w:val="none" w:sz="0" w:space="0" w:color="auto"/>
        <w:bottom w:val="none" w:sz="0" w:space="0" w:color="auto"/>
        <w:right w:val="none" w:sz="0" w:space="0" w:color="auto"/>
      </w:divBdr>
    </w:div>
    <w:div w:id="1339116895">
      <w:bodyDiv w:val="1"/>
      <w:marLeft w:val="0"/>
      <w:marRight w:val="0"/>
      <w:marTop w:val="0"/>
      <w:marBottom w:val="0"/>
      <w:divBdr>
        <w:top w:val="none" w:sz="0" w:space="0" w:color="auto"/>
        <w:left w:val="none" w:sz="0" w:space="0" w:color="auto"/>
        <w:bottom w:val="none" w:sz="0" w:space="0" w:color="auto"/>
        <w:right w:val="none" w:sz="0" w:space="0" w:color="auto"/>
      </w:divBdr>
    </w:div>
    <w:div w:id="135321984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434129658">
      <w:bodyDiv w:val="1"/>
      <w:marLeft w:val="0"/>
      <w:marRight w:val="0"/>
      <w:marTop w:val="0"/>
      <w:marBottom w:val="0"/>
      <w:divBdr>
        <w:top w:val="none" w:sz="0" w:space="0" w:color="auto"/>
        <w:left w:val="none" w:sz="0" w:space="0" w:color="auto"/>
        <w:bottom w:val="none" w:sz="0" w:space="0" w:color="auto"/>
        <w:right w:val="none" w:sz="0" w:space="0" w:color="auto"/>
      </w:divBdr>
    </w:div>
    <w:div w:id="1466728317">
      <w:bodyDiv w:val="1"/>
      <w:marLeft w:val="0"/>
      <w:marRight w:val="0"/>
      <w:marTop w:val="0"/>
      <w:marBottom w:val="0"/>
      <w:divBdr>
        <w:top w:val="none" w:sz="0" w:space="0" w:color="auto"/>
        <w:left w:val="none" w:sz="0" w:space="0" w:color="auto"/>
        <w:bottom w:val="none" w:sz="0" w:space="0" w:color="auto"/>
        <w:right w:val="none" w:sz="0" w:space="0" w:color="auto"/>
      </w:divBdr>
    </w:div>
    <w:div w:id="1531412416">
      <w:bodyDiv w:val="1"/>
      <w:marLeft w:val="0"/>
      <w:marRight w:val="0"/>
      <w:marTop w:val="0"/>
      <w:marBottom w:val="0"/>
      <w:divBdr>
        <w:top w:val="none" w:sz="0" w:space="0" w:color="auto"/>
        <w:left w:val="none" w:sz="0" w:space="0" w:color="auto"/>
        <w:bottom w:val="none" w:sz="0" w:space="0" w:color="auto"/>
        <w:right w:val="none" w:sz="0" w:space="0" w:color="auto"/>
      </w:divBdr>
    </w:div>
    <w:div w:id="1548058220">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26365723">
      <w:bodyDiv w:val="1"/>
      <w:marLeft w:val="0"/>
      <w:marRight w:val="0"/>
      <w:marTop w:val="0"/>
      <w:marBottom w:val="0"/>
      <w:divBdr>
        <w:top w:val="none" w:sz="0" w:space="0" w:color="auto"/>
        <w:left w:val="none" w:sz="0" w:space="0" w:color="auto"/>
        <w:bottom w:val="none" w:sz="0" w:space="0" w:color="auto"/>
        <w:right w:val="none" w:sz="0" w:space="0" w:color="auto"/>
      </w:divBdr>
    </w:div>
    <w:div w:id="1727020842">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55080978">
      <w:bodyDiv w:val="1"/>
      <w:marLeft w:val="0"/>
      <w:marRight w:val="0"/>
      <w:marTop w:val="0"/>
      <w:marBottom w:val="0"/>
      <w:divBdr>
        <w:top w:val="none" w:sz="0" w:space="0" w:color="auto"/>
        <w:left w:val="none" w:sz="0" w:space="0" w:color="auto"/>
        <w:bottom w:val="none" w:sz="0" w:space="0" w:color="auto"/>
        <w:right w:val="none" w:sz="0" w:space="0" w:color="auto"/>
      </w:divBdr>
    </w:div>
    <w:div w:id="176660678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788742609">
      <w:bodyDiv w:val="1"/>
      <w:marLeft w:val="0"/>
      <w:marRight w:val="0"/>
      <w:marTop w:val="0"/>
      <w:marBottom w:val="0"/>
      <w:divBdr>
        <w:top w:val="none" w:sz="0" w:space="0" w:color="auto"/>
        <w:left w:val="none" w:sz="0" w:space="0" w:color="auto"/>
        <w:bottom w:val="none" w:sz="0" w:space="0" w:color="auto"/>
        <w:right w:val="none" w:sz="0" w:space="0" w:color="auto"/>
      </w:divBdr>
    </w:div>
    <w:div w:id="1857109194">
      <w:bodyDiv w:val="1"/>
      <w:marLeft w:val="0"/>
      <w:marRight w:val="0"/>
      <w:marTop w:val="0"/>
      <w:marBottom w:val="0"/>
      <w:divBdr>
        <w:top w:val="none" w:sz="0" w:space="0" w:color="auto"/>
        <w:left w:val="none" w:sz="0" w:space="0" w:color="auto"/>
        <w:bottom w:val="none" w:sz="0" w:space="0" w:color="auto"/>
        <w:right w:val="none" w:sz="0" w:space="0" w:color="auto"/>
      </w:divBdr>
    </w:div>
    <w:div w:id="1868785370">
      <w:bodyDiv w:val="1"/>
      <w:marLeft w:val="0"/>
      <w:marRight w:val="0"/>
      <w:marTop w:val="0"/>
      <w:marBottom w:val="0"/>
      <w:divBdr>
        <w:top w:val="none" w:sz="0" w:space="0" w:color="auto"/>
        <w:left w:val="none" w:sz="0" w:space="0" w:color="auto"/>
        <w:bottom w:val="none" w:sz="0" w:space="0" w:color="auto"/>
        <w:right w:val="none" w:sz="0" w:space="0" w:color="auto"/>
      </w:divBdr>
    </w:div>
    <w:div w:id="1885749645">
      <w:bodyDiv w:val="1"/>
      <w:marLeft w:val="0"/>
      <w:marRight w:val="0"/>
      <w:marTop w:val="0"/>
      <w:marBottom w:val="0"/>
      <w:divBdr>
        <w:top w:val="none" w:sz="0" w:space="0" w:color="auto"/>
        <w:left w:val="none" w:sz="0" w:space="0" w:color="auto"/>
        <w:bottom w:val="none" w:sz="0" w:space="0" w:color="auto"/>
        <w:right w:val="none" w:sz="0" w:space="0" w:color="auto"/>
      </w:divBdr>
    </w:div>
    <w:div w:id="1972468314">
      <w:bodyDiv w:val="1"/>
      <w:marLeft w:val="0"/>
      <w:marRight w:val="0"/>
      <w:marTop w:val="0"/>
      <w:marBottom w:val="0"/>
      <w:divBdr>
        <w:top w:val="none" w:sz="0" w:space="0" w:color="auto"/>
        <w:left w:val="none" w:sz="0" w:space="0" w:color="auto"/>
        <w:bottom w:val="none" w:sz="0" w:space="0" w:color="auto"/>
        <w:right w:val="none" w:sz="0" w:space="0" w:color="auto"/>
      </w:divBdr>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4597685">
      <w:bodyDiv w:val="1"/>
      <w:marLeft w:val="0"/>
      <w:marRight w:val="0"/>
      <w:marTop w:val="0"/>
      <w:marBottom w:val="0"/>
      <w:divBdr>
        <w:top w:val="none" w:sz="0" w:space="0" w:color="auto"/>
        <w:left w:val="none" w:sz="0" w:space="0" w:color="auto"/>
        <w:bottom w:val="none" w:sz="0" w:space="0" w:color="auto"/>
        <w:right w:val="none" w:sz="0" w:space="0" w:color="auto"/>
      </w:divBdr>
    </w:div>
    <w:div w:id="1997412113">
      <w:bodyDiv w:val="1"/>
      <w:marLeft w:val="0"/>
      <w:marRight w:val="0"/>
      <w:marTop w:val="0"/>
      <w:marBottom w:val="0"/>
      <w:divBdr>
        <w:top w:val="none" w:sz="0" w:space="0" w:color="auto"/>
        <w:left w:val="none" w:sz="0" w:space="0" w:color="auto"/>
        <w:bottom w:val="none" w:sz="0" w:space="0" w:color="auto"/>
        <w:right w:val="none" w:sz="0" w:space="0" w:color="auto"/>
      </w:divBdr>
    </w:div>
    <w:div w:id="2031879232">
      <w:bodyDiv w:val="1"/>
      <w:marLeft w:val="0"/>
      <w:marRight w:val="0"/>
      <w:marTop w:val="0"/>
      <w:marBottom w:val="0"/>
      <w:divBdr>
        <w:top w:val="none" w:sz="0" w:space="0" w:color="auto"/>
        <w:left w:val="none" w:sz="0" w:space="0" w:color="auto"/>
        <w:bottom w:val="none" w:sz="0" w:space="0" w:color="auto"/>
        <w:right w:val="none" w:sz="0" w:space="0" w:color="auto"/>
      </w:divBdr>
    </w:div>
    <w:div w:id="21140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pmcm.caiso.com/Pages/BPMLibrary.aspx" TargetMode="Externa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hyperlink" Target="http://www.caiso.com/Documents/EnergyImbalanceMarketParticipatingResourceSchedulingCoordinatorAgreementInformationRequestSheet.doc" TargetMode="External"/><Relationship Id="rId159" Type="http://schemas.openxmlformats.org/officeDocument/2006/relationships/hyperlink" Target="http://bpmcm.caiso.com/Pages/BPMLibrary.aspx" TargetMode="External"/><Relationship Id="rId170" Type="http://schemas.openxmlformats.org/officeDocument/2006/relationships/hyperlink" Target="http://bpmcm.caiso.com/Pages/BPMLibrary.aspx" TargetMode="External"/><Relationship Id="rId191" Type="http://schemas.openxmlformats.org/officeDocument/2006/relationships/hyperlink" Target="http://bpmcm.caiso.com/Pages/BPMLibrary.aspx" TargetMode="External"/><Relationship Id="rId107" Type="http://schemas.openxmlformats.org/officeDocument/2006/relationships/settings" Target="settings.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image" Target="media/image2.png"/><Relationship Id="rId149" Type="http://schemas.openxmlformats.org/officeDocument/2006/relationships/hyperlink" Target="http://bpmcm.caiso.com/Pages/BPMLibrary.aspx" TargetMode="Externa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hyperlink" Target="http://bpmcm.caiso.com/Pages/BPMLibrary.aspx" TargetMode="External"/><Relationship Id="rId181" Type="http://schemas.openxmlformats.org/officeDocument/2006/relationships/image" Target="media/image9.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hyperlink" Target="http://bpmcm.caiso.com/Pages/BPMLibrary.aspx" TargetMode="External"/><Relationship Id="rId139" Type="http://schemas.openxmlformats.org/officeDocument/2006/relationships/hyperlink" Target="http://www.caiso.com/Documents/ISOAffiliationResourceControlAgreementDisclosureForm.xls" TargetMode="External"/><Relationship Id="rId85" Type="http://schemas.openxmlformats.org/officeDocument/2006/relationships/customXml" Target="../customXml/item85.xml"/><Relationship Id="rId150" Type="http://schemas.openxmlformats.org/officeDocument/2006/relationships/hyperlink" Target="http://bpmcm.caiso.com/Pages/BPMLibrary.aspx" TargetMode="External"/><Relationship Id="rId171" Type="http://schemas.openxmlformats.org/officeDocument/2006/relationships/hyperlink" Target="http://bpmcm.caiso.com/Pages/BPMLibrary.aspx" TargetMode="External"/><Relationship Id="rId192" Type="http://schemas.openxmlformats.org/officeDocument/2006/relationships/hyperlink" Target="http://bpmcm.caiso.com/Pages/BPMLibrary.aspx"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webSettings" Target="webSettings.xml"/><Relationship Id="rId129" Type="http://schemas.openxmlformats.org/officeDocument/2006/relationships/hyperlink" Target="http://www.caiso.com/Documents/EnergyImbalanceMarketEntitySchedulingCoordinatorAgreementInformationRequestSheet.doc"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hyperlink" Target="http://www.caiso.com/Documents/NewSCAcceptanceLetter_Sept2014.doc" TargetMode="External"/><Relationship Id="rId161" Type="http://schemas.openxmlformats.org/officeDocument/2006/relationships/hyperlink" Target="http://www.caiso.com/rules/Pages/Regulatory/Default.aspx" TargetMode="External"/><Relationship Id="rId182" Type="http://schemas.openxmlformats.org/officeDocument/2006/relationships/image" Target="media/image10.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hyperlink" Target="http://bpmcm.caiso.com/Pages/BPMLibrary.aspx" TargetMode="Externa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hyperlink" Target="http://www.caiso.com/Documents/ISOAffiliationResourceControlAgreementDisclosureForm.xls" TargetMode="External"/><Relationship Id="rId151" Type="http://schemas.openxmlformats.org/officeDocument/2006/relationships/hyperlink" Target="http://bpmcm.caiso.com/Pages/BPMLibrary.aspx" TargetMode="External"/><Relationship Id="rId172" Type="http://schemas.openxmlformats.org/officeDocument/2006/relationships/hyperlink" Target="http://www.caiso.com/Documents/3510.pdf" TargetMode="External"/><Relationship Id="rId193" Type="http://schemas.openxmlformats.org/officeDocument/2006/relationships/hyperlink" Target="http://bpmcm.caiso.com/Pages/BPMLibrary.aspx" TargetMode="External"/><Relationship Id="rId13" Type="http://schemas.openxmlformats.org/officeDocument/2006/relationships/customXml" Target="../customXml/item13.xml"/><Relationship Id="rId109" Type="http://schemas.openxmlformats.org/officeDocument/2006/relationships/footnotes" Target="footnotes.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hyperlink" Target="http://bpmcm.caiso.com/Pages/BPMLibrary.aspx" TargetMode="External"/><Relationship Id="rId141" Type="http://schemas.openxmlformats.org/officeDocument/2006/relationships/hyperlink" Target="mailto:SCRequests@caiso.com" TargetMode="External"/><Relationship Id="rId7" Type="http://schemas.openxmlformats.org/officeDocument/2006/relationships/customXml" Target="../customXml/item7.xml"/><Relationship Id="rId162" Type="http://schemas.openxmlformats.org/officeDocument/2006/relationships/hyperlink" Target="http://bpmcm.caiso.com/Pages/BPMLibrary.aspx" TargetMode="External"/><Relationship Id="rId183" Type="http://schemas.openxmlformats.org/officeDocument/2006/relationships/image" Target="media/image11.emf"/><Relationship Id="rId71" Type="http://schemas.openxmlformats.org/officeDocument/2006/relationships/customXml" Target="../customXml/item7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endnotes" Target="endnotes.xml"/><Relationship Id="rId115" Type="http://schemas.openxmlformats.org/officeDocument/2006/relationships/hyperlink" Target="http://bpmcm.caiso.com/Pages/BPMLibrary.aspx" TargetMode="External"/><Relationship Id="rId131" Type="http://schemas.openxmlformats.org/officeDocument/2006/relationships/hyperlink" Target="http://www.caiso.com/Documents/ISO_PaymentSelectionInstructions-EFT-Form.doc" TargetMode="External"/><Relationship Id="rId136" Type="http://schemas.openxmlformats.org/officeDocument/2006/relationships/hyperlink" Target="http://www.caiso.com/Documents/SchedulingCoordinatorApplicationFormEIM-SelectionOptions.doc" TargetMode="External"/><Relationship Id="rId157" Type="http://schemas.openxmlformats.org/officeDocument/2006/relationships/hyperlink" Target="http://bpmcm.caiso.com/Pages/BPMLibrary.aspx" TargetMode="External"/><Relationship Id="rId178" Type="http://schemas.openxmlformats.org/officeDocument/2006/relationships/image" Target="media/image6.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yperlink" Target="http://bpmcm.caiso.com/Pages/BPMLibrary.aspx" TargetMode="External"/><Relationship Id="rId173" Type="http://schemas.openxmlformats.org/officeDocument/2006/relationships/hyperlink" Target="http://bpmcm.caiso.com/Pages/BPMLibrary.aspx" TargetMode="External"/><Relationship Id="rId194" Type="http://schemas.openxmlformats.org/officeDocument/2006/relationships/hyperlink" Target="http://www.caiso.com" TargetMode="External"/><Relationship Id="rId199"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numbering" Target="numbering.xml"/><Relationship Id="rId126" Type="http://schemas.openxmlformats.org/officeDocument/2006/relationships/hyperlink" Target="mailto:SCRequests@caiso.com" TargetMode="External"/><Relationship Id="rId147" Type="http://schemas.openxmlformats.org/officeDocument/2006/relationships/hyperlink" Target="http://bpmcm.caiso.com/Pages/BPMLibrary.aspx" TargetMode="External"/><Relationship Id="rId168" Type="http://schemas.openxmlformats.org/officeDocument/2006/relationships/hyperlink" Target="http://bpmcm.caiso.com/Pages/BPMLibrary.aspx"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bpmcm.caiso.com/Pages/BPMLibrary.aspx" TargetMode="External"/><Relationship Id="rId142" Type="http://schemas.openxmlformats.org/officeDocument/2006/relationships/hyperlink" Target="http://www.caiso.com/Documents/EnergyImbalanceMarketParticipatingResourceAgreementInformationRequestSheet.doc" TargetMode="External"/><Relationship Id="rId163" Type="http://schemas.openxmlformats.org/officeDocument/2006/relationships/hyperlink" Target="http://bpmcm.caiso.com/Pages/BPMLibrary.aspx" TargetMode="External"/><Relationship Id="rId184" Type="http://schemas.openxmlformats.org/officeDocument/2006/relationships/hyperlink" Target="http://bpmcm.caiso.com/Pages/BPMLibrary.aspx" TargetMode="External"/><Relationship Id="rId189" Type="http://schemas.openxmlformats.org/officeDocument/2006/relationships/hyperlink" Target="http://bpmcm.caiso.com/Pages/BPMLibrary.aspx"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bpmcm.caiso.com/Pages/BPMLibrary.aspx" TargetMode="External"/><Relationship Id="rId137" Type="http://schemas.openxmlformats.org/officeDocument/2006/relationships/image" Target="media/image3.jpeg"/><Relationship Id="rId158" Type="http://schemas.openxmlformats.org/officeDocument/2006/relationships/hyperlink" Target="http://bpmcm.caiso.com/Pages/BPMLibrary.aspx"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eader" Target="header1.xml"/><Relationship Id="rId132" Type="http://schemas.openxmlformats.org/officeDocument/2006/relationships/hyperlink" Target="http://www.caiso.com/Documents/EmergencyPlanForm.doc" TargetMode="External"/><Relationship Id="rId153" Type="http://schemas.openxmlformats.org/officeDocument/2006/relationships/hyperlink" Target="http://bpmcm.caiso.com/Pages/BPMLibrary.aspx" TargetMode="External"/><Relationship Id="rId174" Type="http://schemas.openxmlformats.org/officeDocument/2006/relationships/hyperlink" Target="http://bpmcm.caiso.com/Pages/BPMLibrary.aspx" TargetMode="External"/><Relationship Id="rId179" Type="http://schemas.openxmlformats.org/officeDocument/2006/relationships/image" Target="media/image7.png"/><Relationship Id="rId195" Type="http://schemas.openxmlformats.org/officeDocument/2006/relationships/hyperlink" Target="http://bpmcm.caiso.com/Pages/BPMLibrary.aspx" TargetMode="External"/><Relationship Id="rId190" Type="http://schemas.openxmlformats.org/officeDocument/2006/relationships/hyperlink" Target="http://bpmcm.caiso.com/Pages/BPMLibrary.aspx"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styles" Target="styles.xml"/><Relationship Id="rId127" Type="http://schemas.openxmlformats.org/officeDocument/2006/relationships/hyperlink" Target="http://www.caiso.com/Documents/SchedulingCoordinatorApplicationFormEIM-SelectionOptions.doc"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bpmcm.caiso.com/Pages/BPMLibrary.aspx" TargetMode="External"/><Relationship Id="rId143" Type="http://schemas.openxmlformats.org/officeDocument/2006/relationships/hyperlink" Target="http://www.caiso.com/Documents/EnergyImbalanceMarketParticipatingResourceAgreementSchedule1.xls" TargetMode="External"/><Relationship Id="rId148" Type="http://schemas.openxmlformats.org/officeDocument/2006/relationships/hyperlink" Target="http://bpmcm.caiso.com/Pages/BPMLibrary.aspx" TargetMode="External"/><Relationship Id="rId164" Type="http://schemas.openxmlformats.org/officeDocument/2006/relationships/hyperlink" Target="http://bpmcm.caiso.com/Pages/BPMLibrary.aspx" TargetMode="External"/><Relationship Id="rId169" Type="http://schemas.openxmlformats.org/officeDocument/2006/relationships/hyperlink" Target="http://bpmcm.caiso.com/Pages/BPMDetails.aspx?BPM=Managing%20Full%20Network%20Model" TargetMode="External"/><Relationship Id="rId185" Type="http://schemas.openxmlformats.org/officeDocument/2006/relationships/hyperlink" Target="file:///D:/Users/hkelley/AppData/Local/Microsoft/Windows/Temporary%20Internet%20Files/Content.Outlook/IB7JJPS9/ndeb@caiso.com"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8.pn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footer" Target="footer1.xml"/><Relationship Id="rId133" Type="http://schemas.openxmlformats.org/officeDocument/2006/relationships/hyperlink" Target="mailto:SCRequests@caiso.com" TargetMode="External"/><Relationship Id="rId154" Type="http://schemas.openxmlformats.org/officeDocument/2006/relationships/hyperlink" Target="http://bpmcm.caiso.com/Pages/BPMLibrary.aspx" TargetMode="External"/><Relationship Id="rId175" Type="http://schemas.openxmlformats.org/officeDocument/2006/relationships/image" Target="media/image4.emf"/><Relationship Id="rId196" Type="http://schemas.openxmlformats.org/officeDocument/2006/relationships/hyperlink" Target="http://bpmcm.caiso.com/Pages/BPMLibrary.aspx" TargetMode="External"/><Relationship Id="rId200"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yperlink" Target="http://bpmcm.caiso.com/Pages/BPMLibrary.aspx" TargetMode="External"/><Relationship Id="rId144" Type="http://schemas.openxmlformats.org/officeDocument/2006/relationships/hyperlink" Target="http://www.caiso.com/Documents/ResourceOwnerLetter_Sept2014.doc" TargetMode="External"/><Relationship Id="rId90" Type="http://schemas.openxmlformats.org/officeDocument/2006/relationships/customXml" Target="../customXml/item90.xml"/><Relationship Id="rId165" Type="http://schemas.openxmlformats.org/officeDocument/2006/relationships/hyperlink" Target="http://bpmcm.caiso.com/Pages/BPMLibrary.aspx" TargetMode="External"/><Relationship Id="rId186" Type="http://schemas.openxmlformats.org/officeDocument/2006/relationships/hyperlink" Target="http://bpmcm.caiso.com/Pages/BPMLibrary.aspx"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header" Target="header2.xml"/><Relationship Id="rId134" Type="http://schemas.openxmlformats.org/officeDocument/2006/relationships/hyperlink" Target="mailto:SCRequests@caiso.com" TargetMode="External"/><Relationship Id="rId80" Type="http://schemas.openxmlformats.org/officeDocument/2006/relationships/customXml" Target="../customXml/item80.xml"/><Relationship Id="rId155" Type="http://schemas.openxmlformats.org/officeDocument/2006/relationships/hyperlink" Target="http://bpmcm.caiso.com/Pages/BPMLibrary.aspx" TargetMode="External"/><Relationship Id="rId176" Type="http://schemas.openxmlformats.org/officeDocument/2006/relationships/oleObject" Target="embeddings/Microsoft_Visio_2003-2010_Drawing11111.vsd"/><Relationship Id="rId197" Type="http://schemas.openxmlformats.org/officeDocument/2006/relationships/hyperlink" Target="http://bpmcm.caiso.com/Pages/BPMLibrary.aspx" TargetMode="External"/><Relationship Id="rId201"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hyperlink" Target="http://www.caiso.com/Documents/EnergyImbalanceMarketEntityAgreementInformationRequestSheet.doc" TargetMode="Externa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hyperlink" Target="http://bpmcm.caiso.com/Pages/BPMLibrary.aspx" TargetMode="External"/><Relationship Id="rId166" Type="http://schemas.openxmlformats.org/officeDocument/2006/relationships/hyperlink" Target="http://bpmcm.caiso.com/Pages/BPMLibrary.aspx" TargetMode="External"/><Relationship Id="rId187" Type="http://schemas.openxmlformats.org/officeDocument/2006/relationships/hyperlink" Target="http://bpmcm.caiso.com/Pages/BPMLibrary.aspx"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bpmcm.caiso.com/Pages/BPMLibrary.aspx" TargetMode="Externa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hyperlink" Target="http://www.caiso.com/Documents/ExistingSchedulingCoordinatorRequestsAdditionalSCID.doc" TargetMode="External"/><Relationship Id="rId156" Type="http://schemas.openxmlformats.org/officeDocument/2006/relationships/hyperlink" Target="http://bpmcm.caiso.com/Pages/BPMLibrary.aspx" TargetMode="External"/><Relationship Id="rId177" Type="http://schemas.openxmlformats.org/officeDocument/2006/relationships/image" Target="media/image5.emf"/><Relationship Id="rId198" Type="http://schemas.openxmlformats.org/officeDocument/2006/relationships/hyperlink" Target="http://bpmcm.caiso.com/Pages/BPMLibrary.aspx"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hyperlink" Target="mailto:RegulatoryContracts@caiso.com" TargetMode="External"/><Relationship Id="rId146" Type="http://schemas.openxmlformats.org/officeDocument/2006/relationships/hyperlink" Target="http://bpmcm.caiso.com/Pages/BPMLibrary.aspx" TargetMode="External"/><Relationship Id="rId167" Type="http://schemas.openxmlformats.org/officeDocument/2006/relationships/hyperlink" Target="http://bpmcm.caiso.com/Pages/BPMLibrary.aspx" TargetMode="External"/><Relationship Id="rId188" Type="http://schemas.openxmlformats.org/officeDocument/2006/relationships/hyperlink" Target="http://bpmcm.caiso.com/Pages/BPMLibrar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customXsn xmlns="http://schemas.microsoft.com/office/2006/metadata/customXsn">
  <xsnLocation/>
  <cached>True</cached>
  <openByDefault>False</openByDefault>
  <xsnScope/>
</customXsn>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Energy Imbalance Market</BPM_x0020_Name>
  </documentManagement>
</p:properti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mso-contentType ?>
<FormTemplates xmlns="http://schemas.microsoft.com/sharepoint/v3/contenttype/forms">
  <Display>DocumentLibraryForm</Display>
  <Edit>DocumentLibraryForm</Edit>
  <New>DocumentLibraryForm</New>
</FormTemplates>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LongProperties xmlns="http://schemas.microsoft.com/office/2006/metadata/long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F35F-2015-416E-813E-A988888E4498}"/>
</file>

<file path=customXml/itemProps10.xml><?xml version="1.0" encoding="utf-8"?>
<ds:datastoreItem xmlns:ds="http://schemas.openxmlformats.org/officeDocument/2006/customXml" ds:itemID="{8AFB68D5-D466-4170-8236-C137CAAE6402}"/>
</file>

<file path=customXml/itemProps100.xml><?xml version="1.0" encoding="utf-8"?>
<ds:datastoreItem xmlns:ds="http://schemas.openxmlformats.org/officeDocument/2006/customXml" ds:itemID="{0356852F-37B5-4130-848D-A8D62FE8E4E4}"/>
</file>

<file path=customXml/itemProps101.xml><?xml version="1.0" encoding="utf-8"?>
<ds:datastoreItem xmlns:ds="http://schemas.openxmlformats.org/officeDocument/2006/customXml" ds:itemID="{F09664E9-6DBD-41F8-8639-320E7D686662}"/>
</file>

<file path=customXml/itemProps102.xml><?xml version="1.0" encoding="utf-8"?>
<ds:datastoreItem xmlns:ds="http://schemas.openxmlformats.org/officeDocument/2006/customXml" ds:itemID="{B8BDD0F9-E719-4730-8625-9920F21C70E4}"/>
</file>

<file path=customXml/itemProps103.xml><?xml version="1.0" encoding="utf-8"?>
<ds:datastoreItem xmlns:ds="http://schemas.openxmlformats.org/officeDocument/2006/customXml" ds:itemID="{F114BD5E-0332-447A-81F1-450FD2790999}"/>
</file>

<file path=customXml/itemProps104.xml><?xml version="1.0" encoding="utf-8"?>
<ds:datastoreItem xmlns:ds="http://schemas.openxmlformats.org/officeDocument/2006/customXml" ds:itemID="{025DBA27-7034-46FF-9951-8D60C1C35701}"/>
</file>

<file path=customXml/itemProps11.xml><?xml version="1.0" encoding="utf-8"?>
<ds:datastoreItem xmlns:ds="http://schemas.openxmlformats.org/officeDocument/2006/customXml" ds:itemID="{7B66096D-EA83-4615-9CCC-107417A99A35}"/>
</file>

<file path=customXml/itemProps12.xml><?xml version="1.0" encoding="utf-8"?>
<ds:datastoreItem xmlns:ds="http://schemas.openxmlformats.org/officeDocument/2006/customXml" ds:itemID="{EA4C142C-76A1-4419-B4AD-EEAB897212B5}"/>
</file>

<file path=customXml/itemProps13.xml><?xml version="1.0" encoding="utf-8"?>
<ds:datastoreItem xmlns:ds="http://schemas.openxmlformats.org/officeDocument/2006/customXml" ds:itemID="{E66B8373-0756-4875-BB07-306FCCA8A5B6}"/>
</file>

<file path=customXml/itemProps14.xml><?xml version="1.0" encoding="utf-8"?>
<ds:datastoreItem xmlns:ds="http://schemas.openxmlformats.org/officeDocument/2006/customXml" ds:itemID="{BC276B17-BA08-48EE-80D1-714611E9B37A}"/>
</file>

<file path=customXml/itemProps15.xml><?xml version="1.0" encoding="utf-8"?>
<ds:datastoreItem xmlns:ds="http://schemas.openxmlformats.org/officeDocument/2006/customXml" ds:itemID="{0D8AF4FB-9E52-4737-AD20-C73EC846E102}"/>
</file>

<file path=customXml/itemProps16.xml><?xml version="1.0" encoding="utf-8"?>
<ds:datastoreItem xmlns:ds="http://schemas.openxmlformats.org/officeDocument/2006/customXml" ds:itemID="{618D8868-C994-47B0-B6BC-60935DD4A996}"/>
</file>

<file path=customXml/itemProps17.xml><?xml version="1.0" encoding="utf-8"?>
<ds:datastoreItem xmlns:ds="http://schemas.openxmlformats.org/officeDocument/2006/customXml" ds:itemID="{F01BEB21-189D-4BDA-A277-DC46882C6E5C}"/>
</file>

<file path=customXml/itemProps18.xml><?xml version="1.0" encoding="utf-8"?>
<ds:datastoreItem xmlns:ds="http://schemas.openxmlformats.org/officeDocument/2006/customXml" ds:itemID="{9BDC08C1-9822-4BAE-B033-36661B5CA059}"/>
</file>

<file path=customXml/itemProps19.xml><?xml version="1.0" encoding="utf-8"?>
<ds:datastoreItem xmlns:ds="http://schemas.openxmlformats.org/officeDocument/2006/customXml" ds:itemID="{454B9B05-19DB-469C-B117-125977E12AF0}"/>
</file>

<file path=customXml/itemProps2.xml><?xml version="1.0" encoding="utf-8"?>
<ds:datastoreItem xmlns:ds="http://schemas.openxmlformats.org/officeDocument/2006/customXml" ds:itemID="{A7DF4572-CC4F-43FA-A6B5-19C2C0590656}"/>
</file>

<file path=customXml/itemProps20.xml><?xml version="1.0" encoding="utf-8"?>
<ds:datastoreItem xmlns:ds="http://schemas.openxmlformats.org/officeDocument/2006/customXml" ds:itemID="{EE20F902-2CCE-4976-BDD4-350BDAAFC739}"/>
</file>

<file path=customXml/itemProps21.xml><?xml version="1.0" encoding="utf-8"?>
<ds:datastoreItem xmlns:ds="http://schemas.openxmlformats.org/officeDocument/2006/customXml" ds:itemID="{4D327022-8249-429F-8055-67B74707BC91}"/>
</file>

<file path=customXml/itemProps22.xml><?xml version="1.0" encoding="utf-8"?>
<ds:datastoreItem xmlns:ds="http://schemas.openxmlformats.org/officeDocument/2006/customXml" ds:itemID="{72920739-563A-4A2B-B3DC-1E9B2E0C3433}"/>
</file>

<file path=customXml/itemProps23.xml><?xml version="1.0" encoding="utf-8"?>
<ds:datastoreItem xmlns:ds="http://schemas.openxmlformats.org/officeDocument/2006/customXml" ds:itemID="{C5D3A85C-05FB-4D3A-9560-701D4C379C90}"/>
</file>

<file path=customXml/itemProps24.xml><?xml version="1.0" encoding="utf-8"?>
<ds:datastoreItem xmlns:ds="http://schemas.openxmlformats.org/officeDocument/2006/customXml" ds:itemID="{CAADF69F-BC79-4D8E-9076-47C2707127B7}"/>
</file>

<file path=customXml/itemProps25.xml><?xml version="1.0" encoding="utf-8"?>
<ds:datastoreItem xmlns:ds="http://schemas.openxmlformats.org/officeDocument/2006/customXml" ds:itemID="{9767F4BF-C5EB-4D25-9CE8-D97DE89AFE97}"/>
</file>

<file path=customXml/itemProps26.xml><?xml version="1.0" encoding="utf-8"?>
<ds:datastoreItem xmlns:ds="http://schemas.openxmlformats.org/officeDocument/2006/customXml" ds:itemID="{3C6B0AA6-58B6-4102-A207-487A40FE3912}"/>
</file>

<file path=customXml/itemProps27.xml><?xml version="1.0" encoding="utf-8"?>
<ds:datastoreItem xmlns:ds="http://schemas.openxmlformats.org/officeDocument/2006/customXml" ds:itemID="{3DD64454-C91B-47AA-8AB9-3BB081ED4BD9}"/>
</file>

<file path=customXml/itemProps28.xml><?xml version="1.0" encoding="utf-8"?>
<ds:datastoreItem xmlns:ds="http://schemas.openxmlformats.org/officeDocument/2006/customXml" ds:itemID="{4214FE7D-9DC1-466D-BFD8-D27BF0DAB49B}"/>
</file>

<file path=customXml/itemProps29.xml><?xml version="1.0" encoding="utf-8"?>
<ds:datastoreItem xmlns:ds="http://schemas.openxmlformats.org/officeDocument/2006/customXml" ds:itemID="{FCDA9BB6-8F2B-44A4-9FD6-6FC4B48AB80C}"/>
</file>

<file path=customXml/itemProps3.xml><?xml version="1.0" encoding="utf-8"?>
<ds:datastoreItem xmlns:ds="http://schemas.openxmlformats.org/officeDocument/2006/customXml" ds:itemID="{DE93871B-38CF-42AC-8022-5E86239D0A80}"/>
</file>

<file path=customXml/itemProps30.xml><?xml version="1.0" encoding="utf-8"?>
<ds:datastoreItem xmlns:ds="http://schemas.openxmlformats.org/officeDocument/2006/customXml" ds:itemID="{1EF35E15-7FB6-4109-BDF0-7BD5C0AD0A9A}"/>
</file>

<file path=customXml/itemProps31.xml><?xml version="1.0" encoding="utf-8"?>
<ds:datastoreItem xmlns:ds="http://schemas.openxmlformats.org/officeDocument/2006/customXml" ds:itemID="{B8097116-995B-4093-96EF-CB64B96799EC}"/>
</file>

<file path=customXml/itemProps32.xml><?xml version="1.0" encoding="utf-8"?>
<ds:datastoreItem xmlns:ds="http://schemas.openxmlformats.org/officeDocument/2006/customXml" ds:itemID="{850B7288-8179-4F22-BF0B-C5107B7E1C39}"/>
</file>

<file path=customXml/itemProps33.xml><?xml version="1.0" encoding="utf-8"?>
<ds:datastoreItem xmlns:ds="http://schemas.openxmlformats.org/officeDocument/2006/customXml" ds:itemID="{216DDB57-2EC8-4DC7-B09F-E2A5C617195B}"/>
</file>

<file path=customXml/itemProps34.xml><?xml version="1.0" encoding="utf-8"?>
<ds:datastoreItem xmlns:ds="http://schemas.openxmlformats.org/officeDocument/2006/customXml" ds:itemID="{909F591F-7F90-423F-B011-1EDF3FE05F9C}"/>
</file>

<file path=customXml/itemProps35.xml><?xml version="1.0" encoding="utf-8"?>
<ds:datastoreItem xmlns:ds="http://schemas.openxmlformats.org/officeDocument/2006/customXml" ds:itemID="{7F7EEFE9-FBCD-40FB-A305-431E96ABE18E}"/>
</file>

<file path=customXml/itemProps36.xml><?xml version="1.0" encoding="utf-8"?>
<ds:datastoreItem xmlns:ds="http://schemas.openxmlformats.org/officeDocument/2006/customXml" ds:itemID="{35F9B99C-00F5-4308-BCBD-A88902583922}"/>
</file>

<file path=customXml/itemProps37.xml><?xml version="1.0" encoding="utf-8"?>
<ds:datastoreItem xmlns:ds="http://schemas.openxmlformats.org/officeDocument/2006/customXml" ds:itemID="{E806FD36-17CC-41A8-83EC-F9C3F8DC20B8}"/>
</file>

<file path=customXml/itemProps38.xml><?xml version="1.0" encoding="utf-8"?>
<ds:datastoreItem xmlns:ds="http://schemas.openxmlformats.org/officeDocument/2006/customXml" ds:itemID="{34F2CC67-E4E5-4042-A930-B9D47D2CBFB3}"/>
</file>

<file path=customXml/itemProps39.xml><?xml version="1.0" encoding="utf-8"?>
<ds:datastoreItem xmlns:ds="http://schemas.openxmlformats.org/officeDocument/2006/customXml" ds:itemID="{DFCD70B2-20E6-4615-B04D-37D1368E21A8}"/>
</file>

<file path=customXml/itemProps4.xml><?xml version="1.0" encoding="utf-8"?>
<ds:datastoreItem xmlns:ds="http://schemas.openxmlformats.org/officeDocument/2006/customXml" ds:itemID="{7914C18E-DCB9-4584-99D5-871234A5A93F}"/>
</file>

<file path=customXml/itemProps40.xml><?xml version="1.0" encoding="utf-8"?>
<ds:datastoreItem xmlns:ds="http://schemas.openxmlformats.org/officeDocument/2006/customXml" ds:itemID="{F769DC58-52BE-49DE-B4CE-F8414188A7E4}"/>
</file>

<file path=customXml/itemProps41.xml><?xml version="1.0" encoding="utf-8"?>
<ds:datastoreItem xmlns:ds="http://schemas.openxmlformats.org/officeDocument/2006/customXml" ds:itemID="{2A61456D-872D-40BF-A1D4-2769758EF88A}"/>
</file>

<file path=customXml/itemProps42.xml><?xml version="1.0" encoding="utf-8"?>
<ds:datastoreItem xmlns:ds="http://schemas.openxmlformats.org/officeDocument/2006/customXml" ds:itemID="{E7595AB9-D993-4E34-94EB-5929A0EFA4EC}"/>
</file>

<file path=customXml/itemProps43.xml><?xml version="1.0" encoding="utf-8"?>
<ds:datastoreItem xmlns:ds="http://schemas.openxmlformats.org/officeDocument/2006/customXml" ds:itemID="{7E108439-E8C0-4D7A-AA38-AA2E5C8F777C}"/>
</file>

<file path=customXml/itemProps44.xml><?xml version="1.0" encoding="utf-8"?>
<ds:datastoreItem xmlns:ds="http://schemas.openxmlformats.org/officeDocument/2006/customXml" ds:itemID="{89FE3462-C38C-418C-87B7-76A616EBED0C}"/>
</file>

<file path=customXml/itemProps45.xml><?xml version="1.0" encoding="utf-8"?>
<ds:datastoreItem xmlns:ds="http://schemas.openxmlformats.org/officeDocument/2006/customXml" ds:itemID="{00B742D4-092A-49B2-8644-D88D1A2ADAA7}"/>
</file>

<file path=customXml/itemProps46.xml><?xml version="1.0" encoding="utf-8"?>
<ds:datastoreItem xmlns:ds="http://schemas.openxmlformats.org/officeDocument/2006/customXml" ds:itemID="{FC85E80E-0DE0-4C57-941D-F03C6DF73D36}"/>
</file>

<file path=customXml/itemProps47.xml><?xml version="1.0" encoding="utf-8"?>
<ds:datastoreItem xmlns:ds="http://schemas.openxmlformats.org/officeDocument/2006/customXml" ds:itemID="{1E8148E8-C377-46A2-8403-A71112A988E3}"/>
</file>

<file path=customXml/itemProps48.xml><?xml version="1.0" encoding="utf-8"?>
<ds:datastoreItem xmlns:ds="http://schemas.openxmlformats.org/officeDocument/2006/customXml" ds:itemID="{C75AD84F-6E8B-420C-8622-7C9A32F15F3C}"/>
</file>

<file path=customXml/itemProps49.xml><?xml version="1.0" encoding="utf-8"?>
<ds:datastoreItem xmlns:ds="http://schemas.openxmlformats.org/officeDocument/2006/customXml" ds:itemID="{FB7ABEF5-8132-4F9E-A445-E684B43E4F38}"/>
</file>

<file path=customXml/itemProps5.xml><?xml version="1.0" encoding="utf-8"?>
<ds:datastoreItem xmlns:ds="http://schemas.openxmlformats.org/officeDocument/2006/customXml" ds:itemID="{8C2E6B34-48E9-4540-8487-0CB6FE1000D3}"/>
</file>

<file path=customXml/itemProps50.xml><?xml version="1.0" encoding="utf-8"?>
<ds:datastoreItem xmlns:ds="http://schemas.openxmlformats.org/officeDocument/2006/customXml" ds:itemID="{185D35F5-1238-438B-B0A6-FC400D9F03C8}"/>
</file>

<file path=customXml/itemProps51.xml><?xml version="1.0" encoding="utf-8"?>
<ds:datastoreItem xmlns:ds="http://schemas.openxmlformats.org/officeDocument/2006/customXml" ds:itemID="{3AE81648-E8BD-4272-839D-0674D3B4D730}"/>
</file>

<file path=customXml/itemProps52.xml><?xml version="1.0" encoding="utf-8"?>
<ds:datastoreItem xmlns:ds="http://schemas.openxmlformats.org/officeDocument/2006/customXml" ds:itemID="{B5055064-D40E-4358-BDB4-6AD788037FF4}"/>
</file>

<file path=customXml/itemProps53.xml><?xml version="1.0" encoding="utf-8"?>
<ds:datastoreItem xmlns:ds="http://schemas.openxmlformats.org/officeDocument/2006/customXml" ds:itemID="{E9E0AAF7-F87F-4217-819D-0DD7C8874C26}"/>
</file>

<file path=customXml/itemProps54.xml><?xml version="1.0" encoding="utf-8"?>
<ds:datastoreItem xmlns:ds="http://schemas.openxmlformats.org/officeDocument/2006/customXml" ds:itemID="{47648E76-A921-4913-8F8B-8CB6993AB719}"/>
</file>

<file path=customXml/itemProps55.xml><?xml version="1.0" encoding="utf-8"?>
<ds:datastoreItem xmlns:ds="http://schemas.openxmlformats.org/officeDocument/2006/customXml" ds:itemID="{63EBF5AB-1A8E-4C8F-B3A6-7BBC56537816}"/>
</file>

<file path=customXml/itemProps56.xml><?xml version="1.0" encoding="utf-8"?>
<ds:datastoreItem xmlns:ds="http://schemas.openxmlformats.org/officeDocument/2006/customXml" ds:itemID="{EAE78DFA-3773-4117-AE85-11CBFD9D9023}"/>
</file>

<file path=customXml/itemProps57.xml><?xml version="1.0" encoding="utf-8"?>
<ds:datastoreItem xmlns:ds="http://schemas.openxmlformats.org/officeDocument/2006/customXml" ds:itemID="{35731C60-D644-4245-9E43-4BF2DDDA57AD}"/>
</file>

<file path=customXml/itemProps58.xml><?xml version="1.0" encoding="utf-8"?>
<ds:datastoreItem xmlns:ds="http://schemas.openxmlformats.org/officeDocument/2006/customXml" ds:itemID="{6779A233-9B28-40AE-B6F4-E662A6D65F74}"/>
</file>

<file path=customXml/itemProps59.xml><?xml version="1.0" encoding="utf-8"?>
<ds:datastoreItem xmlns:ds="http://schemas.openxmlformats.org/officeDocument/2006/customXml" ds:itemID="{B7A8420B-073B-4A5A-9BE9-8A3DBAA9D050}"/>
</file>

<file path=customXml/itemProps6.xml><?xml version="1.0" encoding="utf-8"?>
<ds:datastoreItem xmlns:ds="http://schemas.openxmlformats.org/officeDocument/2006/customXml" ds:itemID="{CD624E12-2571-4369-AE8E-95DCB3881C8A}"/>
</file>

<file path=customXml/itemProps60.xml><?xml version="1.0" encoding="utf-8"?>
<ds:datastoreItem xmlns:ds="http://schemas.openxmlformats.org/officeDocument/2006/customXml" ds:itemID="{B21355F6-863F-40FB-8D01-C31FC583E395}"/>
</file>

<file path=customXml/itemProps61.xml><?xml version="1.0" encoding="utf-8"?>
<ds:datastoreItem xmlns:ds="http://schemas.openxmlformats.org/officeDocument/2006/customXml" ds:itemID="{B6DAFD4A-C166-40F1-9048-38218C884F34}"/>
</file>

<file path=customXml/itemProps62.xml><?xml version="1.0" encoding="utf-8"?>
<ds:datastoreItem xmlns:ds="http://schemas.openxmlformats.org/officeDocument/2006/customXml" ds:itemID="{7BD8DA35-CB0B-41BE-B807-0E338F109771}"/>
</file>

<file path=customXml/itemProps63.xml><?xml version="1.0" encoding="utf-8"?>
<ds:datastoreItem xmlns:ds="http://schemas.openxmlformats.org/officeDocument/2006/customXml" ds:itemID="{410374EC-88D5-42D0-94E7-93512EDD9C1A}"/>
</file>

<file path=customXml/itemProps64.xml><?xml version="1.0" encoding="utf-8"?>
<ds:datastoreItem xmlns:ds="http://schemas.openxmlformats.org/officeDocument/2006/customXml" ds:itemID="{14BB3853-2948-4532-8B32-06E7C25EA778}"/>
</file>

<file path=customXml/itemProps65.xml><?xml version="1.0" encoding="utf-8"?>
<ds:datastoreItem xmlns:ds="http://schemas.openxmlformats.org/officeDocument/2006/customXml" ds:itemID="{6B99063B-7A7C-4567-A8D8-F97449AE6834}"/>
</file>

<file path=customXml/itemProps66.xml><?xml version="1.0" encoding="utf-8"?>
<ds:datastoreItem xmlns:ds="http://schemas.openxmlformats.org/officeDocument/2006/customXml" ds:itemID="{515B6B78-1F81-4D27-833C-B66350791E11}"/>
</file>

<file path=customXml/itemProps67.xml><?xml version="1.0" encoding="utf-8"?>
<ds:datastoreItem xmlns:ds="http://schemas.openxmlformats.org/officeDocument/2006/customXml" ds:itemID="{E923E630-4DA8-4A5E-A4EC-902822B09A93}"/>
</file>

<file path=customXml/itemProps68.xml><?xml version="1.0" encoding="utf-8"?>
<ds:datastoreItem xmlns:ds="http://schemas.openxmlformats.org/officeDocument/2006/customXml" ds:itemID="{C9CFE0E1-A602-463D-B885-35206DFE2CF6}"/>
</file>

<file path=customXml/itemProps69.xml><?xml version="1.0" encoding="utf-8"?>
<ds:datastoreItem xmlns:ds="http://schemas.openxmlformats.org/officeDocument/2006/customXml" ds:itemID="{7925ACF4-936E-48A0-8AEA-E536161179E9}"/>
</file>

<file path=customXml/itemProps7.xml><?xml version="1.0" encoding="utf-8"?>
<ds:datastoreItem xmlns:ds="http://schemas.openxmlformats.org/officeDocument/2006/customXml" ds:itemID="{14653788-7946-48C2-A0DF-FD0B3CAB3A2B}"/>
</file>

<file path=customXml/itemProps70.xml><?xml version="1.0" encoding="utf-8"?>
<ds:datastoreItem xmlns:ds="http://schemas.openxmlformats.org/officeDocument/2006/customXml" ds:itemID="{84C914FC-53BA-47AD-9CBF-9C7DDD697662}"/>
</file>

<file path=customXml/itemProps71.xml><?xml version="1.0" encoding="utf-8"?>
<ds:datastoreItem xmlns:ds="http://schemas.openxmlformats.org/officeDocument/2006/customXml" ds:itemID="{69ED41DA-BC61-4AB3-AFE6-0FFD033DE0DD}"/>
</file>

<file path=customXml/itemProps72.xml><?xml version="1.0" encoding="utf-8"?>
<ds:datastoreItem xmlns:ds="http://schemas.openxmlformats.org/officeDocument/2006/customXml" ds:itemID="{B0E35653-A32E-44FF-8598-F6B924BA7FD4}"/>
</file>

<file path=customXml/itemProps73.xml><?xml version="1.0" encoding="utf-8"?>
<ds:datastoreItem xmlns:ds="http://schemas.openxmlformats.org/officeDocument/2006/customXml" ds:itemID="{623BC4F9-8293-4AB2-BD24-1170612650ED}"/>
</file>

<file path=customXml/itemProps74.xml><?xml version="1.0" encoding="utf-8"?>
<ds:datastoreItem xmlns:ds="http://schemas.openxmlformats.org/officeDocument/2006/customXml" ds:itemID="{BF8AD5F7-5118-4F49-B969-BE964109D868}"/>
</file>

<file path=customXml/itemProps75.xml><?xml version="1.0" encoding="utf-8"?>
<ds:datastoreItem xmlns:ds="http://schemas.openxmlformats.org/officeDocument/2006/customXml" ds:itemID="{0ACE84C0-318C-4421-9332-161EC339FAFF}"/>
</file>

<file path=customXml/itemProps76.xml><?xml version="1.0" encoding="utf-8"?>
<ds:datastoreItem xmlns:ds="http://schemas.openxmlformats.org/officeDocument/2006/customXml" ds:itemID="{5FD51A4C-FCE4-470B-95E1-4F09A1BFC22B}"/>
</file>

<file path=customXml/itemProps77.xml><?xml version="1.0" encoding="utf-8"?>
<ds:datastoreItem xmlns:ds="http://schemas.openxmlformats.org/officeDocument/2006/customXml" ds:itemID="{35813DC8-721C-4177-91F0-DC9C5DB6819C}"/>
</file>

<file path=customXml/itemProps78.xml><?xml version="1.0" encoding="utf-8"?>
<ds:datastoreItem xmlns:ds="http://schemas.openxmlformats.org/officeDocument/2006/customXml" ds:itemID="{B78E393F-7327-4E4E-A733-7372010E50EC}"/>
</file>

<file path=customXml/itemProps79.xml><?xml version="1.0" encoding="utf-8"?>
<ds:datastoreItem xmlns:ds="http://schemas.openxmlformats.org/officeDocument/2006/customXml" ds:itemID="{7A456250-847D-4EBC-B6DA-3E46A6088CE0}"/>
</file>

<file path=customXml/itemProps8.xml><?xml version="1.0" encoding="utf-8"?>
<ds:datastoreItem xmlns:ds="http://schemas.openxmlformats.org/officeDocument/2006/customXml" ds:itemID="{AE11A756-762B-4A2B-A206-9EB5722AE5A4}"/>
</file>

<file path=customXml/itemProps80.xml><?xml version="1.0" encoding="utf-8"?>
<ds:datastoreItem xmlns:ds="http://schemas.openxmlformats.org/officeDocument/2006/customXml" ds:itemID="{977613E2-DECC-474C-BFE4-1FDCF1EF9101}"/>
</file>

<file path=customXml/itemProps81.xml><?xml version="1.0" encoding="utf-8"?>
<ds:datastoreItem xmlns:ds="http://schemas.openxmlformats.org/officeDocument/2006/customXml" ds:itemID="{0EC13ED2-421F-4D05-BAE7-66CAB834F4D2}"/>
</file>

<file path=customXml/itemProps82.xml><?xml version="1.0" encoding="utf-8"?>
<ds:datastoreItem xmlns:ds="http://schemas.openxmlformats.org/officeDocument/2006/customXml" ds:itemID="{37BD6E2F-346A-4030-A031-3628EA74088B}"/>
</file>

<file path=customXml/itemProps83.xml><?xml version="1.0" encoding="utf-8"?>
<ds:datastoreItem xmlns:ds="http://schemas.openxmlformats.org/officeDocument/2006/customXml" ds:itemID="{CF2A22BD-EADF-48B6-8E45-4D50A95E0B6C}"/>
</file>

<file path=customXml/itemProps84.xml><?xml version="1.0" encoding="utf-8"?>
<ds:datastoreItem xmlns:ds="http://schemas.openxmlformats.org/officeDocument/2006/customXml" ds:itemID="{4E732A91-8DB4-4F69-B56A-B8CF7DE2730B}"/>
</file>

<file path=customXml/itemProps85.xml><?xml version="1.0" encoding="utf-8"?>
<ds:datastoreItem xmlns:ds="http://schemas.openxmlformats.org/officeDocument/2006/customXml" ds:itemID="{881937B0-3D04-4CA0-82B1-7EA9614079C4}"/>
</file>

<file path=customXml/itemProps86.xml><?xml version="1.0" encoding="utf-8"?>
<ds:datastoreItem xmlns:ds="http://schemas.openxmlformats.org/officeDocument/2006/customXml" ds:itemID="{1C29EBCD-1F60-4A8D-9CAE-D5EC95617550}"/>
</file>

<file path=customXml/itemProps87.xml><?xml version="1.0" encoding="utf-8"?>
<ds:datastoreItem xmlns:ds="http://schemas.openxmlformats.org/officeDocument/2006/customXml" ds:itemID="{8E873EC1-EBD7-4D7E-A6A9-BC0D7E5A768C}"/>
</file>

<file path=customXml/itemProps88.xml><?xml version="1.0" encoding="utf-8"?>
<ds:datastoreItem xmlns:ds="http://schemas.openxmlformats.org/officeDocument/2006/customXml" ds:itemID="{C36D4543-F6CE-4DE7-839E-1E024AB11AA6}"/>
</file>

<file path=customXml/itemProps89.xml><?xml version="1.0" encoding="utf-8"?>
<ds:datastoreItem xmlns:ds="http://schemas.openxmlformats.org/officeDocument/2006/customXml" ds:itemID="{2813CA96-F555-44ED-9BED-7B8ADE328296}"/>
</file>

<file path=customXml/itemProps9.xml><?xml version="1.0" encoding="utf-8"?>
<ds:datastoreItem xmlns:ds="http://schemas.openxmlformats.org/officeDocument/2006/customXml" ds:itemID="{735C1095-BD64-4700-A1DD-399EE01161EF}"/>
</file>

<file path=customXml/itemProps90.xml><?xml version="1.0" encoding="utf-8"?>
<ds:datastoreItem xmlns:ds="http://schemas.openxmlformats.org/officeDocument/2006/customXml" ds:itemID="{8D6BBB8E-AF2E-4768-9B1E-D004B4F66F3E}"/>
</file>

<file path=customXml/itemProps91.xml><?xml version="1.0" encoding="utf-8"?>
<ds:datastoreItem xmlns:ds="http://schemas.openxmlformats.org/officeDocument/2006/customXml" ds:itemID="{DB365E3C-C840-4F06-A074-9CC9AF0FE267}"/>
</file>

<file path=customXml/itemProps92.xml><?xml version="1.0" encoding="utf-8"?>
<ds:datastoreItem xmlns:ds="http://schemas.openxmlformats.org/officeDocument/2006/customXml" ds:itemID="{185D35F5-1238-438B-B0A6-FC400D9F03C8}"/>
</file>

<file path=customXml/itemProps93.xml><?xml version="1.0" encoding="utf-8"?>
<ds:datastoreItem xmlns:ds="http://schemas.openxmlformats.org/officeDocument/2006/customXml" ds:itemID="{FCCE1CEA-2E06-4391-892F-0BF41628DE52}"/>
</file>

<file path=customXml/itemProps94.xml><?xml version="1.0" encoding="utf-8"?>
<ds:datastoreItem xmlns:ds="http://schemas.openxmlformats.org/officeDocument/2006/customXml" ds:itemID="{15683418-AC07-4B86-A309-F6A3BC1F054B}"/>
</file>

<file path=customXml/itemProps95.xml><?xml version="1.0" encoding="utf-8"?>
<ds:datastoreItem xmlns:ds="http://schemas.openxmlformats.org/officeDocument/2006/customXml" ds:itemID="{06F82AEA-725E-452F-8728-250C5CBC3F6F}"/>
</file>

<file path=customXml/itemProps96.xml><?xml version="1.0" encoding="utf-8"?>
<ds:datastoreItem xmlns:ds="http://schemas.openxmlformats.org/officeDocument/2006/customXml" ds:itemID="{2364B32D-4FDA-4A8F-B421-09A2A5A2CE31}"/>
</file>

<file path=customXml/itemProps97.xml><?xml version="1.0" encoding="utf-8"?>
<ds:datastoreItem xmlns:ds="http://schemas.openxmlformats.org/officeDocument/2006/customXml" ds:itemID="{5EB5BB81-E4EF-4B28-9275-0242F403E71A}"/>
</file>

<file path=customXml/itemProps98.xml><?xml version="1.0" encoding="utf-8"?>
<ds:datastoreItem xmlns:ds="http://schemas.openxmlformats.org/officeDocument/2006/customXml" ds:itemID="{060D4ABD-683A-4EC0-B05B-54E3DE84233D}"/>
</file>

<file path=customXml/itemProps99.xml><?xml version="1.0" encoding="utf-8"?>
<ds:datastoreItem xmlns:ds="http://schemas.openxmlformats.org/officeDocument/2006/customXml" ds:itemID="{68BE3073-223F-4B12-9FD8-A7E6D85D8704}"/>
</file>

<file path=docProps/app.xml><?xml version="1.0" encoding="utf-8"?>
<Properties xmlns="http://schemas.openxmlformats.org/officeDocument/2006/extended-properties" xmlns:vt="http://schemas.openxmlformats.org/officeDocument/2006/docPropsVTypes">
  <Template>70F52B8E</Template>
  <TotalTime>0</TotalTime>
  <Pages>135</Pages>
  <Words>38413</Words>
  <Characters>218957</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clean</vt:lpstr>
    </vt:vector>
  </TitlesOfParts>
  <Manager/>
  <Company/>
  <LinksUpToDate>false</LinksUpToDate>
  <CharactersWithSpaces>256857</CharactersWithSpaces>
  <SharedDoc>false</SharedDoc>
  <HLinks>
    <vt:vector size="696" baseType="variant">
      <vt:variant>
        <vt:i4>327700</vt:i4>
      </vt:variant>
      <vt:variant>
        <vt:i4>579</vt:i4>
      </vt:variant>
      <vt:variant>
        <vt:i4>0</vt:i4>
      </vt:variant>
      <vt:variant>
        <vt:i4>5</vt:i4>
      </vt:variant>
      <vt:variant>
        <vt:lpwstr>http://bpmcm.caiso.com/Pages/BPMLibrary.aspx</vt:lpwstr>
      </vt:variant>
      <vt:variant>
        <vt:lpwstr/>
      </vt:variant>
      <vt:variant>
        <vt:i4>327700</vt:i4>
      </vt:variant>
      <vt:variant>
        <vt:i4>576</vt:i4>
      </vt:variant>
      <vt:variant>
        <vt:i4>0</vt:i4>
      </vt:variant>
      <vt:variant>
        <vt:i4>5</vt:i4>
      </vt:variant>
      <vt:variant>
        <vt:lpwstr>http://bpmcm.caiso.com/Pages/BPMLibrary.aspx</vt:lpwstr>
      </vt:variant>
      <vt:variant>
        <vt:lpwstr/>
      </vt:variant>
      <vt:variant>
        <vt:i4>327700</vt:i4>
      </vt:variant>
      <vt:variant>
        <vt:i4>573</vt:i4>
      </vt:variant>
      <vt:variant>
        <vt:i4>0</vt:i4>
      </vt:variant>
      <vt:variant>
        <vt:i4>5</vt:i4>
      </vt:variant>
      <vt:variant>
        <vt:lpwstr>http://bpmcm.caiso.com/Pages/BPMLibrary.aspx</vt:lpwstr>
      </vt:variant>
      <vt:variant>
        <vt:lpwstr/>
      </vt:variant>
      <vt:variant>
        <vt:i4>327700</vt:i4>
      </vt:variant>
      <vt:variant>
        <vt:i4>570</vt:i4>
      </vt:variant>
      <vt:variant>
        <vt:i4>0</vt:i4>
      </vt:variant>
      <vt:variant>
        <vt:i4>5</vt:i4>
      </vt:variant>
      <vt:variant>
        <vt:lpwstr>http://bpmcm.caiso.com/Pages/BPMLibrary.aspx</vt:lpwstr>
      </vt:variant>
      <vt:variant>
        <vt:lpwstr/>
      </vt:variant>
      <vt:variant>
        <vt:i4>327700</vt:i4>
      </vt:variant>
      <vt:variant>
        <vt:i4>567</vt:i4>
      </vt:variant>
      <vt:variant>
        <vt:i4>0</vt:i4>
      </vt:variant>
      <vt:variant>
        <vt:i4>5</vt:i4>
      </vt:variant>
      <vt:variant>
        <vt:lpwstr>http://bpmcm.caiso.com/Pages/BPMLibrary.aspx</vt:lpwstr>
      </vt:variant>
      <vt:variant>
        <vt:lpwstr/>
      </vt:variant>
      <vt:variant>
        <vt:i4>327700</vt:i4>
      </vt:variant>
      <vt:variant>
        <vt:i4>564</vt:i4>
      </vt:variant>
      <vt:variant>
        <vt:i4>0</vt:i4>
      </vt:variant>
      <vt:variant>
        <vt:i4>5</vt:i4>
      </vt:variant>
      <vt:variant>
        <vt:lpwstr>http://bpmcm.caiso.com/Pages/BPMLibrary.aspx</vt:lpwstr>
      </vt:variant>
      <vt:variant>
        <vt:lpwstr/>
      </vt:variant>
      <vt:variant>
        <vt:i4>327700</vt:i4>
      </vt:variant>
      <vt:variant>
        <vt:i4>561</vt:i4>
      </vt:variant>
      <vt:variant>
        <vt:i4>0</vt:i4>
      </vt:variant>
      <vt:variant>
        <vt:i4>5</vt:i4>
      </vt:variant>
      <vt:variant>
        <vt:lpwstr>http://bpmcm.caiso.com/Pages/BPMLibrary.aspx</vt:lpwstr>
      </vt:variant>
      <vt:variant>
        <vt:lpwstr/>
      </vt:variant>
      <vt:variant>
        <vt:i4>327700</vt:i4>
      </vt:variant>
      <vt:variant>
        <vt:i4>558</vt:i4>
      </vt:variant>
      <vt:variant>
        <vt:i4>0</vt:i4>
      </vt:variant>
      <vt:variant>
        <vt:i4>5</vt:i4>
      </vt:variant>
      <vt:variant>
        <vt:lpwstr>http://bpmcm.caiso.com/Pages/BPMLibrary.aspx</vt:lpwstr>
      </vt:variant>
      <vt:variant>
        <vt:lpwstr/>
      </vt:variant>
      <vt:variant>
        <vt:i4>327700</vt:i4>
      </vt:variant>
      <vt:variant>
        <vt:i4>555</vt:i4>
      </vt:variant>
      <vt:variant>
        <vt:i4>0</vt:i4>
      </vt:variant>
      <vt:variant>
        <vt:i4>5</vt:i4>
      </vt:variant>
      <vt:variant>
        <vt:lpwstr>http://bpmcm.caiso.com/Pages/BPMLibrary.aspx</vt:lpwstr>
      </vt:variant>
      <vt:variant>
        <vt:lpwstr/>
      </vt:variant>
      <vt:variant>
        <vt:i4>327700</vt:i4>
      </vt:variant>
      <vt:variant>
        <vt:i4>552</vt:i4>
      </vt:variant>
      <vt:variant>
        <vt:i4>0</vt:i4>
      </vt:variant>
      <vt:variant>
        <vt:i4>5</vt:i4>
      </vt:variant>
      <vt:variant>
        <vt:lpwstr>http://bpmcm.caiso.com/Pages/BPMLibrary.aspx</vt:lpwstr>
      </vt:variant>
      <vt:variant>
        <vt:lpwstr/>
      </vt:variant>
      <vt:variant>
        <vt:i4>327700</vt:i4>
      </vt:variant>
      <vt:variant>
        <vt:i4>528</vt:i4>
      </vt:variant>
      <vt:variant>
        <vt:i4>0</vt:i4>
      </vt:variant>
      <vt:variant>
        <vt:i4>5</vt:i4>
      </vt:variant>
      <vt:variant>
        <vt:lpwstr>http://bpmcm.caiso.com/Pages/BPMLibrary.aspx</vt:lpwstr>
      </vt:variant>
      <vt:variant>
        <vt:lpwstr/>
      </vt:variant>
      <vt:variant>
        <vt:i4>327700</vt:i4>
      </vt:variant>
      <vt:variant>
        <vt:i4>525</vt:i4>
      </vt:variant>
      <vt:variant>
        <vt:i4>0</vt:i4>
      </vt:variant>
      <vt:variant>
        <vt:i4>5</vt:i4>
      </vt:variant>
      <vt:variant>
        <vt:lpwstr>http://bpmcm.caiso.com/Pages/BPMLibrary.aspx</vt:lpwstr>
      </vt:variant>
      <vt:variant>
        <vt:lpwstr/>
      </vt:variant>
      <vt:variant>
        <vt:i4>5177355</vt:i4>
      </vt:variant>
      <vt:variant>
        <vt:i4>522</vt:i4>
      </vt:variant>
      <vt:variant>
        <vt:i4>0</vt:i4>
      </vt:variant>
      <vt:variant>
        <vt:i4>5</vt:i4>
      </vt:variant>
      <vt:variant>
        <vt:lpwstr>http://www.caiso.com/Pages/documentsbygroup.aspx?GroupID=38C13435-DB5D-40E5-9F15-56559A526D5A</vt:lpwstr>
      </vt:variant>
      <vt:variant>
        <vt:lpwstr/>
      </vt:variant>
      <vt:variant>
        <vt:i4>327700</vt:i4>
      </vt:variant>
      <vt:variant>
        <vt:i4>519</vt:i4>
      </vt:variant>
      <vt:variant>
        <vt:i4>0</vt:i4>
      </vt:variant>
      <vt:variant>
        <vt:i4>5</vt:i4>
      </vt:variant>
      <vt:variant>
        <vt:lpwstr>http://bpmcm.caiso.com/Pages/BPMLibrary.aspx</vt:lpwstr>
      </vt:variant>
      <vt:variant>
        <vt:lpwstr/>
      </vt:variant>
      <vt:variant>
        <vt:i4>7733286</vt:i4>
      </vt:variant>
      <vt:variant>
        <vt:i4>516</vt:i4>
      </vt:variant>
      <vt:variant>
        <vt:i4>0</vt:i4>
      </vt:variant>
      <vt:variant>
        <vt:i4>5</vt:i4>
      </vt:variant>
      <vt:variant>
        <vt:lpwstr>http://bpmcm.caiso.com/Pages/BPMDetails.aspx?BPM=Managing%20Full%20Network%20Model</vt:lpwstr>
      </vt:variant>
      <vt:variant>
        <vt:lpwstr/>
      </vt:variant>
      <vt:variant>
        <vt:i4>327700</vt:i4>
      </vt:variant>
      <vt:variant>
        <vt:i4>513</vt:i4>
      </vt:variant>
      <vt:variant>
        <vt:i4>0</vt:i4>
      </vt:variant>
      <vt:variant>
        <vt:i4>5</vt:i4>
      </vt:variant>
      <vt:variant>
        <vt:lpwstr>http://bpmcm.caiso.com/Pages/BPMLibrary.aspx</vt:lpwstr>
      </vt:variant>
      <vt:variant>
        <vt:lpwstr/>
      </vt:variant>
      <vt:variant>
        <vt:i4>327700</vt:i4>
      </vt:variant>
      <vt:variant>
        <vt:i4>510</vt:i4>
      </vt:variant>
      <vt:variant>
        <vt:i4>0</vt:i4>
      </vt:variant>
      <vt:variant>
        <vt:i4>5</vt:i4>
      </vt:variant>
      <vt:variant>
        <vt:lpwstr>http://bpmcm.caiso.com/Pages/BPMLibrary.aspx</vt:lpwstr>
      </vt:variant>
      <vt:variant>
        <vt:lpwstr/>
      </vt:variant>
      <vt:variant>
        <vt:i4>327700</vt:i4>
      </vt:variant>
      <vt:variant>
        <vt:i4>507</vt:i4>
      </vt:variant>
      <vt:variant>
        <vt:i4>0</vt:i4>
      </vt:variant>
      <vt:variant>
        <vt:i4>5</vt:i4>
      </vt:variant>
      <vt:variant>
        <vt:lpwstr>http://bpmcm.caiso.com/Pages/BPMLibrary.aspx</vt:lpwstr>
      </vt:variant>
      <vt:variant>
        <vt:lpwstr/>
      </vt:variant>
      <vt:variant>
        <vt:i4>327700</vt:i4>
      </vt:variant>
      <vt:variant>
        <vt:i4>504</vt:i4>
      </vt:variant>
      <vt:variant>
        <vt:i4>0</vt:i4>
      </vt:variant>
      <vt:variant>
        <vt:i4>5</vt:i4>
      </vt:variant>
      <vt:variant>
        <vt:lpwstr>http://bpmcm.caiso.com/Pages/BPMLibrary.aspx</vt:lpwstr>
      </vt:variant>
      <vt:variant>
        <vt:lpwstr/>
      </vt:variant>
      <vt:variant>
        <vt:i4>327700</vt:i4>
      </vt:variant>
      <vt:variant>
        <vt:i4>501</vt:i4>
      </vt:variant>
      <vt:variant>
        <vt:i4>0</vt:i4>
      </vt:variant>
      <vt:variant>
        <vt:i4>5</vt:i4>
      </vt:variant>
      <vt:variant>
        <vt:lpwstr>http://bpmcm.caiso.com/Pages/BPMLibrary.aspx</vt:lpwstr>
      </vt:variant>
      <vt:variant>
        <vt:lpwstr/>
      </vt:variant>
      <vt:variant>
        <vt:i4>5505101</vt:i4>
      </vt:variant>
      <vt:variant>
        <vt:i4>498</vt:i4>
      </vt:variant>
      <vt:variant>
        <vt:i4>0</vt:i4>
      </vt:variant>
      <vt:variant>
        <vt:i4>5</vt:i4>
      </vt:variant>
      <vt:variant>
        <vt:lpwstr>http://www.caiso.com/rules/Pages/Regulatory/Default.aspx</vt:lpwstr>
      </vt:variant>
      <vt:variant>
        <vt:lpwstr/>
      </vt:variant>
      <vt:variant>
        <vt:i4>327700</vt:i4>
      </vt:variant>
      <vt:variant>
        <vt:i4>495</vt:i4>
      </vt:variant>
      <vt:variant>
        <vt:i4>0</vt:i4>
      </vt:variant>
      <vt:variant>
        <vt:i4>5</vt:i4>
      </vt:variant>
      <vt:variant>
        <vt:lpwstr>http://bpmcm.caiso.com/Pages/BPMLibrary.aspx</vt:lpwstr>
      </vt:variant>
      <vt:variant>
        <vt:lpwstr/>
      </vt:variant>
      <vt:variant>
        <vt:i4>327700</vt:i4>
      </vt:variant>
      <vt:variant>
        <vt:i4>492</vt:i4>
      </vt:variant>
      <vt:variant>
        <vt:i4>0</vt:i4>
      </vt:variant>
      <vt:variant>
        <vt:i4>5</vt:i4>
      </vt:variant>
      <vt:variant>
        <vt:lpwstr>http://bpmcm.caiso.com/Pages/BPMLibrary.aspx</vt:lpwstr>
      </vt:variant>
      <vt:variant>
        <vt:lpwstr/>
      </vt:variant>
      <vt:variant>
        <vt:i4>327700</vt:i4>
      </vt:variant>
      <vt:variant>
        <vt:i4>489</vt:i4>
      </vt:variant>
      <vt:variant>
        <vt:i4>0</vt:i4>
      </vt:variant>
      <vt:variant>
        <vt:i4>5</vt:i4>
      </vt:variant>
      <vt:variant>
        <vt:lpwstr>http://bpmcm.caiso.com/Pages/BPMLibrary.aspx</vt:lpwstr>
      </vt:variant>
      <vt:variant>
        <vt:lpwstr/>
      </vt:variant>
      <vt:variant>
        <vt:i4>327700</vt:i4>
      </vt:variant>
      <vt:variant>
        <vt:i4>486</vt:i4>
      </vt:variant>
      <vt:variant>
        <vt:i4>0</vt:i4>
      </vt:variant>
      <vt:variant>
        <vt:i4>5</vt:i4>
      </vt:variant>
      <vt:variant>
        <vt:lpwstr>http://bpmcm.caiso.com/Pages/BPMLibrary.aspx</vt:lpwstr>
      </vt:variant>
      <vt:variant>
        <vt:lpwstr/>
      </vt:variant>
      <vt:variant>
        <vt:i4>327700</vt:i4>
      </vt:variant>
      <vt:variant>
        <vt:i4>483</vt:i4>
      </vt:variant>
      <vt:variant>
        <vt:i4>0</vt:i4>
      </vt:variant>
      <vt:variant>
        <vt:i4>5</vt:i4>
      </vt:variant>
      <vt:variant>
        <vt:lpwstr>http://bpmcm.caiso.com/Pages/BPMLibrary.aspx</vt:lpwstr>
      </vt:variant>
      <vt:variant>
        <vt:lpwstr/>
      </vt:variant>
      <vt:variant>
        <vt:i4>327700</vt:i4>
      </vt:variant>
      <vt:variant>
        <vt:i4>480</vt:i4>
      </vt:variant>
      <vt:variant>
        <vt:i4>0</vt:i4>
      </vt:variant>
      <vt:variant>
        <vt:i4>5</vt:i4>
      </vt:variant>
      <vt:variant>
        <vt:lpwstr>http://bpmcm.caiso.com/Pages/BPMLibrary.aspx</vt:lpwstr>
      </vt:variant>
      <vt:variant>
        <vt:lpwstr/>
      </vt:variant>
      <vt:variant>
        <vt:i4>327700</vt:i4>
      </vt:variant>
      <vt:variant>
        <vt:i4>477</vt:i4>
      </vt:variant>
      <vt:variant>
        <vt:i4>0</vt:i4>
      </vt:variant>
      <vt:variant>
        <vt:i4>5</vt:i4>
      </vt:variant>
      <vt:variant>
        <vt:lpwstr>http://bpmcm.caiso.com/Pages/BPMLibrary.aspx</vt:lpwstr>
      </vt:variant>
      <vt:variant>
        <vt:lpwstr/>
      </vt:variant>
      <vt:variant>
        <vt:i4>327700</vt:i4>
      </vt:variant>
      <vt:variant>
        <vt:i4>474</vt:i4>
      </vt:variant>
      <vt:variant>
        <vt:i4>0</vt:i4>
      </vt:variant>
      <vt:variant>
        <vt:i4>5</vt:i4>
      </vt:variant>
      <vt:variant>
        <vt:lpwstr>http://bpmcm.caiso.com/Pages/BPMLibrary.aspx</vt:lpwstr>
      </vt:variant>
      <vt:variant>
        <vt:lpwstr/>
      </vt:variant>
      <vt:variant>
        <vt:i4>327700</vt:i4>
      </vt:variant>
      <vt:variant>
        <vt:i4>471</vt:i4>
      </vt:variant>
      <vt:variant>
        <vt:i4>0</vt:i4>
      </vt:variant>
      <vt:variant>
        <vt:i4>5</vt:i4>
      </vt:variant>
      <vt:variant>
        <vt:lpwstr>http://bpmcm.caiso.com/Pages/BPMLibrary.aspx</vt:lpwstr>
      </vt:variant>
      <vt:variant>
        <vt:lpwstr/>
      </vt:variant>
      <vt:variant>
        <vt:i4>327700</vt:i4>
      </vt:variant>
      <vt:variant>
        <vt:i4>468</vt:i4>
      </vt:variant>
      <vt:variant>
        <vt:i4>0</vt:i4>
      </vt:variant>
      <vt:variant>
        <vt:i4>5</vt:i4>
      </vt:variant>
      <vt:variant>
        <vt:lpwstr>http://bpmcm.caiso.com/Pages/BPMLibrary.aspx</vt:lpwstr>
      </vt:variant>
      <vt:variant>
        <vt:lpwstr/>
      </vt:variant>
      <vt:variant>
        <vt:i4>327700</vt:i4>
      </vt:variant>
      <vt:variant>
        <vt:i4>465</vt:i4>
      </vt:variant>
      <vt:variant>
        <vt:i4>0</vt:i4>
      </vt:variant>
      <vt:variant>
        <vt:i4>5</vt:i4>
      </vt:variant>
      <vt:variant>
        <vt:lpwstr>http://bpmcm.caiso.com/Pages/BPMLibrary.aspx</vt:lpwstr>
      </vt:variant>
      <vt:variant>
        <vt:lpwstr/>
      </vt:variant>
      <vt:variant>
        <vt:i4>327700</vt:i4>
      </vt:variant>
      <vt:variant>
        <vt:i4>462</vt:i4>
      </vt:variant>
      <vt:variant>
        <vt:i4>0</vt:i4>
      </vt:variant>
      <vt:variant>
        <vt:i4>5</vt:i4>
      </vt:variant>
      <vt:variant>
        <vt:lpwstr>http://bpmcm.caiso.com/Pages/BPMLibrary.aspx</vt:lpwstr>
      </vt:variant>
      <vt:variant>
        <vt:lpwstr/>
      </vt:variant>
      <vt:variant>
        <vt:i4>327700</vt:i4>
      </vt:variant>
      <vt:variant>
        <vt:i4>459</vt:i4>
      </vt:variant>
      <vt:variant>
        <vt:i4>0</vt:i4>
      </vt:variant>
      <vt:variant>
        <vt:i4>5</vt:i4>
      </vt:variant>
      <vt:variant>
        <vt:lpwstr>http://bpmcm.caiso.com/Pages/BPMLibrary.aspx</vt:lpwstr>
      </vt:variant>
      <vt:variant>
        <vt:lpwstr/>
      </vt:variant>
      <vt:variant>
        <vt:i4>327700</vt:i4>
      </vt:variant>
      <vt:variant>
        <vt:i4>456</vt:i4>
      </vt:variant>
      <vt:variant>
        <vt:i4>0</vt:i4>
      </vt:variant>
      <vt:variant>
        <vt:i4>5</vt:i4>
      </vt:variant>
      <vt:variant>
        <vt:lpwstr>http://bpmcm.caiso.com/Pages/BPMLibrary.aspx</vt:lpwstr>
      </vt:variant>
      <vt:variant>
        <vt:lpwstr/>
      </vt:variant>
      <vt:variant>
        <vt:i4>327700</vt:i4>
      </vt:variant>
      <vt:variant>
        <vt:i4>453</vt:i4>
      </vt:variant>
      <vt:variant>
        <vt:i4>0</vt:i4>
      </vt:variant>
      <vt:variant>
        <vt:i4>5</vt:i4>
      </vt:variant>
      <vt:variant>
        <vt:lpwstr>http://bpmcm.caiso.com/Pages/BPMLibrary.aspx</vt:lpwstr>
      </vt:variant>
      <vt:variant>
        <vt:lpwstr/>
      </vt:variant>
      <vt:variant>
        <vt:i4>327700</vt:i4>
      </vt:variant>
      <vt:variant>
        <vt:i4>450</vt:i4>
      </vt:variant>
      <vt:variant>
        <vt:i4>0</vt:i4>
      </vt:variant>
      <vt:variant>
        <vt:i4>5</vt:i4>
      </vt:variant>
      <vt:variant>
        <vt:lpwstr>http://bpmcm.caiso.com/Pages/BPMLibrary.aspx</vt:lpwstr>
      </vt:variant>
      <vt:variant>
        <vt:lpwstr/>
      </vt:variant>
      <vt:variant>
        <vt:i4>327700</vt:i4>
      </vt:variant>
      <vt:variant>
        <vt:i4>447</vt:i4>
      </vt:variant>
      <vt:variant>
        <vt:i4>0</vt:i4>
      </vt:variant>
      <vt:variant>
        <vt:i4>5</vt:i4>
      </vt:variant>
      <vt:variant>
        <vt:lpwstr>http://bpmcm.caiso.com/Pages/BPMLibrary.aspx</vt:lpwstr>
      </vt:variant>
      <vt:variant>
        <vt:lpwstr/>
      </vt:variant>
      <vt:variant>
        <vt:i4>327700</vt:i4>
      </vt:variant>
      <vt:variant>
        <vt:i4>444</vt:i4>
      </vt:variant>
      <vt:variant>
        <vt:i4>0</vt:i4>
      </vt:variant>
      <vt:variant>
        <vt:i4>5</vt:i4>
      </vt:variant>
      <vt:variant>
        <vt:lpwstr>http://bpmcm.caiso.com/Pages/BPMLibrary.aspx</vt:lpwstr>
      </vt:variant>
      <vt:variant>
        <vt:lpwstr/>
      </vt:variant>
      <vt:variant>
        <vt:i4>327700</vt:i4>
      </vt:variant>
      <vt:variant>
        <vt:i4>441</vt:i4>
      </vt:variant>
      <vt:variant>
        <vt:i4>0</vt:i4>
      </vt:variant>
      <vt:variant>
        <vt:i4>5</vt:i4>
      </vt:variant>
      <vt:variant>
        <vt:lpwstr>http://bpmcm.caiso.com/Pages/BPMLibrary.aspx</vt:lpwstr>
      </vt:variant>
      <vt:variant>
        <vt:lpwstr/>
      </vt:variant>
      <vt:variant>
        <vt:i4>327700</vt:i4>
      </vt:variant>
      <vt:variant>
        <vt:i4>438</vt:i4>
      </vt:variant>
      <vt:variant>
        <vt:i4>0</vt:i4>
      </vt:variant>
      <vt:variant>
        <vt:i4>5</vt:i4>
      </vt:variant>
      <vt:variant>
        <vt:lpwstr>http://bpmcm.caiso.com/Pages/BPMLibrary.aspx</vt:lpwstr>
      </vt:variant>
      <vt:variant>
        <vt:lpwstr/>
      </vt:variant>
      <vt:variant>
        <vt:i4>327700</vt:i4>
      </vt:variant>
      <vt:variant>
        <vt:i4>435</vt:i4>
      </vt:variant>
      <vt:variant>
        <vt:i4>0</vt:i4>
      </vt:variant>
      <vt:variant>
        <vt:i4>5</vt:i4>
      </vt:variant>
      <vt:variant>
        <vt:lpwstr>http://bpmcm.caiso.com/Pages/BPMLibrary.aspx</vt:lpwstr>
      </vt:variant>
      <vt:variant>
        <vt:lpwstr/>
      </vt:variant>
      <vt:variant>
        <vt:i4>327700</vt:i4>
      </vt:variant>
      <vt:variant>
        <vt:i4>432</vt:i4>
      </vt:variant>
      <vt:variant>
        <vt:i4>0</vt:i4>
      </vt:variant>
      <vt:variant>
        <vt:i4>5</vt:i4>
      </vt:variant>
      <vt:variant>
        <vt:lpwstr>http://bpmcm.caiso.com/Pages/BPMLibrary.aspx</vt:lpwstr>
      </vt:variant>
      <vt:variant>
        <vt:lpwstr/>
      </vt:variant>
      <vt:variant>
        <vt:i4>327700</vt:i4>
      </vt:variant>
      <vt:variant>
        <vt:i4>429</vt:i4>
      </vt:variant>
      <vt:variant>
        <vt:i4>0</vt:i4>
      </vt:variant>
      <vt:variant>
        <vt:i4>5</vt:i4>
      </vt:variant>
      <vt:variant>
        <vt:lpwstr>http://bpmcm.caiso.com/Pages/BPMLibrary.aspx</vt:lpwstr>
      </vt:variant>
      <vt:variant>
        <vt:lpwstr/>
      </vt:variant>
      <vt:variant>
        <vt:i4>327700</vt:i4>
      </vt:variant>
      <vt:variant>
        <vt:i4>426</vt:i4>
      </vt:variant>
      <vt:variant>
        <vt:i4>0</vt:i4>
      </vt:variant>
      <vt:variant>
        <vt:i4>5</vt:i4>
      </vt:variant>
      <vt:variant>
        <vt:lpwstr>http://bpmcm.caiso.com/Pages/BPMLibrary.aspx</vt:lpwstr>
      </vt:variant>
      <vt:variant>
        <vt:lpwstr/>
      </vt:variant>
      <vt:variant>
        <vt:i4>327700</vt:i4>
      </vt:variant>
      <vt:variant>
        <vt:i4>423</vt:i4>
      </vt:variant>
      <vt:variant>
        <vt:i4>0</vt:i4>
      </vt:variant>
      <vt:variant>
        <vt:i4>5</vt:i4>
      </vt:variant>
      <vt:variant>
        <vt:lpwstr>http://bpmcm.caiso.com/Pages/BPMLibrary.aspx</vt:lpwstr>
      </vt:variant>
      <vt:variant>
        <vt:lpwstr/>
      </vt:variant>
      <vt:variant>
        <vt:i4>1572915</vt:i4>
      </vt:variant>
      <vt:variant>
        <vt:i4>416</vt:i4>
      </vt:variant>
      <vt:variant>
        <vt:i4>0</vt:i4>
      </vt:variant>
      <vt:variant>
        <vt:i4>5</vt:i4>
      </vt:variant>
      <vt:variant>
        <vt:lpwstr/>
      </vt:variant>
      <vt:variant>
        <vt:lpwstr>_Toc391638283</vt:lpwstr>
      </vt:variant>
      <vt:variant>
        <vt:i4>1572915</vt:i4>
      </vt:variant>
      <vt:variant>
        <vt:i4>410</vt:i4>
      </vt:variant>
      <vt:variant>
        <vt:i4>0</vt:i4>
      </vt:variant>
      <vt:variant>
        <vt:i4>5</vt:i4>
      </vt:variant>
      <vt:variant>
        <vt:lpwstr/>
      </vt:variant>
      <vt:variant>
        <vt:lpwstr>_Toc391638282</vt:lpwstr>
      </vt:variant>
      <vt:variant>
        <vt:i4>1572915</vt:i4>
      </vt:variant>
      <vt:variant>
        <vt:i4>404</vt:i4>
      </vt:variant>
      <vt:variant>
        <vt:i4>0</vt:i4>
      </vt:variant>
      <vt:variant>
        <vt:i4>5</vt:i4>
      </vt:variant>
      <vt:variant>
        <vt:lpwstr/>
      </vt:variant>
      <vt:variant>
        <vt:lpwstr>_Toc391638281</vt:lpwstr>
      </vt:variant>
      <vt:variant>
        <vt:i4>1572915</vt:i4>
      </vt:variant>
      <vt:variant>
        <vt:i4>398</vt:i4>
      </vt:variant>
      <vt:variant>
        <vt:i4>0</vt:i4>
      </vt:variant>
      <vt:variant>
        <vt:i4>5</vt:i4>
      </vt:variant>
      <vt:variant>
        <vt:lpwstr/>
      </vt:variant>
      <vt:variant>
        <vt:lpwstr>_Toc391638280</vt:lpwstr>
      </vt:variant>
      <vt:variant>
        <vt:i4>1507379</vt:i4>
      </vt:variant>
      <vt:variant>
        <vt:i4>392</vt:i4>
      </vt:variant>
      <vt:variant>
        <vt:i4>0</vt:i4>
      </vt:variant>
      <vt:variant>
        <vt:i4>5</vt:i4>
      </vt:variant>
      <vt:variant>
        <vt:lpwstr/>
      </vt:variant>
      <vt:variant>
        <vt:lpwstr>_Toc391638279</vt:lpwstr>
      </vt:variant>
      <vt:variant>
        <vt:i4>1507379</vt:i4>
      </vt:variant>
      <vt:variant>
        <vt:i4>386</vt:i4>
      </vt:variant>
      <vt:variant>
        <vt:i4>0</vt:i4>
      </vt:variant>
      <vt:variant>
        <vt:i4>5</vt:i4>
      </vt:variant>
      <vt:variant>
        <vt:lpwstr/>
      </vt:variant>
      <vt:variant>
        <vt:lpwstr>_Toc391638278</vt:lpwstr>
      </vt:variant>
      <vt:variant>
        <vt:i4>1507379</vt:i4>
      </vt:variant>
      <vt:variant>
        <vt:i4>380</vt:i4>
      </vt:variant>
      <vt:variant>
        <vt:i4>0</vt:i4>
      </vt:variant>
      <vt:variant>
        <vt:i4>5</vt:i4>
      </vt:variant>
      <vt:variant>
        <vt:lpwstr/>
      </vt:variant>
      <vt:variant>
        <vt:lpwstr>_Toc391638277</vt:lpwstr>
      </vt:variant>
      <vt:variant>
        <vt:i4>1507379</vt:i4>
      </vt:variant>
      <vt:variant>
        <vt:i4>374</vt:i4>
      </vt:variant>
      <vt:variant>
        <vt:i4>0</vt:i4>
      </vt:variant>
      <vt:variant>
        <vt:i4>5</vt:i4>
      </vt:variant>
      <vt:variant>
        <vt:lpwstr/>
      </vt:variant>
      <vt:variant>
        <vt:lpwstr>_Toc391638276</vt:lpwstr>
      </vt:variant>
      <vt:variant>
        <vt:i4>1507379</vt:i4>
      </vt:variant>
      <vt:variant>
        <vt:i4>368</vt:i4>
      </vt:variant>
      <vt:variant>
        <vt:i4>0</vt:i4>
      </vt:variant>
      <vt:variant>
        <vt:i4>5</vt:i4>
      </vt:variant>
      <vt:variant>
        <vt:lpwstr/>
      </vt:variant>
      <vt:variant>
        <vt:lpwstr>_Toc391638275</vt:lpwstr>
      </vt:variant>
      <vt:variant>
        <vt:i4>1507379</vt:i4>
      </vt:variant>
      <vt:variant>
        <vt:i4>362</vt:i4>
      </vt:variant>
      <vt:variant>
        <vt:i4>0</vt:i4>
      </vt:variant>
      <vt:variant>
        <vt:i4>5</vt:i4>
      </vt:variant>
      <vt:variant>
        <vt:lpwstr/>
      </vt:variant>
      <vt:variant>
        <vt:lpwstr>_Toc391638274</vt:lpwstr>
      </vt:variant>
      <vt:variant>
        <vt:i4>1507379</vt:i4>
      </vt:variant>
      <vt:variant>
        <vt:i4>356</vt:i4>
      </vt:variant>
      <vt:variant>
        <vt:i4>0</vt:i4>
      </vt:variant>
      <vt:variant>
        <vt:i4>5</vt:i4>
      </vt:variant>
      <vt:variant>
        <vt:lpwstr/>
      </vt:variant>
      <vt:variant>
        <vt:lpwstr>_Toc391638273</vt:lpwstr>
      </vt:variant>
      <vt:variant>
        <vt:i4>1507379</vt:i4>
      </vt:variant>
      <vt:variant>
        <vt:i4>350</vt:i4>
      </vt:variant>
      <vt:variant>
        <vt:i4>0</vt:i4>
      </vt:variant>
      <vt:variant>
        <vt:i4>5</vt:i4>
      </vt:variant>
      <vt:variant>
        <vt:lpwstr/>
      </vt:variant>
      <vt:variant>
        <vt:lpwstr>_Toc391638272</vt:lpwstr>
      </vt:variant>
      <vt:variant>
        <vt:i4>1507379</vt:i4>
      </vt:variant>
      <vt:variant>
        <vt:i4>344</vt:i4>
      </vt:variant>
      <vt:variant>
        <vt:i4>0</vt:i4>
      </vt:variant>
      <vt:variant>
        <vt:i4>5</vt:i4>
      </vt:variant>
      <vt:variant>
        <vt:lpwstr/>
      </vt:variant>
      <vt:variant>
        <vt:lpwstr>_Toc391638271</vt:lpwstr>
      </vt:variant>
      <vt:variant>
        <vt:i4>1507379</vt:i4>
      </vt:variant>
      <vt:variant>
        <vt:i4>338</vt:i4>
      </vt:variant>
      <vt:variant>
        <vt:i4>0</vt:i4>
      </vt:variant>
      <vt:variant>
        <vt:i4>5</vt:i4>
      </vt:variant>
      <vt:variant>
        <vt:lpwstr/>
      </vt:variant>
      <vt:variant>
        <vt:lpwstr>_Toc391638270</vt:lpwstr>
      </vt:variant>
      <vt:variant>
        <vt:i4>1441843</vt:i4>
      </vt:variant>
      <vt:variant>
        <vt:i4>332</vt:i4>
      </vt:variant>
      <vt:variant>
        <vt:i4>0</vt:i4>
      </vt:variant>
      <vt:variant>
        <vt:i4>5</vt:i4>
      </vt:variant>
      <vt:variant>
        <vt:lpwstr/>
      </vt:variant>
      <vt:variant>
        <vt:lpwstr>_Toc391638269</vt:lpwstr>
      </vt:variant>
      <vt:variant>
        <vt:i4>1441843</vt:i4>
      </vt:variant>
      <vt:variant>
        <vt:i4>326</vt:i4>
      </vt:variant>
      <vt:variant>
        <vt:i4>0</vt:i4>
      </vt:variant>
      <vt:variant>
        <vt:i4>5</vt:i4>
      </vt:variant>
      <vt:variant>
        <vt:lpwstr/>
      </vt:variant>
      <vt:variant>
        <vt:lpwstr>_Toc391638268</vt:lpwstr>
      </vt:variant>
      <vt:variant>
        <vt:i4>1441843</vt:i4>
      </vt:variant>
      <vt:variant>
        <vt:i4>320</vt:i4>
      </vt:variant>
      <vt:variant>
        <vt:i4>0</vt:i4>
      </vt:variant>
      <vt:variant>
        <vt:i4>5</vt:i4>
      </vt:variant>
      <vt:variant>
        <vt:lpwstr/>
      </vt:variant>
      <vt:variant>
        <vt:lpwstr>_Toc391638267</vt:lpwstr>
      </vt:variant>
      <vt:variant>
        <vt:i4>1441843</vt:i4>
      </vt:variant>
      <vt:variant>
        <vt:i4>314</vt:i4>
      </vt:variant>
      <vt:variant>
        <vt:i4>0</vt:i4>
      </vt:variant>
      <vt:variant>
        <vt:i4>5</vt:i4>
      </vt:variant>
      <vt:variant>
        <vt:lpwstr/>
      </vt:variant>
      <vt:variant>
        <vt:lpwstr>_Toc391638266</vt:lpwstr>
      </vt:variant>
      <vt:variant>
        <vt:i4>1441843</vt:i4>
      </vt:variant>
      <vt:variant>
        <vt:i4>308</vt:i4>
      </vt:variant>
      <vt:variant>
        <vt:i4>0</vt:i4>
      </vt:variant>
      <vt:variant>
        <vt:i4>5</vt:i4>
      </vt:variant>
      <vt:variant>
        <vt:lpwstr/>
      </vt:variant>
      <vt:variant>
        <vt:lpwstr>_Toc391638265</vt:lpwstr>
      </vt:variant>
      <vt:variant>
        <vt:i4>1441843</vt:i4>
      </vt:variant>
      <vt:variant>
        <vt:i4>302</vt:i4>
      </vt:variant>
      <vt:variant>
        <vt:i4>0</vt:i4>
      </vt:variant>
      <vt:variant>
        <vt:i4>5</vt:i4>
      </vt:variant>
      <vt:variant>
        <vt:lpwstr/>
      </vt:variant>
      <vt:variant>
        <vt:lpwstr>_Toc391638264</vt:lpwstr>
      </vt:variant>
      <vt:variant>
        <vt:i4>1441843</vt:i4>
      </vt:variant>
      <vt:variant>
        <vt:i4>296</vt:i4>
      </vt:variant>
      <vt:variant>
        <vt:i4>0</vt:i4>
      </vt:variant>
      <vt:variant>
        <vt:i4>5</vt:i4>
      </vt:variant>
      <vt:variant>
        <vt:lpwstr/>
      </vt:variant>
      <vt:variant>
        <vt:lpwstr>_Toc391638263</vt:lpwstr>
      </vt:variant>
      <vt:variant>
        <vt:i4>1441843</vt:i4>
      </vt:variant>
      <vt:variant>
        <vt:i4>290</vt:i4>
      </vt:variant>
      <vt:variant>
        <vt:i4>0</vt:i4>
      </vt:variant>
      <vt:variant>
        <vt:i4>5</vt:i4>
      </vt:variant>
      <vt:variant>
        <vt:lpwstr/>
      </vt:variant>
      <vt:variant>
        <vt:lpwstr>_Toc391638262</vt:lpwstr>
      </vt:variant>
      <vt:variant>
        <vt:i4>1441843</vt:i4>
      </vt:variant>
      <vt:variant>
        <vt:i4>284</vt:i4>
      </vt:variant>
      <vt:variant>
        <vt:i4>0</vt:i4>
      </vt:variant>
      <vt:variant>
        <vt:i4>5</vt:i4>
      </vt:variant>
      <vt:variant>
        <vt:lpwstr/>
      </vt:variant>
      <vt:variant>
        <vt:lpwstr>_Toc391638261</vt:lpwstr>
      </vt:variant>
      <vt:variant>
        <vt:i4>1441843</vt:i4>
      </vt:variant>
      <vt:variant>
        <vt:i4>278</vt:i4>
      </vt:variant>
      <vt:variant>
        <vt:i4>0</vt:i4>
      </vt:variant>
      <vt:variant>
        <vt:i4>5</vt:i4>
      </vt:variant>
      <vt:variant>
        <vt:lpwstr/>
      </vt:variant>
      <vt:variant>
        <vt:lpwstr>_Toc391638260</vt:lpwstr>
      </vt:variant>
      <vt:variant>
        <vt:i4>1376307</vt:i4>
      </vt:variant>
      <vt:variant>
        <vt:i4>272</vt:i4>
      </vt:variant>
      <vt:variant>
        <vt:i4>0</vt:i4>
      </vt:variant>
      <vt:variant>
        <vt:i4>5</vt:i4>
      </vt:variant>
      <vt:variant>
        <vt:lpwstr/>
      </vt:variant>
      <vt:variant>
        <vt:lpwstr>_Toc391638259</vt:lpwstr>
      </vt:variant>
      <vt:variant>
        <vt:i4>1376307</vt:i4>
      </vt:variant>
      <vt:variant>
        <vt:i4>266</vt:i4>
      </vt:variant>
      <vt:variant>
        <vt:i4>0</vt:i4>
      </vt:variant>
      <vt:variant>
        <vt:i4>5</vt:i4>
      </vt:variant>
      <vt:variant>
        <vt:lpwstr/>
      </vt:variant>
      <vt:variant>
        <vt:lpwstr>_Toc391638258</vt:lpwstr>
      </vt:variant>
      <vt:variant>
        <vt:i4>1376307</vt:i4>
      </vt:variant>
      <vt:variant>
        <vt:i4>260</vt:i4>
      </vt:variant>
      <vt:variant>
        <vt:i4>0</vt:i4>
      </vt:variant>
      <vt:variant>
        <vt:i4>5</vt:i4>
      </vt:variant>
      <vt:variant>
        <vt:lpwstr/>
      </vt:variant>
      <vt:variant>
        <vt:lpwstr>_Toc391638257</vt:lpwstr>
      </vt:variant>
      <vt:variant>
        <vt:i4>1376307</vt:i4>
      </vt:variant>
      <vt:variant>
        <vt:i4>254</vt:i4>
      </vt:variant>
      <vt:variant>
        <vt:i4>0</vt:i4>
      </vt:variant>
      <vt:variant>
        <vt:i4>5</vt:i4>
      </vt:variant>
      <vt:variant>
        <vt:lpwstr/>
      </vt:variant>
      <vt:variant>
        <vt:lpwstr>_Toc391638256</vt:lpwstr>
      </vt:variant>
      <vt:variant>
        <vt:i4>1376307</vt:i4>
      </vt:variant>
      <vt:variant>
        <vt:i4>248</vt:i4>
      </vt:variant>
      <vt:variant>
        <vt:i4>0</vt:i4>
      </vt:variant>
      <vt:variant>
        <vt:i4>5</vt:i4>
      </vt:variant>
      <vt:variant>
        <vt:lpwstr/>
      </vt:variant>
      <vt:variant>
        <vt:lpwstr>_Toc391638255</vt:lpwstr>
      </vt:variant>
      <vt:variant>
        <vt:i4>1376307</vt:i4>
      </vt:variant>
      <vt:variant>
        <vt:i4>242</vt:i4>
      </vt:variant>
      <vt:variant>
        <vt:i4>0</vt:i4>
      </vt:variant>
      <vt:variant>
        <vt:i4>5</vt:i4>
      </vt:variant>
      <vt:variant>
        <vt:lpwstr/>
      </vt:variant>
      <vt:variant>
        <vt:lpwstr>_Toc391638254</vt:lpwstr>
      </vt:variant>
      <vt:variant>
        <vt:i4>1376307</vt:i4>
      </vt:variant>
      <vt:variant>
        <vt:i4>236</vt:i4>
      </vt:variant>
      <vt:variant>
        <vt:i4>0</vt:i4>
      </vt:variant>
      <vt:variant>
        <vt:i4>5</vt:i4>
      </vt:variant>
      <vt:variant>
        <vt:lpwstr/>
      </vt:variant>
      <vt:variant>
        <vt:lpwstr>_Toc391638253</vt:lpwstr>
      </vt:variant>
      <vt:variant>
        <vt:i4>1376307</vt:i4>
      </vt:variant>
      <vt:variant>
        <vt:i4>230</vt:i4>
      </vt:variant>
      <vt:variant>
        <vt:i4>0</vt:i4>
      </vt:variant>
      <vt:variant>
        <vt:i4>5</vt:i4>
      </vt:variant>
      <vt:variant>
        <vt:lpwstr/>
      </vt:variant>
      <vt:variant>
        <vt:lpwstr>_Toc391638252</vt:lpwstr>
      </vt:variant>
      <vt:variant>
        <vt:i4>1376307</vt:i4>
      </vt:variant>
      <vt:variant>
        <vt:i4>224</vt:i4>
      </vt:variant>
      <vt:variant>
        <vt:i4>0</vt:i4>
      </vt:variant>
      <vt:variant>
        <vt:i4>5</vt:i4>
      </vt:variant>
      <vt:variant>
        <vt:lpwstr/>
      </vt:variant>
      <vt:variant>
        <vt:lpwstr>_Toc391638251</vt:lpwstr>
      </vt:variant>
      <vt:variant>
        <vt:i4>1376307</vt:i4>
      </vt:variant>
      <vt:variant>
        <vt:i4>218</vt:i4>
      </vt:variant>
      <vt:variant>
        <vt:i4>0</vt:i4>
      </vt:variant>
      <vt:variant>
        <vt:i4>5</vt:i4>
      </vt:variant>
      <vt:variant>
        <vt:lpwstr/>
      </vt:variant>
      <vt:variant>
        <vt:lpwstr>_Toc391638250</vt:lpwstr>
      </vt:variant>
      <vt:variant>
        <vt:i4>1310771</vt:i4>
      </vt:variant>
      <vt:variant>
        <vt:i4>212</vt:i4>
      </vt:variant>
      <vt:variant>
        <vt:i4>0</vt:i4>
      </vt:variant>
      <vt:variant>
        <vt:i4>5</vt:i4>
      </vt:variant>
      <vt:variant>
        <vt:lpwstr/>
      </vt:variant>
      <vt:variant>
        <vt:lpwstr>_Toc391638249</vt:lpwstr>
      </vt:variant>
      <vt:variant>
        <vt:i4>1310771</vt:i4>
      </vt:variant>
      <vt:variant>
        <vt:i4>206</vt:i4>
      </vt:variant>
      <vt:variant>
        <vt:i4>0</vt:i4>
      </vt:variant>
      <vt:variant>
        <vt:i4>5</vt:i4>
      </vt:variant>
      <vt:variant>
        <vt:lpwstr/>
      </vt:variant>
      <vt:variant>
        <vt:lpwstr>_Toc391638248</vt:lpwstr>
      </vt:variant>
      <vt:variant>
        <vt:i4>1310771</vt:i4>
      </vt:variant>
      <vt:variant>
        <vt:i4>200</vt:i4>
      </vt:variant>
      <vt:variant>
        <vt:i4>0</vt:i4>
      </vt:variant>
      <vt:variant>
        <vt:i4>5</vt:i4>
      </vt:variant>
      <vt:variant>
        <vt:lpwstr/>
      </vt:variant>
      <vt:variant>
        <vt:lpwstr>_Toc391638247</vt:lpwstr>
      </vt:variant>
      <vt:variant>
        <vt:i4>1310771</vt:i4>
      </vt:variant>
      <vt:variant>
        <vt:i4>194</vt:i4>
      </vt:variant>
      <vt:variant>
        <vt:i4>0</vt:i4>
      </vt:variant>
      <vt:variant>
        <vt:i4>5</vt:i4>
      </vt:variant>
      <vt:variant>
        <vt:lpwstr/>
      </vt:variant>
      <vt:variant>
        <vt:lpwstr>_Toc391638246</vt:lpwstr>
      </vt:variant>
      <vt:variant>
        <vt:i4>1310771</vt:i4>
      </vt:variant>
      <vt:variant>
        <vt:i4>188</vt:i4>
      </vt:variant>
      <vt:variant>
        <vt:i4>0</vt:i4>
      </vt:variant>
      <vt:variant>
        <vt:i4>5</vt:i4>
      </vt:variant>
      <vt:variant>
        <vt:lpwstr/>
      </vt:variant>
      <vt:variant>
        <vt:lpwstr>_Toc391638245</vt:lpwstr>
      </vt:variant>
      <vt:variant>
        <vt:i4>1310771</vt:i4>
      </vt:variant>
      <vt:variant>
        <vt:i4>182</vt:i4>
      </vt:variant>
      <vt:variant>
        <vt:i4>0</vt:i4>
      </vt:variant>
      <vt:variant>
        <vt:i4>5</vt:i4>
      </vt:variant>
      <vt:variant>
        <vt:lpwstr/>
      </vt:variant>
      <vt:variant>
        <vt:lpwstr>_Toc391638244</vt:lpwstr>
      </vt:variant>
      <vt:variant>
        <vt:i4>1310771</vt:i4>
      </vt:variant>
      <vt:variant>
        <vt:i4>176</vt:i4>
      </vt:variant>
      <vt:variant>
        <vt:i4>0</vt:i4>
      </vt:variant>
      <vt:variant>
        <vt:i4>5</vt:i4>
      </vt:variant>
      <vt:variant>
        <vt:lpwstr/>
      </vt:variant>
      <vt:variant>
        <vt:lpwstr>_Toc391638243</vt:lpwstr>
      </vt:variant>
      <vt:variant>
        <vt:i4>1310771</vt:i4>
      </vt:variant>
      <vt:variant>
        <vt:i4>170</vt:i4>
      </vt:variant>
      <vt:variant>
        <vt:i4>0</vt:i4>
      </vt:variant>
      <vt:variant>
        <vt:i4>5</vt:i4>
      </vt:variant>
      <vt:variant>
        <vt:lpwstr/>
      </vt:variant>
      <vt:variant>
        <vt:lpwstr>_Toc391638242</vt:lpwstr>
      </vt:variant>
      <vt:variant>
        <vt:i4>1310771</vt:i4>
      </vt:variant>
      <vt:variant>
        <vt:i4>164</vt:i4>
      </vt:variant>
      <vt:variant>
        <vt:i4>0</vt:i4>
      </vt:variant>
      <vt:variant>
        <vt:i4>5</vt:i4>
      </vt:variant>
      <vt:variant>
        <vt:lpwstr/>
      </vt:variant>
      <vt:variant>
        <vt:lpwstr>_Toc391638241</vt:lpwstr>
      </vt:variant>
      <vt:variant>
        <vt:i4>1310771</vt:i4>
      </vt:variant>
      <vt:variant>
        <vt:i4>158</vt:i4>
      </vt:variant>
      <vt:variant>
        <vt:i4>0</vt:i4>
      </vt:variant>
      <vt:variant>
        <vt:i4>5</vt:i4>
      </vt:variant>
      <vt:variant>
        <vt:lpwstr/>
      </vt:variant>
      <vt:variant>
        <vt:lpwstr>_Toc391638240</vt:lpwstr>
      </vt:variant>
      <vt:variant>
        <vt:i4>1245235</vt:i4>
      </vt:variant>
      <vt:variant>
        <vt:i4>152</vt:i4>
      </vt:variant>
      <vt:variant>
        <vt:i4>0</vt:i4>
      </vt:variant>
      <vt:variant>
        <vt:i4>5</vt:i4>
      </vt:variant>
      <vt:variant>
        <vt:lpwstr/>
      </vt:variant>
      <vt:variant>
        <vt:lpwstr>_Toc391638239</vt:lpwstr>
      </vt:variant>
      <vt:variant>
        <vt:i4>1245235</vt:i4>
      </vt:variant>
      <vt:variant>
        <vt:i4>146</vt:i4>
      </vt:variant>
      <vt:variant>
        <vt:i4>0</vt:i4>
      </vt:variant>
      <vt:variant>
        <vt:i4>5</vt:i4>
      </vt:variant>
      <vt:variant>
        <vt:lpwstr/>
      </vt:variant>
      <vt:variant>
        <vt:lpwstr>_Toc391638238</vt:lpwstr>
      </vt:variant>
      <vt:variant>
        <vt:i4>1245235</vt:i4>
      </vt:variant>
      <vt:variant>
        <vt:i4>140</vt:i4>
      </vt:variant>
      <vt:variant>
        <vt:i4>0</vt:i4>
      </vt:variant>
      <vt:variant>
        <vt:i4>5</vt:i4>
      </vt:variant>
      <vt:variant>
        <vt:lpwstr/>
      </vt:variant>
      <vt:variant>
        <vt:lpwstr>_Toc391638237</vt:lpwstr>
      </vt:variant>
      <vt:variant>
        <vt:i4>1245235</vt:i4>
      </vt:variant>
      <vt:variant>
        <vt:i4>134</vt:i4>
      </vt:variant>
      <vt:variant>
        <vt:i4>0</vt:i4>
      </vt:variant>
      <vt:variant>
        <vt:i4>5</vt:i4>
      </vt:variant>
      <vt:variant>
        <vt:lpwstr/>
      </vt:variant>
      <vt:variant>
        <vt:lpwstr>_Toc391638236</vt:lpwstr>
      </vt:variant>
      <vt:variant>
        <vt:i4>1245235</vt:i4>
      </vt:variant>
      <vt:variant>
        <vt:i4>128</vt:i4>
      </vt:variant>
      <vt:variant>
        <vt:i4>0</vt:i4>
      </vt:variant>
      <vt:variant>
        <vt:i4>5</vt:i4>
      </vt:variant>
      <vt:variant>
        <vt:lpwstr/>
      </vt:variant>
      <vt:variant>
        <vt:lpwstr>_Toc391638235</vt:lpwstr>
      </vt:variant>
      <vt:variant>
        <vt:i4>1245235</vt:i4>
      </vt:variant>
      <vt:variant>
        <vt:i4>122</vt:i4>
      </vt:variant>
      <vt:variant>
        <vt:i4>0</vt:i4>
      </vt:variant>
      <vt:variant>
        <vt:i4>5</vt:i4>
      </vt:variant>
      <vt:variant>
        <vt:lpwstr/>
      </vt:variant>
      <vt:variant>
        <vt:lpwstr>_Toc391638234</vt:lpwstr>
      </vt:variant>
      <vt:variant>
        <vt:i4>1245235</vt:i4>
      </vt:variant>
      <vt:variant>
        <vt:i4>116</vt:i4>
      </vt:variant>
      <vt:variant>
        <vt:i4>0</vt:i4>
      </vt:variant>
      <vt:variant>
        <vt:i4>5</vt:i4>
      </vt:variant>
      <vt:variant>
        <vt:lpwstr/>
      </vt:variant>
      <vt:variant>
        <vt:lpwstr>_Toc391638233</vt:lpwstr>
      </vt:variant>
      <vt:variant>
        <vt:i4>1245235</vt:i4>
      </vt:variant>
      <vt:variant>
        <vt:i4>110</vt:i4>
      </vt:variant>
      <vt:variant>
        <vt:i4>0</vt:i4>
      </vt:variant>
      <vt:variant>
        <vt:i4>5</vt:i4>
      </vt:variant>
      <vt:variant>
        <vt:lpwstr/>
      </vt:variant>
      <vt:variant>
        <vt:lpwstr>_Toc391638232</vt:lpwstr>
      </vt:variant>
      <vt:variant>
        <vt:i4>1245235</vt:i4>
      </vt:variant>
      <vt:variant>
        <vt:i4>104</vt:i4>
      </vt:variant>
      <vt:variant>
        <vt:i4>0</vt:i4>
      </vt:variant>
      <vt:variant>
        <vt:i4>5</vt:i4>
      </vt:variant>
      <vt:variant>
        <vt:lpwstr/>
      </vt:variant>
      <vt:variant>
        <vt:lpwstr>_Toc391638231</vt:lpwstr>
      </vt:variant>
      <vt:variant>
        <vt:i4>1245235</vt:i4>
      </vt:variant>
      <vt:variant>
        <vt:i4>98</vt:i4>
      </vt:variant>
      <vt:variant>
        <vt:i4>0</vt:i4>
      </vt:variant>
      <vt:variant>
        <vt:i4>5</vt:i4>
      </vt:variant>
      <vt:variant>
        <vt:lpwstr/>
      </vt:variant>
      <vt:variant>
        <vt:lpwstr>_Toc391638230</vt:lpwstr>
      </vt:variant>
      <vt:variant>
        <vt:i4>1179699</vt:i4>
      </vt:variant>
      <vt:variant>
        <vt:i4>92</vt:i4>
      </vt:variant>
      <vt:variant>
        <vt:i4>0</vt:i4>
      </vt:variant>
      <vt:variant>
        <vt:i4>5</vt:i4>
      </vt:variant>
      <vt:variant>
        <vt:lpwstr/>
      </vt:variant>
      <vt:variant>
        <vt:lpwstr>_Toc391638229</vt:lpwstr>
      </vt:variant>
      <vt:variant>
        <vt:i4>1179699</vt:i4>
      </vt:variant>
      <vt:variant>
        <vt:i4>86</vt:i4>
      </vt:variant>
      <vt:variant>
        <vt:i4>0</vt:i4>
      </vt:variant>
      <vt:variant>
        <vt:i4>5</vt:i4>
      </vt:variant>
      <vt:variant>
        <vt:lpwstr/>
      </vt:variant>
      <vt:variant>
        <vt:lpwstr>_Toc391638228</vt:lpwstr>
      </vt:variant>
      <vt:variant>
        <vt:i4>1179699</vt:i4>
      </vt:variant>
      <vt:variant>
        <vt:i4>80</vt:i4>
      </vt:variant>
      <vt:variant>
        <vt:i4>0</vt:i4>
      </vt:variant>
      <vt:variant>
        <vt:i4>5</vt:i4>
      </vt:variant>
      <vt:variant>
        <vt:lpwstr/>
      </vt:variant>
      <vt:variant>
        <vt:lpwstr>_Toc391638227</vt:lpwstr>
      </vt:variant>
      <vt:variant>
        <vt:i4>1179699</vt:i4>
      </vt:variant>
      <vt:variant>
        <vt:i4>74</vt:i4>
      </vt:variant>
      <vt:variant>
        <vt:i4>0</vt:i4>
      </vt:variant>
      <vt:variant>
        <vt:i4>5</vt:i4>
      </vt:variant>
      <vt:variant>
        <vt:lpwstr/>
      </vt:variant>
      <vt:variant>
        <vt:lpwstr>_Toc391638226</vt:lpwstr>
      </vt:variant>
      <vt:variant>
        <vt:i4>1179699</vt:i4>
      </vt:variant>
      <vt:variant>
        <vt:i4>68</vt:i4>
      </vt:variant>
      <vt:variant>
        <vt:i4>0</vt:i4>
      </vt:variant>
      <vt:variant>
        <vt:i4>5</vt:i4>
      </vt:variant>
      <vt:variant>
        <vt:lpwstr/>
      </vt:variant>
      <vt:variant>
        <vt:lpwstr>_Toc391638225</vt:lpwstr>
      </vt:variant>
      <vt:variant>
        <vt:i4>1179699</vt:i4>
      </vt:variant>
      <vt:variant>
        <vt:i4>62</vt:i4>
      </vt:variant>
      <vt:variant>
        <vt:i4>0</vt:i4>
      </vt:variant>
      <vt:variant>
        <vt:i4>5</vt:i4>
      </vt:variant>
      <vt:variant>
        <vt:lpwstr/>
      </vt:variant>
      <vt:variant>
        <vt:lpwstr>_Toc391638224</vt:lpwstr>
      </vt:variant>
      <vt:variant>
        <vt:i4>1179699</vt:i4>
      </vt:variant>
      <vt:variant>
        <vt:i4>56</vt:i4>
      </vt:variant>
      <vt:variant>
        <vt:i4>0</vt:i4>
      </vt:variant>
      <vt:variant>
        <vt:i4>5</vt:i4>
      </vt:variant>
      <vt:variant>
        <vt:lpwstr/>
      </vt:variant>
      <vt:variant>
        <vt:lpwstr>_Toc391638223</vt:lpwstr>
      </vt:variant>
      <vt:variant>
        <vt:i4>1179699</vt:i4>
      </vt:variant>
      <vt:variant>
        <vt:i4>50</vt:i4>
      </vt:variant>
      <vt:variant>
        <vt:i4>0</vt:i4>
      </vt:variant>
      <vt:variant>
        <vt:i4>5</vt:i4>
      </vt:variant>
      <vt:variant>
        <vt:lpwstr/>
      </vt:variant>
      <vt:variant>
        <vt:lpwstr>_Toc391638222</vt:lpwstr>
      </vt:variant>
      <vt:variant>
        <vt:i4>1179699</vt:i4>
      </vt:variant>
      <vt:variant>
        <vt:i4>44</vt:i4>
      </vt:variant>
      <vt:variant>
        <vt:i4>0</vt:i4>
      </vt:variant>
      <vt:variant>
        <vt:i4>5</vt:i4>
      </vt:variant>
      <vt:variant>
        <vt:lpwstr/>
      </vt:variant>
      <vt:variant>
        <vt:lpwstr>_Toc391638221</vt:lpwstr>
      </vt:variant>
      <vt:variant>
        <vt:i4>1179699</vt:i4>
      </vt:variant>
      <vt:variant>
        <vt:i4>38</vt:i4>
      </vt:variant>
      <vt:variant>
        <vt:i4>0</vt:i4>
      </vt:variant>
      <vt:variant>
        <vt:i4>5</vt:i4>
      </vt:variant>
      <vt:variant>
        <vt:lpwstr/>
      </vt:variant>
      <vt:variant>
        <vt:lpwstr>_Toc391638220</vt:lpwstr>
      </vt:variant>
      <vt:variant>
        <vt:i4>1114163</vt:i4>
      </vt:variant>
      <vt:variant>
        <vt:i4>32</vt:i4>
      </vt:variant>
      <vt:variant>
        <vt:i4>0</vt:i4>
      </vt:variant>
      <vt:variant>
        <vt:i4>5</vt:i4>
      </vt:variant>
      <vt:variant>
        <vt:lpwstr/>
      </vt:variant>
      <vt:variant>
        <vt:lpwstr>_Toc391638219</vt:lpwstr>
      </vt:variant>
      <vt:variant>
        <vt:i4>1114163</vt:i4>
      </vt:variant>
      <vt:variant>
        <vt:i4>26</vt:i4>
      </vt:variant>
      <vt:variant>
        <vt:i4>0</vt:i4>
      </vt:variant>
      <vt:variant>
        <vt:i4>5</vt:i4>
      </vt:variant>
      <vt:variant>
        <vt:lpwstr/>
      </vt:variant>
      <vt:variant>
        <vt:lpwstr>_Toc391638218</vt:lpwstr>
      </vt:variant>
      <vt:variant>
        <vt:i4>1114163</vt:i4>
      </vt:variant>
      <vt:variant>
        <vt:i4>20</vt:i4>
      </vt:variant>
      <vt:variant>
        <vt:i4>0</vt:i4>
      </vt:variant>
      <vt:variant>
        <vt:i4>5</vt:i4>
      </vt:variant>
      <vt:variant>
        <vt:lpwstr/>
      </vt:variant>
      <vt:variant>
        <vt:lpwstr>_Toc391638217</vt:lpwstr>
      </vt:variant>
      <vt:variant>
        <vt:i4>1114163</vt:i4>
      </vt:variant>
      <vt:variant>
        <vt:i4>14</vt:i4>
      </vt:variant>
      <vt:variant>
        <vt:i4>0</vt:i4>
      </vt:variant>
      <vt:variant>
        <vt:i4>5</vt:i4>
      </vt:variant>
      <vt:variant>
        <vt:lpwstr/>
      </vt:variant>
      <vt:variant>
        <vt:lpwstr>_Toc391638216</vt:lpwstr>
      </vt:variant>
      <vt:variant>
        <vt:i4>1114163</vt:i4>
      </vt:variant>
      <vt:variant>
        <vt:i4>8</vt:i4>
      </vt:variant>
      <vt:variant>
        <vt:i4>0</vt:i4>
      </vt:variant>
      <vt:variant>
        <vt:i4>5</vt:i4>
      </vt:variant>
      <vt:variant>
        <vt:lpwstr/>
      </vt:variant>
      <vt:variant>
        <vt:lpwstr>_Toc391638215</vt:lpwstr>
      </vt:variant>
      <vt:variant>
        <vt:i4>1114163</vt:i4>
      </vt:variant>
      <vt:variant>
        <vt:i4>2</vt:i4>
      </vt:variant>
      <vt:variant>
        <vt:i4>0</vt:i4>
      </vt:variant>
      <vt:variant>
        <vt:i4>5</vt:i4>
      </vt:variant>
      <vt:variant>
        <vt:lpwstr/>
      </vt:variant>
      <vt:variant>
        <vt:lpwstr>_Toc391638214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6</dc:title>
  <dc:subject/>
  <dc:creator/>
  <cp:keywords/>
  <cp:lastModifiedBy/>
  <cp:revision>1</cp:revision>
  <dcterms:created xsi:type="dcterms:W3CDTF">2016-10-31T21:42:00Z</dcterms:created>
  <dcterms:modified xsi:type="dcterms:W3CDTF">2016-10-31T21:43:00Z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CG Document Type">
    <vt:lpwstr/>
  </property>
  <property fmtid="{D5CDD505-2E9C-101B-9397-08002B2CF9AE}" pid="4" name="ISO Department">
    <vt:lpwstr/>
  </property>
  <property fmtid="{D5CDD505-2E9C-101B-9397-08002B2CF9AE}" pid="5" name="Charge Codes">
    <vt:lpwstr/>
  </property>
  <property fmtid="{D5CDD505-2E9C-101B-9397-08002B2CF9AE}" pid="6" name="CG Document Workflow Stage">
    <vt:lpwstr/>
  </property>
  <property fmtid="{D5CDD505-2E9C-101B-9397-08002B2CF9AE}" pid="7" name="InfoSec Classification">
    <vt:lpwstr/>
  </property>
  <property fmtid="{D5CDD505-2E9C-101B-9397-08002B2CF9AE}" pid="8" name="Configuration Status">
    <vt:lpwstr/>
  </property>
  <property fmtid="{D5CDD505-2E9C-101B-9397-08002B2CF9AE}" pid="9" name="Effective Trade Date End">
    <vt:lpwstr/>
  </property>
  <property fmtid="{D5CDD505-2E9C-101B-9397-08002B2CF9AE}" pid="10" name="Doc Status">
    <vt:lpwstr/>
  </property>
</Properties>
</file>