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F9E8" w14:textId="77777777" w:rsidR="0092410C" w:rsidRDefault="00FA6B35" w:rsidP="001A5070">
      <w:pPr>
        <w:rPr>
          <w:rFonts w:cs="Arial"/>
        </w:rPr>
      </w:pPr>
      <w:r>
        <w:rPr>
          <w:rFonts w:cs="Arial"/>
          <w:noProof/>
          <w:sz w:val="20"/>
        </w:rPr>
        <mc:AlternateContent>
          <mc:Choice Requires="wps">
            <w:drawing>
              <wp:anchor distT="0" distB="0" distL="114300" distR="114300" simplePos="0" relativeHeight="251658240" behindDoc="0" locked="0" layoutInCell="1" allowOverlap="1" wp14:anchorId="5B159388" wp14:editId="65C9AFE1">
                <wp:simplePos x="0" y="0"/>
                <wp:positionH relativeFrom="column">
                  <wp:posOffset>-1143000</wp:posOffset>
                </wp:positionH>
                <wp:positionV relativeFrom="paragraph">
                  <wp:posOffset>228600</wp:posOffset>
                </wp:positionV>
                <wp:extent cx="9144000" cy="114300"/>
                <wp:effectExtent l="0" t="0" r="0"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04C6A9" id="Rectangle 48" o:spid="_x0000_s1026" style="position:absolute;margin-left:-90pt;margin-top:18pt;width:10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" stroked="f">
                <v:fill color2="#1379c5" angle="90" focus="100%" type="gradient"/>
              </v:rect>
            </w:pict>
          </mc:Fallback>
        </mc:AlternateContent>
      </w:r>
    </w:p>
    <w:p w14:paraId="205406C2" w14:textId="77777777" w:rsidR="002148AE" w:rsidRPr="00C03513" w:rsidRDefault="002148AE">
      <w:pPr>
        <w:rPr>
          <w:rFonts w:cs="Arial"/>
        </w:rPr>
      </w:pPr>
    </w:p>
    <w:p w14:paraId="52941346" w14:textId="77777777" w:rsidR="002148AE" w:rsidRPr="00C03513" w:rsidRDefault="002148AE">
      <w:pPr>
        <w:pStyle w:val="ParaText"/>
        <w:jc w:val="right"/>
        <w:rPr>
          <w:rFonts w:cs="Arial"/>
          <w:b/>
          <w:bCs/>
        </w:rPr>
      </w:pPr>
    </w:p>
    <w:p w14:paraId="15B43342" w14:textId="77777777" w:rsidR="002148AE" w:rsidRPr="00C03513" w:rsidRDefault="002148AE">
      <w:pPr>
        <w:pStyle w:val="Header"/>
        <w:tabs>
          <w:tab w:val="clear" w:pos="4320"/>
          <w:tab w:val="clear" w:pos="8640"/>
        </w:tabs>
        <w:rPr>
          <w:rFonts w:cs="Arial"/>
          <w:b w:val="0"/>
          <w:bCs/>
        </w:rPr>
      </w:pPr>
    </w:p>
    <w:p w14:paraId="3D1F21C0" w14:textId="77777777" w:rsidR="002148AE" w:rsidRPr="00C03513" w:rsidRDefault="002148AE">
      <w:pPr>
        <w:pStyle w:val="ParaText"/>
        <w:rPr>
          <w:rFonts w:cs="Arial"/>
        </w:rPr>
      </w:pPr>
    </w:p>
    <w:p w14:paraId="6E5E941F" w14:textId="16559EFC" w:rsidR="00E52499" w:rsidRPr="00C03513" w:rsidRDefault="002148AE" w:rsidP="00C7737E">
      <w:pPr>
        <w:pStyle w:val="Title"/>
        <w:rPr>
          <w:rFonts w:cs="Arial"/>
        </w:rPr>
      </w:pPr>
      <w:r w:rsidRPr="00C03513">
        <w:rPr>
          <w:rFonts w:cs="Arial"/>
        </w:rPr>
        <w:t>Business Practice Manual</w:t>
      </w:r>
    </w:p>
    <w:p w14:paraId="3D654D24" w14:textId="77777777" w:rsidR="0071103E" w:rsidRDefault="00E52499" w:rsidP="00C7737E">
      <w:pPr>
        <w:pStyle w:val="Title"/>
        <w:rPr>
          <w:rFonts w:cs="Arial"/>
        </w:rPr>
      </w:pPr>
      <w:r w:rsidRPr="00C03513">
        <w:rPr>
          <w:rFonts w:cs="Arial"/>
        </w:rPr>
        <w:t>F</w:t>
      </w:r>
      <w:r w:rsidR="002148AE" w:rsidRPr="00C03513">
        <w:rPr>
          <w:rFonts w:cs="Arial"/>
        </w:rPr>
        <w:t>or</w:t>
      </w:r>
      <w:r w:rsidR="0039613C">
        <w:rPr>
          <w:rFonts w:cs="Arial"/>
        </w:rPr>
        <w:t xml:space="preserve"> T</w:t>
      </w:r>
      <w:r w:rsidR="000D7FC2">
        <w:rPr>
          <w:rFonts w:cs="Arial"/>
        </w:rPr>
        <w:t>he</w:t>
      </w:r>
    </w:p>
    <w:p w14:paraId="724D3CDC" w14:textId="717AFD6F" w:rsidR="002148AE" w:rsidRPr="00C03513" w:rsidRDefault="005F24C1" w:rsidP="00C7737E">
      <w:pPr>
        <w:pStyle w:val="Title"/>
        <w:rPr>
          <w:rFonts w:cs="Arial"/>
        </w:rPr>
      </w:pPr>
      <w:r>
        <w:rPr>
          <w:rFonts w:cs="Arial"/>
        </w:rPr>
        <w:t>Western Energy Imbalance Market</w:t>
      </w:r>
    </w:p>
    <w:p w14:paraId="1824BB83" w14:textId="77777777" w:rsidR="00635A12" w:rsidRPr="00C03513" w:rsidRDefault="00635A12" w:rsidP="00635A12">
      <w:pPr>
        <w:pStyle w:val="Subtitle"/>
      </w:pPr>
    </w:p>
    <w:p w14:paraId="543A402B" w14:textId="77777777" w:rsidR="00635A12" w:rsidRPr="00C03513" w:rsidRDefault="00635A12" w:rsidP="00635A12">
      <w:pPr>
        <w:pStyle w:val="Subtitle"/>
      </w:pPr>
    </w:p>
    <w:p w14:paraId="59BC9892" w14:textId="77777777" w:rsidR="002148AE" w:rsidRPr="00C03513" w:rsidRDefault="002148AE">
      <w:pPr>
        <w:pStyle w:val="ParaText"/>
        <w:rPr>
          <w:rFonts w:cs="Arial"/>
        </w:rPr>
      </w:pPr>
    </w:p>
    <w:p w14:paraId="333608E8" w14:textId="77777777" w:rsidR="002148AE" w:rsidRPr="00C03513" w:rsidRDefault="002148AE">
      <w:pPr>
        <w:pStyle w:val="ParaText"/>
        <w:rPr>
          <w:rFonts w:cs="Arial"/>
        </w:rPr>
      </w:pPr>
    </w:p>
    <w:p w14:paraId="3B008D64" w14:textId="77777777" w:rsidR="00FA61BC" w:rsidRPr="00C03513" w:rsidRDefault="00FA61BC">
      <w:pPr>
        <w:pStyle w:val="ParaText"/>
        <w:rPr>
          <w:rFonts w:cs="Arial"/>
        </w:rPr>
      </w:pPr>
    </w:p>
    <w:p w14:paraId="1F3CF864" w14:textId="77777777" w:rsidR="00FA61BC" w:rsidRPr="00C03513" w:rsidRDefault="00FA61BC">
      <w:pPr>
        <w:pStyle w:val="ParaText"/>
        <w:rPr>
          <w:rFonts w:cs="Arial"/>
        </w:rPr>
      </w:pPr>
    </w:p>
    <w:p w14:paraId="0111DD9D" w14:textId="77777777" w:rsidR="00FA61BC" w:rsidRPr="007419FE" w:rsidRDefault="00FA61BC">
      <w:pPr>
        <w:pStyle w:val="ParaText"/>
        <w:rPr>
          <w:rFonts w:cs="Arial"/>
        </w:rPr>
      </w:pPr>
    </w:p>
    <w:p w14:paraId="256F75E0" w14:textId="7D517056" w:rsidR="00FA61BC" w:rsidRPr="00C03513" w:rsidRDefault="002A2768" w:rsidP="002A2768">
      <w:pPr>
        <w:pStyle w:val="ParaText"/>
        <w:tabs>
          <w:tab w:val="left" w:pos="8010"/>
        </w:tabs>
        <w:rPr>
          <w:rFonts w:cs="Arial"/>
        </w:rPr>
      </w:pPr>
      <w:r>
        <w:rPr>
          <w:rFonts w:cs="Arial"/>
        </w:rPr>
        <w:tab/>
      </w:r>
    </w:p>
    <w:p w14:paraId="4009E1CD" w14:textId="77777777" w:rsidR="00FA61BC" w:rsidRPr="00C03513" w:rsidRDefault="00FA61BC">
      <w:pPr>
        <w:pStyle w:val="ParaText"/>
        <w:jc w:val="center"/>
        <w:rPr>
          <w:rFonts w:cs="Arial"/>
        </w:rPr>
      </w:pPr>
    </w:p>
    <w:p w14:paraId="56284921" w14:textId="36A66DC4" w:rsidR="002148AE" w:rsidRPr="00C03513" w:rsidRDefault="001425BC">
      <w:pPr>
        <w:pStyle w:val="ParaText"/>
        <w:jc w:val="center"/>
        <w:rPr>
          <w:rFonts w:cs="Arial"/>
        </w:rPr>
      </w:pPr>
      <w:r w:rsidRPr="00C03513">
        <w:rPr>
          <w:rFonts w:cs="Arial"/>
        </w:rPr>
        <w:t xml:space="preserve">Version </w:t>
      </w:r>
      <w:r w:rsidR="00622ABA">
        <w:rPr>
          <w:rFonts w:cs="Arial"/>
        </w:rPr>
        <w:t>3</w:t>
      </w:r>
      <w:r w:rsidR="002E60A6">
        <w:rPr>
          <w:rFonts w:cs="Arial"/>
        </w:rPr>
        <w:t>7</w:t>
      </w:r>
    </w:p>
    <w:p w14:paraId="628A5C70" w14:textId="77777777" w:rsidR="002148AE" w:rsidRPr="00C03513" w:rsidRDefault="002148AE">
      <w:pPr>
        <w:pStyle w:val="ParaText"/>
        <w:rPr>
          <w:rFonts w:cs="Arial"/>
        </w:rPr>
      </w:pPr>
    </w:p>
    <w:p w14:paraId="710932A4" w14:textId="10F2C00A" w:rsidR="002148AE" w:rsidRPr="00C03513" w:rsidRDefault="00C9250E">
      <w:pPr>
        <w:pStyle w:val="ParaText"/>
        <w:jc w:val="center"/>
        <w:rPr>
          <w:rFonts w:cs="Arial"/>
        </w:rPr>
      </w:pPr>
      <w:r w:rsidRPr="00C03513">
        <w:rPr>
          <w:rFonts w:cs="Arial"/>
        </w:rPr>
        <w:t>Revision Date</w:t>
      </w:r>
      <w:r w:rsidR="009E4560">
        <w:rPr>
          <w:rFonts w:cs="Arial"/>
        </w:rPr>
        <w:t xml:space="preserve"> </w:t>
      </w:r>
      <w:r w:rsidR="000633C5">
        <w:rPr>
          <w:rFonts w:cs="Arial"/>
        </w:rPr>
        <w:t>May 1, 2026</w:t>
      </w:r>
    </w:p>
    <w:p w14:paraId="08E8A462" w14:textId="77777777" w:rsidR="002148AE" w:rsidRPr="00C03513" w:rsidRDefault="002148AE">
      <w:pPr>
        <w:pStyle w:val="ParaText"/>
        <w:rPr>
          <w:rFonts w:cs="Arial"/>
        </w:rPr>
      </w:pPr>
    </w:p>
    <w:p w14:paraId="21A7FDF9" w14:textId="23F68214" w:rsidR="002148AE" w:rsidRPr="00C03513" w:rsidRDefault="00E52499">
      <w:pPr>
        <w:rPr>
          <w:rFonts w:cs="Arial"/>
          <w:b/>
          <w:bCs/>
          <w:sz w:val="32"/>
        </w:rPr>
      </w:pPr>
      <w:r w:rsidRPr="00C03513">
        <w:rPr>
          <w:rFonts w:cs="Arial"/>
          <w:b/>
          <w:bCs/>
          <w:sz w:val="32"/>
        </w:rPr>
        <w:br w:type="page"/>
      </w:r>
      <w:r w:rsidR="002148AE" w:rsidRPr="00C03513">
        <w:rPr>
          <w:rFonts w:cs="Arial"/>
          <w:b/>
          <w:bCs/>
          <w:sz w:val="32"/>
        </w:rPr>
        <w:lastRenderedPageBreak/>
        <w:t>Approval History</w:t>
      </w:r>
    </w:p>
    <w:p w14:paraId="44C6FBC5" w14:textId="77777777" w:rsidR="002148AE" w:rsidRPr="00C03513" w:rsidRDefault="002148AE">
      <w:pPr>
        <w:pStyle w:val="ParaText"/>
        <w:ind w:firstLine="720"/>
        <w:rPr>
          <w:rFonts w:cs="Arial"/>
        </w:rPr>
      </w:pPr>
      <w:r w:rsidRPr="00C03513">
        <w:rPr>
          <w:rFonts w:cs="Arial"/>
        </w:rPr>
        <w:t>Approval Date</w:t>
      </w:r>
      <w:r w:rsidR="00657E79">
        <w:rPr>
          <w:rFonts w:cs="Arial"/>
        </w:rPr>
        <w:t xml:space="preserve">:  </w:t>
      </w:r>
      <w:r w:rsidR="002A234D">
        <w:rPr>
          <w:rFonts w:cs="Arial"/>
        </w:rPr>
        <w:t>October 2</w:t>
      </w:r>
      <w:r w:rsidR="00B645B7" w:rsidRPr="0028532A">
        <w:rPr>
          <w:rFonts w:cs="Arial"/>
        </w:rPr>
        <w:t>,</w:t>
      </w:r>
      <w:r w:rsidR="00B645B7" w:rsidRPr="00C03513">
        <w:rPr>
          <w:rFonts w:cs="Arial"/>
        </w:rPr>
        <w:t xml:space="preserve"> 2014</w:t>
      </w:r>
    </w:p>
    <w:p w14:paraId="20B584E4" w14:textId="77777777" w:rsidR="002148AE" w:rsidRPr="00C03513" w:rsidRDefault="0028532A">
      <w:pPr>
        <w:pStyle w:val="ParaText"/>
        <w:ind w:firstLine="720"/>
        <w:rPr>
          <w:rFonts w:cs="Arial"/>
        </w:rPr>
      </w:pPr>
      <w:r>
        <w:rPr>
          <w:rFonts w:cs="Arial"/>
        </w:rPr>
        <w:t xml:space="preserve">Effective Date:  </w:t>
      </w:r>
      <w:r w:rsidR="002A234D">
        <w:rPr>
          <w:rFonts w:cs="Arial"/>
        </w:rPr>
        <w:t>October 2</w:t>
      </w:r>
      <w:r w:rsidR="00B645B7" w:rsidRPr="00C03513">
        <w:rPr>
          <w:rFonts w:cs="Arial"/>
        </w:rPr>
        <w:t>, 2014</w:t>
      </w:r>
    </w:p>
    <w:p w14:paraId="6EB7EDE0" w14:textId="5F863DCE" w:rsidR="002148AE" w:rsidRPr="00C7737E" w:rsidRDefault="002148AE">
      <w:pPr>
        <w:pStyle w:val="ParaText"/>
        <w:ind w:firstLine="720"/>
        <w:rPr>
          <w:rFonts w:cs="Arial"/>
        </w:rPr>
      </w:pPr>
      <w:r w:rsidRPr="00C03513">
        <w:rPr>
          <w:rFonts w:cs="Arial"/>
        </w:rPr>
        <w:t>BPM Owner</w:t>
      </w:r>
      <w:r w:rsidR="00C7737E">
        <w:rPr>
          <w:rFonts w:cs="Arial"/>
        </w:rPr>
        <w:t>s</w:t>
      </w:r>
      <w:r w:rsidR="00657E79">
        <w:rPr>
          <w:rFonts w:cs="Arial"/>
        </w:rPr>
        <w:t xml:space="preserve">:  </w:t>
      </w:r>
      <w:r w:rsidR="005F24C1">
        <w:rPr>
          <w:rFonts w:cs="Arial"/>
        </w:rPr>
        <w:t>Mike Turner and Michael Martin</w:t>
      </w:r>
    </w:p>
    <w:p w14:paraId="6DD67A07" w14:textId="3EDD1D76" w:rsidR="00F866BE" w:rsidRDefault="00982CB2" w:rsidP="00B80F2D">
      <w:pPr>
        <w:pStyle w:val="ParaText"/>
        <w:spacing w:after="0"/>
        <w:ind w:firstLine="720"/>
        <w:rPr>
          <w:rFonts w:cs="Arial"/>
        </w:rPr>
      </w:pPr>
      <w:r>
        <w:rPr>
          <w:rFonts w:cs="Arial"/>
        </w:rPr>
        <w:t>BPM Owner</w:t>
      </w:r>
      <w:r w:rsidR="009472BD">
        <w:rPr>
          <w:rFonts w:cs="Arial"/>
        </w:rPr>
        <w:t>s</w:t>
      </w:r>
      <w:r>
        <w:rPr>
          <w:rFonts w:cs="Arial"/>
        </w:rPr>
        <w:t>’</w:t>
      </w:r>
      <w:r w:rsidR="002148AE" w:rsidRPr="00C03513">
        <w:rPr>
          <w:rFonts w:cs="Arial"/>
        </w:rPr>
        <w:t xml:space="preserve"> Title</w:t>
      </w:r>
      <w:r>
        <w:rPr>
          <w:rFonts w:cs="Arial"/>
        </w:rPr>
        <w:t>s</w:t>
      </w:r>
      <w:r w:rsidR="00657E79">
        <w:rPr>
          <w:rFonts w:cs="Arial"/>
        </w:rPr>
        <w:t xml:space="preserve">:  </w:t>
      </w:r>
      <w:r w:rsidR="00B80F2D">
        <w:rPr>
          <w:rFonts w:cs="Arial"/>
        </w:rPr>
        <w:t>Director</w:t>
      </w:r>
      <w:r w:rsidR="00F866BE" w:rsidRPr="00F866BE">
        <w:rPr>
          <w:rFonts w:cs="Arial"/>
        </w:rPr>
        <w:t xml:space="preserve">, </w:t>
      </w:r>
      <w:r w:rsidR="00B80F2D">
        <w:rPr>
          <w:rFonts w:cs="Arial"/>
        </w:rPr>
        <w:t xml:space="preserve">Market Services </w:t>
      </w:r>
      <w:r w:rsidR="00F866BE">
        <w:rPr>
          <w:rFonts w:cs="Arial"/>
        </w:rPr>
        <w:t>and</w:t>
      </w:r>
      <w:r w:rsidR="00B80F2D">
        <w:rPr>
          <w:rFonts w:cs="Arial"/>
        </w:rPr>
        <w:t xml:space="preserve"> </w:t>
      </w:r>
      <w:r w:rsidR="000F2BA5">
        <w:rPr>
          <w:rFonts w:cs="Arial"/>
        </w:rPr>
        <w:t>Principal, System Operations</w:t>
      </w:r>
    </w:p>
    <w:p w14:paraId="5814517B" w14:textId="77777777" w:rsidR="00F866BE" w:rsidRPr="00F866BE" w:rsidRDefault="00F866BE" w:rsidP="00F866BE">
      <w:pPr>
        <w:pStyle w:val="ParaText"/>
        <w:ind w:firstLine="720"/>
        <w:rPr>
          <w:rFonts w:cs="Arial"/>
        </w:rPr>
      </w:pPr>
    </w:p>
    <w:p w14:paraId="1E86CE1A" w14:textId="77777777" w:rsidR="002148AE" w:rsidRDefault="002148AE">
      <w:pPr>
        <w:rPr>
          <w:rFonts w:cs="Arial"/>
          <w:b/>
          <w:bCs/>
          <w:sz w:val="32"/>
        </w:rPr>
      </w:pPr>
      <w:r w:rsidRPr="00C03513">
        <w:rPr>
          <w:rFonts w:cs="Arial"/>
          <w:b/>
          <w:bCs/>
          <w:sz w:val="32"/>
        </w:rPr>
        <w:t>Revision History</w:t>
      </w: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34"/>
        <w:gridCol w:w="1297"/>
        <w:gridCol w:w="1440"/>
        <w:gridCol w:w="5887"/>
      </w:tblGrid>
      <w:tr w:rsidR="008D505E" w:rsidRPr="00C03513" w14:paraId="3A10C9A8" w14:textId="77777777" w:rsidTr="000914B7">
        <w:trPr>
          <w:tblHeader/>
        </w:trPr>
        <w:tc>
          <w:tcPr>
            <w:tcW w:w="1234" w:type="dxa"/>
            <w:shd w:val="clear" w:color="auto" w:fill="0000BE"/>
            <w:vAlign w:val="center"/>
          </w:tcPr>
          <w:p w14:paraId="63C4EBDA" w14:textId="77777777" w:rsidR="008D505E" w:rsidRPr="00C03513" w:rsidRDefault="008D505E" w:rsidP="00CC2A05">
            <w:pPr>
              <w:spacing w:before="60" w:after="60"/>
              <w:jc w:val="center"/>
              <w:rPr>
                <w:rFonts w:cs="Arial"/>
                <w:color w:val="FFFFFF"/>
                <w:sz w:val="28"/>
              </w:rPr>
            </w:pPr>
            <w:r w:rsidRPr="00C03513">
              <w:rPr>
                <w:rFonts w:cs="Arial"/>
                <w:color w:val="FFFFFF"/>
                <w:sz w:val="28"/>
              </w:rPr>
              <w:t>Version</w:t>
            </w:r>
          </w:p>
        </w:tc>
        <w:tc>
          <w:tcPr>
            <w:tcW w:w="1297" w:type="dxa"/>
            <w:shd w:val="clear" w:color="auto" w:fill="0000BE"/>
            <w:vAlign w:val="center"/>
          </w:tcPr>
          <w:p w14:paraId="1498F678" w14:textId="77777777" w:rsidR="008D505E" w:rsidRPr="00C03513" w:rsidRDefault="008D505E" w:rsidP="00CC2A05">
            <w:pPr>
              <w:spacing w:before="60" w:after="60"/>
              <w:jc w:val="center"/>
              <w:rPr>
                <w:rFonts w:cs="Arial"/>
                <w:color w:val="FFFFFF"/>
                <w:sz w:val="28"/>
              </w:rPr>
            </w:pPr>
            <w:r>
              <w:rPr>
                <w:rFonts w:cs="Arial"/>
                <w:color w:val="FFFFFF"/>
                <w:sz w:val="28"/>
              </w:rPr>
              <w:t>PRR</w:t>
            </w:r>
          </w:p>
        </w:tc>
        <w:tc>
          <w:tcPr>
            <w:tcW w:w="1440" w:type="dxa"/>
            <w:shd w:val="clear" w:color="auto" w:fill="0000BE"/>
            <w:vAlign w:val="center"/>
          </w:tcPr>
          <w:p w14:paraId="4B341F20" w14:textId="77777777" w:rsidR="008D505E" w:rsidRPr="00C03513" w:rsidRDefault="008D505E" w:rsidP="00CC2A05">
            <w:pPr>
              <w:spacing w:before="60" w:after="60"/>
              <w:jc w:val="center"/>
              <w:rPr>
                <w:rFonts w:cs="Arial"/>
                <w:color w:val="FFFFFF"/>
                <w:sz w:val="28"/>
              </w:rPr>
            </w:pPr>
            <w:r w:rsidRPr="00C03513">
              <w:rPr>
                <w:rFonts w:cs="Arial"/>
                <w:color w:val="FFFFFF"/>
                <w:sz w:val="28"/>
              </w:rPr>
              <w:t>Date</w:t>
            </w:r>
          </w:p>
        </w:tc>
        <w:tc>
          <w:tcPr>
            <w:tcW w:w="5887" w:type="dxa"/>
            <w:shd w:val="clear" w:color="auto" w:fill="0000BE"/>
            <w:vAlign w:val="center"/>
          </w:tcPr>
          <w:p w14:paraId="299AFE0C" w14:textId="77777777" w:rsidR="008D505E" w:rsidRPr="00326D43" w:rsidRDefault="008D505E" w:rsidP="00CC2A05">
            <w:pPr>
              <w:spacing w:before="60" w:after="60"/>
              <w:jc w:val="center"/>
              <w:rPr>
                <w:rFonts w:ascii="Arial" w:hAnsi="Arial" w:cs="Arial"/>
                <w:color w:val="FFFFFF"/>
              </w:rPr>
            </w:pPr>
            <w:r w:rsidRPr="00326D43">
              <w:rPr>
                <w:rFonts w:ascii="Arial" w:hAnsi="Arial" w:cs="Arial"/>
                <w:color w:val="FFFFFF"/>
              </w:rPr>
              <w:t>Description</w:t>
            </w:r>
          </w:p>
        </w:tc>
      </w:tr>
      <w:tr w:rsidR="002E60A6" w:rsidRPr="008D505E" w14:paraId="4C0FB48E" w14:textId="77777777" w:rsidTr="000914B7">
        <w:tc>
          <w:tcPr>
            <w:tcW w:w="1234" w:type="dxa"/>
            <w:vAlign w:val="center"/>
          </w:tcPr>
          <w:p w14:paraId="5EDF9D58" w14:textId="2595A1C5" w:rsidR="002E60A6" w:rsidRDefault="002E60A6" w:rsidP="00011923">
            <w:pPr>
              <w:spacing w:before="60" w:after="60"/>
              <w:jc w:val="center"/>
              <w:rPr>
                <w:rFonts w:cs="Arial"/>
              </w:rPr>
            </w:pPr>
            <w:r>
              <w:rPr>
                <w:rFonts w:cs="Arial"/>
              </w:rPr>
              <w:t>37</w:t>
            </w:r>
          </w:p>
        </w:tc>
        <w:tc>
          <w:tcPr>
            <w:tcW w:w="1297" w:type="dxa"/>
            <w:vAlign w:val="center"/>
          </w:tcPr>
          <w:p w14:paraId="43A42B89" w14:textId="5AE6C060" w:rsidR="002E60A6" w:rsidRDefault="002E60A6" w:rsidP="00CC346B">
            <w:pPr>
              <w:spacing w:before="60" w:after="60"/>
              <w:jc w:val="center"/>
              <w:rPr>
                <w:rFonts w:cs="Arial"/>
              </w:rPr>
            </w:pPr>
            <w:r>
              <w:rPr>
                <w:rFonts w:cs="Arial"/>
              </w:rPr>
              <w:t>1660</w:t>
            </w:r>
          </w:p>
        </w:tc>
        <w:tc>
          <w:tcPr>
            <w:tcW w:w="1440" w:type="dxa"/>
            <w:vAlign w:val="center"/>
          </w:tcPr>
          <w:p w14:paraId="0C26F632" w14:textId="6E08AC44" w:rsidR="002E60A6" w:rsidRDefault="002E60A6" w:rsidP="00916602">
            <w:pPr>
              <w:spacing w:before="60" w:after="60"/>
              <w:jc w:val="center"/>
              <w:rPr>
                <w:rFonts w:cs="Arial"/>
              </w:rPr>
            </w:pPr>
            <w:r>
              <w:rPr>
                <w:rFonts w:cs="Arial"/>
              </w:rPr>
              <w:t>5/1/2026</w:t>
            </w:r>
          </w:p>
        </w:tc>
        <w:tc>
          <w:tcPr>
            <w:tcW w:w="5887" w:type="dxa"/>
            <w:vAlign w:val="center"/>
          </w:tcPr>
          <w:p w14:paraId="4DBFA452" w14:textId="18C79AAD" w:rsidR="002E60A6" w:rsidRDefault="002E60A6"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1660 </w:t>
            </w:r>
            <w:r w:rsidRPr="002E60A6">
              <w:rPr>
                <w:rFonts w:ascii="Calibri" w:hAnsi="Calibri" w:cs="Calibri"/>
                <w:color w:val="141414"/>
              </w:rPr>
              <w:t>Clarification of variable energy resource persistence forecasting</w:t>
            </w:r>
          </w:p>
        </w:tc>
      </w:tr>
      <w:tr w:rsidR="00A60D87" w:rsidRPr="008D505E" w14:paraId="797D874E" w14:textId="77777777" w:rsidTr="000914B7">
        <w:tc>
          <w:tcPr>
            <w:tcW w:w="1234" w:type="dxa"/>
            <w:vAlign w:val="center"/>
          </w:tcPr>
          <w:p w14:paraId="29DCD1F4" w14:textId="7DBABC16" w:rsidR="00A60D87" w:rsidRDefault="00A60D87" w:rsidP="00011923">
            <w:pPr>
              <w:spacing w:before="60" w:after="60"/>
              <w:jc w:val="center"/>
              <w:rPr>
                <w:rFonts w:cs="Arial"/>
              </w:rPr>
            </w:pPr>
            <w:r>
              <w:rPr>
                <w:rFonts w:cs="Arial"/>
              </w:rPr>
              <w:t>36</w:t>
            </w:r>
          </w:p>
        </w:tc>
        <w:tc>
          <w:tcPr>
            <w:tcW w:w="1297" w:type="dxa"/>
            <w:vAlign w:val="center"/>
          </w:tcPr>
          <w:p w14:paraId="176F3F35" w14:textId="230960FF" w:rsidR="00A60D87" w:rsidRDefault="00A60D87" w:rsidP="00CC346B">
            <w:pPr>
              <w:spacing w:before="60" w:after="60"/>
              <w:jc w:val="center"/>
              <w:rPr>
                <w:rFonts w:cs="Arial"/>
              </w:rPr>
            </w:pPr>
            <w:r>
              <w:rPr>
                <w:rFonts w:cs="Arial"/>
              </w:rPr>
              <w:t>1639</w:t>
            </w:r>
          </w:p>
        </w:tc>
        <w:tc>
          <w:tcPr>
            <w:tcW w:w="1440" w:type="dxa"/>
            <w:vAlign w:val="center"/>
          </w:tcPr>
          <w:p w14:paraId="21D88542" w14:textId="18DF57E4" w:rsidR="00A60D87" w:rsidRDefault="00A60D87" w:rsidP="00916602">
            <w:pPr>
              <w:spacing w:before="60" w:after="60"/>
              <w:jc w:val="center"/>
              <w:rPr>
                <w:rFonts w:cs="Arial"/>
              </w:rPr>
            </w:pPr>
            <w:r>
              <w:rPr>
                <w:rFonts w:cs="Arial"/>
              </w:rPr>
              <w:t>11/24/2025</w:t>
            </w:r>
          </w:p>
        </w:tc>
        <w:tc>
          <w:tcPr>
            <w:tcW w:w="5887" w:type="dxa"/>
            <w:vAlign w:val="center"/>
          </w:tcPr>
          <w:p w14:paraId="0A7D06E0" w14:textId="52AA5E85" w:rsidR="00A60D87" w:rsidRDefault="00A60D87"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1639 </w:t>
            </w:r>
            <w:r w:rsidRPr="00A60D87">
              <w:rPr>
                <w:rFonts w:ascii="Calibri" w:hAnsi="Calibri" w:cs="Calibri"/>
                <w:color w:val="141414"/>
              </w:rPr>
              <w:t>Remove sunset of AET and add provision for RC Action</w:t>
            </w:r>
          </w:p>
        </w:tc>
      </w:tr>
      <w:tr w:rsidR="000F2BA5" w:rsidRPr="008D505E" w14:paraId="2E94F593" w14:textId="77777777" w:rsidTr="000914B7">
        <w:tc>
          <w:tcPr>
            <w:tcW w:w="1234" w:type="dxa"/>
            <w:vAlign w:val="center"/>
          </w:tcPr>
          <w:p w14:paraId="2BB48144" w14:textId="78625432" w:rsidR="000F2BA5" w:rsidRDefault="000F2BA5" w:rsidP="00011923">
            <w:pPr>
              <w:spacing w:before="60" w:after="60"/>
              <w:jc w:val="center"/>
              <w:rPr>
                <w:rFonts w:cs="Arial"/>
              </w:rPr>
            </w:pPr>
            <w:r>
              <w:rPr>
                <w:rFonts w:cs="Arial"/>
              </w:rPr>
              <w:t>35</w:t>
            </w:r>
          </w:p>
        </w:tc>
        <w:tc>
          <w:tcPr>
            <w:tcW w:w="1297" w:type="dxa"/>
            <w:vAlign w:val="center"/>
          </w:tcPr>
          <w:p w14:paraId="46CFC899" w14:textId="79CE2E0C" w:rsidR="000F2BA5" w:rsidRDefault="000F2BA5" w:rsidP="00CC346B">
            <w:pPr>
              <w:spacing w:before="60" w:after="60"/>
              <w:jc w:val="center"/>
              <w:rPr>
                <w:rFonts w:cs="Arial"/>
              </w:rPr>
            </w:pPr>
            <w:r>
              <w:rPr>
                <w:rFonts w:cs="Arial"/>
              </w:rPr>
              <w:t>1629</w:t>
            </w:r>
          </w:p>
        </w:tc>
        <w:tc>
          <w:tcPr>
            <w:tcW w:w="1440" w:type="dxa"/>
            <w:vAlign w:val="center"/>
          </w:tcPr>
          <w:p w14:paraId="2C4F6695" w14:textId="0FBB4431" w:rsidR="000F2BA5" w:rsidRDefault="000F2BA5" w:rsidP="00916602">
            <w:pPr>
              <w:spacing w:before="60" w:after="60"/>
              <w:jc w:val="center"/>
              <w:rPr>
                <w:rFonts w:cs="Arial"/>
              </w:rPr>
            </w:pPr>
            <w:r>
              <w:rPr>
                <w:rFonts w:cs="Arial"/>
              </w:rPr>
              <w:t>6/25/2025</w:t>
            </w:r>
          </w:p>
        </w:tc>
        <w:tc>
          <w:tcPr>
            <w:tcW w:w="5887" w:type="dxa"/>
            <w:vAlign w:val="center"/>
          </w:tcPr>
          <w:p w14:paraId="7D1F232A" w14:textId="569FF798" w:rsidR="000F2BA5" w:rsidRDefault="000F2BA5"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1629 </w:t>
            </w:r>
            <w:r w:rsidRPr="000F2BA5">
              <w:rPr>
                <w:rFonts w:ascii="Calibri" w:hAnsi="Calibri" w:cs="Calibri"/>
                <w:color w:val="141414"/>
              </w:rPr>
              <w:t>Addition of seasonal opt-in for CAISO balancing authority</w:t>
            </w:r>
          </w:p>
        </w:tc>
      </w:tr>
      <w:tr w:rsidR="002A2768" w:rsidRPr="008D505E" w14:paraId="736E0EC4" w14:textId="77777777" w:rsidTr="000914B7">
        <w:tc>
          <w:tcPr>
            <w:tcW w:w="1234" w:type="dxa"/>
            <w:vAlign w:val="center"/>
          </w:tcPr>
          <w:p w14:paraId="65784929" w14:textId="3CCD74D6" w:rsidR="002A2768" w:rsidRDefault="002A2768" w:rsidP="00011923">
            <w:pPr>
              <w:spacing w:before="60" w:after="60"/>
              <w:jc w:val="center"/>
              <w:rPr>
                <w:rFonts w:cs="Arial"/>
              </w:rPr>
            </w:pPr>
            <w:r>
              <w:rPr>
                <w:rFonts w:cs="Arial"/>
              </w:rPr>
              <w:t>34</w:t>
            </w:r>
          </w:p>
        </w:tc>
        <w:tc>
          <w:tcPr>
            <w:tcW w:w="1297" w:type="dxa"/>
            <w:vAlign w:val="center"/>
          </w:tcPr>
          <w:p w14:paraId="529BA17B" w14:textId="095A73C3" w:rsidR="002A2768" w:rsidRDefault="002A2768" w:rsidP="00CC346B">
            <w:pPr>
              <w:spacing w:before="60" w:after="60"/>
              <w:jc w:val="center"/>
              <w:rPr>
                <w:rFonts w:cs="Arial"/>
              </w:rPr>
            </w:pPr>
            <w:r>
              <w:rPr>
                <w:rFonts w:cs="Arial"/>
              </w:rPr>
              <w:t>1573</w:t>
            </w:r>
          </w:p>
        </w:tc>
        <w:tc>
          <w:tcPr>
            <w:tcW w:w="1440" w:type="dxa"/>
            <w:vAlign w:val="center"/>
          </w:tcPr>
          <w:p w14:paraId="378EC1A1" w14:textId="7C539BCB" w:rsidR="002A2768" w:rsidRDefault="002A2768" w:rsidP="00916602">
            <w:pPr>
              <w:spacing w:before="60" w:after="60"/>
              <w:jc w:val="center"/>
              <w:rPr>
                <w:rFonts w:cs="Arial"/>
              </w:rPr>
            </w:pPr>
            <w:r>
              <w:rPr>
                <w:rFonts w:cs="Arial"/>
              </w:rPr>
              <w:t>4/8/2025</w:t>
            </w:r>
          </w:p>
        </w:tc>
        <w:tc>
          <w:tcPr>
            <w:tcW w:w="5887" w:type="dxa"/>
            <w:vAlign w:val="center"/>
          </w:tcPr>
          <w:p w14:paraId="7AA6FE13" w14:textId="7C7424E6" w:rsidR="002A2768" w:rsidRDefault="002A2768"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1573 </w:t>
            </w:r>
            <w:r w:rsidRPr="002A2768">
              <w:rPr>
                <w:rFonts w:ascii="Calibri" w:hAnsi="Calibri" w:cs="Calibri"/>
                <w:color w:val="141414"/>
              </w:rPr>
              <w:t>Clarifications to the CAISO AET Opt-in determination and Opt-in process</w:t>
            </w:r>
          </w:p>
        </w:tc>
      </w:tr>
      <w:tr w:rsidR="0060105B" w:rsidRPr="008D505E" w14:paraId="5A201DCE" w14:textId="77777777" w:rsidTr="000914B7">
        <w:tc>
          <w:tcPr>
            <w:tcW w:w="1234" w:type="dxa"/>
            <w:vAlign w:val="center"/>
          </w:tcPr>
          <w:p w14:paraId="71E37B29" w14:textId="244CB873" w:rsidR="0060105B" w:rsidRDefault="0060105B" w:rsidP="00011923">
            <w:pPr>
              <w:spacing w:before="60" w:after="60"/>
              <w:jc w:val="center"/>
              <w:rPr>
                <w:rFonts w:cs="Arial"/>
              </w:rPr>
            </w:pPr>
            <w:r>
              <w:rPr>
                <w:rFonts w:cs="Arial"/>
              </w:rPr>
              <w:t>33</w:t>
            </w:r>
          </w:p>
        </w:tc>
        <w:tc>
          <w:tcPr>
            <w:tcW w:w="1297" w:type="dxa"/>
            <w:vAlign w:val="center"/>
          </w:tcPr>
          <w:p w14:paraId="3EF8B740" w14:textId="5034BF03" w:rsidR="0060105B" w:rsidRDefault="0060105B" w:rsidP="00CC346B">
            <w:pPr>
              <w:spacing w:before="60" w:after="60"/>
              <w:jc w:val="center"/>
              <w:rPr>
                <w:rFonts w:cs="Arial"/>
              </w:rPr>
            </w:pPr>
            <w:r>
              <w:rPr>
                <w:rFonts w:cs="Arial"/>
              </w:rPr>
              <w:t>1594</w:t>
            </w:r>
          </w:p>
        </w:tc>
        <w:tc>
          <w:tcPr>
            <w:tcW w:w="1440" w:type="dxa"/>
            <w:vAlign w:val="center"/>
          </w:tcPr>
          <w:p w14:paraId="669AE6B1" w14:textId="192F7795" w:rsidR="0060105B" w:rsidRDefault="0060105B" w:rsidP="00916602">
            <w:pPr>
              <w:spacing w:before="60" w:after="60"/>
              <w:jc w:val="center"/>
              <w:rPr>
                <w:rFonts w:cs="Arial"/>
              </w:rPr>
            </w:pPr>
            <w:r>
              <w:rPr>
                <w:rFonts w:cs="Arial"/>
              </w:rPr>
              <w:t>12/2/2024</w:t>
            </w:r>
          </w:p>
        </w:tc>
        <w:tc>
          <w:tcPr>
            <w:tcW w:w="5887" w:type="dxa"/>
            <w:vAlign w:val="center"/>
          </w:tcPr>
          <w:p w14:paraId="5F910956" w14:textId="3EE82996" w:rsidR="0060105B" w:rsidRDefault="0060105B"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1594 </w:t>
            </w:r>
            <w:r w:rsidRPr="0060105B">
              <w:rPr>
                <w:rFonts w:ascii="Calibri" w:hAnsi="Calibri" w:cs="Calibri"/>
                <w:color w:val="141414"/>
              </w:rPr>
              <w:t>Change the load base schedule calculation used in the settlement of WEIM resource sufficiency evaluations</w:t>
            </w:r>
          </w:p>
        </w:tc>
      </w:tr>
      <w:tr w:rsidR="00C6257F" w:rsidRPr="008D505E" w14:paraId="58DCF87B" w14:textId="77777777" w:rsidTr="000914B7">
        <w:tc>
          <w:tcPr>
            <w:tcW w:w="1234" w:type="dxa"/>
            <w:vAlign w:val="center"/>
          </w:tcPr>
          <w:p w14:paraId="2EBB7332" w14:textId="1DB46BF2" w:rsidR="00C6257F" w:rsidRDefault="00C6257F" w:rsidP="00011923">
            <w:pPr>
              <w:spacing w:before="60" w:after="60"/>
              <w:jc w:val="center"/>
              <w:rPr>
                <w:rFonts w:cs="Arial"/>
              </w:rPr>
            </w:pPr>
            <w:r>
              <w:rPr>
                <w:rFonts w:cs="Arial"/>
              </w:rPr>
              <w:t>32</w:t>
            </w:r>
          </w:p>
        </w:tc>
        <w:tc>
          <w:tcPr>
            <w:tcW w:w="1297" w:type="dxa"/>
            <w:vAlign w:val="center"/>
          </w:tcPr>
          <w:p w14:paraId="683F0AFF" w14:textId="1ED326B3" w:rsidR="00C6257F" w:rsidRDefault="00C6257F" w:rsidP="00CC346B">
            <w:pPr>
              <w:spacing w:before="60" w:after="60"/>
              <w:jc w:val="center"/>
              <w:rPr>
                <w:rFonts w:cs="Arial"/>
              </w:rPr>
            </w:pPr>
            <w:r>
              <w:rPr>
                <w:rFonts w:cs="Arial"/>
              </w:rPr>
              <w:t>1580</w:t>
            </w:r>
          </w:p>
        </w:tc>
        <w:tc>
          <w:tcPr>
            <w:tcW w:w="1440" w:type="dxa"/>
            <w:vAlign w:val="center"/>
          </w:tcPr>
          <w:p w14:paraId="5595BD90" w14:textId="3605EC1D" w:rsidR="00C6257F" w:rsidRDefault="00C6257F" w:rsidP="00916602">
            <w:pPr>
              <w:spacing w:before="60" w:after="60"/>
              <w:jc w:val="center"/>
              <w:rPr>
                <w:rFonts w:cs="Arial"/>
              </w:rPr>
            </w:pPr>
            <w:r>
              <w:rPr>
                <w:rFonts w:cs="Arial"/>
              </w:rPr>
              <w:t>9/27/2024</w:t>
            </w:r>
          </w:p>
        </w:tc>
        <w:tc>
          <w:tcPr>
            <w:tcW w:w="5887" w:type="dxa"/>
            <w:vAlign w:val="center"/>
          </w:tcPr>
          <w:p w14:paraId="6C9630D9" w14:textId="355F50B2" w:rsidR="00C6257F" w:rsidRDefault="00C6257F"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1580 </w:t>
            </w:r>
            <w:r w:rsidRPr="00C6257F">
              <w:rPr>
                <w:rFonts w:ascii="Calibri" w:hAnsi="Calibri" w:cs="Calibri"/>
                <w:color w:val="141414"/>
              </w:rPr>
              <w:t>Clarification on Resource Sufficiency Evaluation CAISO Discount interchange Award timing</w:t>
            </w:r>
          </w:p>
        </w:tc>
      </w:tr>
      <w:tr w:rsidR="00622ABA" w:rsidRPr="008D505E" w14:paraId="6A333B8F" w14:textId="77777777" w:rsidTr="000914B7">
        <w:tc>
          <w:tcPr>
            <w:tcW w:w="1234" w:type="dxa"/>
            <w:vAlign w:val="center"/>
          </w:tcPr>
          <w:p w14:paraId="279764C3" w14:textId="7F61F046" w:rsidR="00622ABA" w:rsidRDefault="00622ABA" w:rsidP="00011923">
            <w:pPr>
              <w:spacing w:before="60" w:after="60"/>
              <w:jc w:val="center"/>
              <w:rPr>
                <w:rFonts w:cs="Arial"/>
              </w:rPr>
            </w:pPr>
            <w:r>
              <w:rPr>
                <w:rFonts w:cs="Arial"/>
              </w:rPr>
              <w:t>31</w:t>
            </w:r>
          </w:p>
        </w:tc>
        <w:tc>
          <w:tcPr>
            <w:tcW w:w="1297" w:type="dxa"/>
            <w:vAlign w:val="center"/>
          </w:tcPr>
          <w:p w14:paraId="7601603B" w14:textId="31F7023D" w:rsidR="00622ABA" w:rsidRDefault="00622ABA" w:rsidP="00CC346B">
            <w:pPr>
              <w:spacing w:before="60" w:after="60"/>
              <w:jc w:val="center"/>
              <w:rPr>
                <w:rFonts w:cs="Arial"/>
              </w:rPr>
            </w:pPr>
            <w:r>
              <w:rPr>
                <w:rFonts w:cs="Arial"/>
              </w:rPr>
              <w:t>1535</w:t>
            </w:r>
            <w:r w:rsidR="00353F15">
              <w:rPr>
                <w:rFonts w:cs="Arial"/>
              </w:rPr>
              <w:t>, 1532</w:t>
            </w:r>
          </w:p>
        </w:tc>
        <w:tc>
          <w:tcPr>
            <w:tcW w:w="1440" w:type="dxa"/>
            <w:vAlign w:val="center"/>
          </w:tcPr>
          <w:p w14:paraId="2DD5BE02" w14:textId="7499F4A4" w:rsidR="00622ABA" w:rsidRDefault="00622ABA" w:rsidP="00916602">
            <w:pPr>
              <w:spacing w:before="60" w:after="60"/>
              <w:jc w:val="center"/>
              <w:rPr>
                <w:rFonts w:cs="Arial"/>
              </w:rPr>
            </w:pPr>
            <w:r>
              <w:rPr>
                <w:rFonts w:cs="Arial"/>
              </w:rPr>
              <w:t>10/26/2023</w:t>
            </w:r>
          </w:p>
        </w:tc>
        <w:tc>
          <w:tcPr>
            <w:tcW w:w="5887" w:type="dxa"/>
            <w:vAlign w:val="center"/>
          </w:tcPr>
          <w:p w14:paraId="259745EB" w14:textId="45D890A7" w:rsidR="00353F15" w:rsidRDefault="00353F15" w:rsidP="00353F15">
            <w:pPr>
              <w:shd w:val="clear" w:color="auto" w:fill="FFFFFF"/>
              <w:spacing w:before="100" w:beforeAutospacing="1" w:after="100" w:afterAutospacing="1" w:line="240" w:lineRule="auto"/>
              <w:rPr>
                <w:rFonts w:ascii="Calibri" w:hAnsi="Calibri" w:cs="Calibri"/>
                <w:color w:val="141414"/>
              </w:rPr>
            </w:pPr>
            <w:r>
              <w:rPr>
                <w:rFonts w:ascii="Calibri" w:hAnsi="Calibri" w:cs="Calibri"/>
                <w:color w:val="141414"/>
              </w:rPr>
              <w:t xml:space="preserve">PRR 1535 </w:t>
            </w:r>
            <w:r w:rsidR="00622ABA">
              <w:rPr>
                <w:rFonts w:ascii="Calibri" w:hAnsi="Calibri" w:cs="Calibri"/>
                <w:color w:val="141414"/>
              </w:rPr>
              <w:t>Updated for the full functionality of the WA WEIM GHG enhancements project. These changes undo the previous edits made related to the interim alternative solution implemented for this project and reflect the more permanent, full functionality</w:t>
            </w:r>
            <w:r>
              <w:rPr>
                <w:rFonts w:ascii="Calibri" w:hAnsi="Calibri" w:cs="Calibri"/>
                <w:color w:val="141414"/>
              </w:rPr>
              <w:t xml:space="preserve"> </w:t>
            </w:r>
          </w:p>
          <w:p w14:paraId="7BE70EE4" w14:textId="26CE3D63" w:rsidR="00622ABA" w:rsidRDefault="00353F15" w:rsidP="00353F15">
            <w:pPr>
              <w:shd w:val="clear" w:color="auto" w:fill="FFFFFF"/>
              <w:spacing w:before="100" w:beforeAutospacing="1" w:after="100" w:afterAutospacing="1" w:line="240" w:lineRule="auto"/>
              <w:rPr>
                <w:rFonts w:ascii="Arial" w:eastAsia="Times New Roman" w:hAnsi="Arial" w:cs="Arial"/>
                <w:color w:val="141414"/>
                <w:sz w:val="18"/>
                <w:szCs w:val="18"/>
              </w:rPr>
            </w:pPr>
            <w:r>
              <w:rPr>
                <w:rFonts w:ascii="Calibri" w:hAnsi="Calibri" w:cs="Calibri"/>
                <w:color w:val="141414"/>
              </w:rPr>
              <w:t xml:space="preserve">PRR 1532 </w:t>
            </w:r>
            <w:r w:rsidRPr="00353F15">
              <w:rPr>
                <w:rFonts w:ascii="Calibri" w:hAnsi="Calibri" w:cs="Calibri"/>
                <w:color w:val="141414"/>
              </w:rPr>
              <w:t>Addition of exemption to failed-to-start rule for resources</w:t>
            </w:r>
            <w:r>
              <w:rPr>
                <w:rFonts w:ascii="Calibri" w:hAnsi="Calibri" w:cs="Calibri"/>
                <w:color w:val="141414"/>
              </w:rPr>
              <w:t xml:space="preserve">   </w:t>
            </w:r>
          </w:p>
        </w:tc>
      </w:tr>
      <w:tr w:rsidR="00192FA0" w:rsidRPr="008D505E" w14:paraId="05E46C3F" w14:textId="77777777" w:rsidTr="000914B7">
        <w:tc>
          <w:tcPr>
            <w:tcW w:w="1234" w:type="dxa"/>
            <w:vAlign w:val="center"/>
          </w:tcPr>
          <w:p w14:paraId="0C862829" w14:textId="3C692210" w:rsidR="00192FA0" w:rsidRDefault="00192FA0" w:rsidP="00011923">
            <w:pPr>
              <w:spacing w:before="60" w:after="60"/>
              <w:jc w:val="center"/>
              <w:rPr>
                <w:rFonts w:cs="Arial"/>
              </w:rPr>
            </w:pPr>
            <w:r>
              <w:rPr>
                <w:rFonts w:cs="Arial"/>
              </w:rPr>
              <w:t>30</w:t>
            </w:r>
          </w:p>
        </w:tc>
        <w:tc>
          <w:tcPr>
            <w:tcW w:w="1297" w:type="dxa"/>
            <w:vAlign w:val="center"/>
          </w:tcPr>
          <w:p w14:paraId="11BF68C4" w14:textId="632ADE65" w:rsidR="00192FA0" w:rsidRDefault="00192FA0" w:rsidP="00CC346B">
            <w:pPr>
              <w:spacing w:before="60" w:after="60"/>
              <w:jc w:val="center"/>
              <w:rPr>
                <w:rFonts w:cs="Arial"/>
              </w:rPr>
            </w:pPr>
            <w:r>
              <w:rPr>
                <w:rFonts w:cs="Arial"/>
              </w:rPr>
              <w:t>1525</w:t>
            </w:r>
          </w:p>
        </w:tc>
        <w:tc>
          <w:tcPr>
            <w:tcW w:w="1440" w:type="dxa"/>
            <w:vAlign w:val="center"/>
          </w:tcPr>
          <w:p w14:paraId="7722DFB2" w14:textId="119A1E8D" w:rsidR="00192FA0" w:rsidRDefault="00192FA0" w:rsidP="00916602">
            <w:pPr>
              <w:spacing w:before="60" w:after="60"/>
              <w:jc w:val="center"/>
              <w:rPr>
                <w:rFonts w:cs="Arial"/>
              </w:rPr>
            </w:pPr>
            <w:r>
              <w:rPr>
                <w:rFonts w:cs="Arial"/>
              </w:rPr>
              <w:t>8/14/2023</w:t>
            </w:r>
          </w:p>
        </w:tc>
        <w:tc>
          <w:tcPr>
            <w:tcW w:w="5887" w:type="dxa"/>
            <w:vAlign w:val="center"/>
          </w:tcPr>
          <w:p w14:paraId="0FECAE39" w14:textId="309CEEFA" w:rsidR="00192FA0" w:rsidRPr="00306135" w:rsidRDefault="00192FA0" w:rsidP="00192FA0">
            <w:pPr>
              <w:shd w:val="clear" w:color="auto" w:fill="FFFFFF"/>
              <w:spacing w:before="100" w:beforeAutospacing="1" w:after="100" w:afterAutospacing="1" w:line="240" w:lineRule="auto"/>
              <w:rPr>
                <w:rFonts w:ascii="Arial" w:eastAsia="Times New Roman" w:hAnsi="Arial" w:cs="Arial"/>
                <w:color w:val="141414"/>
                <w:sz w:val="18"/>
                <w:szCs w:val="18"/>
              </w:rPr>
            </w:pPr>
            <w:r>
              <w:rPr>
                <w:rFonts w:ascii="Arial" w:eastAsia="Times New Roman" w:hAnsi="Arial" w:cs="Arial"/>
                <w:color w:val="141414"/>
                <w:sz w:val="18"/>
                <w:szCs w:val="18"/>
              </w:rPr>
              <w:t xml:space="preserve">Added new </w:t>
            </w:r>
            <w:r w:rsidRPr="00192FA0">
              <w:rPr>
                <w:rFonts w:ascii="Arial" w:eastAsia="Times New Roman" w:hAnsi="Arial" w:cs="Arial"/>
                <w:color w:val="141414"/>
                <w:sz w:val="18"/>
                <w:szCs w:val="18"/>
              </w:rPr>
              <w:t xml:space="preserve">Emergency </w:t>
            </w:r>
            <w:r>
              <w:rPr>
                <w:rFonts w:ascii="Arial" w:eastAsia="Times New Roman" w:hAnsi="Arial" w:cs="Arial"/>
                <w:color w:val="141414"/>
                <w:sz w:val="18"/>
                <w:szCs w:val="18"/>
              </w:rPr>
              <w:t>A</w:t>
            </w:r>
            <w:r w:rsidRPr="00192FA0">
              <w:rPr>
                <w:rFonts w:ascii="Arial" w:eastAsia="Times New Roman" w:hAnsi="Arial" w:cs="Arial"/>
                <w:color w:val="141414"/>
                <w:sz w:val="18"/>
                <w:szCs w:val="18"/>
              </w:rPr>
              <w:t xml:space="preserve">ssistance </w:t>
            </w:r>
            <w:r>
              <w:rPr>
                <w:rFonts w:ascii="Arial" w:eastAsia="Times New Roman" w:hAnsi="Arial" w:cs="Arial"/>
                <w:color w:val="141414"/>
                <w:sz w:val="18"/>
                <w:szCs w:val="18"/>
              </w:rPr>
              <w:t>E</w:t>
            </w:r>
            <w:r w:rsidRPr="00192FA0">
              <w:rPr>
                <w:rFonts w:ascii="Arial" w:eastAsia="Times New Roman" w:hAnsi="Arial" w:cs="Arial"/>
                <w:color w:val="141414"/>
                <w:sz w:val="18"/>
                <w:szCs w:val="18"/>
              </w:rPr>
              <w:t xml:space="preserve">nergy </w:t>
            </w:r>
            <w:r>
              <w:rPr>
                <w:rFonts w:ascii="Arial" w:eastAsia="Times New Roman" w:hAnsi="Arial" w:cs="Arial"/>
                <w:color w:val="141414"/>
                <w:sz w:val="18"/>
                <w:szCs w:val="18"/>
              </w:rPr>
              <w:t>T</w:t>
            </w:r>
            <w:r w:rsidRPr="00192FA0">
              <w:rPr>
                <w:rFonts w:ascii="Arial" w:eastAsia="Times New Roman" w:hAnsi="Arial" w:cs="Arial"/>
                <w:color w:val="141414"/>
                <w:sz w:val="18"/>
                <w:szCs w:val="18"/>
              </w:rPr>
              <w:t xml:space="preserve">ransfer </w:t>
            </w:r>
            <w:r>
              <w:rPr>
                <w:rFonts w:ascii="Arial" w:eastAsia="Times New Roman" w:hAnsi="Arial" w:cs="Arial"/>
                <w:color w:val="141414"/>
                <w:sz w:val="18"/>
                <w:szCs w:val="18"/>
              </w:rPr>
              <w:t xml:space="preserve">(AET) </w:t>
            </w:r>
            <w:r w:rsidRPr="00192FA0">
              <w:rPr>
                <w:rFonts w:ascii="Arial" w:eastAsia="Times New Roman" w:hAnsi="Arial" w:cs="Arial"/>
                <w:color w:val="141414"/>
                <w:sz w:val="18"/>
                <w:szCs w:val="18"/>
              </w:rPr>
              <w:t>opt-in process</w:t>
            </w:r>
          </w:p>
        </w:tc>
      </w:tr>
      <w:tr w:rsidR="00306135" w:rsidRPr="008D505E" w14:paraId="4084F09E" w14:textId="77777777" w:rsidTr="000914B7">
        <w:tc>
          <w:tcPr>
            <w:tcW w:w="1234" w:type="dxa"/>
            <w:vAlign w:val="center"/>
          </w:tcPr>
          <w:p w14:paraId="43A27641" w14:textId="46B56E8D" w:rsidR="00306135" w:rsidRDefault="00306135" w:rsidP="00011923">
            <w:pPr>
              <w:spacing w:before="60" w:after="60"/>
              <w:jc w:val="center"/>
              <w:rPr>
                <w:rFonts w:cs="Arial"/>
              </w:rPr>
            </w:pPr>
            <w:r>
              <w:rPr>
                <w:rFonts w:cs="Arial"/>
              </w:rPr>
              <w:t>29</w:t>
            </w:r>
          </w:p>
        </w:tc>
        <w:tc>
          <w:tcPr>
            <w:tcW w:w="1297" w:type="dxa"/>
            <w:vAlign w:val="center"/>
          </w:tcPr>
          <w:p w14:paraId="4A9F7EF8" w14:textId="612F114F" w:rsidR="00306135" w:rsidRDefault="00306135" w:rsidP="00CC346B">
            <w:pPr>
              <w:spacing w:before="60" w:after="60"/>
              <w:jc w:val="center"/>
              <w:rPr>
                <w:rFonts w:cs="Arial"/>
              </w:rPr>
            </w:pPr>
            <w:r>
              <w:rPr>
                <w:rFonts w:cs="Arial"/>
              </w:rPr>
              <w:t>1498</w:t>
            </w:r>
          </w:p>
        </w:tc>
        <w:tc>
          <w:tcPr>
            <w:tcW w:w="1440" w:type="dxa"/>
            <w:vAlign w:val="center"/>
          </w:tcPr>
          <w:p w14:paraId="63D6C463" w14:textId="7D2D1B82" w:rsidR="00306135" w:rsidRDefault="00306135" w:rsidP="00916602">
            <w:pPr>
              <w:spacing w:before="60" w:after="60"/>
              <w:jc w:val="center"/>
              <w:rPr>
                <w:rFonts w:cs="Arial"/>
              </w:rPr>
            </w:pPr>
            <w:r>
              <w:rPr>
                <w:rFonts w:cs="Arial"/>
              </w:rPr>
              <w:t>7/27/2023</w:t>
            </w:r>
          </w:p>
        </w:tc>
        <w:tc>
          <w:tcPr>
            <w:tcW w:w="5887" w:type="dxa"/>
            <w:vAlign w:val="center"/>
          </w:tcPr>
          <w:p w14:paraId="4138F111" w14:textId="0E7406DC" w:rsidR="00306135" w:rsidRPr="00CD0A84" w:rsidRDefault="00306135" w:rsidP="009E20E8">
            <w:pPr>
              <w:shd w:val="clear" w:color="auto" w:fill="FFFFFF"/>
              <w:spacing w:before="100" w:beforeAutospacing="1" w:after="100" w:afterAutospacing="1" w:line="240" w:lineRule="auto"/>
              <w:rPr>
                <w:rFonts w:ascii="Arial" w:eastAsia="Times New Roman" w:hAnsi="Arial" w:cs="Arial"/>
                <w:color w:val="141414"/>
                <w:sz w:val="18"/>
                <w:szCs w:val="18"/>
              </w:rPr>
            </w:pPr>
            <w:r w:rsidRPr="00306135">
              <w:rPr>
                <w:rFonts w:ascii="Arial" w:eastAsia="Times New Roman" w:hAnsi="Arial" w:cs="Arial"/>
                <w:color w:val="141414"/>
                <w:sz w:val="18"/>
                <w:szCs w:val="18"/>
              </w:rPr>
              <w:t>Added section introducing the Assistance Energy Transfer (AET) concept as part of the Resource Sufficiency Evaluation Enhancement (RSEE) Phase 2 Project.</w:t>
            </w:r>
          </w:p>
        </w:tc>
      </w:tr>
      <w:tr w:rsidR="00CD0A84" w:rsidRPr="008D505E" w14:paraId="571C1DAC" w14:textId="77777777" w:rsidTr="000914B7">
        <w:tc>
          <w:tcPr>
            <w:tcW w:w="1234" w:type="dxa"/>
            <w:vAlign w:val="center"/>
          </w:tcPr>
          <w:p w14:paraId="5F0BB260" w14:textId="546F6372" w:rsidR="00CD0A84" w:rsidRDefault="00CD0A84" w:rsidP="00011923">
            <w:pPr>
              <w:spacing w:before="60" w:after="60"/>
              <w:jc w:val="center"/>
              <w:rPr>
                <w:rFonts w:cs="Arial"/>
              </w:rPr>
            </w:pPr>
            <w:r>
              <w:rPr>
                <w:rFonts w:cs="Arial"/>
              </w:rPr>
              <w:t>28</w:t>
            </w:r>
          </w:p>
        </w:tc>
        <w:tc>
          <w:tcPr>
            <w:tcW w:w="1297" w:type="dxa"/>
            <w:vAlign w:val="center"/>
          </w:tcPr>
          <w:p w14:paraId="5EC6E3F1" w14:textId="4655708C" w:rsidR="00CD0A84" w:rsidRDefault="00CD0A84" w:rsidP="00CC346B">
            <w:pPr>
              <w:spacing w:before="60" w:after="60"/>
              <w:jc w:val="center"/>
              <w:rPr>
                <w:rFonts w:cs="Arial"/>
              </w:rPr>
            </w:pPr>
            <w:r>
              <w:rPr>
                <w:rFonts w:cs="Arial"/>
              </w:rPr>
              <w:t>1506</w:t>
            </w:r>
          </w:p>
        </w:tc>
        <w:tc>
          <w:tcPr>
            <w:tcW w:w="1440" w:type="dxa"/>
            <w:vAlign w:val="center"/>
          </w:tcPr>
          <w:p w14:paraId="0F2370F1" w14:textId="568D4FFF" w:rsidR="00CD0A84" w:rsidRDefault="00CD0A84" w:rsidP="00916602">
            <w:pPr>
              <w:spacing w:before="60" w:after="60"/>
              <w:jc w:val="center"/>
              <w:rPr>
                <w:rFonts w:cs="Arial"/>
              </w:rPr>
            </w:pPr>
            <w:r>
              <w:rPr>
                <w:rFonts w:cs="Arial"/>
              </w:rPr>
              <w:t>4/27/2023</w:t>
            </w:r>
          </w:p>
        </w:tc>
        <w:tc>
          <w:tcPr>
            <w:tcW w:w="5887" w:type="dxa"/>
            <w:vAlign w:val="center"/>
          </w:tcPr>
          <w:p w14:paraId="5DB07F9A" w14:textId="55075EA5" w:rsidR="00CD0A84" w:rsidRPr="009E20E8" w:rsidRDefault="00CD0A84" w:rsidP="009E20E8">
            <w:pPr>
              <w:shd w:val="clear" w:color="auto" w:fill="FFFFFF"/>
              <w:spacing w:before="100" w:beforeAutospacing="1" w:after="100" w:afterAutospacing="1" w:line="240" w:lineRule="auto"/>
              <w:rPr>
                <w:rFonts w:ascii="Arial" w:eastAsia="Times New Roman" w:hAnsi="Arial" w:cs="Arial"/>
                <w:color w:val="141414"/>
                <w:sz w:val="18"/>
                <w:szCs w:val="18"/>
              </w:rPr>
            </w:pPr>
            <w:r w:rsidRPr="00CD0A84">
              <w:rPr>
                <w:rFonts w:ascii="Arial" w:eastAsia="Times New Roman" w:hAnsi="Arial" w:cs="Arial"/>
                <w:color w:val="141414"/>
                <w:sz w:val="18"/>
                <w:szCs w:val="18"/>
              </w:rPr>
              <w:t xml:space="preserve">​Related to the Washington WEIM GHG Enhancements project which includes updated calculations for default energy bids and commitment costs for resources subject to Washington’s GHG compliance program. </w:t>
            </w:r>
            <w:r w:rsidRPr="00CD0A84">
              <w:rPr>
                <w:rFonts w:ascii="Arial" w:eastAsia="Times New Roman" w:hAnsi="Arial" w:cs="Arial"/>
                <w:color w:val="141414"/>
                <w:sz w:val="18"/>
                <w:szCs w:val="18"/>
              </w:rPr>
              <w:lastRenderedPageBreak/>
              <w:t>This is a temporary alternative solution that will remain in effect until the full functionality can be implemented (expected in Fall 2023)</w:t>
            </w:r>
          </w:p>
        </w:tc>
      </w:tr>
      <w:tr w:rsidR="00BB76E4" w:rsidRPr="008D505E" w14:paraId="765444CF" w14:textId="77777777" w:rsidTr="000914B7">
        <w:tc>
          <w:tcPr>
            <w:tcW w:w="1234" w:type="dxa"/>
            <w:vAlign w:val="center"/>
          </w:tcPr>
          <w:p w14:paraId="7DB73D05" w14:textId="3EC28228" w:rsidR="00BB76E4" w:rsidRDefault="00BB76E4" w:rsidP="00011923">
            <w:pPr>
              <w:spacing w:before="60" w:after="60"/>
              <w:jc w:val="center"/>
              <w:rPr>
                <w:rFonts w:cs="Arial"/>
              </w:rPr>
            </w:pPr>
            <w:r>
              <w:rPr>
                <w:rFonts w:cs="Arial"/>
              </w:rPr>
              <w:lastRenderedPageBreak/>
              <w:t>2</w:t>
            </w:r>
            <w:r w:rsidR="00916602">
              <w:rPr>
                <w:rFonts w:cs="Arial"/>
              </w:rPr>
              <w:t>7</w:t>
            </w:r>
          </w:p>
        </w:tc>
        <w:tc>
          <w:tcPr>
            <w:tcW w:w="1297" w:type="dxa"/>
            <w:vAlign w:val="center"/>
          </w:tcPr>
          <w:p w14:paraId="79ACE33F" w14:textId="7E18EBAC" w:rsidR="00BB76E4" w:rsidRDefault="00916602" w:rsidP="00CC346B">
            <w:pPr>
              <w:spacing w:before="60" w:after="60"/>
              <w:jc w:val="center"/>
              <w:rPr>
                <w:rFonts w:cs="Arial"/>
              </w:rPr>
            </w:pPr>
            <w:r>
              <w:rPr>
                <w:rFonts w:cs="Arial"/>
              </w:rPr>
              <w:t>1468</w:t>
            </w:r>
          </w:p>
        </w:tc>
        <w:tc>
          <w:tcPr>
            <w:tcW w:w="1440" w:type="dxa"/>
            <w:vAlign w:val="center"/>
          </w:tcPr>
          <w:p w14:paraId="7896E098" w14:textId="7C8426B3" w:rsidR="00BB76E4" w:rsidRDefault="00916602" w:rsidP="00916602">
            <w:pPr>
              <w:spacing w:before="60" w:after="60"/>
              <w:jc w:val="center"/>
              <w:rPr>
                <w:rFonts w:cs="Arial"/>
              </w:rPr>
            </w:pPr>
            <w:r>
              <w:rPr>
                <w:rFonts w:cs="Arial"/>
              </w:rPr>
              <w:t>1</w:t>
            </w:r>
            <w:r w:rsidR="00BB76E4">
              <w:rPr>
                <w:rFonts w:cs="Arial"/>
              </w:rPr>
              <w:t>/</w:t>
            </w:r>
            <w:r>
              <w:rPr>
                <w:rFonts w:cs="Arial"/>
              </w:rPr>
              <w:t>3</w:t>
            </w:r>
            <w:r w:rsidR="00BB76E4">
              <w:rPr>
                <w:rFonts w:cs="Arial"/>
              </w:rPr>
              <w:t>/202</w:t>
            </w:r>
            <w:r>
              <w:rPr>
                <w:rFonts w:cs="Arial"/>
              </w:rPr>
              <w:t>3</w:t>
            </w:r>
          </w:p>
        </w:tc>
        <w:tc>
          <w:tcPr>
            <w:tcW w:w="5887" w:type="dxa"/>
            <w:vAlign w:val="center"/>
          </w:tcPr>
          <w:p w14:paraId="4F331909" w14:textId="7FE6EEE6" w:rsidR="00BB76E4" w:rsidRPr="00916602" w:rsidRDefault="00916602" w:rsidP="006D624B">
            <w:pPr>
              <w:shd w:val="clear" w:color="auto" w:fill="FFFFFF"/>
              <w:spacing w:after="0" w:line="240" w:lineRule="auto"/>
              <w:rPr>
                <w:rFonts w:ascii="Arial" w:eastAsia="Times New Roman" w:hAnsi="Arial" w:cs="Arial"/>
                <w:color w:val="141414"/>
              </w:rPr>
            </w:pPr>
            <w:r w:rsidRPr="00916602">
              <w:rPr>
                <w:rFonts w:ascii="Arial" w:hAnsi="Arial" w:cs="Arial"/>
                <w:color w:val="141414"/>
              </w:rPr>
              <w:t>Small changes to unaccounted for energy and resource sufficiency evaluation demand response attestation forms</w:t>
            </w:r>
          </w:p>
        </w:tc>
      </w:tr>
      <w:tr w:rsidR="00916602" w:rsidRPr="008D505E" w14:paraId="0371FFE3" w14:textId="77777777" w:rsidTr="000914B7">
        <w:tc>
          <w:tcPr>
            <w:tcW w:w="1234" w:type="dxa"/>
            <w:vAlign w:val="center"/>
          </w:tcPr>
          <w:p w14:paraId="59AE0AC2" w14:textId="21DCE047" w:rsidR="00916602" w:rsidRDefault="00916602" w:rsidP="00916602">
            <w:pPr>
              <w:spacing w:before="60" w:after="60"/>
              <w:jc w:val="center"/>
              <w:rPr>
                <w:rFonts w:cs="Arial"/>
              </w:rPr>
            </w:pPr>
            <w:r>
              <w:rPr>
                <w:rFonts w:cs="Arial"/>
              </w:rPr>
              <w:t>26</w:t>
            </w:r>
          </w:p>
        </w:tc>
        <w:tc>
          <w:tcPr>
            <w:tcW w:w="1297" w:type="dxa"/>
            <w:vAlign w:val="center"/>
          </w:tcPr>
          <w:p w14:paraId="04DF9BE2" w14:textId="3194C8F4" w:rsidR="00916602" w:rsidRDefault="00916602" w:rsidP="00916602">
            <w:pPr>
              <w:spacing w:before="60" w:after="60"/>
              <w:jc w:val="center"/>
              <w:rPr>
                <w:rFonts w:cs="Arial"/>
              </w:rPr>
            </w:pPr>
            <w:r>
              <w:rPr>
                <w:rFonts w:cs="Arial"/>
              </w:rPr>
              <w:t>1440</w:t>
            </w:r>
          </w:p>
        </w:tc>
        <w:tc>
          <w:tcPr>
            <w:tcW w:w="1440" w:type="dxa"/>
            <w:vAlign w:val="center"/>
          </w:tcPr>
          <w:p w14:paraId="116BD3B1" w14:textId="33EE0538" w:rsidR="00916602" w:rsidRDefault="00916602" w:rsidP="00916602">
            <w:pPr>
              <w:spacing w:before="60" w:after="60"/>
              <w:jc w:val="center"/>
              <w:rPr>
                <w:rFonts w:cs="Arial"/>
              </w:rPr>
            </w:pPr>
            <w:r>
              <w:rPr>
                <w:rFonts w:cs="Arial"/>
              </w:rPr>
              <w:t>6/29/2022</w:t>
            </w:r>
          </w:p>
        </w:tc>
        <w:tc>
          <w:tcPr>
            <w:tcW w:w="5887" w:type="dxa"/>
            <w:vAlign w:val="center"/>
          </w:tcPr>
          <w:p w14:paraId="70A4F5AE" w14:textId="4D4B013F" w:rsidR="00916602" w:rsidRPr="00BB76E4" w:rsidRDefault="00916602" w:rsidP="00916602">
            <w:pPr>
              <w:shd w:val="clear" w:color="auto" w:fill="FFFFFF"/>
              <w:spacing w:after="0" w:line="240" w:lineRule="auto"/>
              <w:rPr>
                <w:rFonts w:ascii="Arial" w:hAnsi="Arial" w:cs="Arial"/>
                <w:color w:val="141414"/>
              </w:rPr>
            </w:pPr>
            <w:r w:rsidRPr="00BB76E4">
              <w:rPr>
                <w:rFonts w:ascii="Arial" w:hAnsi="Arial" w:cs="Arial"/>
                <w:color w:val="141414"/>
              </w:rPr>
              <w:t>Enhancements to the resource sufficiency evaluation tests per the resource sufficiency evaluation enhancement phase 1 project</w:t>
            </w:r>
          </w:p>
        </w:tc>
      </w:tr>
      <w:tr w:rsidR="009E4560" w:rsidRPr="008D505E" w14:paraId="756A6DCC" w14:textId="77777777" w:rsidTr="000914B7">
        <w:tc>
          <w:tcPr>
            <w:tcW w:w="1234" w:type="dxa"/>
            <w:vAlign w:val="center"/>
          </w:tcPr>
          <w:p w14:paraId="2A279485" w14:textId="6F040AAF" w:rsidR="009E4560" w:rsidRDefault="008125EC" w:rsidP="00011923">
            <w:pPr>
              <w:spacing w:before="60" w:after="60"/>
              <w:jc w:val="center"/>
              <w:rPr>
                <w:rFonts w:cs="Arial"/>
              </w:rPr>
            </w:pPr>
            <w:r>
              <w:rPr>
                <w:rFonts w:cs="Arial"/>
              </w:rPr>
              <w:t>25</w:t>
            </w:r>
          </w:p>
        </w:tc>
        <w:tc>
          <w:tcPr>
            <w:tcW w:w="1297" w:type="dxa"/>
            <w:vAlign w:val="center"/>
          </w:tcPr>
          <w:p w14:paraId="4B797C6C" w14:textId="2516FF07" w:rsidR="009E4560" w:rsidRDefault="008125EC" w:rsidP="00CC346B">
            <w:pPr>
              <w:spacing w:before="60" w:after="60"/>
              <w:jc w:val="center"/>
              <w:rPr>
                <w:rFonts w:cs="Arial"/>
              </w:rPr>
            </w:pPr>
            <w:r>
              <w:rPr>
                <w:rFonts w:cs="Arial"/>
              </w:rPr>
              <w:t>1389</w:t>
            </w:r>
          </w:p>
        </w:tc>
        <w:tc>
          <w:tcPr>
            <w:tcW w:w="1440" w:type="dxa"/>
            <w:vAlign w:val="center"/>
          </w:tcPr>
          <w:p w14:paraId="0EA7075D" w14:textId="3634482D" w:rsidR="009E4560" w:rsidRDefault="008125EC" w:rsidP="00011923">
            <w:pPr>
              <w:spacing w:before="60" w:after="60"/>
              <w:jc w:val="center"/>
              <w:rPr>
                <w:rFonts w:cs="Arial"/>
              </w:rPr>
            </w:pPr>
            <w:r>
              <w:rPr>
                <w:rFonts w:cs="Arial"/>
              </w:rPr>
              <w:t>11/17/2021</w:t>
            </w:r>
          </w:p>
        </w:tc>
        <w:tc>
          <w:tcPr>
            <w:tcW w:w="5887" w:type="dxa"/>
            <w:vAlign w:val="center"/>
          </w:tcPr>
          <w:p w14:paraId="38D2433E" w14:textId="05BE54AC" w:rsidR="00703FC7" w:rsidRPr="00326D43" w:rsidRDefault="008125EC" w:rsidP="006D624B">
            <w:pPr>
              <w:shd w:val="clear" w:color="auto" w:fill="FFFFFF"/>
              <w:spacing w:after="0" w:line="240" w:lineRule="auto"/>
              <w:rPr>
                <w:rFonts w:ascii="Arial" w:eastAsia="Times New Roman" w:hAnsi="Arial" w:cs="Arial"/>
                <w:color w:val="141414"/>
              </w:rPr>
            </w:pPr>
            <w:r w:rsidRPr="008125EC">
              <w:rPr>
                <w:rFonts w:ascii="Arial" w:eastAsia="Times New Roman" w:hAnsi="Arial" w:cs="Arial"/>
                <w:color w:val="141414"/>
              </w:rPr>
              <w:t>This update is to establish a guideline to aid the</w:t>
            </w:r>
            <w:r w:rsidR="005F24C1">
              <w:rPr>
                <w:rFonts w:ascii="Arial" w:eastAsia="Times New Roman" w:hAnsi="Arial" w:cs="Arial"/>
                <w:color w:val="141414"/>
              </w:rPr>
              <w:t xml:space="preserve"> WEIM </w:t>
            </w:r>
            <w:r w:rsidRPr="008125EC">
              <w:rPr>
                <w:rFonts w:ascii="Arial" w:eastAsia="Times New Roman" w:hAnsi="Arial" w:cs="Arial"/>
                <w:color w:val="141414"/>
              </w:rPr>
              <w:t>entities in determining when and how to request exclusion of outlier data.</w:t>
            </w:r>
          </w:p>
        </w:tc>
      </w:tr>
      <w:tr w:rsidR="008125EC" w:rsidRPr="008D505E" w14:paraId="59CDBAB8" w14:textId="77777777" w:rsidTr="000914B7">
        <w:tc>
          <w:tcPr>
            <w:tcW w:w="1234" w:type="dxa"/>
            <w:vAlign w:val="center"/>
          </w:tcPr>
          <w:p w14:paraId="17B44DF9" w14:textId="4210ED98" w:rsidR="008125EC" w:rsidRDefault="008125EC" w:rsidP="008125EC">
            <w:pPr>
              <w:spacing w:before="60" w:after="60"/>
              <w:jc w:val="center"/>
              <w:rPr>
                <w:rFonts w:cs="Arial"/>
              </w:rPr>
            </w:pPr>
            <w:r>
              <w:rPr>
                <w:rFonts w:cs="Arial"/>
              </w:rPr>
              <w:t>24</w:t>
            </w:r>
          </w:p>
        </w:tc>
        <w:tc>
          <w:tcPr>
            <w:tcW w:w="1297" w:type="dxa"/>
            <w:vAlign w:val="center"/>
          </w:tcPr>
          <w:p w14:paraId="7B200552" w14:textId="1E77AB4D" w:rsidR="008125EC" w:rsidRDefault="008125EC" w:rsidP="008125EC">
            <w:pPr>
              <w:spacing w:before="60" w:after="60"/>
              <w:jc w:val="center"/>
              <w:rPr>
                <w:rFonts w:cs="Arial"/>
              </w:rPr>
            </w:pPr>
            <w:r>
              <w:rPr>
                <w:rFonts w:cs="Arial"/>
              </w:rPr>
              <w:t>1368</w:t>
            </w:r>
          </w:p>
        </w:tc>
        <w:tc>
          <w:tcPr>
            <w:tcW w:w="1440" w:type="dxa"/>
            <w:vAlign w:val="center"/>
          </w:tcPr>
          <w:p w14:paraId="16792004" w14:textId="6FF35C98" w:rsidR="008125EC" w:rsidRDefault="008125EC" w:rsidP="008125EC">
            <w:pPr>
              <w:spacing w:before="60" w:after="60"/>
              <w:jc w:val="center"/>
              <w:rPr>
                <w:rFonts w:cs="Arial"/>
              </w:rPr>
            </w:pPr>
            <w:r>
              <w:rPr>
                <w:rFonts w:cs="Arial"/>
              </w:rPr>
              <w:t>10/27/2021</w:t>
            </w:r>
          </w:p>
        </w:tc>
        <w:tc>
          <w:tcPr>
            <w:tcW w:w="5887" w:type="dxa"/>
            <w:vAlign w:val="center"/>
          </w:tcPr>
          <w:p w14:paraId="3FCDEB6E" w14:textId="66343930" w:rsidR="008125EC" w:rsidRPr="00326D43" w:rsidRDefault="008125EC" w:rsidP="008125EC">
            <w:pPr>
              <w:shd w:val="clear" w:color="auto" w:fill="FFFFFF"/>
              <w:spacing w:after="0" w:line="240" w:lineRule="auto"/>
              <w:rPr>
                <w:rFonts w:ascii="Arial" w:eastAsia="Times New Roman" w:hAnsi="Arial" w:cs="Arial"/>
                <w:color w:val="141414"/>
              </w:rPr>
            </w:pPr>
            <w:r w:rsidRPr="008A06D9">
              <w:rPr>
                <w:rFonts w:ascii="Arial" w:eastAsia="Times New Roman" w:hAnsi="Arial" w:cs="Arial"/>
                <w:color w:val="141414"/>
              </w:rPr>
              <w:t>This is a new process related to Unaccounted For Energy Settlement election. This is detailed in section 2.4</w:t>
            </w:r>
          </w:p>
        </w:tc>
      </w:tr>
      <w:tr w:rsidR="008125EC" w:rsidRPr="008D505E" w14:paraId="1AB36E41" w14:textId="77777777" w:rsidTr="000914B7">
        <w:tc>
          <w:tcPr>
            <w:tcW w:w="1234" w:type="dxa"/>
            <w:vAlign w:val="center"/>
          </w:tcPr>
          <w:p w14:paraId="40DD15EB" w14:textId="12EB6D8A" w:rsidR="008125EC" w:rsidRDefault="008125EC" w:rsidP="008125EC">
            <w:pPr>
              <w:spacing w:before="60" w:after="60"/>
              <w:jc w:val="center"/>
              <w:rPr>
                <w:rFonts w:cs="Arial"/>
              </w:rPr>
            </w:pPr>
            <w:r>
              <w:rPr>
                <w:rFonts w:cs="Arial"/>
              </w:rPr>
              <w:t>23</w:t>
            </w:r>
          </w:p>
        </w:tc>
        <w:tc>
          <w:tcPr>
            <w:tcW w:w="1297" w:type="dxa"/>
            <w:vAlign w:val="center"/>
          </w:tcPr>
          <w:p w14:paraId="7C9EA34C" w14:textId="6CD60DCA" w:rsidR="008125EC" w:rsidRDefault="008125EC" w:rsidP="008125EC">
            <w:pPr>
              <w:spacing w:before="60" w:after="60"/>
              <w:jc w:val="center"/>
              <w:rPr>
                <w:rFonts w:cs="Arial"/>
              </w:rPr>
            </w:pPr>
            <w:r>
              <w:rPr>
                <w:rFonts w:cs="Arial"/>
              </w:rPr>
              <w:t>1358</w:t>
            </w:r>
          </w:p>
        </w:tc>
        <w:tc>
          <w:tcPr>
            <w:tcW w:w="1440" w:type="dxa"/>
            <w:vAlign w:val="center"/>
          </w:tcPr>
          <w:p w14:paraId="6CEB8D06" w14:textId="6ADBE33C" w:rsidR="008125EC" w:rsidRDefault="008125EC" w:rsidP="008125EC">
            <w:pPr>
              <w:spacing w:before="60" w:after="60"/>
              <w:jc w:val="center"/>
              <w:rPr>
                <w:rFonts w:cs="Arial"/>
              </w:rPr>
            </w:pPr>
            <w:r>
              <w:rPr>
                <w:rFonts w:cs="Arial"/>
              </w:rPr>
              <w:t>8/12/2021</w:t>
            </w:r>
          </w:p>
        </w:tc>
        <w:tc>
          <w:tcPr>
            <w:tcW w:w="5887" w:type="dxa"/>
            <w:vAlign w:val="center"/>
          </w:tcPr>
          <w:p w14:paraId="238E071B" w14:textId="636CD751" w:rsidR="008125EC" w:rsidRPr="006D624B" w:rsidRDefault="008125EC" w:rsidP="008125EC">
            <w:pPr>
              <w:shd w:val="clear" w:color="auto" w:fill="FFFFFF"/>
              <w:spacing w:after="0" w:line="240" w:lineRule="auto"/>
              <w:rPr>
                <w:rFonts w:ascii="Arial" w:eastAsia="Times New Roman" w:hAnsi="Arial" w:cs="Arial"/>
                <w:color w:val="141414"/>
              </w:rPr>
            </w:pPr>
            <w:r w:rsidRPr="006D624B">
              <w:rPr>
                <w:rFonts w:ascii="Arial" w:eastAsia="Times New Roman" w:hAnsi="Arial" w:cs="Arial"/>
                <w:color w:val="141414"/>
              </w:rPr>
              <w:t>This change is to update the mirror system resources to have auto-mirroring enabled for transactions between the ISO and other</w:t>
            </w:r>
            <w:r w:rsidR="005F24C1">
              <w:rPr>
                <w:rFonts w:ascii="Arial" w:eastAsia="Times New Roman" w:hAnsi="Arial" w:cs="Arial"/>
                <w:color w:val="141414"/>
              </w:rPr>
              <w:t xml:space="preserve"> WEIM </w:t>
            </w:r>
            <w:r w:rsidRPr="006D624B">
              <w:rPr>
                <w:rFonts w:ascii="Arial" w:eastAsia="Times New Roman" w:hAnsi="Arial" w:cs="Arial"/>
                <w:color w:val="141414"/>
              </w:rPr>
              <w:t xml:space="preserve">balancing authority areas in accordance with the specific procedure detailed in </w:t>
            </w:r>
            <w:r>
              <w:rPr>
                <w:rFonts w:ascii="Arial" w:eastAsia="Times New Roman" w:hAnsi="Arial" w:cs="Arial"/>
                <w:color w:val="141414"/>
              </w:rPr>
              <w:t>section 11.3.8</w:t>
            </w:r>
            <w:r w:rsidRPr="006D624B">
              <w:rPr>
                <w:rFonts w:ascii="Arial" w:eastAsia="Times New Roman" w:hAnsi="Arial" w:cs="Arial"/>
                <w:color w:val="141414"/>
              </w:rPr>
              <w:t>. Effective Date: June 15, 2021</w:t>
            </w:r>
          </w:p>
        </w:tc>
      </w:tr>
      <w:tr w:rsidR="008125EC" w:rsidRPr="008D505E" w14:paraId="437E9B6B" w14:textId="77777777" w:rsidTr="000914B7">
        <w:tc>
          <w:tcPr>
            <w:tcW w:w="1234" w:type="dxa"/>
            <w:vAlign w:val="center"/>
          </w:tcPr>
          <w:p w14:paraId="1420DF6E" w14:textId="08D9512F" w:rsidR="008125EC" w:rsidRDefault="008125EC" w:rsidP="008125EC">
            <w:pPr>
              <w:spacing w:before="60" w:after="60"/>
              <w:jc w:val="center"/>
              <w:rPr>
                <w:rFonts w:cs="Arial"/>
              </w:rPr>
            </w:pPr>
            <w:r>
              <w:rPr>
                <w:rFonts w:cs="Arial"/>
              </w:rPr>
              <w:t>22</w:t>
            </w:r>
          </w:p>
        </w:tc>
        <w:tc>
          <w:tcPr>
            <w:tcW w:w="1297" w:type="dxa"/>
            <w:vAlign w:val="center"/>
          </w:tcPr>
          <w:p w14:paraId="4C282DDE" w14:textId="140C4002" w:rsidR="008125EC" w:rsidRDefault="008125EC" w:rsidP="008125EC">
            <w:pPr>
              <w:spacing w:before="60" w:after="60"/>
              <w:jc w:val="center"/>
              <w:rPr>
                <w:rFonts w:cs="Arial"/>
              </w:rPr>
            </w:pPr>
            <w:r>
              <w:rPr>
                <w:rFonts w:cs="Arial"/>
              </w:rPr>
              <w:t>1349</w:t>
            </w:r>
          </w:p>
        </w:tc>
        <w:tc>
          <w:tcPr>
            <w:tcW w:w="1440" w:type="dxa"/>
            <w:vAlign w:val="center"/>
          </w:tcPr>
          <w:p w14:paraId="3C746C40" w14:textId="35004E97" w:rsidR="008125EC" w:rsidRDefault="008125EC" w:rsidP="008125EC">
            <w:pPr>
              <w:spacing w:before="60" w:after="60"/>
              <w:jc w:val="center"/>
              <w:rPr>
                <w:rFonts w:cs="Arial"/>
              </w:rPr>
            </w:pPr>
            <w:r>
              <w:rPr>
                <w:rFonts w:cs="Arial"/>
              </w:rPr>
              <w:t>6/29/2021</w:t>
            </w:r>
          </w:p>
        </w:tc>
        <w:tc>
          <w:tcPr>
            <w:tcW w:w="5887" w:type="dxa"/>
            <w:vAlign w:val="center"/>
          </w:tcPr>
          <w:p w14:paraId="59699B7B" w14:textId="67D3C3BB"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 1349 </w:t>
            </w:r>
            <w:r w:rsidRPr="007B25BB">
              <w:rPr>
                <w:rFonts w:ascii="Arial" w:eastAsia="Times New Roman" w:hAnsi="Arial" w:cs="Arial"/>
                <w:color w:val="141414"/>
              </w:rPr>
              <w:t>This is related to summer readiness initiative focus on changes related to bid range capacity test, and changes related to the last solved advisory dispatch results.</w:t>
            </w:r>
            <w:r>
              <w:rPr>
                <w:rFonts w:ascii="Arial" w:eastAsia="Times New Roman" w:hAnsi="Arial" w:cs="Arial"/>
                <w:color w:val="141414"/>
              </w:rPr>
              <w:t xml:space="preserve"> (11.3.2, 11.3.11)</w:t>
            </w:r>
          </w:p>
        </w:tc>
      </w:tr>
      <w:tr w:rsidR="008125EC" w:rsidRPr="008D505E" w14:paraId="050D14C6" w14:textId="77777777" w:rsidTr="000914B7">
        <w:tc>
          <w:tcPr>
            <w:tcW w:w="1234" w:type="dxa"/>
            <w:vAlign w:val="center"/>
          </w:tcPr>
          <w:p w14:paraId="6BBDFF8B" w14:textId="1022DAA7" w:rsidR="008125EC" w:rsidRDefault="008125EC" w:rsidP="008125EC">
            <w:pPr>
              <w:spacing w:before="60" w:after="60"/>
              <w:jc w:val="center"/>
              <w:rPr>
                <w:rFonts w:cs="Arial"/>
              </w:rPr>
            </w:pPr>
            <w:r>
              <w:rPr>
                <w:rFonts w:cs="Arial"/>
              </w:rPr>
              <w:t>21</w:t>
            </w:r>
          </w:p>
        </w:tc>
        <w:tc>
          <w:tcPr>
            <w:tcW w:w="1297" w:type="dxa"/>
            <w:vAlign w:val="center"/>
          </w:tcPr>
          <w:p w14:paraId="730162A4" w14:textId="242AEB8C" w:rsidR="008125EC" w:rsidRDefault="008125EC" w:rsidP="008125EC">
            <w:pPr>
              <w:spacing w:before="60" w:after="60"/>
              <w:jc w:val="center"/>
              <w:rPr>
                <w:rFonts w:cs="Arial"/>
              </w:rPr>
            </w:pPr>
            <w:r>
              <w:rPr>
                <w:rFonts w:cs="Arial"/>
              </w:rPr>
              <w:t>1305, 1311</w:t>
            </w:r>
          </w:p>
        </w:tc>
        <w:tc>
          <w:tcPr>
            <w:tcW w:w="1440" w:type="dxa"/>
            <w:vAlign w:val="center"/>
          </w:tcPr>
          <w:p w14:paraId="17322431" w14:textId="1D9B1A26" w:rsidR="008125EC" w:rsidRDefault="008125EC" w:rsidP="008125EC">
            <w:pPr>
              <w:spacing w:before="60" w:after="60"/>
              <w:jc w:val="center"/>
              <w:rPr>
                <w:rFonts w:cs="Arial"/>
              </w:rPr>
            </w:pPr>
            <w:r>
              <w:rPr>
                <w:rFonts w:cs="Arial"/>
              </w:rPr>
              <w:t>2/1/2021</w:t>
            </w:r>
          </w:p>
        </w:tc>
        <w:tc>
          <w:tcPr>
            <w:tcW w:w="5887" w:type="dxa"/>
            <w:vAlign w:val="center"/>
          </w:tcPr>
          <w:p w14:paraId="6246F7CC" w14:textId="7777777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 1305 N</w:t>
            </w:r>
            <w:r w:rsidRPr="00703FC7">
              <w:rPr>
                <w:rFonts w:ascii="Arial" w:eastAsia="Times New Roman" w:hAnsi="Arial" w:cs="Arial"/>
                <w:color w:val="141414"/>
              </w:rPr>
              <w:t>ew process related to requests for some negotiated rates</w:t>
            </w:r>
            <w:r>
              <w:rPr>
                <w:rFonts w:ascii="Arial" w:eastAsia="Times New Roman" w:hAnsi="Arial" w:cs="Arial"/>
                <w:color w:val="141414"/>
              </w:rPr>
              <w:t>.</w:t>
            </w:r>
          </w:p>
          <w:p w14:paraId="579D3EB3" w14:textId="77777777" w:rsidR="008125EC" w:rsidRDefault="008125EC" w:rsidP="008125EC">
            <w:pPr>
              <w:shd w:val="clear" w:color="auto" w:fill="FFFFFF"/>
              <w:spacing w:after="0" w:line="240" w:lineRule="auto"/>
              <w:rPr>
                <w:rFonts w:ascii="Arial" w:eastAsia="Times New Roman" w:hAnsi="Arial" w:cs="Arial"/>
                <w:color w:val="141414"/>
              </w:rPr>
            </w:pPr>
          </w:p>
          <w:p w14:paraId="79A333F4" w14:textId="04F22949"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 1311 </w:t>
            </w:r>
            <w:r w:rsidRPr="00703FC7">
              <w:rPr>
                <w:rFonts w:ascii="Arial" w:eastAsia="Times New Roman" w:hAnsi="Arial" w:cs="Arial"/>
                <w:color w:val="141414"/>
              </w:rPr>
              <w:t>This enhancement is for the intertie Multi Stage Generator (TMSG) modeling for</w:t>
            </w:r>
            <w:r w:rsidR="005F24C1">
              <w:rPr>
                <w:rFonts w:ascii="Arial" w:eastAsia="Times New Roman" w:hAnsi="Arial" w:cs="Arial"/>
                <w:color w:val="141414"/>
              </w:rPr>
              <w:t xml:space="preserve"> WEIM </w:t>
            </w:r>
            <w:r w:rsidRPr="00703FC7">
              <w:rPr>
                <w:rFonts w:ascii="Arial" w:eastAsia="Times New Roman" w:hAnsi="Arial" w:cs="Arial"/>
                <w:color w:val="141414"/>
              </w:rPr>
              <w:t>participating resources that are import resources for particular</w:t>
            </w:r>
            <w:r w:rsidR="005F24C1">
              <w:rPr>
                <w:rFonts w:ascii="Arial" w:eastAsia="Times New Roman" w:hAnsi="Arial" w:cs="Arial"/>
                <w:color w:val="141414"/>
              </w:rPr>
              <w:t xml:space="preserve"> WEIM </w:t>
            </w:r>
            <w:r w:rsidRPr="00703FC7">
              <w:rPr>
                <w:rFonts w:ascii="Arial" w:eastAsia="Times New Roman" w:hAnsi="Arial" w:cs="Arial"/>
                <w:color w:val="141414"/>
              </w:rPr>
              <w:t>BAA. Effective date: 1/1/21</w:t>
            </w:r>
            <w:r>
              <w:rPr>
                <w:rFonts w:ascii="Arial" w:eastAsia="Times New Roman" w:hAnsi="Arial" w:cs="Arial"/>
                <w:color w:val="141414"/>
              </w:rPr>
              <w:t>.</w:t>
            </w:r>
          </w:p>
        </w:tc>
      </w:tr>
      <w:tr w:rsidR="008125EC" w:rsidRPr="008D505E" w14:paraId="6609D814" w14:textId="77777777" w:rsidTr="000914B7">
        <w:tc>
          <w:tcPr>
            <w:tcW w:w="1234" w:type="dxa"/>
            <w:vAlign w:val="center"/>
          </w:tcPr>
          <w:p w14:paraId="65FC0F4F" w14:textId="6D55DAB3" w:rsidR="008125EC" w:rsidRDefault="008125EC" w:rsidP="008125EC">
            <w:pPr>
              <w:spacing w:before="60" w:after="60"/>
              <w:jc w:val="center"/>
              <w:rPr>
                <w:rFonts w:cs="Arial"/>
              </w:rPr>
            </w:pPr>
            <w:r>
              <w:rPr>
                <w:rFonts w:cs="Arial"/>
              </w:rPr>
              <w:t>20</w:t>
            </w:r>
          </w:p>
        </w:tc>
        <w:tc>
          <w:tcPr>
            <w:tcW w:w="1297" w:type="dxa"/>
            <w:vAlign w:val="center"/>
          </w:tcPr>
          <w:p w14:paraId="11E4335A" w14:textId="11B3F7D2" w:rsidR="008125EC" w:rsidRDefault="008125EC" w:rsidP="008125EC">
            <w:pPr>
              <w:spacing w:before="60" w:after="60"/>
              <w:jc w:val="center"/>
              <w:rPr>
                <w:rFonts w:cs="Arial"/>
              </w:rPr>
            </w:pPr>
            <w:r>
              <w:rPr>
                <w:rFonts w:cs="Arial"/>
              </w:rPr>
              <w:t>1289</w:t>
            </w:r>
          </w:p>
        </w:tc>
        <w:tc>
          <w:tcPr>
            <w:tcW w:w="1440" w:type="dxa"/>
            <w:vAlign w:val="center"/>
          </w:tcPr>
          <w:p w14:paraId="7A92BB83" w14:textId="4036F141" w:rsidR="008125EC" w:rsidRDefault="008125EC" w:rsidP="008125EC">
            <w:pPr>
              <w:spacing w:before="60" w:after="60"/>
              <w:jc w:val="center"/>
              <w:rPr>
                <w:rFonts w:cs="Arial"/>
              </w:rPr>
            </w:pPr>
            <w:r>
              <w:rPr>
                <w:rFonts w:cs="Arial"/>
              </w:rPr>
              <w:t>12/17/2020</w:t>
            </w:r>
          </w:p>
        </w:tc>
        <w:tc>
          <w:tcPr>
            <w:tcW w:w="5887" w:type="dxa"/>
            <w:vAlign w:val="center"/>
          </w:tcPr>
          <w:p w14:paraId="6A309D27" w14:textId="16D22CC6"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PRR1289 </w:t>
            </w:r>
            <w:r w:rsidRPr="00C72FAF">
              <w:rPr>
                <w:rFonts w:ascii="Arial" w:eastAsia="Times New Roman" w:hAnsi="Arial" w:cs="Arial"/>
                <w:color w:val="141414"/>
              </w:rPr>
              <w:t>This enhancement is to allow individual resources, with potentially different SCs and technologies, to share a common point-of-interconnection (POI) to the transmission grid. Effective date; by 1/15/2021. Phase 1 is for Co-located resourc</w:t>
            </w:r>
            <w:r>
              <w:rPr>
                <w:rFonts w:ascii="Arial" w:eastAsia="Times New Roman" w:hAnsi="Arial" w:cs="Arial"/>
                <w:color w:val="141414"/>
              </w:rPr>
              <w:t>es only.</w:t>
            </w:r>
          </w:p>
        </w:tc>
      </w:tr>
      <w:tr w:rsidR="008125EC" w:rsidRPr="008D505E" w14:paraId="336DC2E7" w14:textId="77777777" w:rsidTr="000914B7">
        <w:tc>
          <w:tcPr>
            <w:tcW w:w="1234" w:type="dxa"/>
            <w:vAlign w:val="center"/>
          </w:tcPr>
          <w:p w14:paraId="32F3B92B" w14:textId="5E2B301F" w:rsidR="008125EC" w:rsidRDefault="008125EC" w:rsidP="008125EC">
            <w:pPr>
              <w:spacing w:before="60" w:after="60"/>
              <w:jc w:val="center"/>
              <w:rPr>
                <w:rFonts w:cs="Arial"/>
              </w:rPr>
            </w:pPr>
            <w:r>
              <w:rPr>
                <w:rFonts w:cs="Arial"/>
              </w:rPr>
              <w:t>19</w:t>
            </w:r>
          </w:p>
        </w:tc>
        <w:tc>
          <w:tcPr>
            <w:tcW w:w="1297" w:type="dxa"/>
            <w:vAlign w:val="center"/>
          </w:tcPr>
          <w:p w14:paraId="4B136AA8" w14:textId="39E1ED28" w:rsidR="008125EC" w:rsidRDefault="008125EC" w:rsidP="008125EC">
            <w:pPr>
              <w:spacing w:before="60" w:after="60"/>
              <w:jc w:val="center"/>
              <w:rPr>
                <w:rFonts w:cs="Arial"/>
              </w:rPr>
            </w:pPr>
            <w:r>
              <w:rPr>
                <w:rFonts w:cs="Arial"/>
              </w:rPr>
              <w:t>1271, 1279</w:t>
            </w:r>
          </w:p>
        </w:tc>
        <w:tc>
          <w:tcPr>
            <w:tcW w:w="1440" w:type="dxa"/>
            <w:vAlign w:val="center"/>
          </w:tcPr>
          <w:p w14:paraId="42EF862C" w14:textId="2B53DBDE" w:rsidR="008125EC" w:rsidRDefault="008125EC" w:rsidP="008125EC">
            <w:pPr>
              <w:spacing w:before="60" w:after="60"/>
              <w:jc w:val="center"/>
              <w:rPr>
                <w:rFonts w:cs="Arial"/>
              </w:rPr>
            </w:pPr>
            <w:r>
              <w:rPr>
                <w:rFonts w:cs="Arial"/>
              </w:rPr>
              <w:t>10/12/2020</w:t>
            </w:r>
          </w:p>
        </w:tc>
        <w:tc>
          <w:tcPr>
            <w:tcW w:w="5887" w:type="dxa"/>
            <w:vAlign w:val="center"/>
          </w:tcPr>
          <w:p w14:paraId="4B26A04D" w14:textId="7777777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 1271 D</w:t>
            </w:r>
            <w:r w:rsidRPr="00666A79">
              <w:rPr>
                <w:rFonts w:ascii="Arial" w:eastAsia="Times New Roman" w:hAnsi="Arial" w:cs="Arial"/>
                <w:color w:val="141414"/>
              </w:rPr>
              <w:t>ue to market settlement timeline initiative that will allow CAISO and Market Participants sufficient time to resolve disputes, reduce Market Participant financial exposure, and extend the flexibility in publishing settlement statements and weekly invoices.</w:t>
            </w:r>
          </w:p>
          <w:p w14:paraId="23E07CD8" w14:textId="77777777" w:rsidR="008125EC" w:rsidRDefault="008125EC" w:rsidP="008125EC">
            <w:pPr>
              <w:shd w:val="clear" w:color="auto" w:fill="FFFFFF"/>
              <w:spacing w:after="0" w:line="240" w:lineRule="auto"/>
              <w:rPr>
                <w:rFonts w:ascii="Arial" w:eastAsia="Times New Roman" w:hAnsi="Arial" w:cs="Arial"/>
                <w:color w:val="141414"/>
              </w:rPr>
            </w:pPr>
          </w:p>
          <w:p w14:paraId="76224042" w14:textId="7777777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lastRenderedPageBreak/>
              <w:t xml:space="preserve">PRR 1279 </w:t>
            </w:r>
            <w:r w:rsidRPr="00666A79">
              <w:rPr>
                <w:rFonts w:ascii="Arial" w:eastAsia="Times New Roman" w:hAnsi="Arial" w:cs="Arial"/>
                <w:color w:val="141414"/>
              </w:rPr>
              <w:t>Added clarity on how the market processes GHG Allocation when there is a market disruption.</w:t>
            </w:r>
          </w:p>
          <w:p w14:paraId="1B08235B" w14:textId="77777777" w:rsidR="008125EC" w:rsidRDefault="008125EC" w:rsidP="008125EC">
            <w:pPr>
              <w:shd w:val="clear" w:color="auto" w:fill="FFFFFF"/>
              <w:spacing w:after="0" w:line="240" w:lineRule="auto"/>
              <w:rPr>
                <w:rFonts w:ascii="Arial" w:eastAsia="Times New Roman" w:hAnsi="Arial" w:cs="Arial"/>
                <w:color w:val="141414"/>
              </w:rPr>
            </w:pPr>
          </w:p>
          <w:p w14:paraId="79FB2956" w14:textId="34E9E140"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Additionally, added clarification to section 11.5.1 for the MCC will not be allocated to the isolated</w:t>
            </w:r>
            <w:r w:rsidR="005F24C1">
              <w:rPr>
                <w:rFonts w:ascii="Arial" w:eastAsia="Times New Roman" w:hAnsi="Arial" w:cs="Arial"/>
                <w:color w:val="141414"/>
              </w:rPr>
              <w:t xml:space="preserve"> WEIM </w:t>
            </w:r>
            <w:r>
              <w:rPr>
                <w:rFonts w:ascii="Arial" w:eastAsia="Times New Roman" w:hAnsi="Arial" w:cs="Arial"/>
                <w:color w:val="141414"/>
              </w:rPr>
              <w:t>BAAs (this market issue fix was implemented 9/15/2020)</w:t>
            </w:r>
          </w:p>
        </w:tc>
      </w:tr>
      <w:tr w:rsidR="008125EC" w:rsidRPr="008D505E" w14:paraId="7EAA96D6" w14:textId="77777777" w:rsidTr="000914B7">
        <w:tc>
          <w:tcPr>
            <w:tcW w:w="1234" w:type="dxa"/>
            <w:vAlign w:val="center"/>
          </w:tcPr>
          <w:p w14:paraId="4BD7753C" w14:textId="6F312A62" w:rsidR="008125EC" w:rsidRDefault="008125EC" w:rsidP="008125EC">
            <w:pPr>
              <w:spacing w:before="60" w:after="60"/>
              <w:jc w:val="center"/>
              <w:rPr>
                <w:rFonts w:cs="Arial"/>
              </w:rPr>
            </w:pPr>
            <w:r>
              <w:rPr>
                <w:rFonts w:cs="Arial"/>
              </w:rPr>
              <w:lastRenderedPageBreak/>
              <w:t>18</w:t>
            </w:r>
          </w:p>
        </w:tc>
        <w:tc>
          <w:tcPr>
            <w:tcW w:w="1297" w:type="dxa"/>
            <w:vAlign w:val="center"/>
          </w:tcPr>
          <w:p w14:paraId="23B949E1" w14:textId="4C33E06C" w:rsidR="008125EC" w:rsidRDefault="008125EC" w:rsidP="008125EC">
            <w:pPr>
              <w:spacing w:before="60" w:after="60"/>
              <w:jc w:val="center"/>
              <w:rPr>
                <w:rFonts w:cs="Arial"/>
              </w:rPr>
            </w:pPr>
            <w:r>
              <w:rPr>
                <w:rFonts w:cs="Arial"/>
              </w:rPr>
              <w:t>1199</w:t>
            </w:r>
          </w:p>
        </w:tc>
        <w:tc>
          <w:tcPr>
            <w:tcW w:w="1440" w:type="dxa"/>
            <w:vAlign w:val="center"/>
          </w:tcPr>
          <w:p w14:paraId="1653F05E" w14:textId="7D355B95" w:rsidR="008125EC" w:rsidRDefault="008125EC" w:rsidP="008125EC">
            <w:pPr>
              <w:spacing w:before="60" w:after="60"/>
              <w:jc w:val="center"/>
              <w:rPr>
                <w:rFonts w:cs="Arial"/>
              </w:rPr>
            </w:pPr>
            <w:r>
              <w:rPr>
                <w:rFonts w:cs="Arial"/>
              </w:rPr>
              <w:t>11/20/2019</w:t>
            </w:r>
          </w:p>
        </w:tc>
        <w:tc>
          <w:tcPr>
            <w:tcW w:w="5887" w:type="dxa"/>
            <w:vAlign w:val="center"/>
          </w:tcPr>
          <w:p w14:paraId="2D38FF65" w14:textId="030766DB" w:rsidR="008125EC" w:rsidRPr="00326D43"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PRR1199 In April 2019, </w:t>
            </w:r>
            <w:r w:rsidRPr="00C93CFD">
              <w:rPr>
                <w:rFonts w:ascii="Arial" w:eastAsia="Times New Roman" w:hAnsi="Arial" w:cs="Arial"/>
                <w:color w:val="141414"/>
              </w:rPr>
              <w:t>we implemented a software change to perform bid-range capacity test for each of the four fifteen-minute intervals for a trading hour. Accordingly we only updated section 11.3.2, however those changes were not added to section 11.3.2.2. This change is to update section 11.3.2.2.</w:t>
            </w:r>
          </w:p>
        </w:tc>
      </w:tr>
      <w:tr w:rsidR="008125EC" w:rsidRPr="008D505E" w14:paraId="7420D1AE" w14:textId="77777777" w:rsidTr="000914B7">
        <w:tc>
          <w:tcPr>
            <w:tcW w:w="1234" w:type="dxa"/>
            <w:vAlign w:val="center"/>
          </w:tcPr>
          <w:p w14:paraId="6EF7CB8E" w14:textId="0E440BE2" w:rsidR="008125EC" w:rsidRDefault="008125EC" w:rsidP="008125EC">
            <w:pPr>
              <w:spacing w:before="60" w:after="60"/>
              <w:jc w:val="center"/>
              <w:rPr>
                <w:rFonts w:cs="Arial"/>
              </w:rPr>
            </w:pPr>
            <w:r>
              <w:rPr>
                <w:rFonts w:cs="Arial"/>
              </w:rPr>
              <w:t>17</w:t>
            </w:r>
          </w:p>
        </w:tc>
        <w:tc>
          <w:tcPr>
            <w:tcW w:w="1297" w:type="dxa"/>
            <w:vAlign w:val="center"/>
          </w:tcPr>
          <w:p w14:paraId="3348ED04" w14:textId="63888616" w:rsidR="008125EC" w:rsidRDefault="008125EC" w:rsidP="008125EC">
            <w:pPr>
              <w:spacing w:before="60" w:after="60"/>
              <w:jc w:val="center"/>
              <w:rPr>
                <w:rFonts w:cs="Arial"/>
              </w:rPr>
            </w:pPr>
            <w:r>
              <w:rPr>
                <w:rFonts w:cs="Arial"/>
              </w:rPr>
              <w:t>1192</w:t>
            </w:r>
          </w:p>
        </w:tc>
        <w:tc>
          <w:tcPr>
            <w:tcW w:w="1440" w:type="dxa"/>
            <w:vAlign w:val="center"/>
          </w:tcPr>
          <w:p w14:paraId="0FB9719F" w14:textId="078CE18C" w:rsidR="008125EC" w:rsidRDefault="008125EC" w:rsidP="008125EC">
            <w:pPr>
              <w:spacing w:before="60" w:after="60"/>
              <w:jc w:val="center"/>
              <w:rPr>
                <w:rFonts w:cs="Arial"/>
              </w:rPr>
            </w:pPr>
            <w:r>
              <w:rPr>
                <w:rFonts w:cs="Arial"/>
              </w:rPr>
              <w:t>10/28/2019</w:t>
            </w:r>
          </w:p>
        </w:tc>
        <w:tc>
          <w:tcPr>
            <w:tcW w:w="5887" w:type="dxa"/>
            <w:vAlign w:val="center"/>
          </w:tcPr>
          <w:p w14:paraId="584898F5" w14:textId="42B56C62" w:rsidR="008125EC" w:rsidRPr="00326D43" w:rsidRDefault="008125EC" w:rsidP="008125EC">
            <w:pPr>
              <w:shd w:val="clear" w:color="auto" w:fill="FFFFFF"/>
              <w:spacing w:after="0" w:line="240" w:lineRule="auto"/>
              <w:rPr>
                <w:rFonts w:ascii="Arial" w:eastAsia="Times New Roman" w:hAnsi="Arial" w:cs="Arial"/>
                <w:color w:val="141414"/>
              </w:rPr>
            </w:pPr>
            <w:r w:rsidRPr="00326D43">
              <w:rPr>
                <w:rFonts w:ascii="Arial" w:eastAsia="Times New Roman" w:hAnsi="Arial" w:cs="Arial"/>
                <w:color w:val="141414"/>
              </w:rPr>
              <w:t>PRR1192 These changes are to support the Local Market Power Mitigation Enhancements 2018 Project (LMPME). These changes include mitigation process enhancements for EIM. Effective date: November 2019.</w:t>
            </w:r>
          </w:p>
        </w:tc>
      </w:tr>
      <w:tr w:rsidR="008125EC" w:rsidRPr="008D505E" w14:paraId="097BB525" w14:textId="77777777" w:rsidTr="000914B7">
        <w:tc>
          <w:tcPr>
            <w:tcW w:w="1234" w:type="dxa"/>
            <w:vAlign w:val="center"/>
          </w:tcPr>
          <w:p w14:paraId="21D478A6" w14:textId="54554D95" w:rsidR="008125EC" w:rsidRDefault="008125EC" w:rsidP="008125EC">
            <w:pPr>
              <w:spacing w:before="60" w:after="60"/>
              <w:jc w:val="center"/>
              <w:rPr>
                <w:rFonts w:cs="Arial"/>
              </w:rPr>
            </w:pPr>
            <w:r>
              <w:rPr>
                <w:rFonts w:cs="Arial"/>
              </w:rPr>
              <w:t>16</w:t>
            </w:r>
          </w:p>
        </w:tc>
        <w:tc>
          <w:tcPr>
            <w:tcW w:w="1297" w:type="dxa"/>
            <w:vAlign w:val="center"/>
          </w:tcPr>
          <w:p w14:paraId="6F254ED8" w14:textId="678E2D56" w:rsidR="008125EC" w:rsidRDefault="008125EC" w:rsidP="008125EC">
            <w:pPr>
              <w:spacing w:before="60" w:after="60"/>
              <w:jc w:val="center"/>
              <w:rPr>
                <w:rFonts w:cs="Arial"/>
              </w:rPr>
            </w:pPr>
            <w:r>
              <w:rPr>
                <w:rFonts w:cs="Arial"/>
              </w:rPr>
              <w:t>1172</w:t>
            </w:r>
          </w:p>
        </w:tc>
        <w:tc>
          <w:tcPr>
            <w:tcW w:w="1440" w:type="dxa"/>
            <w:vAlign w:val="center"/>
          </w:tcPr>
          <w:p w14:paraId="054EACCF" w14:textId="546E1EC6" w:rsidR="008125EC" w:rsidRDefault="008125EC" w:rsidP="008125EC">
            <w:pPr>
              <w:spacing w:before="60" w:after="60"/>
              <w:jc w:val="center"/>
              <w:rPr>
                <w:rFonts w:cs="Arial"/>
              </w:rPr>
            </w:pPr>
            <w:r>
              <w:rPr>
                <w:rFonts w:cs="Arial"/>
              </w:rPr>
              <w:t>09/26/2019</w:t>
            </w:r>
          </w:p>
        </w:tc>
        <w:tc>
          <w:tcPr>
            <w:tcW w:w="5887" w:type="dxa"/>
            <w:vAlign w:val="center"/>
          </w:tcPr>
          <w:p w14:paraId="364829E3" w14:textId="5D151604"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PRR1172 Added new section 11.3.14 to detail the Market logic for</w:t>
            </w:r>
            <w:r w:rsidR="005F24C1">
              <w:rPr>
                <w:rFonts w:ascii="Arial" w:eastAsia="Times New Roman" w:hAnsi="Arial" w:cs="Arial"/>
                <w:color w:val="141414"/>
              </w:rPr>
              <w:t xml:space="preserve"> WEIM </w:t>
            </w:r>
            <w:r>
              <w:rPr>
                <w:rFonts w:ascii="Arial" w:eastAsia="Times New Roman" w:hAnsi="Arial" w:cs="Arial"/>
                <w:color w:val="141414"/>
              </w:rPr>
              <w:t>Threshold.</w:t>
            </w:r>
          </w:p>
        </w:tc>
      </w:tr>
      <w:tr w:rsidR="008125EC" w:rsidRPr="008D505E" w14:paraId="7D50C717" w14:textId="77777777" w:rsidTr="000914B7">
        <w:tc>
          <w:tcPr>
            <w:tcW w:w="1234" w:type="dxa"/>
            <w:vAlign w:val="center"/>
          </w:tcPr>
          <w:p w14:paraId="699C2A95" w14:textId="372EAECC" w:rsidR="008125EC" w:rsidRDefault="008125EC" w:rsidP="008125EC">
            <w:pPr>
              <w:spacing w:before="60" w:after="60"/>
              <w:jc w:val="center"/>
              <w:rPr>
                <w:rFonts w:cs="Arial"/>
              </w:rPr>
            </w:pPr>
            <w:r>
              <w:rPr>
                <w:rFonts w:cs="Arial"/>
              </w:rPr>
              <w:t>15</w:t>
            </w:r>
          </w:p>
        </w:tc>
        <w:tc>
          <w:tcPr>
            <w:tcW w:w="1297" w:type="dxa"/>
            <w:vAlign w:val="center"/>
          </w:tcPr>
          <w:p w14:paraId="271A91D6" w14:textId="14F4894D" w:rsidR="008125EC" w:rsidRDefault="008125EC" w:rsidP="008125EC">
            <w:pPr>
              <w:spacing w:before="60" w:after="60"/>
              <w:jc w:val="center"/>
              <w:rPr>
                <w:rFonts w:cs="Arial"/>
              </w:rPr>
            </w:pPr>
            <w:r>
              <w:rPr>
                <w:rFonts w:cs="Arial"/>
              </w:rPr>
              <w:t>1127,1142</w:t>
            </w:r>
          </w:p>
        </w:tc>
        <w:tc>
          <w:tcPr>
            <w:tcW w:w="1440" w:type="dxa"/>
            <w:vAlign w:val="center"/>
          </w:tcPr>
          <w:p w14:paraId="4159944F" w14:textId="04440380" w:rsidR="008125EC" w:rsidRDefault="008125EC" w:rsidP="008125EC">
            <w:pPr>
              <w:spacing w:before="60" w:after="60"/>
              <w:jc w:val="center"/>
              <w:rPr>
                <w:rFonts w:cs="Arial"/>
              </w:rPr>
            </w:pPr>
            <w:r>
              <w:rPr>
                <w:rFonts w:cs="Arial"/>
              </w:rPr>
              <w:t>05/02/2019</w:t>
            </w:r>
          </w:p>
        </w:tc>
        <w:tc>
          <w:tcPr>
            <w:tcW w:w="5887" w:type="dxa"/>
            <w:vAlign w:val="center"/>
          </w:tcPr>
          <w:p w14:paraId="404705A4" w14:textId="02A1D057"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PRR1127 Applying </w:t>
            </w:r>
            <w:r w:rsidRPr="00F23201">
              <w:rPr>
                <w:rFonts w:ascii="Arial" w:eastAsia="Times New Roman" w:hAnsi="Arial" w:cs="Arial"/>
                <w:color w:val="141414"/>
              </w:rPr>
              <w:t>a tolerance band threshold to the Flexible Ramping Sufficiency Tests for each</w:t>
            </w:r>
            <w:r w:rsidR="005F24C1">
              <w:rPr>
                <w:rFonts w:ascii="Arial" w:eastAsia="Times New Roman" w:hAnsi="Arial" w:cs="Arial"/>
                <w:color w:val="141414"/>
              </w:rPr>
              <w:t xml:space="preserve"> WEIM </w:t>
            </w:r>
            <w:r w:rsidRPr="00F23201">
              <w:rPr>
                <w:rFonts w:ascii="Arial" w:eastAsia="Times New Roman" w:hAnsi="Arial" w:cs="Arial"/>
                <w:color w:val="141414"/>
              </w:rPr>
              <w:t>BA. Targeted for February 15, 2019</w:t>
            </w:r>
          </w:p>
          <w:p w14:paraId="7FB02AA2" w14:textId="77777777" w:rsidR="008125EC" w:rsidRDefault="008125EC" w:rsidP="008125EC">
            <w:pPr>
              <w:shd w:val="clear" w:color="auto" w:fill="FFFFFF"/>
              <w:spacing w:after="0" w:line="240" w:lineRule="auto"/>
              <w:rPr>
                <w:rFonts w:ascii="Arial" w:eastAsia="Times New Roman" w:hAnsi="Arial" w:cs="Arial"/>
                <w:color w:val="141414"/>
              </w:rPr>
            </w:pPr>
          </w:p>
          <w:p w14:paraId="246082B0" w14:textId="7BDA9E65"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PRR1142 </w:t>
            </w:r>
            <w:r w:rsidRPr="002272F4">
              <w:rPr>
                <w:rFonts w:ascii="Arial" w:eastAsia="Times New Roman" w:hAnsi="Arial" w:cs="Arial"/>
                <w:color w:val="141414"/>
              </w:rPr>
              <w:t>This is related to the stakeholder feedback for improvements for business needs related to the</w:t>
            </w:r>
            <w:r w:rsidR="005F24C1">
              <w:rPr>
                <w:rFonts w:ascii="Arial" w:eastAsia="Times New Roman" w:hAnsi="Arial" w:cs="Arial"/>
                <w:color w:val="141414"/>
              </w:rPr>
              <w:t xml:space="preserve"> WEIM </w:t>
            </w:r>
            <w:r w:rsidRPr="002272F4">
              <w:rPr>
                <w:rFonts w:ascii="Arial" w:eastAsia="Times New Roman" w:hAnsi="Arial" w:cs="Arial"/>
                <w:color w:val="141414"/>
              </w:rPr>
              <w:t>resource sufficiency evaluation. Effective date is 4/16/19</w:t>
            </w:r>
          </w:p>
          <w:p w14:paraId="249B852D" w14:textId="77777777" w:rsidR="008125EC" w:rsidRDefault="008125EC" w:rsidP="008125EC">
            <w:pPr>
              <w:shd w:val="clear" w:color="auto" w:fill="FFFFFF"/>
              <w:spacing w:after="0" w:line="240" w:lineRule="auto"/>
              <w:rPr>
                <w:rFonts w:ascii="Arial" w:eastAsia="Times New Roman" w:hAnsi="Arial" w:cs="Arial"/>
                <w:color w:val="141414"/>
              </w:rPr>
            </w:pPr>
          </w:p>
        </w:tc>
      </w:tr>
      <w:tr w:rsidR="008125EC" w:rsidRPr="008D505E" w14:paraId="024B6084" w14:textId="77777777" w:rsidTr="000914B7">
        <w:tc>
          <w:tcPr>
            <w:tcW w:w="1234" w:type="dxa"/>
            <w:vAlign w:val="center"/>
          </w:tcPr>
          <w:p w14:paraId="4DB14C23" w14:textId="7E048325" w:rsidR="008125EC" w:rsidRDefault="008125EC" w:rsidP="008125EC">
            <w:pPr>
              <w:spacing w:before="60" w:after="60"/>
              <w:jc w:val="center"/>
              <w:rPr>
                <w:rFonts w:cs="Arial"/>
              </w:rPr>
            </w:pPr>
            <w:r>
              <w:rPr>
                <w:rFonts w:cs="Arial"/>
              </w:rPr>
              <w:t>14</w:t>
            </w:r>
          </w:p>
        </w:tc>
        <w:tc>
          <w:tcPr>
            <w:tcW w:w="1297" w:type="dxa"/>
            <w:vAlign w:val="center"/>
          </w:tcPr>
          <w:p w14:paraId="25C2A80B" w14:textId="0E281011" w:rsidR="008125EC" w:rsidRDefault="008125EC" w:rsidP="008125EC">
            <w:pPr>
              <w:spacing w:before="60" w:after="60"/>
              <w:jc w:val="center"/>
              <w:rPr>
                <w:rFonts w:cs="Arial"/>
              </w:rPr>
            </w:pPr>
            <w:r>
              <w:rPr>
                <w:rFonts w:cs="Arial"/>
              </w:rPr>
              <w:t>1117</w:t>
            </w:r>
          </w:p>
        </w:tc>
        <w:tc>
          <w:tcPr>
            <w:tcW w:w="1440" w:type="dxa"/>
            <w:vAlign w:val="center"/>
          </w:tcPr>
          <w:p w14:paraId="37B572DB" w14:textId="31FD05C3" w:rsidR="008125EC" w:rsidRDefault="008125EC" w:rsidP="008125EC">
            <w:pPr>
              <w:spacing w:before="60" w:after="60"/>
              <w:jc w:val="center"/>
              <w:rPr>
                <w:rFonts w:cs="Arial"/>
              </w:rPr>
            </w:pPr>
            <w:r>
              <w:rPr>
                <w:rFonts w:cs="Arial"/>
              </w:rPr>
              <w:t>02/28/2019</w:t>
            </w:r>
          </w:p>
        </w:tc>
        <w:tc>
          <w:tcPr>
            <w:tcW w:w="5887" w:type="dxa"/>
            <w:vAlign w:val="center"/>
          </w:tcPr>
          <w:p w14:paraId="470412A0" w14:textId="52D2DC69" w:rsidR="008125EC" w:rsidRPr="003358BB"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PRR1117 Added a note in section 11.3.11 to refer to Market Operations Appendices BPM for load conformance.</w:t>
            </w:r>
          </w:p>
        </w:tc>
      </w:tr>
      <w:tr w:rsidR="008125EC" w:rsidRPr="003358BB" w14:paraId="28327A5C" w14:textId="77777777" w:rsidTr="000914B7">
        <w:tc>
          <w:tcPr>
            <w:tcW w:w="1234" w:type="dxa"/>
            <w:vAlign w:val="center"/>
          </w:tcPr>
          <w:p w14:paraId="2F7EAD16" w14:textId="77777777" w:rsidR="008125EC" w:rsidRDefault="008125EC" w:rsidP="008125EC">
            <w:pPr>
              <w:spacing w:before="60" w:after="60"/>
              <w:jc w:val="center"/>
              <w:rPr>
                <w:rFonts w:cs="Arial"/>
              </w:rPr>
            </w:pPr>
            <w:r>
              <w:rPr>
                <w:rFonts w:cs="Arial"/>
              </w:rPr>
              <w:t>13</w:t>
            </w:r>
          </w:p>
        </w:tc>
        <w:tc>
          <w:tcPr>
            <w:tcW w:w="1297" w:type="dxa"/>
            <w:vAlign w:val="center"/>
          </w:tcPr>
          <w:p w14:paraId="29C2EB47" w14:textId="77777777" w:rsidR="008125EC" w:rsidRDefault="008125EC" w:rsidP="008125EC">
            <w:pPr>
              <w:spacing w:before="60" w:after="60"/>
              <w:jc w:val="center"/>
              <w:rPr>
                <w:rFonts w:cs="Arial"/>
              </w:rPr>
            </w:pPr>
            <w:r>
              <w:rPr>
                <w:rFonts w:cs="Arial"/>
              </w:rPr>
              <w:t>1090</w:t>
            </w:r>
          </w:p>
        </w:tc>
        <w:tc>
          <w:tcPr>
            <w:tcW w:w="1440" w:type="dxa"/>
            <w:vAlign w:val="center"/>
          </w:tcPr>
          <w:p w14:paraId="35C8C4CE" w14:textId="77777777" w:rsidR="008125EC" w:rsidRDefault="008125EC" w:rsidP="008125EC">
            <w:pPr>
              <w:spacing w:before="60" w:after="60"/>
              <w:jc w:val="center"/>
              <w:rPr>
                <w:rFonts w:cs="Arial"/>
              </w:rPr>
            </w:pPr>
            <w:r>
              <w:rPr>
                <w:rFonts w:cs="Arial"/>
              </w:rPr>
              <w:t>11/29/2018</w:t>
            </w:r>
          </w:p>
        </w:tc>
        <w:tc>
          <w:tcPr>
            <w:tcW w:w="5887" w:type="dxa"/>
            <w:vAlign w:val="center"/>
          </w:tcPr>
          <w:p w14:paraId="7232EDA5" w14:textId="2A747748" w:rsidR="008125EC"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PRR1090: </w:t>
            </w:r>
            <w:r w:rsidRPr="009E4560">
              <w:rPr>
                <w:rFonts w:ascii="Arial" w:eastAsia="Times New Roman" w:hAnsi="Arial" w:cs="Arial"/>
                <w:color w:val="141414"/>
              </w:rPr>
              <w:t>This change is to provide clarity for</w:t>
            </w:r>
            <w:r w:rsidR="005F24C1">
              <w:rPr>
                <w:rFonts w:ascii="Arial" w:eastAsia="Times New Roman" w:hAnsi="Arial" w:cs="Arial"/>
                <w:color w:val="141414"/>
              </w:rPr>
              <w:t xml:space="preserve"> WEIM </w:t>
            </w:r>
            <w:r w:rsidRPr="009E4560">
              <w:rPr>
                <w:rFonts w:ascii="Arial" w:eastAsia="Times New Roman" w:hAnsi="Arial" w:cs="Arial"/>
                <w:color w:val="141414"/>
              </w:rPr>
              <w:t>entities scheduling practices related to dynamic pseudo-tie wheeling schedules.</w:t>
            </w:r>
          </w:p>
          <w:p w14:paraId="26D3D8D7" w14:textId="77777777" w:rsidR="008125EC" w:rsidRPr="003358BB" w:rsidRDefault="008125EC" w:rsidP="008125EC">
            <w:pPr>
              <w:shd w:val="clear" w:color="auto" w:fill="FFFFFF"/>
              <w:spacing w:after="0" w:line="240" w:lineRule="auto"/>
              <w:rPr>
                <w:rFonts w:ascii="Arial" w:eastAsia="Times New Roman" w:hAnsi="Arial" w:cs="Arial"/>
                <w:color w:val="141414"/>
              </w:rPr>
            </w:pPr>
          </w:p>
        </w:tc>
      </w:tr>
      <w:tr w:rsidR="008125EC" w:rsidRPr="008D505E" w14:paraId="6EBE7F7D" w14:textId="77777777" w:rsidTr="000914B7">
        <w:tc>
          <w:tcPr>
            <w:tcW w:w="1234" w:type="dxa"/>
            <w:vAlign w:val="center"/>
          </w:tcPr>
          <w:p w14:paraId="33A30CE1" w14:textId="1DFCBBA0" w:rsidR="008125EC" w:rsidRDefault="008125EC" w:rsidP="008125EC">
            <w:pPr>
              <w:spacing w:before="60" w:after="60"/>
              <w:jc w:val="center"/>
              <w:rPr>
                <w:rFonts w:cs="Arial"/>
              </w:rPr>
            </w:pPr>
            <w:r>
              <w:rPr>
                <w:rFonts w:cs="Arial"/>
              </w:rPr>
              <w:t>12</w:t>
            </w:r>
          </w:p>
        </w:tc>
        <w:tc>
          <w:tcPr>
            <w:tcW w:w="1297" w:type="dxa"/>
            <w:vAlign w:val="center"/>
          </w:tcPr>
          <w:p w14:paraId="1131ED95" w14:textId="03B6A6CC" w:rsidR="008125EC" w:rsidRDefault="008125EC" w:rsidP="008125EC">
            <w:pPr>
              <w:spacing w:before="60" w:after="60"/>
              <w:jc w:val="center"/>
              <w:rPr>
                <w:rFonts w:cs="Arial"/>
              </w:rPr>
            </w:pPr>
            <w:r>
              <w:rPr>
                <w:rFonts w:cs="Arial"/>
              </w:rPr>
              <w:t>1072, 1082, 1085,1093</w:t>
            </w:r>
          </w:p>
        </w:tc>
        <w:tc>
          <w:tcPr>
            <w:tcW w:w="1440" w:type="dxa"/>
            <w:vAlign w:val="center"/>
          </w:tcPr>
          <w:p w14:paraId="43741870" w14:textId="11298008" w:rsidR="008125EC" w:rsidRDefault="008125EC" w:rsidP="008125EC">
            <w:pPr>
              <w:spacing w:before="60" w:after="60"/>
              <w:jc w:val="center"/>
              <w:rPr>
                <w:rFonts w:cs="Arial"/>
              </w:rPr>
            </w:pPr>
            <w:r>
              <w:rPr>
                <w:rFonts w:cs="Arial"/>
              </w:rPr>
              <w:t>10/25/2018</w:t>
            </w:r>
          </w:p>
        </w:tc>
        <w:tc>
          <w:tcPr>
            <w:tcW w:w="5887" w:type="dxa"/>
            <w:vAlign w:val="center"/>
          </w:tcPr>
          <w:p w14:paraId="002174EC" w14:textId="4EC06E28" w:rsidR="008125EC" w:rsidRDefault="008125EC" w:rsidP="008125EC">
            <w:pPr>
              <w:shd w:val="clear" w:color="auto" w:fill="FFFFFF"/>
              <w:spacing w:after="0" w:line="240" w:lineRule="auto"/>
              <w:rPr>
                <w:rFonts w:ascii="Arial" w:hAnsi="Arial" w:cs="Arial"/>
                <w:color w:val="141414"/>
              </w:rPr>
            </w:pPr>
            <w:r>
              <w:rPr>
                <w:rFonts w:ascii="Arial" w:eastAsia="Times New Roman" w:hAnsi="Arial" w:cs="Arial"/>
                <w:color w:val="141414"/>
              </w:rPr>
              <w:t xml:space="preserve">PRR1072: </w:t>
            </w:r>
            <w:r w:rsidRPr="00B82AC8">
              <w:rPr>
                <w:rFonts w:ascii="Arial" w:hAnsi="Arial" w:cs="Arial"/>
                <w:color w:val="141414"/>
              </w:rPr>
              <w:t>This is due to</w:t>
            </w:r>
            <w:r w:rsidR="005F24C1">
              <w:rPr>
                <w:rFonts w:ascii="Arial" w:hAnsi="Arial" w:cs="Arial"/>
                <w:color w:val="141414"/>
              </w:rPr>
              <w:t xml:space="preserve"> WEIM </w:t>
            </w:r>
            <w:r w:rsidRPr="00B82AC8">
              <w:rPr>
                <w:rFonts w:ascii="Arial" w:hAnsi="Arial" w:cs="Arial"/>
                <w:color w:val="141414"/>
              </w:rPr>
              <w:t>Enhancement 2018 project requirements where the market will not procure flexible ramping up and flexible ramping down capacity when any</w:t>
            </w:r>
            <w:r w:rsidR="005F24C1">
              <w:rPr>
                <w:rFonts w:ascii="Arial" w:hAnsi="Arial" w:cs="Arial"/>
                <w:color w:val="141414"/>
              </w:rPr>
              <w:t xml:space="preserve"> WEIM </w:t>
            </w:r>
            <w:r w:rsidRPr="00B82AC8">
              <w:rPr>
                <w:rFonts w:ascii="Arial" w:hAnsi="Arial" w:cs="Arial"/>
                <w:color w:val="141414"/>
              </w:rPr>
              <w:t>balancing authority is undergoing a contingency. Expected effective date is Fall 2018</w:t>
            </w:r>
            <w:r>
              <w:rPr>
                <w:rFonts w:ascii="Arial" w:hAnsi="Arial" w:cs="Arial"/>
                <w:color w:val="141414"/>
              </w:rPr>
              <w:t>.</w:t>
            </w:r>
          </w:p>
          <w:p w14:paraId="1E8F3630" w14:textId="77777777" w:rsidR="008125EC" w:rsidRDefault="008125EC" w:rsidP="008125EC">
            <w:pPr>
              <w:shd w:val="clear" w:color="auto" w:fill="FFFFFF"/>
              <w:spacing w:after="0" w:line="240" w:lineRule="auto"/>
              <w:rPr>
                <w:rFonts w:ascii="Arial" w:hAnsi="Arial" w:cs="Arial"/>
                <w:color w:val="141414"/>
              </w:rPr>
            </w:pPr>
          </w:p>
          <w:p w14:paraId="771E889B" w14:textId="35B47FA8" w:rsidR="008125EC" w:rsidRDefault="008125EC" w:rsidP="008125EC">
            <w:pPr>
              <w:shd w:val="clear" w:color="auto" w:fill="FFFFFF"/>
              <w:spacing w:after="0" w:line="240" w:lineRule="auto"/>
              <w:rPr>
                <w:rFonts w:ascii="Arial" w:hAnsi="Arial" w:cs="Arial"/>
                <w:color w:val="141414"/>
              </w:rPr>
            </w:pPr>
            <w:r>
              <w:rPr>
                <w:rFonts w:ascii="Arial" w:hAnsi="Arial" w:cs="Arial"/>
                <w:color w:val="141414"/>
              </w:rPr>
              <w:lastRenderedPageBreak/>
              <w:t xml:space="preserve">PRR1082: </w:t>
            </w:r>
            <w:r w:rsidRPr="005F7ABA">
              <w:rPr>
                <w:rFonts w:ascii="Arial" w:hAnsi="Arial" w:cs="Arial"/>
                <w:color w:val="141414"/>
              </w:rPr>
              <w:t>This is to extend the Persistence Forecast modeling to</w:t>
            </w:r>
            <w:r w:rsidR="005F24C1">
              <w:rPr>
                <w:rFonts w:ascii="Arial" w:hAnsi="Arial" w:cs="Arial"/>
                <w:color w:val="141414"/>
              </w:rPr>
              <w:t xml:space="preserve"> WEIM </w:t>
            </w:r>
            <w:r w:rsidRPr="005F7ABA">
              <w:rPr>
                <w:rFonts w:ascii="Arial" w:hAnsi="Arial" w:cs="Arial"/>
                <w:color w:val="141414"/>
              </w:rPr>
              <w:t>entities.</w:t>
            </w:r>
          </w:p>
          <w:p w14:paraId="696BA13C" w14:textId="77777777" w:rsidR="008125EC" w:rsidRDefault="008125EC" w:rsidP="008125EC">
            <w:pPr>
              <w:shd w:val="clear" w:color="auto" w:fill="FFFFFF"/>
              <w:spacing w:after="0" w:line="240" w:lineRule="auto"/>
              <w:rPr>
                <w:rFonts w:ascii="Arial" w:hAnsi="Arial" w:cs="Arial"/>
                <w:color w:val="141414"/>
              </w:rPr>
            </w:pPr>
          </w:p>
          <w:p w14:paraId="61156F9C" w14:textId="2EBB1082" w:rsidR="008125EC" w:rsidRDefault="008125EC" w:rsidP="008125EC">
            <w:pPr>
              <w:shd w:val="clear" w:color="auto" w:fill="FFFFFF"/>
              <w:spacing w:after="0" w:line="240" w:lineRule="auto"/>
              <w:rPr>
                <w:rFonts w:ascii="Arial" w:hAnsi="Arial" w:cs="Arial"/>
                <w:color w:val="141414"/>
              </w:rPr>
            </w:pPr>
            <w:r>
              <w:rPr>
                <w:rFonts w:ascii="Arial" w:hAnsi="Arial" w:cs="Arial"/>
                <w:color w:val="141414"/>
              </w:rPr>
              <w:t xml:space="preserve">PRR1085: </w:t>
            </w:r>
            <w:r w:rsidRPr="005F7ABA">
              <w:rPr>
                <w:rFonts w:ascii="Arial" w:hAnsi="Arial" w:cs="Arial"/>
                <w:color w:val="141414"/>
              </w:rPr>
              <w:t>This is due to the</w:t>
            </w:r>
            <w:r w:rsidR="005F24C1">
              <w:rPr>
                <w:rFonts w:ascii="Arial" w:hAnsi="Arial" w:cs="Arial"/>
                <w:color w:val="141414"/>
              </w:rPr>
              <w:t xml:space="preserve"> WEIM </w:t>
            </w:r>
            <w:r w:rsidRPr="005F7ABA">
              <w:rPr>
                <w:rFonts w:ascii="Arial" w:hAnsi="Arial" w:cs="Arial"/>
                <w:color w:val="141414"/>
              </w:rPr>
              <w:t>Greenhouse Gas Enhancements policy to limit</w:t>
            </w:r>
            <w:r w:rsidR="005F24C1">
              <w:rPr>
                <w:rFonts w:ascii="Arial" w:hAnsi="Arial" w:cs="Arial"/>
                <w:color w:val="141414"/>
              </w:rPr>
              <w:t xml:space="preserve"> WEIM </w:t>
            </w:r>
            <w:r w:rsidRPr="005F7ABA">
              <w:rPr>
                <w:rFonts w:ascii="Arial" w:hAnsi="Arial" w:cs="Arial"/>
                <w:color w:val="141414"/>
              </w:rPr>
              <w:t>participating resources’ greenhouse gas bid quantity to the MW value between the</w:t>
            </w:r>
            <w:r w:rsidR="005F24C1">
              <w:rPr>
                <w:rFonts w:ascii="Arial" w:hAnsi="Arial" w:cs="Arial"/>
                <w:color w:val="141414"/>
              </w:rPr>
              <w:t xml:space="preserve"> WEIM </w:t>
            </w:r>
            <w:r w:rsidRPr="005F7ABA">
              <w:rPr>
                <w:rFonts w:ascii="Arial" w:hAnsi="Arial" w:cs="Arial"/>
                <w:color w:val="141414"/>
              </w:rPr>
              <w:t>participating resource’s base schedule and the resource’s upper economic level.</w:t>
            </w:r>
          </w:p>
          <w:p w14:paraId="0E679455" w14:textId="77777777" w:rsidR="008125EC" w:rsidRDefault="008125EC" w:rsidP="008125EC">
            <w:pPr>
              <w:shd w:val="clear" w:color="auto" w:fill="FFFFFF"/>
              <w:spacing w:after="0" w:line="240" w:lineRule="auto"/>
              <w:rPr>
                <w:rFonts w:ascii="Arial" w:hAnsi="Arial" w:cs="Arial"/>
                <w:color w:val="141414"/>
              </w:rPr>
            </w:pPr>
          </w:p>
          <w:p w14:paraId="57DA5A13" w14:textId="7D8375B3" w:rsidR="008125EC" w:rsidRPr="003358BB" w:rsidRDefault="008125EC" w:rsidP="008125EC">
            <w:pPr>
              <w:shd w:val="clear" w:color="auto" w:fill="FFFFFF"/>
              <w:spacing w:after="0" w:line="240" w:lineRule="auto"/>
              <w:rPr>
                <w:rFonts w:ascii="Arial" w:eastAsia="Times New Roman" w:hAnsi="Arial" w:cs="Arial"/>
                <w:color w:val="141414"/>
              </w:rPr>
            </w:pPr>
            <w:r>
              <w:rPr>
                <w:rFonts w:ascii="Arial" w:hAnsi="Arial" w:cs="Arial"/>
                <w:color w:val="141414"/>
              </w:rPr>
              <w:t xml:space="preserve">PRR1093: </w:t>
            </w:r>
            <w:r w:rsidRPr="00B82AC8">
              <w:rPr>
                <w:rFonts w:ascii="Arial" w:hAnsi="Arial" w:cs="Arial"/>
                <w:color w:val="141414"/>
              </w:rPr>
              <w:t>This is for an enhancement to modify the calculation logic for the Fifteen-Minute Schedules from hourly resources. The change is explained in a new section 11.3.13. Additionally, we added a clarification in section 16.2.1.1.4 in regards to Energy Transfer System Resource (ETSR) treatment of tagged quantities where</w:t>
            </w:r>
            <w:r w:rsidR="005F24C1">
              <w:rPr>
                <w:rFonts w:ascii="Arial" w:hAnsi="Arial" w:cs="Arial"/>
                <w:color w:val="141414"/>
              </w:rPr>
              <w:t xml:space="preserve"> WEIM </w:t>
            </w:r>
            <w:r w:rsidRPr="00B82AC8">
              <w:rPr>
                <w:rFonts w:ascii="Arial" w:hAnsi="Arial" w:cs="Arial"/>
                <w:color w:val="141414"/>
              </w:rPr>
              <w:t>BAAs paring includes the ISO BAA.</w:t>
            </w:r>
          </w:p>
        </w:tc>
      </w:tr>
      <w:tr w:rsidR="008125EC" w:rsidRPr="008D505E" w14:paraId="5CC9B99A" w14:textId="77777777" w:rsidTr="000914B7">
        <w:tc>
          <w:tcPr>
            <w:tcW w:w="1234" w:type="dxa"/>
            <w:vAlign w:val="center"/>
          </w:tcPr>
          <w:p w14:paraId="5FB1CE66" w14:textId="77DAD99B" w:rsidR="008125EC" w:rsidRDefault="008125EC" w:rsidP="008125EC">
            <w:pPr>
              <w:spacing w:before="60" w:after="60"/>
              <w:jc w:val="center"/>
              <w:rPr>
                <w:rFonts w:cs="Arial"/>
              </w:rPr>
            </w:pPr>
            <w:r>
              <w:rPr>
                <w:rFonts w:cs="Arial"/>
              </w:rPr>
              <w:lastRenderedPageBreak/>
              <w:t>11</w:t>
            </w:r>
          </w:p>
        </w:tc>
        <w:tc>
          <w:tcPr>
            <w:tcW w:w="1297" w:type="dxa"/>
            <w:vAlign w:val="center"/>
          </w:tcPr>
          <w:p w14:paraId="4347FC6A" w14:textId="6D8CD3B6" w:rsidR="008125EC" w:rsidRDefault="008125EC" w:rsidP="008125EC">
            <w:pPr>
              <w:spacing w:before="60" w:after="60"/>
              <w:jc w:val="center"/>
              <w:rPr>
                <w:rFonts w:cs="Arial"/>
              </w:rPr>
            </w:pPr>
            <w:r>
              <w:rPr>
                <w:rFonts w:cs="Arial"/>
              </w:rPr>
              <w:t>1068</w:t>
            </w:r>
          </w:p>
        </w:tc>
        <w:tc>
          <w:tcPr>
            <w:tcW w:w="1440" w:type="dxa"/>
            <w:vAlign w:val="center"/>
          </w:tcPr>
          <w:p w14:paraId="3BAB54C9" w14:textId="59BF6865" w:rsidR="008125EC" w:rsidRDefault="008125EC" w:rsidP="008125EC">
            <w:pPr>
              <w:spacing w:before="60" w:after="60"/>
              <w:jc w:val="center"/>
              <w:rPr>
                <w:rFonts w:cs="Arial"/>
              </w:rPr>
            </w:pPr>
            <w:r>
              <w:rPr>
                <w:rFonts w:cs="Arial"/>
              </w:rPr>
              <w:t>09/04/2018</w:t>
            </w:r>
          </w:p>
        </w:tc>
        <w:tc>
          <w:tcPr>
            <w:tcW w:w="5887" w:type="dxa"/>
            <w:vAlign w:val="center"/>
          </w:tcPr>
          <w:p w14:paraId="36E07A89" w14:textId="01C6A8C3" w:rsidR="008125EC" w:rsidRDefault="008125EC" w:rsidP="008125EC">
            <w:pPr>
              <w:shd w:val="clear" w:color="auto" w:fill="FFFFFF"/>
              <w:spacing w:after="0" w:line="240" w:lineRule="auto"/>
              <w:rPr>
                <w:rFonts w:ascii="Arial" w:eastAsia="Times New Roman" w:hAnsi="Arial" w:cs="Arial"/>
                <w:color w:val="141414"/>
              </w:rPr>
            </w:pPr>
            <w:r w:rsidRPr="00011923">
              <w:rPr>
                <w:rFonts w:ascii="Arial" w:hAnsi="Arial" w:cs="Arial"/>
                <w:color w:val="141414"/>
              </w:rPr>
              <w:t xml:space="preserve">Added new paragraphs to define the behavior of the </w:t>
            </w:r>
            <w:r w:rsidR="005F24C1">
              <w:rPr>
                <w:rFonts w:ascii="Arial" w:hAnsi="Arial" w:cs="Arial"/>
                <w:color w:val="141414"/>
              </w:rPr>
              <w:t>Western Energy Imbalance Market</w:t>
            </w:r>
            <w:r w:rsidRPr="00011923">
              <w:rPr>
                <w:rFonts w:ascii="Arial" w:hAnsi="Arial" w:cs="Arial"/>
                <w:color w:val="141414"/>
              </w:rPr>
              <w:t xml:space="preserve"> total and incremental flow constraint. Additionally, a clarification was added to paragraph 11.1.6 entitlement constraint for rate of changes. Effective date is August 2018.</w:t>
            </w:r>
          </w:p>
        </w:tc>
      </w:tr>
      <w:tr w:rsidR="008125EC" w:rsidRPr="003358BB" w14:paraId="10ACE2F1" w14:textId="77777777" w:rsidTr="000914B7">
        <w:tc>
          <w:tcPr>
            <w:tcW w:w="1234" w:type="dxa"/>
            <w:vAlign w:val="center"/>
          </w:tcPr>
          <w:p w14:paraId="440D5DA5" w14:textId="385993F9" w:rsidR="008125EC" w:rsidRDefault="008125EC" w:rsidP="008125EC">
            <w:pPr>
              <w:spacing w:before="60" w:after="60"/>
              <w:jc w:val="center"/>
              <w:rPr>
                <w:rFonts w:cs="Arial"/>
              </w:rPr>
            </w:pPr>
            <w:r>
              <w:rPr>
                <w:rFonts w:cs="Arial"/>
              </w:rPr>
              <w:t>10</w:t>
            </w:r>
          </w:p>
        </w:tc>
        <w:tc>
          <w:tcPr>
            <w:tcW w:w="1297" w:type="dxa"/>
            <w:vAlign w:val="center"/>
          </w:tcPr>
          <w:p w14:paraId="4FCE628D" w14:textId="7957FA13" w:rsidR="008125EC" w:rsidRDefault="008125EC" w:rsidP="008125EC">
            <w:pPr>
              <w:spacing w:before="60" w:after="60"/>
              <w:jc w:val="center"/>
              <w:rPr>
                <w:rFonts w:cs="Arial"/>
              </w:rPr>
            </w:pPr>
            <w:r>
              <w:rPr>
                <w:rFonts w:cs="Arial"/>
              </w:rPr>
              <w:t>1033, 1051</w:t>
            </w:r>
          </w:p>
        </w:tc>
        <w:tc>
          <w:tcPr>
            <w:tcW w:w="1440" w:type="dxa"/>
            <w:vAlign w:val="center"/>
          </w:tcPr>
          <w:p w14:paraId="3BA78C5F" w14:textId="0843CCDB" w:rsidR="008125EC" w:rsidRDefault="008125EC" w:rsidP="008125EC">
            <w:pPr>
              <w:spacing w:before="60" w:after="60"/>
              <w:jc w:val="center"/>
              <w:rPr>
                <w:rFonts w:cs="Arial"/>
              </w:rPr>
            </w:pPr>
            <w:r>
              <w:rPr>
                <w:rFonts w:cs="Arial"/>
              </w:rPr>
              <w:t>4/02/2018</w:t>
            </w:r>
          </w:p>
        </w:tc>
        <w:tc>
          <w:tcPr>
            <w:tcW w:w="5887" w:type="dxa"/>
            <w:vAlign w:val="center"/>
          </w:tcPr>
          <w:p w14:paraId="797A9B77" w14:textId="44A2A230" w:rsidR="008125EC" w:rsidRPr="008C1669"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(1033) </w:t>
            </w:r>
            <w:r w:rsidRPr="008C1669">
              <w:rPr>
                <w:rFonts w:ascii="Arial" w:eastAsia="Times New Roman" w:hAnsi="Arial" w:cs="Arial"/>
                <w:color w:val="141414"/>
              </w:rPr>
              <w:t>This revision is due to the</w:t>
            </w:r>
            <w:r w:rsidR="005F24C1">
              <w:rPr>
                <w:rFonts w:ascii="Arial" w:eastAsia="Times New Roman" w:hAnsi="Arial" w:cs="Arial"/>
                <w:color w:val="141414"/>
              </w:rPr>
              <w:t xml:space="preserve"> WEIM </w:t>
            </w:r>
            <w:r w:rsidRPr="008C1669">
              <w:rPr>
                <w:rFonts w:ascii="Arial" w:eastAsia="Times New Roman" w:hAnsi="Arial" w:cs="Arial"/>
                <w:color w:val="141414"/>
              </w:rPr>
              <w:t>Enhancement 2017 initiative which includes the following functionalities;</w:t>
            </w:r>
          </w:p>
          <w:p w14:paraId="6FAB2C73" w14:textId="7777777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Automated matching of import/export schedule changes.</w:t>
            </w:r>
          </w:p>
          <w:p w14:paraId="14D51A50" w14:textId="7777777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Automated mirror system resources at CAISO intertie scheduling points.</w:t>
            </w:r>
          </w:p>
          <w:p w14:paraId="4E5F1D25" w14:textId="3B69E7B4"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Base</w:t>
            </w:r>
            <w:r w:rsidR="005F24C1">
              <w:rPr>
                <w:rFonts w:ascii="Arial" w:eastAsia="Times New Roman" w:hAnsi="Arial" w:cs="Arial"/>
                <w:color w:val="141414"/>
              </w:rPr>
              <w:t xml:space="preserve"> WEIM </w:t>
            </w:r>
            <w:r w:rsidRPr="008C1669">
              <w:rPr>
                <w:rFonts w:ascii="Arial" w:eastAsia="Times New Roman" w:hAnsi="Arial" w:cs="Arial"/>
                <w:color w:val="141414"/>
              </w:rPr>
              <w:t>transfer resource imbalance settlement.</w:t>
            </w:r>
          </w:p>
          <w:p w14:paraId="31EDE31E" w14:textId="7777777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New non-generator resource (NGR) modeling functionality.</w:t>
            </w:r>
          </w:p>
          <w:p w14:paraId="0E2EC51A" w14:textId="16F52DD9"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Allow submission of base generation distribution factors (GDFs) for aggregated</w:t>
            </w:r>
            <w:r w:rsidR="005F24C1">
              <w:rPr>
                <w:rFonts w:ascii="Arial" w:eastAsia="Times New Roman" w:hAnsi="Arial" w:cs="Arial"/>
                <w:color w:val="141414"/>
              </w:rPr>
              <w:t xml:space="preserve"> WEIM </w:t>
            </w:r>
            <w:r w:rsidR="00153940">
              <w:rPr>
                <w:rFonts w:ascii="Arial" w:eastAsia="Times New Roman" w:hAnsi="Arial" w:cs="Arial"/>
                <w:color w:val="141414"/>
              </w:rPr>
              <w:t>non-participating resources.</w:t>
            </w:r>
          </w:p>
          <w:p w14:paraId="334C29B3" w14:textId="77777777" w:rsidR="008125EC" w:rsidRPr="008C1669" w:rsidRDefault="008125EC" w:rsidP="008125EC">
            <w:p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In addition, this revision includes some clarification of the provisions associated with the submission and processing of variable energy resource forecasts;</w:t>
            </w:r>
          </w:p>
          <w:p w14:paraId="0BE874CC" w14:textId="06A83927" w:rsidR="008125EC" w:rsidRPr="008C1669"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t xml:space="preserve">Allow </w:t>
            </w:r>
            <w:r w:rsidR="00153940">
              <w:rPr>
                <w:rFonts w:ascii="Arial" w:eastAsia="Times New Roman" w:hAnsi="Arial" w:cs="Arial"/>
                <w:color w:val="141414"/>
              </w:rPr>
              <w:t>a WEIM</w:t>
            </w:r>
            <w:r w:rsidR="005F24C1">
              <w:rPr>
                <w:rFonts w:ascii="Arial" w:eastAsia="Times New Roman" w:hAnsi="Arial" w:cs="Arial"/>
                <w:color w:val="141414"/>
              </w:rPr>
              <w:t xml:space="preserve"> </w:t>
            </w:r>
            <w:r w:rsidRPr="008C1669">
              <w:rPr>
                <w:rFonts w:ascii="Arial" w:eastAsia="Times New Roman" w:hAnsi="Arial" w:cs="Arial"/>
                <w:color w:val="141414"/>
              </w:rPr>
              <w:t xml:space="preserve">Entity VER forecast to be considered independent if it is used for balancing their system  </w:t>
            </w:r>
          </w:p>
          <w:p w14:paraId="6FD5757F" w14:textId="77777777" w:rsidR="008125EC" w:rsidRDefault="008125EC" w:rsidP="008125EC">
            <w:pPr>
              <w:numPr>
                <w:ilvl w:val="0"/>
                <w:numId w:val="76"/>
              </w:numPr>
              <w:shd w:val="clear" w:color="auto" w:fill="FFFFFF"/>
              <w:spacing w:after="0" w:line="240" w:lineRule="auto"/>
              <w:rPr>
                <w:rFonts w:ascii="Arial" w:eastAsia="Times New Roman" w:hAnsi="Arial" w:cs="Arial"/>
                <w:color w:val="141414"/>
              </w:rPr>
            </w:pPr>
            <w:r w:rsidRPr="008C1669">
              <w:rPr>
                <w:rFonts w:ascii="Arial" w:eastAsia="Times New Roman" w:hAnsi="Arial" w:cs="Arial"/>
                <w:color w:val="141414"/>
              </w:rPr>
              <w:lastRenderedPageBreak/>
              <w:t>Allow for freezing VER forecast between T-55 and T-40.</w:t>
            </w:r>
          </w:p>
          <w:p w14:paraId="0A94FCA4" w14:textId="1ECE2BDE" w:rsidR="008125EC" w:rsidRPr="003358BB" w:rsidRDefault="008125EC" w:rsidP="008125EC">
            <w:pPr>
              <w:shd w:val="clear" w:color="auto" w:fill="FFFFFF"/>
              <w:spacing w:after="0" w:line="240" w:lineRule="auto"/>
              <w:rPr>
                <w:rFonts w:ascii="Arial" w:eastAsia="Times New Roman" w:hAnsi="Arial" w:cs="Arial"/>
                <w:color w:val="141414"/>
              </w:rPr>
            </w:pPr>
            <w:r>
              <w:rPr>
                <w:rFonts w:ascii="Arial" w:eastAsia="Times New Roman" w:hAnsi="Arial" w:cs="Arial"/>
                <w:color w:val="141414"/>
              </w:rPr>
              <w:t xml:space="preserve">(1051) </w:t>
            </w:r>
            <w:r w:rsidRPr="00DC131B">
              <w:rPr>
                <w:rFonts w:ascii="Arial" w:hAnsi="Arial" w:cs="Arial"/>
                <w:color w:val="141414"/>
              </w:rPr>
              <w:t>clarify</w:t>
            </w:r>
            <w:r>
              <w:rPr>
                <w:rFonts w:ascii="Arial" w:hAnsi="Arial" w:cs="Arial"/>
                <w:color w:val="141414"/>
              </w:rPr>
              <w:t>ing</w:t>
            </w:r>
            <w:r w:rsidRPr="00DC131B">
              <w:rPr>
                <w:rFonts w:ascii="Arial" w:hAnsi="Arial" w:cs="Arial"/>
                <w:color w:val="141414"/>
              </w:rPr>
              <w:t xml:space="preserve"> the flexible ramping requirements for the new</w:t>
            </w:r>
            <w:r w:rsidR="005F24C1">
              <w:rPr>
                <w:rFonts w:ascii="Arial" w:hAnsi="Arial" w:cs="Arial"/>
                <w:color w:val="141414"/>
              </w:rPr>
              <w:t xml:space="preserve"> WEIM </w:t>
            </w:r>
            <w:r w:rsidRPr="00DC131B">
              <w:rPr>
                <w:rFonts w:ascii="Arial" w:hAnsi="Arial" w:cs="Arial"/>
                <w:color w:val="141414"/>
              </w:rPr>
              <w:t>entities joining the EIM</w:t>
            </w:r>
          </w:p>
        </w:tc>
      </w:tr>
      <w:tr w:rsidR="008125EC" w:rsidRPr="008D505E" w14:paraId="4B779463" w14:textId="77777777" w:rsidTr="000914B7">
        <w:tc>
          <w:tcPr>
            <w:tcW w:w="1234" w:type="dxa"/>
            <w:vAlign w:val="center"/>
          </w:tcPr>
          <w:p w14:paraId="3AE95C50" w14:textId="5AE02BB7" w:rsidR="008125EC" w:rsidRDefault="008125EC" w:rsidP="008125EC">
            <w:pPr>
              <w:spacing w:before="60" w:after="60"/>
              <w:jc w:val="center"/>
              <w:rPr>
                <w:rFonts w:cs="Arial"/>
              </w:rPr>
            </w:pPr>
            <w:r>
              <w:rPr>
                <w:rFonts w:cs="Arial"/>
              </w:rPr>
              <w:lastRenderedPageBreak/>
              <w:t>9</w:t>
            </w:r>
          </w:p>
        </w:tc>
        <w:tc>
          <w:tcPr>
            <w:tcW w:w="1297" w:type="dxa"/>
            <w:vAlign w:val="center"/>
          </w:tcPr>
          <w:p w14:paraId="2587393D" w14:textId="62832516" w:rsidR="008125EC" w:rsidRDefault="008125EC" w:rsidP="008125EC">
            <w:pPr>
              <w:spacing w:before="60" w:after="60"/>
              <w:jc w:val="center"/>
              <w:rPr>
                <w:rFonts w:cs="Arial"/>
              </w:rPr>
            </w:pPr>
            <w:r>
              <w:rPr>
                <w:rFonts w:cs="Arial"/>
              </w:rPr>
              <w:t>1032</w:t>
            </w:r>
          </w:p>
        </w:tc>
        <w:tc>
          <w:tcPr>
            <w:tcW w:w="1440" w:type="dxa"/>
            <w:vAlign w:val="center"/>
          </w:tcPr>
          <w:p w14:paraId="4FABB146" w14:textId="20CAA1C3" w:rsidR="008125EC" w:rsidRDefault="008125EC" w:rsidP="008125EC">
            <w:pPr>
              <w:spacing w:before="60" w:after="60"/>
              <w:jc w:val="center"/>
              <w:rPr>
                <w:rFonts w:cs="Arial"/>
              </w:rPr>
            </w:pPr>
            <w:r>
              <w:rPr>
                <w:rFonts w:cs="Arial"/>
              </w:rPr>
              <w:t>1/2/2018</w:t>
            </w:r>
          </w:p>
        </w:tc>
        <w:tc>
          <w:tcPr>
            <w:tcW w:w="5887" w:type="dxa"/>
            <w:vAlign w:val="center"/>
          </w:tcPr>
          <w:p w14:paraId="08BCBBA6" w14:textId="2B9E5F96" w:rsidR="008125EC" w:rsidRPr="00011923" w:rsidRDefault="008125EC" w:rsidP="008125EC">
            <w:pPr>
              <w:shd w:val="clear" w:color="auto" w:fill="FFFFFF"/>
              <w:spacing w:after="0" w:line="240" w:lineRule="auto"/>
              <w:rPr>
                <w:rFonts w:ascii="Arial" w:hAnsi="Arial" w:cs="Arial"/>
                <w:color w:val="141414"/>
              </w:rPr>
            </w:pPr>
            <w:r>
              <w:rPr>
                <w:rFonts w:ascii="Arial" w:eastAsia="Times New Roman" w:hAnsi="Arial" w:cs="Arial"/>
                <w:color w:val="141414"/>
              </w:rPr>
              <w:t>This BPM change is to enhance the current methodology used to calculate histogram percentile that is utilized in the bid range capacity test requirements. Effective 1/4/2018. Section 11.3.2.2 is updated accordingly. PRR 1032.</w:t>
            </w:r>
          </w:p>
        </w:tc>
      </w:tr>
      <w:tr w:rsidR="008125EC" w:rsidRPr="008D505E" w14:paraId="1D511EDE" w14:textId="77777777" w:rsidTr="000914B7">
        <w:tc>
          <w:tcPr>
            <w:tcW w:w="1234" w:type="dxa"/>
            <w:vAlign w:val="center"/>
          </w:tcPr>
          <w:p w14:paraId="75740EBA" w14:textId="41B1CBC0" w:rsidR="008125EC" w:rsidRDefault="008125EC" w:rsidP="008125EC">
            <w:pPr>
              <w:spacing w:before="60" w:after="60"/>
              <w:jc w:val="center"/>
              <w:rPr>
                <w:rFonts w:cs="Arial"/>
              </w:rPr>
            </w:pPr>
            <w:r>
              <w:rPr>
                <w:rFonts w:cs="Arial"/>
              </w:rPr>
              <w:t>8</w:t>
            </w:r>
          </w:p>
        </w:tc>
        <w:tc>
          <w:tcPr>
            <w:tcW w:w="1297" w:type="dxa"/>
            <w:vAlign w:val="center"/>
          </w:tcPr>
          <w:p w14:paraId="0065E358" w14:textId="724564AE" w:rsidR="008125EC" w:rsidRDefault="008125EC" w:rsidP="008125EC">
            <w:pPr>
              <w:spacing w:before="60" w:after="60"/>
              <w:jc w:val="center"/>
              <w:rPr>
                <w:rFonts w:cs="Arial"/>
              </w:rPr>
            </w:pPr>
            <w:r>
              <w:rPr>
                <w:rFonts w:cs="Arial"/>
              </w:rPr>
              <w:t>984</w:t>
            </w:r>
          </w:p>
        </w:tc>
        <w:tc>
          <w:tcPr>
            <w:tcW w:w="1440" w:type="dxa"/>
            <w:vAlign w:val="center"/>
          </w:tcPr>
          <w:p w14:paraId="5FCF5E7D" w14:textId="54EE9990" w:rsidR="008125EC" w:rsidRDefault="008125EC" w:rsidP="008125EC">
            <w:pPr>
              <w:spacing w:before="60" w:after="60"/>
              <w:jc w:val="center"/>
              <w:rPr>
                <w:rFonts w:cs="Arial"/>
              </w:rPr>
            </w:pPr>
            <w:r>
              <w:rPr>
                <w:rFonts w:cs="Arial"/>
              </w:rPr>
              <w:t>5/31/2017</w:t>
            </w:r>
          </w:p>
        </w:tc>
        <w:tc>
          <w:tcPr>
            <w:tcW w:w="5887" w:type="dxa"/>
            <w:vAlign w:val="center"/>
          </w:tcPr>
          <w:p w14:paraId="3168D21B" w14:textId="12C3235B" w:rsidR="008125EC" w:rsidRDefault="008125EC" w:rsidP="008125EC">
            <w:pPr>
              <w:shd w:val="clear" w:color="auto" w:fill="FFFFFF"/>
              <w:spacing w:after="0" w:line="240" w:lineRule="auto"/>
              <w:rPr>
                <w:rFonts w:ascii="Arial" w:eastAsia="Times New Roman" w:hAnsi="Arial" w:cs="Arial"/>
                <w:color w:val="141414"/>
              </w:rPr>
            </w:pPr>
            <w:r w:rsidRPr="00CF393E">
              <w:rPr>
                <w:rFonts w:ascii="Arial" w:eastAsia="Times New Roman" w:hAnsi="Arial" w:cs="Arial"/>
                <w:color w:val="141414"/>
              </w:rPr>
              <w:t>This is due to a recent discovery regarding netting, versus not netting, imports and exports for every hour, for the purpose of calculating histograms percentage differences.</w:t>
            </w:r>
            <w:r w:rsidRPr="00CF393E">
              <w:rPr>
                <w:rFonts w:ascii="Arial" w:eastAsia="Times New Roman" w:hAnsi="Arial" w:cs="Arial"/>
                <w:color w:val="141414"/>
                <w:sz w:val="18"/>
                <w:szCs w:val="18"/>
              </w:rPr>
              <w:t xml:space="preserve">  </w:t>
            </w:r>
            <w:r w:rsidRPr="00CF393E">
              <w:rPr>
                <w:rFonts w:ascii="Arial" w:eastAsia="Times New Roman" w:hAnsi="Arial" w:cs="Arial"/>
                <w:color w:val="141414"/>
                <w:sz w:val="20"/>
                <w:szCs w:val="20"/>
              </w:rPr>
              <w:t>Effective 4/1/17.</w:t>
            </w:r>
          </w:p>
        </w:tc>
      </w:tr>
      <w:tr w:rsidR="008125EC" w:rsidRPr="008D505E" w14:paraId="506EC8FF" w14:textId="77777777" w:rsidTr="000914B7">
        <w:tc>
          <w:tcPr>
            <w:tcW w:w="1234" w:type="dxa"/>
            <w:vAlign w:val="center"/>
          </w:tcPr>
          <w:p w14:paraId="1035A34B" w14:textId="485E3198" w:rsidR="008125EC" w:rsidRDefault="008125EC" w:rsidP="008125EC">
            <w:pPr>
              <w:spacing w:before="60" w:after="60"/>
              <w:jc w:val="center"/>
              <w:rPr>
                <w:rFonts w:cs="Arial"/>
              </w:rPr>
            </w:pPr>
            <w:r>
              <w:rPr>
                <w:rFonts w:cs="Arial"/>
              </w:rPr>
              <w:t>7</w:t>
            </w:r>
          </w:p>
        </w:tc>
        <w:tc>
          <w:tcPr>
            <w:tcW w:w="1297" w:type="dxa"/>
            <w:vAlign w:val="center"/>
          </w:tcPr>
          <w:p w14:paraId="74C63907" w14:textId="2A531AC8" w:rsidR="008125EC" w:rsidRDefault="008125EC" w:rsidP="008125EC">
            <w:pPr>
              <w:spacing w:before="60" w:after="60"/>
              <w:jc w:val="center"/>
              <w:rPr>
                <w:rFonts w:cs="Arial"/>
              </w:rPr>
            </w:pPr>
            <w:r>
              <w:rPr>
                <w:rFonts w:cs="Arial"/>
              </w:rPr>
              <w:t>964</w:t>
            </w:r>
          </w:p>
        </w:tc>
        <w:tc>
          <w:tcPr>
            <w:tcW w:w="1440" w:type="dxa"/>
            <w:vAlign w:val="center"/>
          </w:tcPr>
          <w:p w14:paraId="7386B800" w14:textId="4C5D7B12" w:rsidR="008125EC" w:rsidRDefault="008125EC" w:rsidP="008125EC">
            <w:pPr>
              <w:spacing w:before="60" w:after="60"/>
              <w:jc w:val="center"/>
              <w:rPr>
                <w:rFonts w:cs="Arial"/>
              </w:rPr>
            </w:pPr>
            <w:r>
              <w:rPr>
                <w:rFonts w:cs="Arial"/>
              </w:rPr>
              <w:t>4/10/2017</w:t>
            </w:r>
          </w:p>
        </w:tc>
        <w:tc>
          <w:tcPr>
            <w:tcW w:w="5887" w:type="dxa"/>
            <w:vAlign w:val="center"/>
          </w:tcPr>
          <w:p w14:paraId="124DDEF3" w14:textId="48057A5E" w:rsidR="008125EC" w:rsidRDefault="008125EC" w:rsidP="008125EC">
            <w:pPr>
              <w:shd w:val="clear" w:color="auto" w:fill="FFFFFF"/>
              <w:spacing w:after="0" w:line="240" w:lineRule="auto"/>
              <w:rPr>
                <w:rFonts w:ascii="Arial" w:eastAsia="Times New Roman" w:hAnsi="Arial" w:cs="Arial"/>
                <w:color w:val="141414"/>
              </w:rPr>
            </w:pPr>
            <w:r>
              <w:rPr>
                <w:rFonts w:cs="Arial"/>
              </w:rPr>
              <w:t>Added new Tariff language to “Metering” Section 8 to include SQMD Plan &amp; requirements for SCME’s; Removed section 12 (PRD/RDRR) from being unavailable to</w:t>
            </w:r>
            <w:r w:rsidR="005F24C1">
              <w:rPr>
                <w:rFonts w:cs="Arial"/>
              </w:rPr>
              <w:t xml:space="preserve"> WEIM </w:t>
            </w:r>
            <w:r>
              <w:rPr>
                <w:rFonts w:cs="Arial"/>
              </w:rPr>
              <w:t>market participants; Added 15-min option to “Participating” Generators granularity level.</w:t>
            </w:r>
          </w:p>
        </w:tc>
      </w:tr>
      <w:tr w:rsidR="008125EC" w:rsidRPr="008D505E" w14:paraId="00B0F8AF" w14:textId="77777777" w:rsidTr="000914B7">
        <w:tc>
          <w:tcPr>
            <w:tcW w:w="1234" w:type="dxa"/>
            <w:vAlign w:val="center"/>
          </w:tcPr>
          <w:p w14:paraId="426BD2DF" w14:textId="75562953" w:rsidR="008125EC" w:rsidRDefault="008125EC" w:rsidP="008125EC">
            <w:pPr>
              <w:spacing w:before="60" w:after="60"/>
              <w:jc w:val="center"/>
              <w:rPr>
                <w:rFonts w:cs="Arial"/>
              </w:rPr>
            </w:pPr>
            <w:r w:rsidRPr="008D505E">
              <w:rPr>
                <w:rFonts w:cs="Arial"/>
              </w:rPr>
              <w:t>6</w:t>
            </w:r>
          </w:p>
        </w:tc>
        <w:tc>
          <w:tcPr>
            <w:tcW w:w="1297" w:type="dxa"/>
            <w:vAlign w:val="center"/>
          </w:tcPr>
          <w:p w14:paraId="3D8589FB" w14:textId="0AD578FC" w:rsidR="008125EC" w:rsidRDefault="008125EC" w:rsidP="008125EC">
            <w:pPr>
              <w:spacing w:before="60" w:after="60"/>
              <w:jc w:val="center"/>
              <w:rPr>
                <w:rFonts w:cs="Arial"/>
              </w:rPr>
            </w:pPr>
            <w:r>
              <w:rPr>
                <w:rFonts w:cs="Arial"/>
              </w:rPr>
              <w:t>939</w:t>
            </w:r>
          </w:p>
        </w:tc>
        <w:tc>
          <w:tcPr>
            <w:tcW w:w="1440" w:type="dxa"/>
            <w:vAlign w:val="center"/>
          </w:tcPr>
          <w:p w14:paraId="470B3B46" w14:textId="1F7C311E" w:rsidR="008125EC" w:rsidRDefault="008125EC" w:rsidP="008125EC">
            <w:pPr>
              <w:spacing w:before="60" w:after="60"/>
              <w:jc w:val="center"/>
              <w:rPr>
                <w:rFonts w:cs="Arial"/>
              </w:rPr>
            </w:pPr>
            <w:r>
              <w:rPr>
                <w:rFonts w:cs="Arial"/>
              </w:rPr>
              <w:t>8-31-16</w:t>
            </w:r>
          </w:p>
        </w:tc>
        <w:tc>
          <w:tcPr>
            <w:tcW w:w="5887" w:type="dxa"/>
            <w:vAlign w:val="center"/>
          </w:tcPr>
          <w:p w14:paraId="14EDC526" w14:textId="0F252BFC" w:rsidR="008125EC" w:rsidRDefault="008125EC" w:rsidP="008125EC">
            <w:pPr>
              <w:shd w:val="clear" w:color="auto" w:fill="FFFFFF"/>
              <w:spacing w:after="0" w:line="240" w:lineRule="auto"/>
              <w:rPr>
                <w:rFonts w:cs="Arial"/>
              </w:rPr>
            </w:pPr>
            <w:r>
              <w:rPr>
                <w:rFonts w:cs="Arial"/>
              </w:rPr>
              <w:t>This revision includes congestion cost content due to</w:t>
            </w:r>
            <w:r w:rsidR="005F24C1">
              <w:rPr>
                <w:rFonts w:cs="Arial"/>
              </w:rPr>
              <w:t xml:space="preserve"> WEIM </w:t>
            </w:r>
            <w:r>
              <w:rPr>
                <w:rFonts w:cs="Arial"/>
              </w:rPr>
              <w:t>Y1 P2 enhancement project</w:t>
            </w:r>
          </w:p>
        </w:tc>
      </w:tr>
      <w:tr w:rsidR="008125EC" w:rsidRPr="008D505E" w14:paraId="7C9D6764"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2DA23475" w14:textId="266A27E3" w:rsidR="008125EC" w:rsidRPr="008D505E" w:rsidRDefault="008125EC" w:rsidP="008125EC">
            <w:pPr>
              <w:spacing w:before="60" w:after="60"/>
              <w:jc w:val="center"/>
              <w:rPr>
                <w:rFonts w:cs="Arial"/>
              </w:rPr>
            </w:pPr>
            <w:r>
              <w:rPr>
                <w:rFonts w:cs="Arial"/>
              </w:rPr>
              <w:t>5</w:t>
            </w:r>
          </w:p>
        </w:tc>
        <w:tc>
          <w:tcPr>
            <w:tcW w:w="1297" w:type="dxa"/>
            <w:tcBorders>
              <w:top w:val="single" w:sz="4" w:space="0" w:color="auto"/>
              <w:left w:val="single" w:sz="4" w:space="0" w:color="auto"/>
              <w:bottom w:val="single" w:sz="4" w:space="0" w:color="auto"/>
              <w:right w:val="single" w:sz="4" w:space="0" w:color="auto"/>
            </w:tcBorders>
            <w:vAlign w:val="center"/>
          </w:tcPr>
          <w:p w14:paraId="42C32D3E" w14:textId="111168B1" w:rsidR="008125EC" w:rsidRDefault="008125EC" w:rsidP="008125EC">
            <w:pPr>
              <w:spacing w:before="60" w:after="60"/>
              <w:jc w:val="center"/>
              <w:rPr>
                <w:rFonts w:cs="Arial"/>
              </w:rPr>
            </w:pPr>
            <w:r>
              <w:rPr>
                <w:rFonts w:cs="Arial"/>
              </w:rPr>
              <w:t>891</w:t>
            </w:r>
          </w:p>
        </w:tc>
        <w:tc>
          <w:tcPr>
            <w:tcW w:w="1440" w:type="dxa"/>
            <w:tcBorders>
              <w:top w:val="single" w:sz="4" w:space="0" w:color="auto"/>
              <w:left w:val="single" w:sz="4" w:space="0" w:color="auto"/>
              <w:bottom w:val="single" w:sz="4" w:space="0" w:color="auto"/>
              <w:right w:val="single" w:sz="4" w:space="0" w:color="auto"/>
            </w:tcBorders>
            <w:vAlign w:val="center"/>
          </w:tcPr>
          <w:p w14:paraId="54AB7AF7" w14:textId="2589477D" w:rsidR="008125EC" w:rsidRDefault="008125EC" w:rsidP="008125EC">
            <w:pPr>
              <w:spacing w:before="60" w:after="60"/>
              <w:jc w:val="center"/>
              <w:rPr>
                <w:rFonts w:cs="Arial"/>
              </w:rPr>
            </w:pPr>
            <w:r>
              <w:rPr>
                <w:rFonts w:cs="Arial"/>
              </w:rPr>
              <w:t>03-31-2016</w:t>
            </w:r>
          </w:p>
        </w:tc>
        <w:tc>
          <w:tcPr>
            <w:tcW w:w="5887" w:type="dxa"/>
            <w:tcBorders>
              <w:top w:val="single" w:sz="4" w:space="0" w:color="auto"/>
              <w:left w:val="single" w:sz="4" w:space="0" w:color="auto"/>
              <w:bottom w:val="single" w:sz="4" w:space="0" w:color="auto"/>
              <w:right w:val="single" w:sz="4" w:space="0" w:color="auto"/>
            </w:tcBorders>
            <w:vAlign w:val="center"/>
          </w:tcPr>
          <w:p w14:paraId="51992E98" w14:textId="6FE1746E" w:rsidR="008125EC" w:rsidRDefault="008125EC" w:rsidP="008125EC">
            <w:pPr>
              <w:spacing w:before="60" w:after="60"/>
              <w:rPr>
                <w:rFonts w:cs="Arial"/>
              </w:rPr>
            </w:pPr>
            <w:r>
              <w:rPr>
                <w:rFonts w:cs="Arial"/>
              </w:rPr>
              <w:t>This revision introduces incremental language pertaining to Available Balancing Capacity (ABC), additionally it improves the language throughout the document.</w:t>
            </w:r>
          </w:p>
        </w:tc>
      </w:tr>
      <w:tr w:rsidR="008125EC" w:rsidRPr="008D505E" w14:paraId="46E642CC"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050F96AE" w14:textId="29413ACE" w:rsidR="008125EC" w:rsidRPr="008D505E" w:rsidRDefault="008125EC" w:rsidP="008125EC">
            <w:pPr>
              <w:spacing w:before="60" w:after="60"/>
              <w:jc w:val="center"/>
              <w:rPr>
                <w:rFonts w:cs="Arial"/>
              </w:rPr>
            </w:pPr>
            <w:r>
              <w:rPr>
                <w:rFonts w:cs="Arial"/>
              </w:rPr>
              <w:t>4</w:t>
            </w:r>
          </w:p>
        </w:tc>
        <w:tc>
          <w:tcPr>
            <w:tcW w:w="1297" w:type="dxa"/>
            <w:tcBorders>
              <w:top w:val="single" w:sz="4" w:space="0" w:color="auto"/>
              <w:left w:val="single" w:sz="4" w:space="0" w:color="auto"/>
              <w:bottom w:val="single" w:sz="4" w:space="0" w:color="auto"/>
              <w:right w:val="single" w:sz="4" w:space="0" w:color="auto"/>
            </w:tcBorders>
            <w:vAlign w:val="center"/>
          </w:tcPr>
          <w:p w14:paraId="421438C6" w14:textId="483ECD95" w:rsidR="008125EC" w:rsidRPr="008D505E" w:rsidRDefault="008125EC" w:rsidP="008125EC">
            <w:pPr>
              <w:spacing w:before="60" w:after="60"/>
              <w:jc w:val="center"/>
              <w:rPr>
                <w:rFonts w:cs="Arial"/>
              </w:rPr>
            </w:pPr>
            <w:r>
              <w:rPr>
                <w:rFonts w:cs="Arial"/>
              </w:rPr>
              <w:t>866</w:t>
            </w:r>
          </w:p>
        </w:tc>
        <w:tc>
          <w:tcPr>
            <w:tcW w:w="1440" w:type="dxa"/>
            <w:tcBorders>
              <w:top w:val="single" w:sz="4" w:space="0" w:color="auto"/>
              <w:left w:val="single" w:sz="4" w:space="0" w:color="auto"/>
              <w:bottom w:val="single" w:sz="4" w:space="0" w:color="auto"/>
              <w:right w:val="single" w:sz="4" w:space="0" w:color="auto"/>
            </w:tcBorders>
            <w:vAlign w:val="center"/>
          </w:tcPr>
          <w:p w14:paraId="1CD2DA2D" w14:textId="3860B480" w:rsidR="008125EC" w:rsidRPr="008D505E" w:rsidRDefault="008125EC" w:rsidP="008125EC">
            <w:pPr>
              <w:spacing w:before="60" w:after="60"/>
              <w:jc w:val="center"/>
              <w:rPr>
                <w:rFonts w:cs="Arial"/>
              </w:rPr>
            </w:pPr>
            <w:r>
              <w:rPr>
                <w:rFonts w:cs="Arial"/>
              </w:rPr>
              <w:t>12/02/2015</w:t>
            </w:r>
          </w:p>
        </w:tc>
        <w:tc>
          <w:tcPr>
            <w:tcW w:w="5887" w:type="dxa"/>
            <w:tcBorders>
              <w:top w:val="single" w:sz="4" w:space="0" w:color="auto"/>
              <w:left w:val="single" w:sz="4" w:space="0" w:color="auto"/>
              <w:bottom w:val="single" w:sz="4" w:space="0" w:color="auto"/>
              <w:right w:val="single" w:sz="4" w:space="0" w:color="auto"/>
            </w:tcBorders>
            <w:vAlign w:val="center"/>
          </w:tcPr>
          <w:p w14:paraId="2B313D9E" w14:textId="64902F20" w:rsidR="008125EC" w:rsidRDefault="008125EC" w:rsidP="008125EC">
            <w:pPr>
              <w:pStyle w:val="ParaText"/>
              <w:spacing w:before="120" w:after="0"/>
              <w:rPr>
                <w:rFonts w:cs="Arial"/>
              </w:rPr>
            </w:pPr>
            <w:r>
              <w:rPr>
                <w:rFonts w:cs="Arial"/>
              </w:rPr>
              <w:t>Updates for</w:t>
            </w:r>
            <w:r w:rsidR="005F24C1">
              <w:rPr>
                <w:rFonts w:cs="Arial"/>
              </w:rPr>
              <w:t xml:space="preserve"> WEIM </w:t>
            </w:r>
            <w:r>
              <w:rPr>
                <w:rFonts w:cs="Arial"/>
              </w:rPr>
              <w:t>Year 1 policy enhancements.</w:t>
            </w:r>
          </w:p>
          <w:p w14:paraId="6008A672" w14:textId="1B15939E" w:rsidR="008125EC" w:rsidRPr="008D505E" w:rsidRDefault="008125EC" w:rsidP="008125EC">
            <w:pPr>
              <w:spacing w:before="60" w:after="60"/>
              <w:rPr>
                <w:rFonts w:cs="Arial"/>
              </w:rPr>
            </w:pPr>
            <w:r>
              <w:rPr>
                <w:rFonts w:cs="Arial"/>
              </w:rPr>
              <w:t>Addition of Readiness Criteria</w:t>
            </w:r>
          </w:p>
        </w:tc>
      </w:tr>
      <w:tr w:rsidR="008125EC" w:rsidRPr="00C03513" w14:paraId="29FF985A"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31150DD2" w14:textId="3E69F389" w:rsidR="008125EC" w:rsidRDefault="008125EC" w:rsidP="008125EC">
            <w:pPr>
              <w:spacing w:before="120"/>
              <w:jc w:val="center"/>
              <w:rPr>
                <w:rFonts w:cs="Arial"/>
              </w:rPr>
            </w:pPr>
            <w:r>
              <w:rPr>
                <w:rFonts w:cs="Arial"/>
              </w:rPr>
              <w:t>3</w:t>
            </w:r>
          </w:p>
        </w:tc>
        <w:tc>
          <w:tcPr>
            <w:tcW w:w="1297" w:type="dxa"/>
            <w:tcBorders>
              <w:top w:val="single" w:sz="4" w:space="0" w:color="auto"/>
              <w:left w:val="single" w:sz="4" w:space="0" w:color="auto"/>
              <w:bottom w:val="single" w:sz="4" w:space="0" w:color="auto"/>
              <w:right w:val="single" w:sz="4" w:space="0" w:color="auto"/>
            </w:tcBorders>
            <w:vAlign w:val="center"/>
          </w:tcPr>
          <w:p w14:paraId="0FBFF853" w14:textId="71105C8A" w:rsidR="008125EC" w:rsidRDefault="008125EC" w:rsidP="008125EC">
            <w:pPr>
              <w:spacing w:before="120"/>
              <w:jc w:val="center"/>
              <w:rPr>
                <w:rFonts w:cs="Arial"/>
              </w:rPr>
            </w:pPr>
            <w:r>
              <w:rPr>
                <w:rFonts w:cs="Arial"/>
              </w:rPr>
              <w:t>846</w:t>
            </w:r>
          </w:p>
        </w:tc>
        <w:tc>
          <w:tcPr>
            <w:tcW w:w="1440" w:type="dxa"/>
            <w:tcBorders>
              <w:top w:val="single" w:sz="4" w:space="0" w:color="auto"/>
              <w:left w:val="single" w:sz="4" w:space="0" w:color="auto"/>
              <w:bottom w:val="single" w:sz="4" w:space="0" w:color="auto"/>
              <w:right w:val="single" w:sz="4" w:space="0" w:color="auto"/>
            </w:tcBorders>
            <w:vAlign w:val="center"/>
          </w:tcPr>
          <w:p w14:paraId="52A6431F" w14:textId="72DD2A46" w:rsidR="008125EC" w:rsidDel="00A54000" w:rsidRDefault="008125EC" w:rsidP="008125EC">
            <w:pPr>
              <w:spacing w:before="120"/>
              <w:jc w:val="center"/>
              <w:rPr>
                <w:rFonts w:cs="Arial"/>
              </w:rPr>
            </w:pPr>
            <w:r>
              <w:rPr>
                <w:rFonts w:cs="Arial"/>
              </w:rPr>
              <w:t>07/06/2015</w:t>
            </w:r>
          </w:p>
        </w:tc>
        <w:tc>
          <w:tcPr>
            <w:tcW w:w="5887" w:type="dxa"/>
            <w:tcBorders>
              <w:top w:val="single" w:sz="4" w:space="0" w:color="auto"/>
              <w:left w:val="single" w:sz="4" w:space="0" w:color="auto"/>
              <w:bottom w:val="single" w:sz="4" w:space="0" w:color="auto"/>
              <w:right w:val="single" w:sz="4" w:space="0" w:color="auto"/>
            </w:tcBorders>
            <w:vAlign w:val="center"/>
          </w:tcPr>
          <w:p w14:paraId="4F69D43A" w14:textId="3DAF927E" w:rsidR="008125EC" w:rsidRDefault="008125EC" w:rsidP="008125EC">
            <w:pPr>
              <w:pStyle w:val="ParaText"/>
              <w:spacing w:before="120" w:after="0"/>
              <w:rPr>
                <w:rFonts w:cs="Arial"/>
              </w:rPr>
            </w:pPr>
            <w:r>
              <w:rPr>
                <w:rFonts w:cs="Arial"/>
              </w:rPr>
              <w:t>for clarification on the transmission relaxation, changes to section 10.1.6 and adding new section 10.1.7</w:t>
            </w:r>
          </w:p>
        </w:tc>
      </w:tr>
      <w:tr w:rsidR="008125EC" w:rsidRPr="00C03513" w14:paraId="45B5B43E"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4D848205" w14:textId="257B9BF2" w:rsidR="008125EC" w:rsidRDefault="008125EC" w:rsidP="008125EC">
            <w:pPr>
              <w:spacing w:before="120"/>
              <w:jc w:val="center"/>
              <w:rPr>
                <w:rFonts w:cs="Arial"/>
              </w:rPr>
            </w:pPr>
            <w:r>
              <w:rPr>
                <w:rFonts w:cs="Arial"/>
              </w:rPr>
              <w:t>2</w:t>
            </w:r>
          </w:p>
        </w:tc>
        <w:tc>
          <w:tcPr>
            <w:tcW w:w="1297" w:type="dxa"/>
            <w:tcBorders>
              <w:top w:val="single" w:sz="4" w:space="0" w:color="auto"/>
              <w:left w:val="single" w:sz="4" w:space="0" w:color="auto"/>
              <w:bottom w:val="single" w:sz="4" w:space="0" w:color="auto"/>
              <w:right w:val="single" w:sz="4" w:space="0" w:color="auto"/>
            </w:tcBorders>
            <w:vAlign w:val="center"/>
          </w:tcPr>
          <w:p w14:paraId="6F7CE509" w14:textId="15D19314" w:rsidR="008125EC" w:rsidRDefault="008125EC" w:rsidP="008125EC">
            <w:pPr>
              <w:spacing w:before="120"/>
              <w:jc w:val="center"/>
              <w:rPr>
                <w:rFonts w:cs="Arial"/>
              </w:rPr>
            </w:pPr>
            <w:r>
              <w:rPr>
                <w:rFonts w:cs="Arial"/>
              </w:rPr>
              <w:t>788</w:t>
            </w:r>
          </w:p>
        </w:tc>
        <w:tc>
          <w:tcPr>
            <w:tcW w:w="1440" w:type="dxa"/>
            <w:tcBorders>
              <w:top w:val="single" w:sz="4" w:space="0" w:color="auto"/>
              <w:left w:val="single" w:sz="4" w:space="0" w:color="auto"/>
              <w:bottom w:val="single" w:sz="4" w:space="0" w:color="auto"/>
              <w:right w:val="single" w:sz="4" w:space="0" w:color="auto"/>
            </w:tcBorders>
            <w:vAlign w:val="center"/>
          </w:tcPr>
          <w:p w14:paraId="256B87B4" w14:textId="4FAC598B" w:rsidR="008125EC" w:rsidRDefault="008125EC" w:rsidP="008125EC">
            <w:pPr>
              <w:spacing w:before="120"/>
              <w:jc w:val="center"/>
              <w:rPr>
                <w:rFonts w:cs="Arial"/>
              </w:rPr>
            </w:pPr>
            <w:r>
              <w:rPr>
                <w:rFonts w:cs="Arial"/>
              </w:rPr>
              <w:t>10/30/2014</w:t>
            </w:r>
          </w:p>
        </w:tc>
        <w:tc>
          <w:tcPr>
            <w:tcW w:w="5887" w:type="dxa"/>
            <w:tcBorders>
              <w:top w:val="single" w:sz="4" w:space="0" w:color="auto"/>
              <w:left w:val="single" w:sz="4" w:space="0" w:color="auto"/>
              <w:bottom w:val="single" w:sz="4" w:space="0" w:color="auto"/>
              <w:right w:val="single" w:sz="4" w:space="0" w:color="auto"/>
            </w:tcBorders>
            <w:vAlign w:val="center"/>
          </w:tcPr>
          <w:p w14:paraId="599F0CAA" w14:textId="2AE89821" w:rsidR="008125EC" w:rsidRDefault="008125EC" w:rsidP="008125EC">
            <w:pPr>
              <w:pStyle w:val="ParaText"/>
              <w:spacing w:before="120" w:after="0"/>
              <w:rPr>
                <w:rFonts w:cs="Arial"/>
              </w:rPr>
            </w:pPr>
            <w:r>
              <w:rPr>
                <w:rFonts w:cs="Arial"/>
              </w:rPr>
              <w:t>Clarification to section 10.3.2.1</w:t>
            </w:r>
          </w:p>
        </w:tc>
      </w:tr>
      <w:tr w:rsidR="008125EC" w:rsidRPr="00C03513" w14:paraId="0F4615DA"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66D08A3C" w14:textId="630A6B4D" w:rsidR="008125EC" w:rsidRDefault="008125EC" w:rsidP="008125EC">
            <w:pPr>
              <w:spacing w:before="120"/>
              <w:jc w:val="center"/>
              <w:rPr>
                <w:rFonts w:cs="Arial"/>
              </w:rPr>
            </w:pPr>
            <w:r>
              <w:rPr>
                <w:rFonts w:cs="Arial"/>
              </w:rPr>
              <w:t>1</w:t>
            </w:r>
          </w:p>
        </w:tc>
        <w:tc>
          <w:tcPr>
            <w:tcW w:w="1297" w:type="dxa"/>
            <w:tcBorders>
              <w:top w:val="single" w:sz="4" w:space="0" w:color="auto"/>
              <w:left w:val="single" w:sz="4" w:space="0" w:color="auto"/>
              <w:bottom w:val="single" w:sz="4" w:space="0" w:color="auto"/>
              <w:right w:val="single" w:sz="4" w:space="0" w:color="auto"/>
            </w:tcBorders>
            <w:vAlign w:val="center"/>
          </w:tcPr>
          <w:p w14:paraId="69540639" w14:textId="5E48304E" w:rsidR="008125EC" w:rsidRDefault="008125EC" w:rsidP="008125EC">
            <w:pPr>
              <w:spacing w:before="120"/>
              <w:jc w:val="center"/>
              <w:rPr>
                <w:rFonts w:cs="Arial"/>
              </w:rPr>
            </w:pPr>
            <w:r>
              <w:rPr>
                <w:rFonts w:cs="Arial"/>
              </w:rPr>
              <w:t>748</w:t>
            </w:r>
          </w:p>
        </w:tc>
        <w:tc>
          <w:tcPr>
            <w:tcW w:w="1440" w:type="dxa"/>
            <w:tcBorders>
              <w:top w:val="single" w:sz="4" w:space="0" w:color="auto"/>
              <w:left w:val="single" w:sz="4" w:space="0" w:color="auto"/>
              <w:bottom w:val="single" w:sz="4" w:space="0" w:color="auto"/>
              <w:right w:val="single" w:sz="4" w:space="0" w:color="auto"/>
            </w:tcBorders>
            <w:vAlign w:val="center"/>
          </w:tcPr>
          <w:p w14:paraId="577F9E29" w14:textId="3D5A56B2" w:rsidR="008125EC" w:rsidRDefault="008125EC" w:rsidP="008125EC">
            <w:pPr>
              <w:spacing w:before="120"/>
              <w:jc w:val="center"/>
              <w:rPr>
                <w:rFonts w:cs="Arial"/>
              </w:rPr>
            </w:pPr>
            <w:r>
              <w:rPr>
                <w:rFonts w:cs="Arial"/>
              </w:rPr>
              <w:t>10/2/2014</w:t>
            </w:r>
          </w:p>
        </w:tc>
        <w:tc>
          <w:tcPr>
            <w:tcW w:w="5887" w:type="dxa"/>
            <w:tcBorders>
              <w:top w:val="single" w:sz="4" w:space="0" w:color="auto"/>
              <w:left w:val="single" w:sz="4" w:space="0" w:color="auto"/>
              <w:bottom w:val="single" w:sz="4" w:space="0" w:color="auto"/>
              <w:right w:val="single" w:sz="4" w:space="0" w:color="auto"/>
            </w:tcBorders>
            <w:vAlign w:val="center"/>
          </w:tcPr>
          <w:p w14:paraId="55E3627C" w14:textId="5DCE3A68" w:rsidR="008125EC" w:rsidRDefault="008125EC" w:rsidP="008125EC">
            <w:pPr>
              <w:pStyle w:val="ParaText"/>
              <w:spacing w:before="120" w:after="0"/>
              <w:rPr>
                <w:rFonts w:cs="Arial"/>
              </w:rPr>
            </w:pPr>
            <w:r>
              <w:rPr>
                <w:rFonts w:cs="Arial"/>
              </w:rPr>
              <w:t>First version released.</w:t>
            </w:r>
          </w:p>
        </w:tc>
      </w:tr>
      <w:tr w:rsidR="008125EC" w:rsidRPr="00C03513" w14:paraId="0A1E19FA"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0EC107C4" w14:textId="5A012A52" w:rsidR="008125EC" w:rsidRDefault="008125EC" w:rsidP="008125EC">
            <w:pPr>
              <w:spacing w:before="120"/>
              <w:jc w:val="center"/>
              <w:rPr>
                <w:rFonts w:cs="Arial"/>
              </w:rPr>
            </w:pPr>
            <w:r>
              <w:rPr>
                <w:rFonts w:cs="Arial"/>
              </w:rPr>
              <w:t>0.3</w:t>
            </w:r>
          </w:p>
        </w:tc>
        <w:tc>
          <w:tcPr>
            <w:tcW w:w="1297" w:type="dxa"/>
            <w:tcBorders>
              <w:top w:val="single" w:sz="4" w:space="0" w:color="auto"/>
              <w:left w:val="single" w:sz="4" w:space="0" w:color="auto"/>
              <w:bottom w:val="single" w:sz="4" w:space="0" w:color="auto"/>
              <w:right w:val="single" w:sz="4" w:space="0" w:color="auto"/>
            </w:tcBorders>
            <w:vAlign w:val="center"/>
          </w:tcPr>
          <w:p w14:paraId="1E53AD31" w14:textId="79C17A61" w:rsidR="008125EC" w:rsidRDefault="008125EC" w:rsidP="008125EC">
            <w:pPr>
              <w:spacing w:before="120"/>
              <w:jc w:val="center"/>
              <w:rPr>
                <w:rFonts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0B27F31E" w14:textId="0104C914" w:rsidR="008125EC" w:rsidRDefault="008125EC" w:rsidP="008125EC">
            <w:pPr>
              <w:spacing w:before="120"/>
              <w:jc w:val="center"/>
              <w:rPr>
                <w:rFonts w:cs="Arial"/>
              </w:rPr>
            </w:pPr>
            <w:r>
              <w:rPr>
                <w:rFonts w:cs="Arial"/>
              </w:rPr>
              <w:t>9/18/2014</w:t>
            </w:r>
          </w:p>
        </w:tc>
        <w:tc>
          <w:tcPr>
            <w:tcW w:w="5887" w:type="dxa"/>
            <w:tcBorders>
              <w:top w:val="single" w:sz="4" w:space="0" w:color="auto"/>
              <w:left w:val="single" w:sz="4" w:space="0" w:color="auto"/>
              <w:bottom w:val="single" w:sz="4" w:space="0" w:color="auto"/>
              <w:right w:val="single" w:sz="4" w:space="0" w:color="auto"/>
            </w:tcBorders>
            <w:vAlign w:val="center"/>
          </w:tcPr>
          <w:p w14:paraId="16A66FDC" w14:textId="0E0B813F" w:rsidR="008125EC" w:rsidRDefault="008125EC" w:rsidP="008125EC">
            <w:pPr>
              <w:pStyle w:val="ParaText"/>
              <w:spacing w:before="120" w:after="0"/>
              <w:rPr>
                <w:rFonts w:cs="Arial"/>
              </w:rPr>
            </w:pPr>
            <w:r>
              <w:rPr>
                <w:rFonts w:cs="Arial"/>
              </w:rPr>
              <w:t>Updated draft section 10.3.3.</w:t>
            </w:r>
          </w:p>
        </w:tc>
      </w:tr>
      <w:tr w:rsidR="008125EC" w:rsidRPr="00C03513" w14:paraId="24478F02" w14:textId="77777777" w:rsidTr="000914B7">
        <w:tc>
          <w:tcPr>
            <w:tcW w:w="1234" w:type="dxa"/>
            <w:tcBorders>
              <w:top w:val="single" w:sz="4" w:space="0" w:color="auto"/>
              <w:left w:val="single" w:sz="4" w:space="0" w:color="auto"/>
              <w:bottom w:val="single" w:sz="4" w:space="0" w:color="auto"/>
              <w:right w:val="single" w:sz="4" w:space="0" w:color="auto"/>
            </w:tcBorders>
            <w:vAlign w:val="center"/>
          </w:tcPr>
          <w:p w14:paraId="3FD73123" w14:textId="00BBC346" w:rsidR="008125EC" w:rsidRPr="00C03513" w:rsidRDefault="008125EC" w:rsidP="008125EC">
            <w:pPr>
              <w:spacing w:before="120"/>
              <w:jc w:val="center"/>
              <w:rPr>
                <w:rFonts w:cs="Arial"/>
              </w:rPr>
            </w:pPr>
            <w:r>
              <w:rPr>
                <w:rFonts w:cs="Arial"/>
              </w:rPr>
              <w:t>0.2</w:t>
            </w:r>
          </w:p>
        </w:tc>
        <w:tc>
          <w:tcPr>
            <w:tcW w:w="1297" w:type="dxa"/>
            <w:tcBorders>
              <w:top w:val="single" w:sz="4" w:space="0" w:color="auto"/>
              <w:left w:val="single" w:sz="4" w:space="0" w:color="auto"/>
              <w:bottom w:val="single" w:sz="4" w:space="0" w:color="auto"/>
              <w:right w:val="single" w:sz="4" w:space="0" w:color="auto"/>
            </w:tcBorders>
            <w:vAlign w:val="center"/>
          </w:tcPr>
          <w:p w14:paraId="3D84D0B9" w14:textId="3D93AC56" w:rsidR="008125EC" w:rsidRDefault="008125EC" w:rsidP="008125EC">
            <w:pPr>
              <w:spacing w:before="120"/>
              <w:jc w:val="center"/>
              <w:rPr>
                <w:rFonts w:cs="Arial"/>
              </w:rPr>
            </w:pPr>
          </w:p>
        </w:tc>
        <w:tc>
          <w:tcPr>
            <w:tcW w:w="1440" w:type="dxa"/>
            <w:tcBorders>
              <w:top w:val="single" w:sz="4" w:space="0" w:color="auto"/>
              <w:left w:val="single" w:sz="4" w:space="0" w:color="auto"/>
              <w:bottom w:val="single" w:sz="4" w:space="0" w:color="auto"/>
              <w:right w:val="single" w:sz="4" w:space="0" w:color="auto"/>
            </w:tcBorders>
            <w:vAlign w:val="center"/>
          </w:tcPr>
          <w:p w14:paraId="2B482E36" w14:textId="144173E5" w:rsidR="008125EC" w:rsidRPr="00C03513" w:rsidRDefault="008125EC" w:rsidP="008125EC">
            <w:pPr>
              <w:spacing w:before="120"/>
              <w:jc w:val="center"/>
              <w:rPr>
                <w:rFonts w:cs="Arial"/>
              </w:rPr>
            </w:pPr>
            <w:r>
              <w:rPr>
                <w:rFonts w:cs="Arial"/>
              </w:rPr>
              <w:t>9/3/2014</w:t>
            </w:r>
          </w:p>
        </w:tc>
        <w:tc>
          <w:tcPr>
            <w:tcW w:w="5887" w:type="dxa"/>
            <w:tcBorders>
              <w:top w:val="single" w:sz="4" w:space="0" w:color="auto"/>
              <w:left w:val="single" w:sz="4" w:space="0" w:color="auto"/>
              <w:bottom w:val="single" w:sz="4" w:space="0" w:color="auto"/>
              <w:right w:val="single" w:sz="4" w:space="0" w:color="auto"/>
            </w:tcBorders>
            <w:vAlign w:val="center"/>
          </w:tcPr>
          <w:p w14:paraId="0B21A1C4" w14:textId="7EA113D2" w:rsidR="008125EC" w:rsidRPr="00053F7A" w:rsidRDefault="008125EC" w:rsidP="008125EC">
            <w:pPr>
              <w:pStyle w:val="ParaText"/>
              <w:spacing w:before="120" w:after="0"/>
              <w:rPr>
                <w:rFonts w:cs="Arial"/>
              </w:rPr>
            </w:pPr>
            <w:r>
              <w:rPr>
                <w:rFonts w:cs="Arial"/>
              </w:rPr>
              <w:t>Draft updated to reflect answers to the Market Participants’ questions and comments.</w:t>
            </w:r>
          </w:p>
        </w:tc>
      </w:tr>
      <w:tr w:rsidR="008125EC" w:rsidRPr="00C03513" w14:paraId="4BCB66EF" w14:textId="77777777" w:rsidTr="000914B7">
        <w:tc>
          <w:tcPr>
            <w:tcW w:w="1234" w:type="dxa"/>
            <w:vAlign w:val="center"/>
          </w:tcPr>
          <w:p w14:paraId="6845F90B" w14:textId="1828FB70" w:rsidR="008125EC" w:rsidRPr="00C03513" w:rsidRDefault="008125EC" w:rsidP="008125EC">
            <w:pPr>
              <w:spacing w:before="120"/>
              <w:jc w:val="center"/>
              <w:rPr>
                <w:rFonts w:cs="Arial"/>
              </w:rPr>
            </w:pPr>
            <w:r>
              <w:rPr>
                <w:rFonts w:cs="Arial"/>
              </w:rPr>
              <w:t>0.</w:t>
            </w:r>
            <w:r w:rsidRPr="00C03513">
              <w:rPr>
                <w:rFonts w:cs="Arial"/>
              </w:rPr>
              <w:t>1</w:t>
            </w:r>
          </w:p>
        </w:tc>
        <w:tc>
          <w:tcPr>
            <w:tcW w:w="1297" w:type="dxa"/>
            <w:vAlign w:val="center"/>
          </w:tcPr>
          <w:p w14:paraId="5F701979" w14:textId="77777777" w:rsidR="008125EC" w:rsidRDefault="008125EC" w:rsidP="008125EC">
            <w:pPr>
              <w:spacing w:before="120"/>
              <w:jc w:val="center"/>
              <w:rPr>
                <w:rFonts w:cs="Arial"/>
              </w:rPr>
            </w:pPr>
          </w:p>
        </w:tc>
        <w:tc>
          <w:tcPr>
            <w:tcW w:w="1440" w:type="dxa"/>
            <w:vAlign w:val="center"/>
          </w:tcPr>
          <w:p w14:paraId="6A8E282C" w14:textId="55200B3F" w:rsidR="008125EC" w:rsidRPr="00C03513" w:rsidRDefault="008125EC" w:rsidP="008125EC">
            <w:pPr>
              <w:spacing w:before="120"/>
              <w:jc w:val="center"/>
              <w:rPr>
                <w:rFonts w:cs="Arial"/>
              </w:rPr>
            </w:pPr>
            <w:r>
              <w:rPr>
                <w:rFonts w:cs="Arial"/>
              </w:rPr>
              <w:t>7/1/2014</w:t>
            </w:r>
          </w:p>
        </w:tc>
        <w:tc>
          <w:tcPr>
            <w:tcW w:w="5887" w:type="dxa"/>
            <w:vAlign w:val="center"/>
          </w:tcPr>
          <w:p w14:paraId="6AA80B6E" w14:textId="7548AD72" w:rsidR="008125EC" w:rsidRPr="00053F7A" w:rsidRDefault="008125EC" w:rsidP="008125EC">
            <w:pPr>
              <w:pStyle w:val="ParaText"/>
              <w:spacing w:before="120" w:after="0" w:line="240" w:lineRule="auto"/>
              <w:rPr>
                <w:rFonts w:cs="Arial"/>
              </w:rPr>
            </w:pPr>
            <w:r w:rsidRPr="00053F7A">
              <w:rPr>
                <w:rFonts w:cs="Arial"/>
              </w:rPr>
              <w:t>Created BPM</w:t>
            </w:r>
            <w:r>
              <w:rPr>
                <w:rFonts w:cs="Arial"/>
              </w:rPr>
              <w:t xml:space="preserve"> draft.</w:t>
            </w:r>
          </w:p>
        </w:tc>
      </w:tr>
      <w:tr w:rsidR="008125EC" w:rsidRPr="00C03513" w14:paraId="7BE701E3" w14:textId="77777777" w:rsidTr="000914B7">
        <w:tc>
          <w:tcPr>
            <w:tcW w:w="1234" w:type="dxa"/>
            <w:vAlign w:val="center"/>
          </w:tcPr>
          <w:p w14:paraId="5538AED9" w14:textId="0032E27B" w:rsidR="008125EC" w:rsidRPr="00C03513" w:rsidRDefault="008125EC" w:rsidP="008125EC">
            <w:pPr>
              <w:spacing w:before="120"/>
              <w:jc w:val="center"/>
              <w:rPr>
                <w:rFonts w:cs="Arial"/>
              </w:rPr>
            </w:pPr>
          </w:p>
        </w:tc>
        <w:tc>
          <w:tcPr>
            <w:tcW w:w="1297" w:type="dxa"/>
            <w:vAlign w:val="center"/>
          </w:tcPr>
          <w:p w14:paraId="7A98945E" w14:textId="77777777" w:rsidR="008125EC" w:rsidRDefault="008125EC" w:rsidP="008125EC">
            <w:pPr>
              <w:spacing w:before="120"/>
              <w:jc w:val="center"/>
              <w:rPr>
                <w:rFonts w:cs="Arial"/>
              </w:rPr>
            </w:pPr>
          </w:p>
        </w:tc>
        <w:tc>
          <w:tcPr>
            <w:tcW w:w="1440" w:type="dxa"/>
            <w:vAlign w:val="center"/>
          </w:tcPr>
          <w:p w14:paraId="4A80DCAC" w14:textId="3B274A19" w:rsidR="008125EC" w:rsidRPr="00C03513" w:rsidRDefault="008125EC" w:rsidP="008125EC">
            <w:pPr>
              <w:spacing w:before="120"/>
              <w:jc w:val="center"/>
              <w:rPr>
                <w:rFonts w:cs="Arial"/>
              </w:rPr>
            </w:pPr>
          </w:p>
        </w:tc>
        <w:tc>
          <w:tcPr>
            <w:tcW w:w="5887" w:type="dxa"/>
            <w:vAlign w:val="center"/>
          </w:tcPr>
          <w:p w14:paraId="4C9E9C82" w14:textId="6D526A83" w:rsidR="008125EC" w:rsidRPr="00053F7A" w:rsidRDefault="008125EC" w:rsidP="008125EC">
            <w:pPr>
              <w:pStyle w:val="ParaText"/>
              <w:spacing w:before="120" w:after="0" w:line="240" w:lineRule="auto"/>
              <w:rPr>
                <w:rFonts w:cs="Arial"/>
              </w:rPr>
            </w:pPr>
          </w:p>
        </w:tc>
      </w:tr>
      <w:tr w:rsidR="008125EC" w:rsidRPr="00C03513" w14:paraId="613F9DEA" w14:textId="77777777" w:rsidTr="000914B7">
        <w:tc>
          <w:tcPr>
            <w:tcW w:w="1234" w:type="dxa"/>
            <w:vAlign w:val="center"/>
          </w:tcPr>
          <w:p w14:paraId="6840596C" w14:textId="39E07F8E" w:rsidR="008125EC" w:rsidRPr="00C03513" w:rsidRDefault="008125EC" w:rsidP="008125EC">
            <w:pPr>
              <w:spacing w:before="120"/>
              <w:jc w:val="center"/>
              <w:rPr>
                <w:rFonts w:cs="Arial"/>
              </w:rPr>
            </w:pPr>
          </w:p>
        </w:tc>
        <w:tc>
          <w:tcPr>
            <w:tcW w:w="1297" w:type="dxa"/>
            <w:vAlign w:val="center"/>
          </w:tcPr>
          <w:p w14:paraId="07B37D19" w14:textId="77777777" w:rsidR="008125EC" w:rsidRDefault="008125EC" w:rsidP="008125EC">
            <w:pPr>
              <w:spacing w:before="120"/>
              <w:jc w:val="center"/>
              <w:rPr>
                <w:rFonts w:cs="Arial"/>
              </w:rPr>
            </w:pPr>
          </w:p>
        </w:tc>
        <w:tc>
          <w:tcPr>
            <w:tcW w:w="1440" w:type="dxa"/>
            <w:vAlign w:val="center"/>
          </w:tcPr>
          <w:p w14:paraId="0BD2DB09" w14:textId="590BEF19" w:rsidR="008125EC" w:rsidRPr="00C03513" w:rsidRDefault="008125EC" w:rsidP="008125EC">
            <w:pPr>
              <w:spacing w:before="120"/>
              <w:jc w:val="center"/>
              <w:rPr>
                <w:rFonts w:cs="Arial"/>
              </w:rPr>
            </w:pPr>
          </w:p>
        </w:tc>
        <w:tc>
          <w:tcPr>
            <w:tcW w:w="5887" w:type="dxa"/>
            <w:vAlign w:val="center"/>
          </w:tcPr>
          <w:p w14:paraId="3329AF87" w14:textId="15437C80" w:rsidR="008125EC" w:rsidRPr="00053F7A" w:rsidRDefault="008125EC" w:rsidP="008125EC">
            <w:pPr>
              <w:pStyle w:val="ParaText"/>
              <w:spacing w:before="120" w:after="0" w:line="240" w:lineRule="auto"/>
              <w:rPr>
                <w:rFonts w:cs="Arial"/>
              </w:rPr>
            </w:pPr>
          </w:p>
        </w:tc>
      </w:tr>
    </w:tbl>
    <w:p w14:paraId="70915864" w14:textId="77777777" w:rsidR="002148AE" w:rsidRPr="00C03513" w:rsidRDefault="002148AE">
      <w:pPr>
        <w:jc w:val="center"/>
        <w:rPr>
          <w:rFonts w:cs="Arial"/>
          <w:b/>
          <w:bCs/>
        </w:rPr>
      </w:pPr>
      <w:r w:rsidRPr="00C03513">
        <w:rPr>
          <w:rFonts w:cs="Arial"/>
        </w:rPr>
        <w:br w:type="page"/>
      </w:r>
      <w:r w:rsidRPr="00C03513">
        <w:rPr>
          <w:rFonts w:cs="Arial"/>
          <w:b/>
          <w:bCs/>
        </w:rPr>
        <w:lastRenderedPageBreak/>
        <w:t>TABLE OF CONTENTS</w:t>
      </w:r>
    </w:p>
    <w:p w14:paraId="37B13B38" w14:textId="0789DA12" w:rsidR="002E60A6" w:rsidRDefault="00BF5ECA">
      <w:pPr>
        <w:pStyle w:val="TOC1"/>
        <w:rPr>
          <w:rFonts w:eastAsiaTheme="minorEastAsia" w:cstheme="minorBidi"/>
          <w:b w:val="0"/>
        </w:rPr>
      </w:pPr>
      <w:r w:rsidRPr="00C03513">
        <w:fldChar w:fldCharType="begin"/>
      </w:r>
      <w:r w:rsidR="002377DC" w:rsidRPr="00C03513">
        <w:instrText xml:space="preserve"> TOC \o "1-3" \h \z \u </w:instrText>
      </w:r>
      <w:r w:rsidRPr="00C03513">
        <w:fldChar w:fldCharType="separate"/>
      </w:r>
      <w:hyperlink w:anchor="_Toc229054449" w:history="1">
        <w:r w:rsidR="002E60A6" w:rsidRPr="0024097F">
          <w:rPr>
            <w:rStyle w:val="Hyperlink"/>
            <w:rFonts w:ascii="Arial" w:hAnsi="Arial"/>
          </w:rPr>
          <w:t>1.</w:t>
        </w:r>
        <w:r w:rsidR="002E60A6">
          <w:rPr>
            <w:rFonts w:eastAsiaTheme="minorEastAsia" w:cstheme="minorBidi"/>
            <w:b w:val="0"/>
          </w:rPr>
          <w:tab/>
        </w:r>
        <w:r w:rsidR="002E60A6" w:rsidRPr="0024097F">
          <w:rPr>
            <w:rStyle w:val="Hyperlink"/>
          </w:rPr>
          <w:t>INTRODUCTION</w:t>
        </w:r>
        <w:r w:rsidR="002E60A6">
          <w:rPr>
            <w:webHidden/>
          </w:rPr>
          <w:tab/>
        </w:r>
        <w:r w:rsidR="002E60A6">
          <w:rPr>
            <w:webHidden/>
          </w:rPr>
          <w:fldChar w:fldCharType="begin"/>
        </w:r>
        <w:r w:rsidR="002E60A6">
          <w:rPr>
            <w:webHidden/>
          </w:rPr>
          <w:instrText xml:space="preserve"> PAGEREF _Toc229054449 \h </w:instrText>
        </w:r>
        <w:r w:rsidR="002E60A6">
          <w:rPr>
            <w:webHidden/>
          </w:rPr>
        </w:r>
        <w:r w:rsidR="002E60A6">
          <w:rPr>
            <w:webHidden/>
          </w:rPr>
          <w:fldChar w:fldCharType="separate"/>
        </w:r>
        <w:r w:rsidR="00DA0658">
          <w:rPr>
            <w:webHidden/>
          </w:rPr>
          <w:t>12</w:t>
        </w:r>
        <w:r w:rsidR="002E60A6">
          <w:rPr>
            <w:webHidden/>
          </w:rPr>
          <w:fldChar w:fldCharType="end"/>
        </w:r>
      </w:hyperlink>
    </w:p>
    <w:p w14:paraId="2539A551" w14:textId="4CCB9CDB" w:rsidR="002E60A6" w:rsidRDefault="002E60A6">
      <w:pPr>
        <w:pStyle w:val="TOC2"/>
        <w:rPr>
          <w:rFonts w:eastAsiaTheme="minorEastAsia"/>
          <w:b w:val="0"/>
        </w:rPr>
      </w:pPr>
      <w:hyperlink w:anchor="_Toc229054450" w:history="1">
        <w:r w:rsidRPr="0024097F">
          <w:rPr>
            <w:rStyle w:val="Hyperlink"/>
            <w:rFonts w:ascii="Arial" w:hAnsi="Arial"/>
          </w:rPr>
          <w:t>1.1</w:t>
        </w:r>
        <w:r>
          <w:rPr>
            <w:rFonts w:eastAsiaTheme="minorEastAsia"/>
            <w:b w:val="0"/>
          </w:rPr>
          <w:tab/>
        </w:r>
        <w:r w:rsidRPr="0024097F">
          <w:rPr>
            <w:rStyle w:val="Hyperlink"/>
          </w:rPr>
          <w:t>Purpose of CAISO Business Practice Manuals</w:t>
        </w:r>
        <w:r>
          <w:rPr>
            <w:webHidden/>
          </w:rPr>
          <w:tab/>
        </w:r>
        <w:r>
          <w:rPr>
            <w:webHidden/>
          </w:rPr>
          <w:fldChar w:fldCharType="begin"/>
        </w:r>
        <w:r>
          <w:rPr>
            <w:webHidden/>
          </w:rPr>
          <w:instrText xml:space="preserve"> PAGEREF _Toc229054450 \h </w:instrText>
        </w:r>
        <w:r>
          <w:rPr>
            <w:webHidden/>
          </w:rPr>
        </w:r>
        <w:r>
          <w:rPr>
            <w:webHidden/>
          </w:rPr>
          <w:fldChar w:fldCharType="separate"/>
        </w:r>
        <w:r w:rsidR="00DA0658">
          <w:rPr>
            <w:webHidden/>
          </w:rPr>
          <w:t>12</w:t>
        </w:r>
        <w:r>
          <w:rPr>
            <w:webHidden/>
          </w:rPr>
          <w:fldChar w:fldCharType="end"/>
        </w:r>
      </w:hyperlink>
    </w:p>
    <w:p w14:paraId="2F87E354" w14:textId="456666FC" w:rsidR="002E60A6" w:rsidRDefault="002E60A6">
      <w:pPr>
        <w:pStyle w:val="TOC2"/>
        <w:rPr>
          <w:rFonts w:eastAsiaTheme="minorEastAsia"/>
          <w:b w:val="0"/>
        </w:rPr>
      </w:pPr>
      <w:hyperlink w:anchor="_Toc229054451" w:history="1">
        <w:r w:rsidRPr="0024097F">
          <w:rPr>
            <w:rStyle w:val="Hyperlink"/>
            <w:rFonts w:ascii="Arial" w:hAnsi="Arial" w:cs="Arial"/>
          </w:rPr>
          <w:t>1.2</w:t>
        </w:r>
        <w:r>
          <w:rPr>
            <w:rFonts w:eastAsiaTheme="minorEastAsia"/>
            <w:b w:val="0"/>
          </w:rPr>
          <w:tab/>
        </w:r>
        <w:r w:rsidRPr="0024097F">
          <w:rPr>
            <w:rStyle w:val="Hyperlink"/>
            <w:rFonts w:cs="Arial"/>
          </w:rPr>
          <w:t>Purpose of This Business Practice Manual</w:t>
        </w:r>
        <w:r>
          <w:rPr>
            <w:webHidden/>
          </w:rPr>
          <w:tab/>
        </w:r>
        <w:r>
          <w:rPr>
            <w:webHidden/>
          </w:rPr>
          <w:fldChar w:fldCharType="begin"/>
        </w:r>
        <w:r>
          <w:rPr>
            <w:webHidden/>
          </w:rPr>
          <w:instrText xml:space="preserve"> PAGEREF _Toc229054451 \h </w:instrText>
        </w:r>
        <w:r>
          <w:rPr>
            <w:webHidden/>
          </w:rPr>
        </w:r>
        <w:r>
          <w:rPr>
            <w:webHidden/>
          </w:rPr>
          <w:fldChar w:fldCharType="separate"/>
        </w:r>
        <w:r w:rsidR="00DA0658">
          <w:rPr>
            <w:webHidden/>
          </w:rPr>
          <w:t>12</w:t>
        </w:r>
        <w:r>
          <w:rPr>
            <w:webHidden/>
          </w:rPr>
          <w:fldChar w:fldCharType="end"/>
        </w:r>
      </w:hyperlink>
    </w:p>
    <w:p w14:paraId="0B28CB43" w14:textId="2F0557B6" w:rsidR="002E60A6" w:rsidRDefault="002E60A6">
      <w:pPr>
        <w:pStyle w:val="TOC2"/>
        <w:rPr>
          <w:rFonts w:eastAsiaTheme="minorEastAsia"/>
          <w:b w:val="0"/>
        </w:rPr>
      </w:pPr>
      <w:hyperlink w:anchor="_Toc229054452" w:history="1">
        <w:r w:rsidRPr="0024097F">
          <w:rPr>
            <w:rStyle w:val="Hyperlink"/>
            <w:rFonts w:ascii="Arial" w:hAnsi="Arial" w:cs="Arial"/>
          </w:rPr>
          <w:t>1.3</w:t>
        </w:r>
        <w:r>
          <w:rPr>
            <w:rFonts w:eastAsiaTheme="minorEastAsia"/>
            <w:b w:val="0"/>
          </w:rPr>
          <w:tab/>
        </w:r>
        <w:r w:rsidRPr="0024097F">
          <w:rPr>
            <w:rStyle w:val="Hyperlink"/>
            <w:rFonts w:cs="Arial"/>
          </w:rPr>
          <w:t>References</w:t>
        </w:r>
        <w:r>
          <w:rPr>
            <w:webHidden/>
          </w:rPr>
          <w:tab/>
        </w:r>
        <w:r>
          <w:rPr>
            <w:webHidden/>
          </w:rPr>
          <w:fldChar w:fldCharType="begin"/>
        </w:r>
        <w:r>
          <w:rPr>
            <w:webHidden/>
          </w:rPr>
          <w:instrText xml:space="preserve"> PAGEREF _Toc229054452 \h </w:instrText>
        </w:r>
        <w:r>
          <w:rPr>
            <w:webHidden/>
          </w:rPr>
        </w:r>
        <w:r>
          <w:rPr>
            <w:webHidden/>
          </w:rPr>
          <w:fldChar w:fldCharType="separate"/>
        </w:r>
        <w:r w:rsidR="00DA0658">
          <w:rPr>
            <w:webHidden/>
          </w:rPr>
          <w:t>13</w:t>
        </w:r>
        <w:r>
          <w:rPr>
            <w:webHidden/>
          </w:rPr>
          <w:fldChar w:fldCharType="end"/>
        </w:r>
      </w:hyperlink>
    </w:p>
    <w:p w14:paraId="370A703A" w14:textId="2E0291C5" w:rsidR="002E60A6" w:rsidRDefault="002E60A6">
      <w:pPr>
        <w:pStyle w:val="TOC1"/>
        <w:rPr>
          <w:rFonts w:eastAsiaTheme="minorEastAsia" w:cstheme="minorBidi"/>
          <w:b w:val="0"/>
        </w:rPr>
      </w:pPr>
      <w:hyperlink w:anchor="_Toc229054453" w:history="1">
        <w:r w:rsidRPr="0024097F">
          <w:rPr>
            <w:rStyle w:val="Hyperlink"/>
            <w:rFonts w:ascii="Arial" w:hAnsi="Arial"/>
          </w:rPr>
          <w:t>2.</w:t>
        </w:r>
        <w:r>
          <w:rPr>
            <w:rFonts w:eastAsiaTheme="minorEastAsia" w:cstheme="minorBidi"/>
            <w:b w:val="0"/>
          </w:rPr>
          <w:tab/>
        </w:r>
        <w:r w:rsidRPr="0024097F">
          <w:rPr>
            <w:rStyle w:val="Hyperlink"/>
          </w:rPr>
          <w:t>BACKGROUND</w:t>
        </w:r>
        <w:r>
          <w:rPr>
            <w:webHidden/>
          </w:rPr>
          <w:tab/>
        </w:r>
        <w:r>
          <w:rPr>
            <w:webHidden/>
          </w:rPr>
          <w:fldChar w:fldCharType="begin"/>
        </w:r>
        <w:r>
          <w:rPr>
            <w:webHidden/>
          </w:rPr>
          <w:instrText xml:space="preserve"> PAGEREF _Toc229054453 \h </w:instrText>
        </w:r>
        <w:r>
          <w:rPr>
            <w:webHidden/>
          </w:rPr>
        </w:r>
        <w:r>
          <w:rPr>
            <w:webHidden/>
          </w:rPr>
          <w:fldChar w:fldCharType="separate"/>
        </w:r>
        <w:r w:rsidR="00DA0658">
          <w:rPr>
            <w:webHidden/>
          </w:rPr>
          <w:t>14</w:t>
        </w:r>
        <w:r>
          <w:rPr>
            <w:webHidden/>
          </w:rPr>
          <w:fldChar w:fldCharType="end"/>
        </w:r>
      </w:hyperlink>
    </w:p>
    <w:p w14:paraId="26804554" w14:textId="763BD401" w:rsidR="002E60A6" w:rsidRDefault="002E60A6">
      <w:pPr>
        <w:pStyle w:val="TOC2"/>
        <w:rPr>
          <w:rFonts w:eastAsiaTheme="minorEastAsia"/>
          <w:b w:val="0"/>
        </w:rPr>
      </w:pPr>
      <w:hyperlink w:anchor="_Toc229054454" w:history="1">
        <w:r w:rsidRPr="0024097F">
          <w:rPr>
            <w:rStyle w:val="Hyperlink"/>
            <w:rFonts w:ascii="Arial" w:hAnsi="Arial"/>
          </w:rPr>
          <w:t>2.1</w:t>
        </w:r>
        <w:r>
          <w:rPr>
            <w:rFonts w:eastAsiaTheme="minorEastAsia"/>
            <w:b w:val="0"/>
          </w:rPr>
          <w:tab/>
        </w:r>
        <w:r w:rsidRPr="0024097F">
          <w:rPr>
            <w:rStyle w:val="Hyperlink"/>
          </w:rPr>
          <w:t>Western Energy Imbalance Market Overview</w:t>
        </w:r>
        <w:r>
          <w:rPr>
            <w:webHidden/>
          </w:rPr>
          <w:tab/>
        </w:r>
        <w:r>
          <w:rPr>
            <w:webHidden/>
          </w:rPr>
          <w:fldChar w:fldCharType="begin"/>
        </w:r>
        <w:r>
          <w:rPr>
            <w:webHidden/>
          </w:rPr>
          <w:instrText xml:space="preserve"> PAGEREF _Toc229054454 \h </w:instrText>
        </w:r>
        <w:r>
          <w:rPr>
            <w:webHidden/>
          </w:rPr>
        </w:r>
        <w:r>
          <w:rPr>
            <w:webHidden/>
          </w:rPr>
          <w:fldChar w:fldCharType="separate"/>
        </w:r>
        <w:r w:rsidR="00DA0658">
          <w:rPr>
            <w:webHidden/>
          </w:rPr>
          <w:t>14</w:t>
        </w:r>
        <w:r>
          <w:rPr>
            <w:webHidden/>
          </w:rPr>
          <w:fldChar w:fldCharType="end"/>
        </w:r>
      </w:hyperlink>
    </w:p>
    <w:p w14:paraId="21F05C58" w14:textId="0D899FC1" w:rsidR="002E60A6" w:rsidRDefault="002E60A6">
      <w:pPr>
        <w:pStyle w:val="TOC1"/>
        <w:rPr>
          <w:rFonts w:eastAsiaTheme="minorEastAsia" w:cstheme="minorBidi"/>
          <w:b w:val="0"/>
        </w:rPr>
      </w:pPr>
      <w:hyperlink w:anchor="_Toc229054455" w:history="1">
        <w:r w:rsidRPr="0024097F">
          <w:rPr>
            <w:rStyle w:val="Hyperlink"/>
            <w:rFonts w:ascii="Arial" w:hAnsi="Arial"/>
          </w:rPr>
          <w:t>3.</w:t>
        </w:r>
        <w:r>
          <w:rPr>
            <w:rFonts w:eastAsiaTheme="minorEastAsia" w:cstheme="minorBidi"/>
            <w:b w:val="0"/>
          </w:rPr>
          <w:tab/>
        </w:r>
        <w:r w:rsidRPr="0024097F">
          <w:rPr>
            <w:rStyle w:val="Hyperlink"/>
          </w:rPr>
          <w:t>ROLES AND RESPONSIBILITIES</w:t>
        </w:r>
        <w:r>
          <w:rPr>
            <w:webHidden/>
          </w:rPr>
          <w:tab/>
        </w:r>
        <w:r>
          <w:rPr>
            <w:webHidden/>
          </w:rPr>
          <w:fldChar w:fldCharType="begin"/>
        </w:r>
        <w:r>
          <w:rPr>
            <w:webHidden/>
          </w:rPr>
          <w:instrText xml:space="preserve"> PAGEREF _Toc229054455 \h </w:instrText>
        </w:r>
        <w:r>
          <w:rPr>
            <w:webHidden/>
          </w:rPr>
        </w:r>
        <w:r>
          <w:rPr>
            <w:webHidden/>
          </w:rPr>
          <w:fldChar w:fldCharType="separate"/>
        </w:r>
        <w:r w:rsidR="00DA0658">
          <w:rPr>
            <w:webHidden/>
          </w:rPr>
          <w:t>16</w:t>
        </w:r>
        <w:r>
          <w:rPr>
            <w:webHidden/>
          </w:rPr>
          <w:fldChar w:fldCharType="end"/>
        </w:r>
      </w:hyperlink>
    </w:p>
    <w:p w14:paraId="1D13519F" w14:textId="068EA707" w:rsidR="002E60A6" w:rsidRDefault="002E60A6">
      <w:pPr>
        <w:pStyle w:val="TOC2"/>
        <w:rPr>
          <w:rFonts w:eastAsiaTheme="minorEastAsia"/>
          <w:b w:val="0"/>
        </w:rPr>
      </w:pPr>
      <w:hyperlink w:anchor="_Toc229054456" w:history="1">
        <w:r w:rsidRPr="0024097F">
          <w:rPr>
            <w:rStyle w:val="Hyperlink"/>
            <w:rFonts w:ascii="Arial" w:hAnsi="Arial"/>
          </w:rPr>
          <w:t>3.1</w:t>
        </w:r>
        <w:r>
          <w:rPr>
            <w:rFonts w:eastAsiaTheme="minorEastAsia"/>
            <w:b w:val="0"/>
          </w:rPr>
          <w:tab/>
        </w:r>
        <w:r w:rsidRPr="0024097F">
          <w:rPr>
            <w:rStyle w:val="Hyperlink"/>
          </w:rPr>
          <w:t>Implementing and Terminating the WEIM Entity Participation</w:t>
        </w:r>
        <w:r>
          <w:rPr>
            <w:webHidden/>
          </w:rPr>
          <w:tab/>
        </w:r>
        <w:r>
          <w:rPr>
            <w:webHidden/>
          </w:rPr>
          <w:fldChar w:fldCharType="begin"/>
        </w:r>
        <w:r>
          <w:rPr>
            <w:webHidden/>
          </w:rPr>
          <w:instrText xml:space="preserve"> PAGEREF _Toc229054456 \h </w:instrText>
        </w:r>
        <w:r>
          <w:rPr>
            <w:webHidden/>
          </w:rPr>
        </w:r>
        <w:r>
          <w:rPr>
            <w:webHidden/>
          </w:rPr>
          <w:fldChar w:fldCharType="separate"/>
        </w:r>
        <w:r w:rsidR="00DA0658">
          <w:rPr>
            <w:webHidden/>
          </w:rPr>
          <w:t>17</w:t>
        </w:r>
        <w:r>
          <w:rPr>
            <w:webHidden/>
          </w:rPr>
          <w:fldChar w:fldCharType="end"/>
        </w:r>
      </w:hyperlink>
    </w:p>
    <w:p w14:paraId="092EF657" w14:textId="08E6FB5B" w:rsidR="002E60A6" w:rsidRDefault="002E60A6">
      <w:pPr>
        <w:pStyle w:val="TOC1"/>
        <w:rPr>
          <w:rFonts w:eastAsiaTheme="minorEastAsia" w:cstheme="minorBidi"/>
          <w:b w:val="0"/>
        </w:rPr>
      </w:pPr>
      <w:hyperlink w:anchor="_Toc229054457" w:history="1">
        <w:r w:rsidRPr="0024097F">
          <w:rPr>
            <w:rStyle w:val="Hyperlink"/>
            <w:rFonts w:ascii="Arial" w:hAnsi="Arial"/>
          </w:rPr>
          <w:t>4.</w:t>
        </w:r>
        <w:r>
          <w:rPr>
            <w:rFonts w:eastAsiaTheme="minorEastAsia" w:cstheme="minorBidi"/>
            <w:b w:val="0"/>
          </w:rPr>
          <w:tab/>
        </w:r>
        <w:r w:rsidRPr="0024097F">
          <w:rPr>
            <w:rStyle w:val="Hyperlink"/>
          </w:rPr>
          <w:t>SCHEDULING COORDINATOR CERTIFICATION</w:t>
        </w:r>
        <w:r>
          <w:rPr>
            <w:webHidden/>
          </w:rPr>
          <w:tab/>
        </w:r>
        <w:r>
          <w:rPr>
            <w:webHidden/>
          </w:rPr>
          <w:fldChar w:fldCharType="begin"/>
        </w:r>
        <w:r>
          <w:rPr>
            <w:webHidden/>
          </w:rPr>
          <w:instrText xml:space="preserve"> PAGEREF _Toc229054457 \h </w:instrText>
        </w:r>
        <w:r>
          <w:rPr>
            <w:webHidden/>
          </w:rPr>
        </w:r>
        <w:r>
          <w:rPr>
            <w:webHidden/>
          </w:rPr>
          <w:fldChar w:fldCharType="separate"/>
        </w:r>
        <w:r w:rsidR="00DA0658">
          <w:rPr>
            <w:webHidden/>
          </w:rPr>
          <w:t>18</w:t>
        </w:r>
        <w:r>
          <w:rPr>
            <w:webHidden/>
          </w:rPr>
          <w:fldChar w:fldCharType="end"/>
        </w:r>
      </w:hyperlink>
    </w:p>
    <w:p w14:paraId="69AD1635" w14:textId="2631E9AB" w:rsidR="002E60A6" w:rsidRDefault="002E60A6">
      <w:pPr>
        <w:pStyle w:val="TOC2"/>
        <w:rPr>
          <w:rFonts w:eastAsiaTheme="minorEastAsia"/>
          <w:b w:val="0"/>
        </w:rPr>
      </w:pPr>
      <w:hyperlink w:anchor="_Toc229054458" w:history="1">
        <w:r w:rsidRPr="0024097F">
          <w:rPr>
            <w:rStyle w:val="Hyperlink"/>
            <w:rFonts w:ascii="Arial" w:hAnsi="Arial"/>
          </w:rPr>
          <w:t>4.1</w:t>
        </w:r>
        <w:r>
          <w:rPr>
            <w:rFonts w:eastAsiaTheme="minorEastAsia"/>
            <w:b w:val="0"/>
          </w:rPr>
          <w:tab/>
        </w:r>
        <w:r w:rsidRPr="0024097F">
          <w:rPr>
            <w:rStyle w:val="Hyperlink"/>
          </w:rPr>
          <w:t>Determination of SC Certification Requirements</w:t>
        </w:r>
        <w:r>
          <w:rPr>
            <w:webHidden/>
          </w:rPr>
          <w:tab/>
        </w:r>
        <w:r>
          <w:rPr>
            <w:webHidden/>
          </w:rPr>
          <w:fldChar w:fldCharType="begin"/>
        </w:r>
        <w:r>
          <w:rPr>
            <w:webHidden/>
          </w:rPr>
          <w:instrText xml:space="preserve"> PAGEREF _Toc229054458 \h </w:instrText>
        </w:r>
        <w:r>
          <w:rPr>
            <w:webHidden/>
          </w:rPr>
        </w:r>
        <w:r>
          <w:rPr>
            <w:webHidden/>
          </w:rPr>
          <w:fldChar w:fldCharType="separate"/>
        </w:r>
        <w:r w:rsidR="00DA0658">
          <w:rPr>
            <w:webHidden/>
          </w:rPr>
          <w:t>19</w:t>
        </w:r>
        <w:r>
          <w:rPr>
            <w:webHidden/>
          </w:rPr>
          <w:fldChar w:fldCharType="end"/>
        </w:r>
      </w:hyperlink>
    </w:p>
    <w:p w14:paraId="3039EEB5" w14:textId="5790C07E" w:rsidR="002E60A6" w:rsidRDefault="002E60A6">
      <w:pPr>
        <w:pStyle w:val="TOC1"/>
        <w:rPr>
          <w:rFonts w:eastAsiaTheme="minorEastAsia" w:cstheme="minorBidi"/>
          <w:b w:val="0"/>
        </w:rPr>
      </w:pPr>
      <w:hyperlink w:anchor="_Toc229054459" w:history="1">
        <w:r w:rsidRPr="0024097F">
          <w:rPr>
            <w:rStyle w:val="Hyperlink"/>
            <w:rFonts w:ascii="Arial" w:hAnsi="Arial"/>
          </w:rPr>
          <w:t>5.</w:t>
        </w:r>
        <w:r>
          <w:rPr>
            <w:rFonts w:eastAsiaTheme="minorEastAsia" w:cstheme="minorBidi"/>
            <w:b w:val="0"/>
          </w:rPr>
          <w:tab/>
        </w:r>
        <w:r w:rsidRPr="0024097F">
          <w:rPr>
            <w:rStyle w:val="Hyperlink"/>
          </w:rPr>
          <w:t>AGREEMENTS</w:t>
        </w:r>
        <w:r>
          <w:rPr>
            <w:webHidden/>
          </w:rPr>
          <w:tab/>
        </w:r>
        <w:r>
          <w:rPr>
            <w:webHidden/>
          </w:rPr>
          <w:fldChar w:fldCharType="begin"/>
        </w:r>
        <w:r>
          <w:rPr>
            <w:webHidden/>
          </w:rPr>
          <w:instrText xml:space="preserve"> PAGEREF _Toc229054459 \h </w:instrText>
        </w:r>
        <w:r>
          <w:rPr>
            <w:webHidden/>
          </w:rPr>
        </w:r>
        <w:r>
          <w:rPr>
            <w:webHidden/>
          </w:rPr>
          <w:fldChar w:fldCharType="separate"/>
        </w:r>
        <w:r w:rsidR="00DA0658">
          <w:rPr>
            <w:webHidden/>
          </w:rPr>
          <w:t>20</w:t>
        </w:r>
        <w:r>
          <w:rPr>
            <w:webHidden/>
          </w:rPr>
          <w:fldChar w:fldCharType="end"/>
        </w:r>
      </w:hyperlink>
    </w:p>
    <w:p w14:paraId="39876E78" w14:textId="0A4CC247" w:rsidR="002E60A6" w:rsidRDefault="002E60A6">
      <w:pPr>
        <w:pStyle w:val="TOC2"/>
        <w:rPr>
          <w:rFonts w:eastAsiaTheme="minorEastAsia"/>
          <w:b w:val="0"/>
        </w:rPr>
      </w:pPr>
      <w:hyperlink w:anchor="_Toc229054460" w:history="1">
        <w:r w:rsidRPr="0024097F">
          <w:rPr>
            <w:rStyle w:val="Hyperlink"/>
            <w:rFonts w:ascii="Arial" w:hAnsi="Arial"/>
          </w:rPr>
          <w:t>5.1</w:t>
        </w:r>
        <w:r>
          <w:rPr>
            <w:rFonts w:eastAsiaTheme="minorEastAsia"/>
            <w:b w:val="0"/>
          </w:rPr>
          <w:tab/>
        </w:r>
        <w:r w:rsidRPr="0024097F">
          <w:rPr>
            <w:rStyle w:val="Hyperlink"/>
          </w:rPr>
          <w:t>EIM Entity Agreement</w:t>
        </w:r>
        <w:r>
          <w:rPr>
            <w:webHidden/>
          </w:rPr>
          <w:tab/>
        </w:r>
        <w:r>
          <w:rPr>
            <w:webHidden/>
          </w:rPr>
          <w:fldChar w:fldCharType="begin"/>
        </w:r>
        <w:r>
          <w:rPr>
            <w:webHidden/>
          </w:rPr>
          <w:instrText xml:space="preserve"> PAGEREF _Toc229054460 \h </w:instrText>
        </w:r>
        <w:r>
          <w:rPr>
            <w:webHidden/>
          </w:rPr>
        </w:r>
        <w:r>
          <w:rPr>
            <w:webHidden/>
          </w:rPr>
          <w:fldChar w:fldCharType="separate"/>
        </w:r>
        <w:r w:rsidR="00DA0658">
          <w:rPr>
            <w:webHidden/>
          </w:rPr>
          <w:t>21</w:t>
        </w:r>
        <w:r>
          <w:rPr>
            <w:webHidden/>
          </w:rPr>
          <w:fldChar w:fldCharType="end"/>
        </w:r>
      </w:hyperlink>
    </w:p>
    <w:p w14:paraId="1BA5CDD5" w14:textId="6BB7762E" w:rsidR="002E60A6" w:rsidRDefault="002E60A6">
      <w:pPr>
        <w:pStyle w:val="TOC2"/>
        <w:rPr>
          <w:rFonts w:eastAsiaTheme="minorEastAsia"/>
          <w:b w:val="0"/>
        </w:rPr>
      </w:pPr>
      <w:hyperlink w:anchor="_Toc229054461" w:history="1">
        <w:r w:rsidRPr="0024097F">
          <w:rPr>
            <w:rStyle w:val="Hyperlink"/>
            <w:rFonts w:ascii="Arial" w:hAnsi="Arial"/>
          </w:rPr>
          <w:t>5.2</w:t>
        </w:r>
        <w:r>
          <w:rPr>
            <w:rFonts w:eastAsiaTheme="minorEastAsia"/>
            <w:b w:val="0"/>
          </w:rPr>
          <w:tab/>
        </w:r>
        <w:r w:rsidRPr="0024097F">
          <w:rPr>
            <w:rStyle w:val="Hyperlink"/>
          </w:rPr>
          <w:t>EIM Entity Scheduling Coordinator (Entity SC)</w:t>
        </w:r>
        <w:r>
          <w:rPr>
            <w:webHidden/>
          </w:rPr>
          <w:tab/>
        </w:r>
        <w:r>
          <w:rPr>
            <w:webHidden/>
          </w:rPr>
          <w:fldChar w:fldCharType="begin"/>
        </w:r>
        <w:r>
          <w:rPr>
            <w:webHidden/>
          </w:rPr>
          <w:instrText xml:space="preserve"> PAGEREF _Toc229054461 \h </w:instrText>
        </w:r>
        <w:r>
          <w:rPr>
            <w:webHidden/>
          </w:rPr>
        </w:r>
        <w:r>
          <w:rPr>
            <w:webHidden/>
          </w:rPr>
          <w:fldChar w:fldCharType="separate"/>
        </w:r>
        <w:r w:rsidR="00DA0658">
          <w:rPr>
            <w:webHidden/>
          </w:rPr>
          <w:t>21</w:t>
        </w:r>
        <w:r>
          <w:rPr>
            <w:webHidden/>
          </w:rPr>
          <w:fldChar w:fldCharType="end"/>
        </w:r>
      </w:hyperlink>
    </w:p>
    <w:p w14:paraId="42D62EDC" w14:textId="7323AB7F" w:rsidR="002E60A6" w:rsidRDefault="002E60A6">
      <w:pPr>
        <w:pStyle w:val="TOC2"/>
        <w:rPr>
          <w:rFonts w:eastAsiaTheme="minorEastAsia"/>
          <w:b w:val="0"/>
        </w:rPr>
      </w:pPr>
      <w:hyperlink w:anchor="_Toc229054462" w:history="1">
        <w:r w:rsidRPr="0024097F">
          <w:rPr>
            <w:rStyle w:val="Hyperlink"/>
            <w:rFonts w:ascii="Arial" w:hAnsi="Arial"/>
          </w:rPr>
          <w:t>5.3</w:t>
        </w:r>
        <w:r>
          <w:rPr>
            <w:rFonts w:eastAsiaTheme="minorEastAsia"/>
            <w:b w:val="0"/>
          </w:rPr>
          <w:tab/>
        </w:r>
        <w:r w:rsidRPr="0024097F">
          <w:rPr>
            <w:rStyle w:val="Hyperlink"/>
          </w:rPr>
          <w:t>EIM Participating Resource Scheduling Coordinator (EIM PR SC)</w:t>
        </w:r>
        <w:r>
          <w:rPr>
            <w:webHidden/>
          </w:rPr>
          <w:tab/>
        </w:r>
        <w:r>
          <w:rPr>
            <w:webHidden/>
          </w:rPr>
          <w:fldChar w:fldCharType="begin"/>
        </w:r>
        <w:r>
          <w:rPr>
            <w:webHidden/>
          </w:rPr>
          <w:instrText xml:space="preserve"> PAGEREF _Toc229054462 \h </w:instrText>
        </w:r>
        <w:r>
          <w:rPr>
            <w:webHidden/>
          </w:rPr>
        </w:r>
        <w:r>
          <w:rPr>
            <w:webHidden/>
          </w:rPr>
          <w:fldChar w:fldCharType="separate"/>
        </w:r>
        <w:r w:rsidR="00DA0658">
          <w:rPr>
            <w:webHidden/>
          </w:rPr>
          <w:t>23</w:t>
        </w:r>
        <w:r>
          <w:rPr>
            <w:webHidden/>
          </w:rPr>
          <w:fldChar w:fldCharType="end"/>
        </w:r>
      </w:hyperlink>
    </w:p>
    <w:p w14:paraId="2DD07687" w14:textId="04D46CE5" w:rsidR="002E60A6" w:rsidRDefault="002E60A6">
      <w:pPr>
        <w:pStyle w:val="TOC2"/>
        <w:rPr>
          <w:rFonts w:eastAsiaTheme="minorEastAsia"/>
          <w:b w:val="0"/>
        </w:rPr>
      </w:pPr>
      <w:hyperlink w:anchor="_Toc229054463" w:history="1">
        <w:r w:rsidRPr="0024097F">
          <w:rPr>
            <w:rStyle w:val="Hyperlink"/>
            <w:rFonts w:ascii="Arial" w:hAnsi="Arial"/>
          </w:rPr>
          <w:t>5.4</w:t>
        </w:r>
        <w:r>
          <w:rPr>
            <w:rFonts w:eastAsiaTheme="minorEastAsia"/>
            <w:b w:val="0"/>
          </w:rPr>
          <w:tab/>
        </w:r>
        <w:r w:rsidRPr="0024097F">
          <w:rPr>
            <w:rStyle w:val="Hyperlink"/>
          </w:rPr>
          <w:t>EIM Participating Resource (PR)</w:t>
        </w:r>
        <w:r>
          <w:rPr>
            <w:webHidden/>
          </w:rPr>
          <w:tab/>
        </w:r>
        <w:r>
          <w:rPr>
            <w:webHidden/>
          </w:rPr>
          <w:fldChar w:fldCharType="begin"/>
        </w:r>
        <w:r>
          <w:rPr>
            <w:webHidden/>
          </w:rPr>
          <w:instrText xml:space="preserve"> PAGEREF _Toc229054463 \h </w:instrText>
        </w:r>
        <w:r>
          <w:rPr>
            <w:webHidden/>
          </w:rPr>
        </w:r>
        <w:r>
          <w:rPr>
            <w:webHidden/>
          </w:rPr>
          <w:fldChar w:fldCharType="separate"/>
        </w:r>
        <w:r w:rsidR="00DA0658">
          <w:rPr>
            <w:webHidden/>
          </w:rPr>
          <w:t>25</w:t>
        </w:r>
        <w:r>
          <w:rPr>
            <w:webHidden/>
          </w:rPr>
          <w:fldChar w:fldCharType="end"/>
        </w:r>
      </w:hyperlink>
    </w:p>
    <w:p w14:paraId="315FF342" w14:textId="296305C4" w:rsidR="002E60A6" w:rsidRDefault="002E60A6">
      <w:pPr>
        <w:pStyle w:val="TOC1"/>
        <w:rPr>
          <w:rFonts w:eastAsiaTheme="minorEastAsia" w:cstheme="minorBidi"/>
          <w:b w:val="0"/>
        </w:rPr>
      </w:pPr>
      <w:hyperlink w:anchor="_Toc229054464" w:history="1">
        <w:r w:rsidRPr="0024097F">
          <w:rPr>
            <w:rStyle w:val="Hyperlink"/>
            <w:rFonts w:ascii="Arial" w:hAnsi="Arial"/>
          </w:rPr>
          <w:t>6.</w:t>
        </w:r>
        <w:r>
          <w:rPr>
            <w:rFonts w:eastAsiaTheme="minorEastAsia" w:cstheme="minorBidi"/>
            <w:b w:val="0"/>
          </w:rPr>
          <w:tab/>
        </w:r>
        <w:r w:rsidRPr="0024097F">
          <w:rPr>
            <w:rStyle w:val="Hyperlink"/>
          </w:rPr>
          <w:t>CREDIT MANAGEMENT</w:t>
        </w:r>
        <w:r>
          <w:rPr>
            <w:webHidden/>
          </w:rPr>
          <w:tab/>
        </w:r>
        <w:r>
          <w:rPr>
            <w:webHidden/>
          </w:rPr>
          <w:fldChar w:fldCharType="begin"/>
        </w:r>
        <w:r>
          <w:rPr>
            <w:webHidden/>
          </w:rPr>
          <w:instrText xml:space="preserve"> PAGEREF _Toc229054464 \h </w:instrText>
        </w:r>
        <w:r>
          <w:rPr>
            <w:webHidden/>
          </w:rPr>
        </w:r>
        <w:r>
          <w:rPr>
            <w:webHidden/>
          </w:rPr>
          <w:fldChar w:fldCharType="separate"/>
        </w:r>
        <w:r w:rsidR="00DA0658">
          <w:rPr>
            <w:webHidden/>
          </w:rPr>
          <w:t>26</w:t>
        </w:r>
        <w:r>
          <w:rPr>
            <w:webHidden/>
          </w:rPr>
          <w:fldChar w:fldCharType="end"/>
        </w:r>
      </w:hyperlink>
    </w:p>
    <w:p w14:paraId="4903F920" w14:textId="124839CD" w:rsidR="002E60A6" w:rsidRDefault="002E60A6">
      <w:pPr>
        <w:pStyle w:val="TOC1"/>
        <w:rPr>
          <w:rFonts w:eastAsiaTheme="minorEastAsia" w:cstheme="minorBidi"/>
          <w:b w:val="0"/>
        </w:rPr>
      </w:pPr>
      <w:hyperlink w:anchor="_Toc229054465" w:history="1">
        <w:r w:rsidRPr="0024097F">
          <w:rPr>
            <w:rStyle w:val="Hyperlink"/>
            <w:rFonts w:ascii="Arial" w:hAnsi="Arial"/>
          </w:rPr>
          <w:t>7.</w:t>
        </w:r>
        <w:r>
          <w:rPr>
            <w:rFonts w:eastAsiaTheme="minorEastAsia" w:cstheme="minorBidi"/>
            <w:b w:val="0"/>
          </w:rPr>
          <w:tab/>
        </w:r>
        <w:r w:rsidRPr="0024097F">
          <w:rPr>
            <w:rStyle w:val="Hyperlink"/>
          </w:rPr>
          <w:t>FULL NETWORK MODEL</w:t>
        </w:r>
        <w:r>
          <w:rPr>
            <w:webHidden/>
          </w:rPr>
          <w:tab/>
        </w:r>
        <w:r>
          <w:rPr>
            <w:webHidden/>
          </w:rPr>
          <w:fldChar w:fldCharType="begin"/>
        </w:r>
        <w:r>
          <w:rPr>
            <w:webHidden/>
          </w:rPr>
          <w:instrText xml:space="preserve"> PAGEREF _Toc229054465 \h </w:instrText>
        </w:r>
        <w:r>
          <w:rPr>
            <w:webHidden/>
          </w:rPr>
        </w:r>
        <w:r>
          <w:rPr>
            <w:webHidden/>
          </w:rPr>
          <w:fldChar w:fldCharType="separate"/>
        </w:r>
        <w:r w:rsidR="00DA0658">
          <w:rPr>
            <w:webHidden/>
          </w:rPr>
          <w:t>27</w:t>
        </w:r>
        <w:r>
          <w:rPr>
            <w:webHidden/>
          </w:rPr>
          <w:fldChar w:fldCharType="end"/>
        </w:r>
      </w:hyperlink>
    </w:p>
    <w:p w14:paraId="38792BC6" w14:textId="202FB59D" w:rsidR="002E60A6" w:rsidRDefault="002E60A6">
      <w:pPr>
        <w:pStyle w:val="TOC1"/>
        <w:rPr>
          <w:rFonts w:eastAsiaTheme="minorEastAsia" w:cstheme="minorBidi"/>
          <w:b w:val="0"/>
        </w:rPr>
      </w:pPr>
      <w:hyperlink w:anchor="_Toc229054466" w:history="1">
        <w:r w:rsidRPr="0024097F">
          <w:rPr>
            <w:rStyle w:val="Hyperlink"/>
            <w:rFonts w:ascii="Arial" w:hAnsi="Arial"/>
          </w:rPr>
          <w:t>8.</w:t>
        </w:r>
        <w:r>
          <w:rPr>
            <w:rFonts w:eastAsiaTheme="minorEastAsia" w:cstheme="minorBidi"/>
            <w:b w:val="0"/>
          </w:rPr>
          <w:tab/>
        </w:r>
        <w:r w:rsidRPr="0024097F">
          <w:rPr>
            <w:rStyle w:val="Hyperlink"/>
          </w:rPr>
          <w:t>METERING</w:t>
        </w:r>
        <w:r>
          <w:rPr>
            <w:webHidden/>
          </w:rPr>
          <w:tab/>
        </w:r>
        <w:r>
          <w:rPr>
            <w:webHidden/>
          </w:rPr>
          <w:fldChar w:fldCharType="begin"/>
        </w:r>
        <w:r>
          <w:rPr>
            <w:webHidden/>
          </w:rPr>
          <w:instrText xml:space="preserve"> PAGEREF _Toc229054466 \h </w:instrText>
        </w:r>
        <w:r>
          <w:rPr>
            <w:webHidden/>
          </w:rPr>
        </w:r>
        <w:r>
          <w:rPr>
            <w:webHidden/>
          </w:rPr>
          <w:fldChar w:fldCharType="separate"/>
        </w:r>
        <w:r w:rsidR="00DA0658">
          <w:rPr>
            <w:webHidden/>
          </w:rPr>
          <w:t>29</w:t>
        </w:r>
        <w:r>
          <w:rPr>
            <w:webHidden/>
          </w:rPr>
          <w:fldChar w:fldCharType="end"/>
        </w:r>
      </w:hyperlink>
    </w:p>
    <w:p w14:paraId="1B911B08" w14:textId="6528F227" w:rsidR="002E60A6" w:rsidRDefault="002E60A6">
      <w:pPr>
        <w:pStyle w:val="TOC1"/>
        <w:rPr>
          <w:rFonts w:eastAsiaTheme="minorEastAsia" w:cstheme="minorBidi"/>
          <w:b w:val="0"/>
        </w:rPr>
      </w:pPr>
      <w:hyperlink w:anchor="_Toc229054467" w:history="1">
        <w:r w:rsidRPr="0024097F">
          <w:rPr>
            <w:rStyle w:val="Hyperlink"/>
            <w:rFonts w:ascii="Arial" w:hAnsi="Arial"/>
          </w:rPr>
          <w:t>9.</w:t>
        </w:r>
        <w:r>
          <w:rPr>
            <w:rFonts w:eastAsiaTheme="minorEastAsia" w:cstheme="minorBidi"/>
            <w:b w:val="0"/>
          </w:rPr>
          <w:tab/>
        </w:r>
        <w:r w:rsidRPr="0024097F">
          <w:rPr>
            <w:rStyle w:val="Hyperlink"/>
          </w:rPr>
          <w:t>TELEMETRY</w:t>
        </w:r>
        <w:r>
          <w:rPr>
            <w:webHidden/>
          </w:rPr>
          <w:tab/>
        </w:r>
        <w:r>
          <w:rPr>
            <w:webHidden/>
          </w:rPr>
          <w:fldChar w:fldCharType="begin"/>
        </w:r>
        <w:r>
          <w:rPr>
            <w:webHidden/>
          </w:rPr>
          <w:instrText xml:space="preserve"> PAGEREF _Toc229054467 \h </w:instrText>
        </w:r>
        <w:r>
          <w:rPr>
            <w:webHidden/>
          </w:rPr>
        </w:r>
        <w:r>
          <w:rPr>
            <w:webHidden/>
          </w:rPr>
          <w:fldChar w:fldCharType="separate"/>
        </w:r>
        <w:r w:rsidR="00DA0658">
          <w:rPr>
            <w:webHidden/>
          </w:rPr>
          <w:t>32</w:t>
        </w:r>
        <w:r>
          <w:rPr>
            <w:webHidden/>
          </w:rPr>
          <w:fldChar w:fldCharType="end"/>
        </w:r>
      </w:hyperlink>
    </w:p>
    <w:p w14:paraId="28C6BC0D" w14:textId="6D3C0896" w:rsidR="002E60A6" w:rsidRDefault="002E60A6">
      <w:pPr>
        <w:pStyle w:val="TOC1"/>
        <w:rPr>
          <w:rFonts w:eastAsiaTheme="minorEastAsia" w:cstheme="minorBidi"/>
          <w:b w:val="0"/>
        </w:rPr>
      </w:pPr>
      <w:hyperlink w:anchor="_Toc229054468" w:history="1">
        <w:r w:rsidRPr="0024097F">
          <w:rPr>
            <w:rStyle w:val="Hyperlink"/>
            <w:rFonts w:ascii="Arial" w:hAnsi="Arial"/>
          </w:rPr>
          <w:t>10.</w:t>
        </w:r>
        <w:r>
          <w:rPr>
            <w:rFonts w:eastAsiaTheme="minorEastAsia" w:cstheme="minorBidi"/>
            <w:b w:val="0"/>
          </w:rPr>
          <w:tab/>
        </w:r>
        <w:r w:rsidRPr="0024097F">
          <w:rPr>
            <w:rStyle w:val="Hyperlink"/>
          </w:rPr>
          <w:t>OUTAGE MANAGEMENT</w:t>
        </w:r>
        <w:r>
          <w:rPr>
            <w:webHidden/>
          </w:rPr>
          <w:tab/>
        </w:r>
        <w:r>
          <w:rPr>
            <w:webHidden/>
          </w:rPr>
          <w:fldChar w:fldCharType="begin"/>
        </w:r>
        <w:r>
          <w:rPr>
            <w:webHidden/>
          </w:rPr>
          <w:instrText xml:space="preserve"> PAGEREF _Toc229054468 \h </w:instrText>
        </w:r>
        <w:r>
          <w:rPr>
            <w:webHidden/>
          </w:rPr>
        </w:r>
        <w:r>
          <w:rPr>
            <w:webHidden/>
          </w:rPr>
          <w:fldChar w:fldCharType="separate"/>
        </w:r>
        <w:r w:rsidR="00DA0658">
          <w:rPr>
            <w:webHidden/>
          </w:rPr>
          <w:t>32</w:t>
        </w:r>
        <w:r>
          <w:rPr>
            <w:webHidden/>
          </w:rPr>
          <w:fldChar w:fldCharType="end"/>
        </w:r>
      </w:hyperlink>
    </w:p>
    <w:p w14:paraId="6B2916C3" w14:textId="463A3A8E" w:rsidR="002E60A6" w:rsidRDefault="002E60A6">
      <w:pPr>
        <w:pStyle w:val="TOC2"/>
        <w:rPr>
          <w:rFonts w:eastAsiaTheme="minorEastAsia"/>
          <w:b w:val="0"/>
        </w:rPr>
      </w:pPr>
      <w:hyperlink w:anchor="_Toc229054469" w:history="1">
        <w:r w:rsidRPr="0024097F">
          <w:rPr>
            <w:rStyle w:val="Hyperlink"/>
            <w:rFonts w:ascii="Arial" w:hAnsi="Arial"/>
          </w:rPr>
          <w:t>10.1</w:t>
        </w:r>
        <w:r>
          <w:rPr>
            <w:rFonts w:eastAsiaTheme="minorEastAsia"/>
            <w:b w:val="0"/>
          </w:rPr>
          <w:tab/>
        </w:r>
        <w:r w:rsidRPr="0024097F">
          <w:rPr>
            <w:rStyle w:val="Hyperlink"/>
          </w:rPr>
          <w:t>Objectives, Roles, Scope, and Participants</w:t>
        </w:r>
        <w:r>
          <w:rPr>
            <w:webHidden/>
          </w:rPr>
          <w:tab/>
        </w:r>
        <w:r>
          <w:rPr>
            <w:webHidden/>
          </w:rPr>
          <w:fldChar w:fldCharType="begin"/>
        </w:r>
        <w:r>
          <w:rPr>
            <w:webHidden/>
          </w:rPr>
          <w:instrText xml:space="preserve"> PAGEREF _Toc229054469 \h </w:instrText>
        </w:r>
        <w:r>
          <w:rPr>
            <w:webHidden/>
          </w:rPr>
        </w:r>
        <w:r>
          <w:rPr>
            <w:webHidden/>
          </w:rPr>
          <w:fldChar w:fldCharType="separate"/>
        </w:r>
        <w:r w:rsidR="00DA0658">
          <w:rPr>
            <w:webHidden/>
          </w:rPr>
          <w:t>33</w:t>
        </w:r>
        <w:r>
          <w:rPr>
            <w:webHidden/>
          </w:rPr>
          <w:fldChar w:fldCharType="end"/>
        </w:r>
      </w:hyperlink>
    </w:p>
    <w:p w14:paraId="225B2117" w14:textId="6B3DED6F" w:rsidR="002E60A6" w:rsidRDefault="002E60A6">
      <w:pPr>
        <w:pStyle w:val="TOC3"/>
        <w:rPr>
          <w:rFonts w:eastAsiaTheme="minorEastAsia"/>
        </w:rPr>
      </w:pPr>
      <w:hyperlink w:anchor="_Toc229054470" w:history="1">
        <w:r w:rsidRPr="0024097F">
          <w:rPr>
            <w:rStyle w:val="Hyperlink"/>
            <w:rFonts w:ascii="Arial" w:hAnsi="Arial"/>
          </w:rPr>
          <w:t>10.1.1</w:t>
        </w:r>
        <w:r>
          <w:rPr>
            <w:rFonts w:eastAsiaTheme="minorEastAsia"/>
          </w:rPr>
          <w:tab/>
        </w:r>
        <w:r w:rsidRPr="0024097F">
          <w:rPr>
            <w:rStyle w:val="Hyperlink"/>
          </w:rPr>
          <w:t>Outage Management Objective</w:t>
        </w:r>
        <w:r>
          <w:rPr>
            <w:webHidden/>
          </w:rPr>
          <w:tab/>
        </w:r>
        <w:r>
          <w:rPr>
            <w:webHidden/>
          </w:rPr>
          <w:fldChar w:fldCharType="begin"/>
        </w:r>
        <w:r>
          <w:rPr>
            <w:webHidden/>
          </w:rPr>
          <w:instrText xml:space="preserve"> PAGEREF _Toc229054470 \h </w:instrText>
        </w:r>
        <w:r>
          <w:rPr>
            <w:webHidden/>
          </w:rPr>
        </w:r>
        <w:r>
          <w:rPr>
            <w:webHidden/>
          </w:rPr>
          <w:fldChar w:fldCharType="separate"/>
        </w:r>
        <w:r w:rsidR="00DA0658">
          <w:rPr>
            <w:webHidden/>
          </w:rPr>
          <w:t>33</w:t>
        </w:r>
        <w:r>
          <w:rPr>
            <w:webHidden/>
          </w:rPr>
          <w:fldChar w:fldCharType="end"/>
        </w:r>
      </w:hyperlink>
    </w:p>
    <w:p w14:paraId="1D1138B6" w14:textId="18D3E3DD" w:rsidR="002E60A6" w:rsidRDefault="002E60A6">
      <w:pPr>
        <w:pStyle w:val="TOC3"/>
        <w:rPr>
          <w:rFonts w:eastAsiaTheme="minorEastAsia"/>
        </w:rPr>
      </w:pPr>
      <w:hyperlink w:anchor="_Toc229054471" w:history="1">
        <w:r w:rsidRPr="0024097F">
          <w:rPr>
            <w:rStyle w:val="Hyperlink"/>
            <w:rFonts w:ascii="Arial" w:hAnsi="Arial"/>
          </w:rPr>
          <w:t>10.1.2</w:t>
        </w:r>
        <w:r>
          <w:rPr>
            <w:rFonts w:eastAsiaTheme="minorEastAsia"/>
          </w:rPr>
          <w:tab/>
        </w:r>
        <w:r w:rsidRPr="0024097F">
          <w:rPr>
            <w:rStyle w:val="Hyperlink"/>
          </w:rPr>
          <w:t>CAISO Role</w:t>
        </w:r>
        <w:r>
          <w:rPr>
            <w:webHidden/>
          </w:rPr>
          <w:tab/>
        </w:r>
        <w:r>
          <w:rPr>
            <w:webHidden/>
          </w:rPr>
          <w:fldChar w:fldCharType="begin"/>
        </w:r>
        <w:r>
          <w:rPr>
            <w:webHidden/>
          </w:rPr>
          <w:instrText xml:space="preserve"> PAGEREF _Toc229054471 \h </w:instrText>
        </w:r>
        <w:r>
          <w:rPr>
            <w:webHidden/>
          </w:rPr>
        </w:r>
        <w:r>
          <w:rPr>
            <w:webHidden/>
          </w:rPr>
          <w:fldChar w:fldCharType="separate"/>
        </w:r>
        <w:r w:rsidR="00DA0658">
          <w:rPr>
            <w:webHidden/>
          </w:rPr>
          <w:t>33</w:t>
        </w:r>
        <w:r>
          <w:rPr>
            <w:webHidden/>
          </w:rPr>
          <w:fldChar w:fldCharType="end"/>
        </w:r>
      </w:hyperlink>
    </w:p>
    <w:p w14:paraId="38B9714A" w14:textId="1621A077" w:rsidR="002E60A6" w:rsidRDefault="002E60A6">
      <w:pPr>
        <w:pStyle w:val="TOC3"/>
        <w:rPr>
          <w:rFonts w:eastAsiaTheme="minorEastAsia"/>
        </w:rPr>
      </w:pPr>
      <w:hyperlink w:anchor="_Toc229054472" w:history="1">
        <w:r w:rsidRPr="0024097F">
          <w:rPr>
            <w:rStyle w:val="Hyperlink"/>
            <w:rFonts w:ascii="Arial" w:hAnsi="Arial"/>
          </w:rPr>
          <w:t>10.1.3</w:t>
        </w:r>
        <w:r>
          <w:rPr>
            <w:rFonts w:eastAsiaTheme="minorEastAsia"/>
          </w:rPr>
          <w:tab/>
        </w:r>
        <w:r w:rsidRPr="0024097F">
          <w:rPr>
            <w:rStyle w:val="Hyperlink"/>
          </w:rPr>
          <w:t>Facility Owner Role</w:t>
        </w:r>
        <w:r>
          <w:rPr>
            <w:webHidden/>
          </w:rPr>
          <w:tab/>
        </w:r>
        <w:r>
          <w:rPr>
            <w:webHidden/>
          </w:rPr>
          <w:fldChar w:fldCharType="begin"/>
        </w:r>
        <w:r>
          <w:rPr>
            <w:webHidden/>
          </w:rPr>
          <w:instrText xml:space="preserve"> PAGEREF _Toc229054472 \h </w:instrText>
        </w:r>
        <w:r>
          <w:rPr>
            <w:webHidden/>
          </w:rPr>
        </w:r>
        <w:r>
          <w:rPr>
            <w:webHidden/>
          </w:rPr>
          <w:fldChar w:fldCharType="separate"/>
        </w:r>
        <w:r w:rsidR="00DA0658">
          <w:rPr>
            <w:webHidden/>
          </w:rPr>
          <w:t>33</w:t>
        </w:r>
        <w:r>
          <w:rPr>
            <w:webHidden/>
          </w:rPr>
          <w:fldChar w:fldCharType="end"/>
        </w:r>
      </w:hyperlink>
    </w:p>
    <w:p w14:paraId="3D3BEF30" w14:textId="135A3DE2" w:rsidR="002E60A6" w:rsidRDefault="002E60A6">
      <w:pPr>
        <w:pStyle w:val="TOC3"/>
        <w:rPr>
          <w:rFonts w:eastAsiaTheme="minorEastAsia"/>
        </w:rPr>
      </w:pPr>
      <w:hyperlink w:anchor="_Toc229054473" w:history="1">
        <w:r w:rsidRPr="0024097F">
          <w:rPr>
            <w:rStyle w:val="Hyperlink"/>
            <w:rFonts w:ascii="Arial" w:hAnsi="Arial"/>
          </w:rPr>
          <w:t>10.1.4</w:t>
        </w:r>
        <w:r>
          <w:rPr>
            <w:rFonts w:eastAsiaTheme="minorEastAsia"/>
          </w:rPr>
          <w:tab/>
        </w:r>
        <w:r w:rsidRPr="0024097F">
          <w:rPr>
            <w:rStyle w:val="Hyperlink"/>
          </w:rPr>
          <w:t>Application to Parties</w:t>
        </w:r>
        <w:r>
          <w:rPr>
            <w:webHidden/>
          </w:rPr>
          <w:tab/>
        </w:r>
        <w:r>
          <w:rPr>
            <w:webHidden/>
          </w:rPr>
          <w:fldChar w:fldCharType="begin"/>
        </w:r>
        <w:r>
          <w:rPr>
            <w:webHidden/>
          </w:rPr>
          <w:instrText xml:space="preserve"> PAGEREF _Toc229054473 \h </w:instrText>
        </w:r>
        <w:r>
          <w:rPr>
            <w:webHidden/>
          </w:rPr>
        </w:r>
        <w:r>
          <w:rPr>
            <w:webHidden/>
          </w:rPr>
          <w:fldChar w:fldCharType="separate"/>
        </w:r>
        <w:r w:rsidR="00DA0658">
          <w:rPr>
            <w:webHidden/>
          </w:rPr>
          <w:t>34</w:t>
        </w:r>
        <w:r>
          <w:rPr>
            <w:webHidden/>
          </w:rPr>
          <w:fldChar w:fldCharType="end"/>
        </w:r>
      </w:hyperlink>
    </w:p>
    <w:p w14:paraId="3F53CCF8" w14:textId="3914AA53" w:rsidR="002E60A6" w:rsidRDefault="002E60A6">
      <w:pPr>
        <w:pStyle w:val="TOC3"/>
        <w:rPr>
          <w:rFonts w:eastAsiaTheme="minorEastAsia"/>
        </w:rPr>
      </w:pPr>
      <w:hyperlink w:anchor="_Toc229054474" w:history="1">
        <w:r w:rsidRPr="0024097F">
          <w:rPr>
            <w:rStyle w:val="Hyperlink"/>
            <w:rFonts w:ascii="Arial" w:hAnsi="Arial"/>
          </w:rPr>
          <w:t>10.1.5</w:t>
        </w:r>
        <w:r>
          <w:rPr>
            <w:rFonts w:eastAsiaTheme="minorEastAsia"/>
          </w:rPr>
          <w:tab/>
        </w:r>
        <w:r w:rsidRPr="0024097F">
          <w:rPr>
            <w:rStyle w:val="Hyperlink"/>
          </w:rPr>
          <w:t>CAISO Outage Coordination Office</w:t>
        </w:r>
        <w:r>
          <w:rPr>
            <w:webHidden/>
          </w:rPr>
          <w:tab/>
        </w:r>
        <w:r>
          <w:rPr>
            <w:webHidden/>
          </w:rPr>
          <w:fldChar w:fldCharType="begin"/>
        </w:r>
        <w:r>
          <w:rPr>
            <w:webHidden/>
          </w:rPr>
          <w:instrText xml:space="preserve"> PAGEREF _Toc229054474 \h </w:instrText>
        </w:r>
        <w:r>
          <w:rPr>
            <w:webHidden/>
          </w:rPr>
        </w:r>
        <w:r>
          <w:rPr>
            <w:webHidden/>
          </w:rPr>
          <w:fldChar w:fldCharType="separate"/>
        </w:r>
        <w:r w:rsidR="00DA0658">
          <w:rPr>
            <w:webHidden/>
          </w:rPr>
          <w:t>34</w:t>
        </w:r>
        <w:r>
          <w:rPr>
            <w:webHidden/>
          </w:rPr>
          <w:fldChar w:fldCharType="end"/>
        </w:r>
      </w:hyperlink>
    </w:p>
    <w:p w14:paraId="0CEB1958" w14:textId="1D69BBA5" w:rsidR="002E60A6" w:rsidRDefault="002E60A6">
      <w:pPr>
        <w:pStyle w:val="TOC2"/>
        <w:rPr>
          <w:rFonts w:eastAsiaTheme="minorEastAsia"/>
          <w:b w:val="0"/>
        </w:rPr>
      </w:pPr>
      <w:hyperlink w:anchor="_Toc229054475" w:history="1">
        <w:r w:rsidRPr="0024097F">
          <w:rPr>
            <w:rStyle w:val="Hyperlink"/>
            <w:rFonts w:ascii="Arial" w:hAnsi="Arial"/>
          </w:rPr>
          <w:t>10.2</w:t>
        </w:r>
        <w:r>
          <w:rPr>
            <w:rFonts w:eastAsiaTheme="minorEastAsia"/>
            <w:b w:val="0"/>
          </w:rPr>
          <w:tab/>
        </w:r>
        <w:r w:rsidRPr="0024097F">
          <w:rPr>
            <w:rStyle w:val="Hyperlink"/>
          </w:rPr>
          <w:t>Requesting Maintenance Outages</w:t>
        </w:r>
        <w:r>
          <w:rPr>
            <w:webHidden/>
          </w:rPr>
          <w:tab/>
        </w:r>
        <w:r>
          <w:rPr>
            <w:webHidden/>
          </w:rPr>
          <w:fldChar w:fldCharType="begin"/>
        </w:r>
        <w:r>
          <w:rPr>
            <w:webHidden/>
          </w:rPr>
          <w:instrText xml:space="preserve"> PAGEREF _Toc229054475 \h </w:instrText>
        </w:r>
        <w:r>
          <w:rPr>
            <w:webHidden/>
          </w:rPr>
        </w:r>
        <w:r>
          <w:rPr>
            <w:webHidden/>
          </w:rPr>
          <w:fldChar w:fldCharType="separate"/>
        </w:r>
        <w:r w:rsidR="00DA0658">
          <w:rPr>
            <w:webHidden/>
          </w:rPr>
          <w:t>35</w:t>
        </w:r>
        <w:r>
          <w:rPr>
            <w:webHidden/>
          </w:rPr>
          <w:fldChar w:fldCharType="end"/>
        </w:r>
      </w:hyperlink>
    </w:p>
    <w:p w14:paraId="3237F0E1" w14:textId="3551BFE0" w:rsidR="002E60A6" w:rsidRDefault="002E60A6">
      <w:pPr>
        <w:pStyle w:val="TOC3"/>
        <w:rPr>
          <w:rFonts w:eastAsiaTheme="minorEastAsia"/>
        </w:rPr>
      </w:pPr>
      <w:hyperlink w:anchor="_Toc229054476" w:history="1">
        <w:r w:rsidRPr="0024097F">
          <w:rPr>
            <w:rStyle w:val="Hyperlink"/>
            <w:rFonts w:ascii="Arial" w:hAnsi="Arial"/>
          </w:rPr>
          <w:t>10.2.1</w:t>
        </w:r>
        <w:r>
          <w:rPr>
            <w:rFonts w:eastAsiaTheme="minorEastAsia"/>
          </w:rPr>
          <w:tab/>
        </w:r>
        <w:r w:rsidRPr="0024097F">
          <w:rPr>
            <w:rStyle w:val="Hyperlink"/>
          </w:rPr>
          <w:t>EIM Entity and WEIM Entity Scheduling Coordinator Outage Request Process</w:t>
        </w:r>
        <w:r>
          <w:rPr>
            <w:webHidden/>
          </w:rPr>
          <w:tab/>
        </w:r>
        <w:r>
          <w:rPr>
            <w:webHidden/>
          </w:rPr>
          <w:fldChar w:fldCharType="begin"/>
        </w:r>
        <w:r>
          <w:rPr>
            <w:webHidden/>
          </w:rPr>
          <w:instrText xml:space="preserve"> PAGEREF _Toc229054476 \h </w:instrText>
        </w:r>
        <w:r>
          <w:rPr>
            <w:webHidden/>
          </w:rPr>
        </w:r>
        <w:r>
          <w:rPr>
            <w:webHidden/>
          </w:rPr>
          <w:fldChar w:fldCharType="separate"/>
        </w:r>
        <w:r w:rsidR="00DA0658">
          <w:rPr>
            <w:webHidden/>
          </w:rPr>
          <w:t>35</w:t>
        </w:r>
        <w:r>
          <w:rPr>
            <w:webHidden/>
          </w:rPr>
          <w:fldChar w:fldCharType="end"/>
        </w:r>
      </w:hyperlink>
    </w:p>
    <w:p w14:paraId="2720AC26" w14:textId="16482E31" w:rsidR="002E60A6" w:rsidRDefault="002E60A6">
      <w:pPr>
        <w:pStyle w:val="TOC3"/>
        <w:rPr>
          <w:rFonts w:eastAsiaTheme="minorEastAsia"/>
        </w:rPr>
      </w:pPr>
      <w:hyperlink w:anchor="_Toc229054477" w:history="1">
        <w:r w:rsidRPr="0024097F">
          <w:rPr>
            <w:rStyle w:val="Hyperlink"/>
            <w:rFonts w:ascii="Arial" w:hAnsi="Arial"/>
          </w:rPr>
          <w:t>10.2.2</w:t>
        </w:r>
        <w:r>
          <w:rPr>
            <w:rFonts w:eastAsiaTheme="minorEastAsia"/>
          </w:rPr>
          <w:tab/>
        </w:r>
        <w:r w:rsidRPr="0024097F">
          <w:rPr>
            <w:rStyle w:val="Hyperlink"/>
          </w:rPr>
          <w:t>Generation Resource Start-Up Time</w:t>
        </w:r>
        <w:r>
          <w:rPr>
            <w:webHidden/>
          </w:rPr>
          <w:tab/>
        </w:r>
        <w:r>
          <w:rPr>
            <w:webHidden/>
          </w:rPr>
          <w:fldChar w:fldCharType="begin"/>
        </w:r>
        <w:r>
          <w:rPr>
            <w:webHidden/>
          </w:rPr>
          <w:instrText xml:space="preserve"> PAGEREF _Toc229054477 \h </w:instrText>
        </w:r>
        <w:r>
          <w:rPr>
            <w:webHidden/>
          </w:rPr>
        </w:r>
        <w:r>
          <w:rPr>
            <w:webHidden/>
          </w:rPr>
          <w:fldChar w:fldCharType="separate"/>
        </w:r>
        <w:r w:rsidR="00DA0658">
          <w:rPr>
            <w:webHidden/>
          </w:rPr>
          <w:t>37</w:t>
        </w:r>
        <w:r>
          <w:rPr>
            <w:webHidden/>
          </w:rPr>
          <w:fldChar w:fldCharType="end"/>
        </w:r>
      </w:hyperlink>
    </w:p>
    <w:p w14:paraId="2B79016D" w14:textId="06168D4C" w:rsidR="002E60A6" w:rsidRDefault="002E60A6">
      <w:pPr>
        <w:pStyle w:val="TOC3"/>
        <w:rPr>
          <w:rFonts w:eastAsiaTheme="minorEastAsia"/>
        </w:rPr>
      </w:pPr>
      <w:hyperlink w:anchor="_Toc229054478" w:history="1">
        <w:r w:rsidRPr="0024097F">
          <w:rPr>
            <w:rStyle w:val="Hyperlink"/>
            <w:rFonts w:ascii="Arial" w:hAnsi="Arial"/>
          </w:rPr>
          <w:t>10.2.3</w:t>
        </w:r>
        <w:r>
          <w:rPr>
            <w:rFonts w:eastAsiaTheme="minorEastAsia"/>
          </w:rPr>
          <w:tab/>
        </w:r>
        <w:r w:rsidRPr="0024097F">
          <w:rPr>
            <w:rStyle w:val="Hyperlink"/>
          </w:rPr>
          <w:t>Confirmation and Acknowledgement of Receipt of Outage Request</w:t>
        </w:r>
        <w:r>
          <w:rPr>
            <w:webHidden/>
          </w:rPr>
          <w:tab/>
        </w:r>
        <w:r>
          <w:rPr>
            <w:webHidden/>
          </w:rPr>
          <w:fldChar w:fldCharType="begin"/>
        </w:r>
        <w:r>
          <w:rPr>
            <w:webHidden/>
          </w:rPr>
          <w:instrText xml:space="preserve"> PAGEREF _Toc229054478 \h </w:instrText>
        </w:r>
        <w:r>
          <w:rPr>
            <w:webHidden/>
          </w:rPr>
        </w:r>
        <w:r>
          <w:rPr>
            <w:webHidden/>
          </w:rPr>
          <w:fldChar w:fldCharType="separate"/>
        </w:r>
        <w:r w:rsidR="00DA0658">
          <w:rPr>
            <w:webHidden/>
          </w:rPr>
          <w:t>37</w:t>
        </w:r>
        <w:r>
          <w:rPr>
            <w:webHidden/>
          </w:rPr>
          <w:fldChar w:fldCharType="end"/>
        </w:r>
      </w:hyperlink>
    </w:p>
    <w:p w14:paraId="5C388159" w14:textId="25420219" w:rsidR="002E60A6" w:rsidRDefault="002E60A6">
      <w:pPr>
        <w:pStyle w:val="TOC3"/>
        <w:rPr>
          <w:rFonts w:eastAsiaTheme="minorEastAsia"/>
        </w:rPr>
      </w:pPr>
      <w:hyperlink w:anchor="_Toc229054479" w:history="1">
        <w:r w:rsidRPr="0024097F">
          <w:rPr>
            <w:rStyle w:val="Hyperlink"/>
            <w:rFonts w:ascii="Arial" w:hAnsi="Arial"/>
          </w:rPr>
          <w:t>10.2.4</w:t>
        </w:r>
        <w:r>
          <w:rPr>
            <w:rFonts w:eastAsiaTheme="minorEastAsia"/>
          </w:rPr>
          <w:tab/>
        </w:r>
        <w:r w:rsidRPr="0024097F">
          <w:rPr>
            <w:rStyle w:val="Hyperlink"/>
          </w:rPr>
          <w:t>Withdrawal or Modification of Request</w:t>
        </w:r>
        <w:r>
          <w:rPr>
            <w:webHidden/>
          </w:rPr>
          <w:tab/>
        </w:r>
        <w:r>
          <w:rPr>
            <w:webHidden/>
          </w:rPr>
          <w:fldChar w:fldCharType="begin"/>
        </w:r>
        <w:r>
          <w:rPr>
            <w:webHidden/>
          </w:rPr>
          <w:instrText xml:space="preserve"> PAGEREF _Toc229054479 \h </w:instrText>
        </w:r>
        <w:r>
          <w:rPr>
            <w:webHidden/>
          </w:rPr>
        </w:r>
        <w:r>
          <w:rPr>
            <w:webHidden/>
          </w:rPr>
          <w:fldChar w:fldCharType="separate"/>
        </w:r>
        <w:r w:rsidR="00DA0658">
          <w:rPr>
            <w:webHidden/>
          </w:rPr>
          <w:t>37</w:t>
        </w:r>
        <w:r>
          <w:rPr>
            <w:webHidden/>
          </w:rPr>
          <w:fldChar w:fldCharType="end"/>
        </w:r>
      </w:hyperlink>
    </w:p>
    <w:p w14:paraId="7EC7097F" w14:textId="60DB7BFE" w:rsidR="002E60A6" w:rsidRDefault="002E60A6">
      <w:pPr>
        <w:pStyle w:val="TOC3"/>
        <w:rPr>
          <w:rFonts w:eastAsiaTheme="minorEastAsia"/>
        </w:rPr>
      </w:pPr>
      <w:hyperlink w:anchor="_Toc229054480" w:history="1">
        <w:r w:rsidRPr="0024097F">
          <w:rPr>
            <w:rStyle w:val="Hyperlink"/>
            <w:rFonts w:ascii="Arial" w:hAnsi="Arial"/>
          </w:rPr>
          <w:t>10.2.5</w:t>
        </w:r>
        <w:r>
          <w:rPr>
            <w:rFonts w:eastAsiaTheme="minorEastAsia"/>
          </w:rPr>
          <w:tab/>
        </w:r>
        <w:r w:rsidRPr="0024097F">
          <w:rPr>
            <w:rStyle w:val="Hyperlink"/>
          </w:rPr>
          <w:t>Changes to Planned Maintenance Outages</w:t>
        </w:r>
        <w:r>
          <w:rPr>
            <w:webHidden/>
          </w:rPr>
          <w:tab/>
        </w:r>
        <w:r>
          <w:rPr>
            <w:webHidden/>
          </w:rPr>
          <w:fldChar w:fldCharType="begin"/>
        </w:r>
        <w:r>
          <w:rPr>
            <w:webHidden/>
          </w:rPr>
          <w:instrText xml:space="preserve"> PAGEREF _Toc229054480 \h </w:instrText>
        </w:r>
        <w:r>
          <w:rPr>
            <w:webHidden/>
          </w:rPr>
        </w:r>
        <w:r>
          <w:rPr>
            <w:webHidden/>
          </w:rPr>
          <w:fldChar w:fldCharType="separate"/>
        </w:r>
        <w:r w:rsidR="00DA0658">
          <w:rPr>
            <w:webHidden/>
          </w:rPr>
          <w:t>37</w:t>
        </w:r>
        <w:r>
          <w:rPr>
            <w:webHidden/>
          </w:rPr>
          <w:fldChar w:fldCharType="end"/>
        </w:r>
      </w:hyperlink>
    </w:p>
    <w:p w14:paraId="34C448FF" w14:textId="673DB5E5" w:rsidR="002E60A6" w:rsidRDefault="002E60A6">
      <w:pPr>
        <w:pStyle w:val="TOC2"/>
        <w:rPr>
          <w:rFonts w:eastAsiaTheme="minorEastAsia"/>
          <w:b w:val="0"/>
        </w:rPr>
      </w:pPr>
      <w:hyperlink w:anchor="_Toc229054481" w:history="1">
        <w:r w:rsidRPr="0024097F">
          <w:rPr>
            <w:rStyle w:val="Hyperlink"/>
            <w:rFonts w:ascii="Arial" w:hAnsi="Arial"/>
          </w:rPr>
          <w:t>10.3</w:t>
        </w:r>
        <w:r>
          <w:rPr>
            <w:rFonts w:eastAsiaTheme="minorEastAsia"/>
            <w:b w:val="0"/>
          </w:rPr>
          <w:tab/>
        </w:r>
        <w:r w:rsidRPr="0024097F">
          <w:rPr>
            <w:rStyle w:val="Hyperlink"/>
          </w:rPr>
          <w:t>Management of Forced Outages</w:t>
        </w:r>
        <w:r>
          <w:rPr>
            <w:webHidden/>
          </w:rPr>
          <w:tab/>
        </w:r>
        <w:r>
          <w:rPr>
            <w:webHidden/>
          </w:rPr>
          <w:fldChar w:fldCharType="begin"/>
        </w:r>
        <w:r>
          <w:rPr>
            <w:webHidden/>
          </w:rPr>
          <w:instrText xml:space="preserve"> PAGEREF _Toc229054481 \h </w:instrText>
        </w:r>
        <w:r>
          <w:rPr>
            <w:webHidden/>
          </w:rPr>
        </w:r>
        <w:r>
          <w:rPr>
            <w:webHidden/>
          </w:rPr>
          <w:fldChar w:fldCharType="separate"/>
        </w:r>
        <w:r w:rsidR="00DA0658">
          <w:rPr>
            <w:webHidden/>
          </w:rPr>
          <w:t>37</w:t>
        </w:r>
        <w:r>
          <w:rPr>
            <w:webHidden/>
          </w:rPr>
          <w:fldChar w:fldCharType="end"/>
        </w:r>
      </w:hyperlink>
    </w:p>
    <w:p w14:paraId="69311BDA" w14:textId="261C6FC5" w:rsidR="002E60A6" w:rsidRDefault="002E60A6">
      <w:pPr>
        <w:pStyle w:val="TOC3"/>
        <w:rPr>
          <w:rFonts w:eastAsiaTheme="minorEastAsia"/>
        </w:rPr>
      </w:pPr>
      <w:hyperlink w:anchor="_Toc229054482" w:history="1">
        <w:r w:rsidRPr="0024097F">
          <w:rPr>
            <w:rStyle w:val="Hyperlink"/>
            <w:rFonts w:ascii="Arial" w:hAnsi="Arial"/>
          </w:rPr>
          <w:t>10.3.1</w:t>
        </w:r>
        <w:r>
          <w:rPr>
            <w:rFonts w:eastAsiaTheme="minorEastAsia"/>
          </w:rPr>
          <w:tab/>
        </w:r>
        <w:r w:rsidRPr="0024097F">
          <w:rPr>
            <w:rStyle w:val="Hyperlink"/>
          </w:rPr>
          <w:t>Forced Outages</w:t>
        </w:r>
        <w:r>
          <w:rPr>
            <w:webHidden/>
          </w:rPr>
          <w:tab/>
        </w:r>
        <w:r>
          <w:rPr>
            <w:webHidden/>
          </w:rPr>
          <w:fldChar w:fldCharType="begin"/>
        </w:r>
        <w:r>
          <w:rPr>
            <w:webHidden/>
          </w:rPr>
          <w:instrText xml:space="preserve"> PAGEREF _Toc229054482 \h </w:instrText>
        </w:r>
        <w:r>
          <w:rPr>
            <w:webHidden/>
          </w:rPr>
        </w:r>
        <w:r>
          <w:rPr>
            <w:webHidden/>
          </w:rPr>
          <w:fldChar w:fldCharType="separate"/>
        </w:r>
        <w:r w:rsidR="00DA0658">
          <w:rPr>
            <w:webHidden/>
          </w:rPr>
          <w:t>38</w:t>
        </w:r>
        <w:r>
          <w:rPr>
            <w:webHidden/>
          </w:rPr>
          <w:fldChar w:fldCharType="end"/>
        </w:r>
      </w:hyperlink>
    </w:p>
    <w:p w14:paraId="1C066366" w14:textId="7943D21D" w:rsidR="002E60A6" w:rsidRDefault="002E60A6">
      <w:pPr>
        <w:pStyle w:val="TOC3"/>
        <w:rPr>
          <w:rFonts w:eastAsiaTheme="minorEastAsia"/>
        </w:rPr>
      </w:pPr>
      <w:hyperlink w:anchor="_Toc229054483" w:history="1">
        <w:r w:rsidRPr="0024097F">
          <w:rPr>
            <w:rStyle w:val="Hyperlink"/>
            <w:rFonts w:ascii="Arial" w:hAnsi="Arial"/>
          </w:rPr>
          <w:t>10.3.2</w:t>
        </w:r>
        <w:r>
          <w:rPr>
            <w:rFonts w:eastAsiaTheme="minorEastAsia"/>
          </w:rPr>
          <w:tab/>
        </w:r>
        <w:r w:rsidRPr="0024097F">
          <w:rPr>
            <w:rStyle w:val="Hyperlink"/>
          </w:rPr>
          <w:t>Extended Scheduled Outage</w:t>
        </w:r>
        <w:r>
          <w:rPr>
            <w:webHidden/>
          </w:rPr>
          <w:tab/>
        </w:r>
        <w:r>
          <w:rPr>
            <w:webHidden/>
          </w:rPr>
          <w:fldChar w:fldCharType="begin"/>
        </w:r>
        <w:r>
          <w:rPr>
            <w:webHidden/>
          </w:rPr>
          <w:instrText xml:space="preserve"> PAGEREF _Toc229054483 \h </w:instrText>
        </w:r>
        <w:r>
          <w:rPr>
            <w:webHidden/>
          </w:rPr>
        </w:r>
        <w:r>
          <w:rPr>
            <w:webHidden/>
          </w:rPr>
          <w:fldChar w:fldCharType="separate"/>
        </w:r>
        <w:r w:rsidR="00DA0658">
          <w:rPr>
            <w:webHidden/>
          </w:rPr>
          <w:t>38</w:t>
        </w:r>
        <w:r>
          <w:rPr>
            <w:webHidden/>
          </w:rPr>
          <w:fldChar w:fldCharType="end"/>
        </w:r>
      </w:hyperlink>
    </w:p>
    <w:p w14:paraId="3C1FF46E" w14:textId="78155252" w:rsidR="002E60A6" w:rsidRDefault="002E60A6">
      <w:pPr>
        <w:pStyle w:val="TOC2"/>
        <w:rPr>
          <w:rFonts w:eastAsiaTheme="minorEastAsia"/>
          <w:b w:val="0"/>
        </w:rPr>
      </w:pPr>
      <w:hyperlink w:anchor="_Toc229054484" w:history="1">
        <w:r w:rsidRPr="0024097F">
          <w:rPr>
            <w:rStyle w:val="Hyperlink"/>
            <w:rFonts w:ascii="Arial" w:hAnsi="Arial"/>
          </w:rPr>
          <w:t>10.4</w:t>
        </w:r>
        <w:r>
          <w:rPr>
            <w:rFonts w:eastAsiaTheme="minorEastAsia"/>
            <w:b w:val="0"/>
          </w:rPr>
          <w:tab/>
        </w:r>
        <w:r w:rsidRPr="0024097F">
          <w:rPr>
            <w:rStyle w:val="Hyperlink"/>
          </w:rPr>
          <w:t>Communication of Maintenance Outage Information</w:t>
        </w:r>
        <w:r>
          <w:rPr>
            <w:webHidden/>
          </w:rPr>
          <w:tab/>
        </w:r>
        <w:r>
          <w:rPr>
            <w:webHidden/>
          </w:rPr>
          <w:fldChar w:fldCharType="begin"/>
        </w:r>
        <w:r>
          <w:rPr>
            <w:webHidden/>
          </w:rPr>
          <w:instrText xml:space="preserve"> PAGEREF _Toc229054484 \h </w:instrText>
        </w:r>
        <w:r>
          <w:rPr>
            <w:webHidden/>
          </w:rPr>
        </w:r>
        <w:r>
          <w:rPr>
            <w:webHidden/>
          </w:rPr>
          <w:fldChar w:fldCharType="separate"/>
        </w:r>
        <w:r w:rsidR="00DA0658">
          <w:rPr>
            <w:webHidden/>
          </w:rPr>
          <w:t>38</w:t>
        </w:r>
        <w:r>
          <w:rPr>
            <w:webHidden/>
          </w:rPr>
          <w:fldChar w:fldCharType="end"/>
        </w:r>
      </w:hyperlink>
    </w:p>
    <w:p w14:paraId="30F0F887" w14:textId="66D93BF4" w:rsidR="002E60A6" w:rsidRDefault="002E60A6">
      <w:pPr>
        <w:pStyle w:val="TOC3"/>
        <w:rPr>
          <w:rFonts w:eastAsiaTheme="minorEastAsia"/>
        </w:rPr>
      </w:pPr>
      <w:hyperlink w:anchor="_Toc229054485" w:history="1">
        <w:r w:rsidRPr="0024097F">
          <w:rPr>
            <w:rStyle w:val="Hyperlink"/>
            <w:rFonts w:ascii="Arial" w:hAnsi="Arial"/>
          </w:rPr>
          <w:t>10.4.1</w:t>
        </w:r>
        <w:r>
          <w:rPr>
            <w:rFonts w:eastAsiaTheme="minorEastAsia"/>
          </w:rPr>
          <w:tab/>
        </w:r>
        <w:r w:rsidRPr="0024097F">
          <w:rPr>
            <w:rStyle w:val="Hyperlink"/>
          </w:rPr>
          <w:t>Single Point of Contact</w:t>
        </w:r>
        <w:r>
          <w:rPr>
            <w:webHidden/>
          </w:rPr>
          <w:tab/>
        </w:r>
        <w:r>
          <w:rPr>
            <w:webHidden/>
          </w:rPr>
          <w:fldChar w:fldCharType="begin"/>
        </w:r>
        <w:r>
          <w:rPr>
            <w:webHidden/>
          </w:rPr>
          <w:instrText xml:space="preserve"> PAGEREF _Toc229054485 \h </w:instrText>
        </w:r>
        <w:r>
          <w:rPr>
            <w:webHidden/>
          </w:rPr>
        </w:r>
        <w:r>
          <w:rPr>
            <w:webHidden/>
          </w:rPr>
          <w:fldChar w:fldCharType="separate"/>
        </w:r>
        <w:r w:rsidR="00DA0658">
          <w:rPr>
            <w:webHidden/>
          </w:rPr>
          <w:t>39</w:t>
        </w:r>
        <w:r>
          <w:rPr>
            <w:webHidden/>
          </w:rPr>
          <w:fldChar w:fldCharType="end"/>
        </w:r>
      </w:hyperlink>
    </w:p>
    <w:p w14:paraId="277B2158" w14:textId="7C6801C0" w:rsidR="002E60A6" w:rsidRDefault="002E60A6">
      <w:pPr>
        <w:pStyle w:val="TOC2"/>
        <w:rPr>
          <w:rFonts w:eastAsiaTheme="minorEastAsia"/>
          <w:b w:val="0"/>
        </w:rPr>
      </w:pPr>
      <w:hyperlink w:anchor="_Toc229054486" w:history="1">
        <w:r w:rsidRPr="0024097F">
          <w:rPr>
            <w:rStyle w:val="Hyperlink"/>
            <w:rFonts w:ascii="Arial" w:hAnsi="Arial"/>
          </w:rPr>
          <w:t>10.5</w:t>
        </w:r>
        <w:r>
          <w:rPr>
            <w:rFonts w:eastAsiaTheme="minorEastAsia"/>
            <w:b w:val="0"/>
          </w:rPr>
          <w:tab/>
        </w:r>
        <w:r w:rsidRPr="0024097F">
          <w:rPr>
            <w:rStyle w:val="Hyperlink"/>
          </w:rPr>
          <w:t>Records and Reports</w:t>
        </w:r>
        <w:r>
          <w:rPr>
            <w:webHidden/>
          </w:rPr>
          <w:tab/>
        </w:r>
        <w:r>
          <w:rPr>
            <w:webHidden/>
          </w:rPr>
          <w:fldChar w:fldCharType="begin"/>
        </w:r>
        <w:r>
          <w:rPr>
            <w:webHidden/>
          </w:rPr>
          <w:instrText xml:space="preserve"> PAGEREF _Toc229054486 \h </w:instrText>
        </w:r>
        <w:r>
          <w:rPr>
            <w:webHidden/>
          </w:rPr>
        </w:r>
        <w:r>
          <w:rPr>
            <w:webHidden/>
          </w:rPr>
          <w:fldChar w:fldCharType="separate"/>
        </w:r>
        <w:r w:rsidR="00DA0658">
          <w:rPr>
            <w:webHidden/>
          </w:rPr>
          <w:t>40</w:t>
        </w:r>
        <w:r>
          <w:rPr>
            <w:webHidden/>
          </w:rPr>
          <w:fldChar w:fldCharType="end"/>
        </w:r>
      </w:hyperlink>
    </w:p>
    <w:p w14:paraId="39BAFFB1" w14:textId="62BC93E8" w:rsidR="002E60A6" w:rsidRDefault="002E60A6">
      <w:pPr>
        <w:pStyle w:val="TOC3"/>
        <w:rPr>
          <w:rFonts w:eastAsiaTheme="minorEastAsia"/>
        </w:rPr>
      </w:pPr>
      <w:hyperlink w:anchor="_Toc229054487" w:history="1">
        <w:r w:rsidRPr="0024097F">
          <w:rPr>
            <w:rStyle w:val="Hyperlink"/>
            <w:rFonts w:ascii="Arial" w:hAnsi="Arial"/>
          </w:rPr>
          <w:t>10.5.1</w:t>
        </w:r>
        <w:r>
          <w:rPr>
            <w:rFonts w:eastAsiaTheme="minorEastAsia"/>
          </w:rPr>
          <w:tab/>
        </w:r>
        <w:r w:rsidRPr="0024097F">
          <w:rPr>
            <w:rStyle w:val="Hyperlink"/>
          </w:rPr>
          <w:t>Records of Approved Maintenance Outages</w:t>
        </w:r>
        <w:r>
          <w:rPr>
            <w:webHidden/>
          </w:rPr>
          <w:tab/>
        </w:r>
        <w:r>
          <w:rPr>
            <w:webHidden/>
          </w:rPr>
          <w:fldChar w:fldCharType="begin"/>
        </w:r>
        <w:r>
          <w:rPr>
            <w:webHidden/>
          </w:rPr>
          <w:instrText xml:space="preserve"> PAGEREF _Toc229054487 \h </w:instrText>
        </w:r>
        <w:r>
          <w:rPr>
            <w:webHidden/>
          </w:rPr>
        </w:r>
        <w:r>
          <w:rPr>
            <w:webHidden/>
          </w:rPr>
          <w:fldChar w:fldCharType="separate"/>
        </w:r>
        <w:r w:rsidR="00DA0658">
          <w:rPr>
            <w:webHidden/>
          </w:rPr>
          <w:t>41</w:t>
        </w:r>
        <w:r>
          <w:rPr>
            <w:webHidden/>
          </w:rPr>
          <w:fldChar w:fldCharType="end"/>
        </w:r>
      </w:hyperlink>
    </w:p>
    <w:p w14:paraId="55EFF128" w14:textId="7870E78B" w:rsidR="002E60A6" w:rsidRDefault="002E60A6">
      <w:pPr>
        <w:pStyle w:val="TOC1"/>
        <w:rPr>
          <w:rFonts w:eastAsiaTheme="minorEastAsia" w:cstheme="minorBidi"/>
          <w:b w:val="0"/>
        </w:rPr>
      </w:pPr>
      <w:hyperlink w:anchor="_Toc229054488" w:history="1">
        <w:r w:rsidRPr="0024097F">
          <w:rPr>
            <w:rStyle w:val="Hyperlink"/>
            <w:rFonts w:ascii="Arial" w:hAnsi="Arial"/>
          </w:rPr>
          <w:t>11.</w:t>
        </w:r>
        <w:r>
          <w:rPr>
            <w:rFonts w:eastAsiaTheme="minorEastAsia" w:cstheme="minorBidi"/>
            <w:b w:val="0"/>
          </w:rPr>
          <w:tab/>
        </w:r>
        <w:r w:rsidRPr="0024097F">
          <w:rPr>
            <w:rStyle w:val="Hyperlink"/>
          </w:rPr>
          <w:t>MARKET OPERATIONS</w:t>
        </w:r>
        <w:r>
          <w:rPr>
            <w:webHidden/>
          </w:rPr>
          <w:tab/>
        </w:r>
        <w:r>
          <w:rPr>
            <w:webHidden/>
          </w:rPr>
          <w:fldChar w:fldCharType="begin"/>
        </w:r>
        <w:r>
          <w:rPr>
            <w:webHidden/>
          </w:rPr>
          <w:instrText xml:space="preserve"> PAGEREF _Toc229054488 \h </w:instrText>
        </w:r>
        <w:r>
          <w:rPr>
            <w:webHidden/>
          </w:rPr>
        </w:r>
        <w:r>
          <w:rPr>
            <w:webHidden/>
          </w:rPr>
          <w:fldChar w:fldCharType="separate"/>
        </w:r>
        <w:r w:rsidR="00DA0658">
          <w:rPr>
            <w:webHidden/>
          </w:rPr>
          <w:t>41</w:t>
        </w:r>
        <w:r>
          <w:rPr>
            <w:webHidden/>
          </w:rPr>
          <w:fldChar w:fldCharType="end"/>
        </w:r>
      </w:hyperlink>
    </w:p>
    <w:p w14:paraId="71036CC9" w14:textId="3E315DC3" w:rsidR="002E60A6" w:rsidRDefault="002E60A6">
      <w:pPr>
        <w:pStyle w:val="TOC2"/>
        <w:rPr>
          <w:rFonts w:eastAsiaTheme="minorEastAsia"/>
          <w:b w:val="0"/>
        </w:rPr>
      </w:pPr>
      <w:hyperlink w:anchor="_Toc229054489" w:history="1">
        <w:r w:rsidRPr="0024097F">
          <w:rPr>
            <w:rStyle w:val="Hyperlink"/>
            <w:rFonts w:ascii="Arial" w:hAnsi="Arial"/>
          </w:rPr>
          <w:t>11.1</w:t>
        </w:r>
        <w:r>
          <w:rPr>
            <w:rFonts w:eastAsiaTheme="minorEastAsia"/>
            <w:b w:val="0"/>
          </w:rPr>
          <w:tab/>
        </w:r>
        <w:r w:rsidRPr="0024097F">
          <w:rPr>
            <w:rStyle w:val="Hyperlink"/>
          </w:rPr>
          <w:t>About the Market</w:t>
        </w:r>
        <w:r>
          <w:rPr>
            <w:webHidden/>
          </w:rPr>
          <w:tab/>
        </w:r>
        <w:r>
          <w:rPr>
            <w:webHidden/>
          </w:rPr>
          <w:fldChar w:fldCharType="begin"/>
        </w:r>
        <w:r>
          <w:rPr>
            <w:webHidden/>
          </w:rPr>
          <w:instrText xml:space="preserve"> PAGEREF _Toc229054489 \h </w:instrText>
        </w:r>
        <w:r>
          <w:rPr>
            <w:webHidden/>
          </w:rPr>
        </w:r>
        <w:r>
          <w:rPr>
            <w:webHidden/>
          </w:rPr>
          <w:fldChar w:fldCharType="separate"/>
        </w:r>
        <w:r w:rsidR="00DA0658">
          <w:rPr>
            <w:webHidden/>
          </w:rPr>
          <w:t>41</w:t>
        </w:r>
        <w:r>
          <w:rPr>
            <w:webHidden/>
          </w:rPr>
          <w:fldChar w:fldCharType="end"/>
        </w:r>
      </w:hyperlink>
    </w:p>
    <w:p w14:paraId="2B715262" w14:textId="5E41F984" w:rsidR="002E60A6" w:rsidRDefault="002E60A6">
      <w:pPr>
        <w:pStyle w:val="TOC3"/>
        <w:rPr>
          <w:rFonts w:eastAsiaTheme="minorEastAsia"/>
        </w:rPr>
      </w:pPr>
      <w:hyperlink w:anchor="_Toc229054490" w:history="1">
        <w:r w:rsidRPr="0024097F">
          <w:rPr>
            <w:rStyle w:val="Hyperlink"/>
            <w:rFonts w:ascii="Arial" w:eastAsia="Calibri" w:hAnsi="Arial"/>
          </w:rPr>
          <w:t>11.1.1</w:t>
        </w:r>
        <w:r>
          <w:rPr>
            <w:rFonts w:eastAsiaTheme="minorEastAsia"/>
          </w:rPr>
          <w:tab/>
        </w:r>
        <w:r w:rsidRPr="0024097F">
          <w:rPr>
            <w:rStyle w:val="Hyperlink"/>
            <w:rFonts w:eastAsia="Calibri"/>
          </w:rPr>
          <w:t>Ancillary Services</w:t>
        </w:r>
        <w:r>
          <w:rPr>
            <w:webHidden/>
          </w:rPr>
          <w:tab/>
        </w:r>
        <w:r>
          <w:rPr>
            <w:webHidden/>
          </w:rPr>
          <w:fldChar w:fldCharType="begin"/>
        </w:r>
        <w:r>
          <w:rPr>
            <w:webHidden/>
          </w:rPr>
          <w:instrText xml:space="preserve"> PAGEREF _Toc229054490 \h </w:instrText>
        </w:r>
        <w:r>
          <w:rPr>
            <w:webHidden/>
          </w:rPr>
        </w:r>
        <w:r>
          <w:rPr>
            <w:webHidden/>
          </w:rPr>
          <w:fldChar w:fldCharType="separate"/>
        </w:r>
        <w:r w:rsidR="00DA0658">
          <w:rPr>
            <w:webHidden/>
          </w:rPr>
          <w:t>42</w:t>
        </w:r>
        <w:r>
          <w:rPr>
            <w:webHidden/>
          </w:rPr>
          <w:fldChar w:fldCharType="end"/>
        </w:r>
      </w:hyperlink>
    </w:p>
    <w:p w14:paraId="35723AB7" w14:textId="4CFA4AFE" w:rsidR="002E60A6" w:rsidRDefault="002E60A6">
      <w:pPr>
        <w:pStyle w:val="TOC3"/>
        <w:rPr>
          <w:rFonts w:eastAsiaTheme="minorEastAsia"/>
        </w:rPr>
      </w:pPr>
      <w:hyperlink w:anchor="_Toc229054491" w:history="1">
        <w:r w:rsidRPr="0024097F">
          <w:rPr>
            <w:rStyle w:val="Hyperlink"/>
            <w:rFonts w:ascii="Arial" w:eastAsia="Calibri" w:hAnsi="Arial"/>
          </w:rPr>
          <w:t>11.1.2</w:t>
        </w:r>
        <w:r>
          <w:rPr>
            <w:rFonts w:eastAsiaTheme="minorEastAsia"/>
          </w:rPr>
          <w:tab/>
        </w:r>
        <w:r w:rsidRPr="0024097F">
          <w:rPr>
            <w:rStyle w:val="Hyperlink"/>
            <w:rFonts w:eastAsia="Calibri"/>
          </w:rPr>
          <w:t>Interties Between BAAs</w:t>
        </w:r>
        <w:r>
          <w:rPr>
            <w:webHidden/>
          </w:rPr>
          <w:tab/>
        </w:r>
        <w:r>
          <w:rPr>
            <w:webHidden/>
          </w:rPr>
          <w:fldChar w:fldCharType="begin"/>
        </w:r>
        <w:r>
          <w:rPr>
            <w:webHidden/>
          </w:rPr>
          <w:instrText xml:space="preserve"> PAGEREF _Toc229054491 \h </w:instrText>
        </w:r>
        <w:r>
          <w:rPr>
            <w:webHidden/>
          </w:rPr>
        </w:r>
        <w:r>
          <w:rPr>
            <w:webHidden/>
          </w:rPr>
          <w:fldChar w:fldCharType="separate"/>
        </w:r>
        <w:r w:rsidR="00DA0658">
          <w:rPr>
            <w:webHidden/>
          </w:rPr>
          <w:t>42</w:t>
        </w:r>
        <w:r>
          <w:rPr>
            <w:webHidden/>
          </w:rPr>
          <w:fldChar w:fldCharType="end"/>
        </w:r>
      </w:hyperlink>
    </w:p>
    <w:p w14:paraId="7A435266" w14:textId="7C6F0F50" w:rsidR="002E60A6" w:rsidRDefault="002E60A6">
      <w:pPr>
        <w:pStyle w:val="TOC3"/>
        <w:rPr>
          <w:rFonts w:eastAsiaTheme="minorEastAsia"/>
        </w:rPr>
      </w:pPr>
      <w:hyperlink w:anchor="_Toc229054492" w:history="1">
        <w:r w:rsidRPr="0024097F">
          <w:rPr>
            <w:rStyle w:val="Hyperlink"/>
            <w:rFonts w:ascii="Arial" w:eastAsia="Calibri" w:hAnsi="Arial"/>
          </w:rPr>
          <w:t>11.1.3</w:t>
        </w:r>
        <w:r>
          <w:rPr>
            <w:rFonts w:eastAsiaTheme="minorEastAsia"/>
          </w:rPr>
          <w:tab/>
        </w:r>
        <w:r w:rsidRPr="0024097F">
          <w:rPr>
            <w:rStyle w:val="Hyperlink"/>
            <w:rFonts w:eastAsia="Calibri"/>
          </w:rPr>
          <w:t>EIM Transmission Services Information</w:t>
        </w:r>
        <w:r>
          <w:rPr>
            <w:webHidden/>
          </w:rPr>
          <w:tab/>
        </w:r>
        <w:r>
          <w:rPr>
            <w:webHidden/>
          </w:rPr>
          <w:fldChar w:fldCharType="begin"/>
        </w:r>
        <w:r>
          <w:rPr>
            <w:webHidden/>
          </w:rPr>
          <w:instrText xml:space="preserve"> PAGEREF _Toc229054492 \h </w:instrText>
        </w:r>
        <w:r>
          <w:rPr>
            <w:webHidden/>
          </w:rPr>
        </w:r>
        <w:r>
          <w:rPr>
            <w:webHidden/>
          </w:rPr>
          <w:fldChar w:fldCharType="separate"/>
        </w:r>
        <w:r w:rsidR="00DA0658">
          <w:rPr>
            <w:webHidden/>
          </w:rPr>
          <w:t>43</w:t>
        </w:r>
        <w:r>
          <w:rPr>
            <w:webHidden/>
          </w:rPr>
          <w:fldChar w:fldCharType="end"/>
        </w:r>
      </w:hyperlink>
    </w:p>
    <w:p w14:paraId="03BCFDAF" w14:textId="0AD95436" w:rsidR="002E60A6" w:rsidRDefault="002E60A6">
      <w:pPr>
        <w:pStyle w:val="TOC3"/>
        <w:rPr>
          <w:rFonts w:eastAsiaTheme="minorEastAsia"/>
        </w:rPr>
      </w:pPr>
      <w:hyperlink w:anchor="_Toc229054493" w:history="1">
        <w:r w:rsidRPr="0024097F">
          <w:rPr>
            <w:rStyle w:val="Hyperlink"/>
            <w:rFonts w:ascii="Arial" w:eastAsia="Calibri" w:hAnsi="Arial"/>
          </w:rPr>
          <w:t>11.1.4</w:t>
        </w:r>
        <w:r>
          <w:rPr>
            <w:rFonts w:eastAsiaTheme="minorEastAsia"/>
          </w:rPr>
          <w:tab/>
        </w:r>
        <w:r w:rsidRPr="0024097F">
          <w:rPr>
            <w:rStyle w:val="Hyperlink"/>
            <w:rFonts w:eastAsia="Calibri"/>
          </w:rPr>
          <w:t>Maximum WEIM Transfer Limits</w:t>
        </w:r>
        <w:r>
          <w:rPr>
            <w:webHidden/>
          </w:rPr>
          <w:tab/>
        </w:r>
        <w:r>
          <w:rPr>
            <w:webHidden/>
          </w:rPr>
          <w:fldChar w:fldCharType="begin"/>
        </w:r>
        <w:r>
          <w:rPr>
            <w:webHidden/>
          </w:rPr>
          <w:instrText xml:space="preserve"> PAGEREF _Toc229054493 \h </w:instrText>
        </w:r>
        <w:r>
          <w:rPr>
            <w:webHidden/>
          </w:rPr>
        </w:r>
        <w:r>
          <w:rPr>
            <w:webHidden/>
          </w:rPr>
          <w:fldChar w:fldCharType="separate"/>
        </w:r>
        <w:r w:rsidR="00DA0658">
          <w:rPr>
            <w:webHidden/>
          </w:rPr>
          <w:t>43</w:t>
        </w:r>
        <w:r>
          <w:rPr>
            <w:webHidden/>
          </w:rPr>
          <w:fldChar w:fldCharType="end"/>
        </w:r>
      </w:hyperlink>
    </w:p>
    <w:p w14:paraId="045CC1F9" w14:textId="29F44E13" w:rsidR="002E60A6" w:rsidRDefault="002E60A6">
      <w:pPr>
        <w:pStyle w:val="TOC3"/>
        <w:rPr>
          <w:rFonts w:eastAsiaTheme="minorEastAsia"/>
        </w:rPr>
      </w:pPr>
      <w:hyperlink w:anchor="_Toc229054494" w:history="1">
        <w:r w:rsidRPr="0024097F">
          <w:rPr>
            <w:rStyle w:val="Hyperlink"/>
            <w:rFonts w:ascii="Arial" w:eastAsia="Calibri" w:hAnsi="Arial"/>
          </w:rPr>
          <w:t>11.1.5</w:t>
        </w:r>
        <w:r>
          <w:rPr>
            <w:rFonts w:eastAsiaTheme="minorEastAsia"/>
          </w:rPr>
          <w:tab/>
        </w:r>
        <w:r w:rsidRPr="0024097F">
          <w:rPr>
            <w:rStyle w:val="Hyperlink"/>
            <w:rFonts w:eastAsia="Calibri"/>
          </w:rPr>
          <w:t>Energy Transfer Scheduling in Western Energy Imbalance Market</w:t>
        </w:r>
        <w:r>
          <w:rPr>
            <w:webHidden/>
          </w:rPr>
          <w:tab/>
        </w:r>
        <w:r>
          <w:rPr>
            <w:webHidden/>
          </w:rPr>
          <w:fldChar w:fldCharType="begin"/>
        </w:r>
        <w:r>
          <w:rPr>
            <w:webHidden/>
          </w:rPr>
          <w:instrText xml:space="preserve"> PAGEREF _Toc229054494 \h </w:instrText>
        </w:r>
        <w:r>
          <w:rPr>
            <w:webHidden/>
          </w:rPr>
        </w:r>
        <w:r>
          <w:rPr>
            <w:webHidden/>
          </w:rPr>
          <w:fldChar w:fldCharType="separate"/>
        </w:r>
        <w:r w:rsidR="00DA0658">
          <w:rPr>
            <w:webHidden/>
          </w:rPr>
          <w:t>44</w:t>
        </w:r>
        <w:r>
          <w:rPr>
            <w:webHidden/>
          </w:rPr>
          <w:fldChar w:fldCharType="end"/>
        </w:r>
      </w:hyperlink>
    </w:p>
    <w:p w14:paraId="758A250D" w14:textId="43CD1CEA" w:rsidR="002E60A6" w:rsidRDefault="002E60A6">
      <w:pPr>
        <w:pStyle w:val="TOC3"/>
        <w:rPr>
          <w:rFonts w:eastAsiaTheme="minorEastAsia"/>
        </w:rPr>
      </w:pPr>
      <w:hyperlink w:anchor="_Toc229054495" w:history="1">
        <w:r w:rsidRPr="0024097F">
          <w:rPr>
            <w:rStyle w:val="Hyperlink"/>
            <w:rFonts w:ascii="Arial" w:eastAsia="Calibri" w:hAnsi="Arial"/>
          </w:rPr>
          <w:t>11.1.6</w:t>
        </w:r>
        <w:r>
          <w:rPr>
            <w:rFonts w:eastAsiaTheme="minorEastAsia"/>
          </w:rPr>
          <w:tab/>
        </w:r>
        <w:r w:rsidRPr="0024097F">
          <w:rPr>
            <w:rStyle w:val="Hyperlink"/>
            <w:rFonts w:eastAsia="Calibri"/>
          </w:rPr>
          <w:t>Entitlement Constraints for Rate of Changes</w:t>
        </w:r>
        <w:r>
          <w:rPr>
            <w:webHidden/>
          </w:rPr>
          <w:tab/>
        </w:r>
        <w:r>
          <w:rPr>
            <w:webHidden/>
          </w:rPr>
          <w:fldChar w:fldCharType="begin"/>
        </w:r>
        <w:r>
          <w:rPr>
            <w:webHidden/>
          </w:rPr>
          <w:instrText xml:space="preserve"> PAGEREF _Toc229054495 \h </w:instrText>
        </w:r>
        <w:r>
          <w:rPr>
            <w:webHidden/>
          </w:rPr>
        </w:r>
        <w:r>
          <w:rPr>
            <w:webHidden/>
          </w:rPr>
          <w:fldChar w:fldCharType="separate"/>
        </w:r>
        <w:r w:rsidR="00DA0658">
          <w:rPr>
            <w:webHidden/>
          </w:rPr>
          <w:t>48</w:t>
        </w:r>
        <w:r>
          <w:rPr>
            <w:webHidden/>
          </w:rPr>
          <w:fldChar w:fldCharType="end"/>
        </w:r>
      </w:hyperlink>
    </w:p>
    <w:p w14:paraId="4FBC5B62" w14:textId="2303174B" w:rsidR="002E60A6" w:rsidRDefault="002E60A6">
      <w:pPr>
        <w:pStyle w:val="TOC3"/>
        <w:rPr>
          <w:rFonts w:eastAsiaTheme="minorEastAsia"/>
        </w:rPr>
      </w:pPr>
      <w:hyperlink w:anchor="_Toc229054496" w:history="1">
        <w:r w:rsidRPr="0024097F">
          <w:rPr>
            <w:rStyle w:val="Hyperlink"/>
            <w:rFonts w:ascii="Arial" w:hAnsi="Arial"/>
          </w:rPr>
          <w:t>11.1.7</w:t>
        </w:r>
        <w:r>
          <w:rPr>
            <w:rFonts w:eastAsiaTheme="minorEastAsia"/>
          </w:rPr>
          <w:tab/>
        </w:r>
        <w:r w:rsidRPr="0024097F">
          <w:rPr>
            <w:rStyle w:val="Hyperlink"/>
          </w:rPr>
          <w:t>Constraint Relaxation</w:t>
        </w:r>
        <w:r>
          <w:rPr>
            <w:webHidden/>
          </w:rPr>
          <w:tab/>
        </w:r>
        <w:r>
          <w:rPr>
            <w:webHidden/>
          </w:rPr>
          <w:fldChar w:fldCharType="begin"/>
        </w:r>
        <w:r>
          <w:rPr>
            <w:webHidden/>
          </w:rPr>
          <w:instrText xml:space="preserve"> PAGEREF _Toc229054496 \h </w:instrText>
        </w:r>
        <w:r>
          <w:rPr>
            <w:webHidden/>
          </w:rPr>
        </w:r>
        <w:r>
          <w:rPr>
            <w:webHidden/>
          </w:rPr>
          <w:fldChar w:fldCharType="separate"/>
        </w:r>
        <w:r w:rsidR="00DA0658">
          <w:rPr>
            <w:webHidden/>
          </w:rPr>
          <w:t>48</w:t>
        </w:r>
        <w:r>
          <w:rPr>
            <w:webHidden/>
          </w:rPr>
          <w:fldChar w:fldCharType="end"/>
        </w:r>
      </w:hyperlink>
    </w:p>
    <w:p w14:paraId="080A9B97" w14:textId="73F8EF4B" w:rsidR="002E60A6" w:rsidRDefault="002E60A6">
      <w:pPr>
        <w:pStyle w:val="TOC3"/>
        <w:rPr>
          <w:rFonts w:eastAsiaTheme="minorEastAsia"/>
        </w:rPr>
      </w:pPr>
      <w:hyperlink w:anchor="_Toc229054497" w:history="1">
        <w:r w:rsidRPr="0024097F">
          <w:rPr>
            <w:rStyle w:val="Hyperlink"/>
            <w:rFonts w:ascii="Arial" w:hAnsi="Arial"/>
          </w:rPr>
          <w:t>11.1.8</w:t>
        </w:r>
        <w:r>
          <w:rPr>
            <w:rFonts w:eastAsiaTheme="minorEastAsia"/>
          </w:rPr>
          <w:tab/>
        </w:r>
        <w:r w:rsidRPr="0024097F">
          <w:rPr>
            <w:rStyle w:val="Hyperlink"/>
          </w:rPr>
          <w:t>Transition Period Pricing</w:t>
        </w:r>
        <w:r>
          <w:rPr>
            <w:webHidden/>
          </w:rPr>
          <w:tab/>
        </w:r>
        <w:r>
          <w:rPr>
            <w:webHidden/>
          </w:rPr>
          <w:fldChar w:fldCharType="begin"/>
        </w:r>
        <w:r>
          <w:rPr>
            <w:webHidden/>
          </w:rPr>
          <w:instrText xml:space="preserve"> PAGEREF _Toc229054497 \h </w:instrText>
        </w:r>
        <w:r>
          <w:rPr>
            <w:webHidden/>
          </w:rPr>
        </w:r>
        <w:r>
          <w:rPr>
            <w:webHidden/>
          </w:rPr>
          <w:fldChar w:fldCharType="separate"/>
        </w:r>
        <w:r w:rsidR="00DA0658">
          <w:rPr>
            <w:webHidden/>
          </w:rPr>
          <w:t>49</w:t>
        </w:r>
        <w:r>
          <w:rPr>
            <w:webHidden/>
          </w:rPr>
          <w:fldChar w:fldCharType="end"/>
        </w:r>
      </w:hyperlink>
    </w:p>
    <w:p w14:paraId="19FFB34B" w14:textId="30012A38" w:rsidR="002E60A6" w:rsidRDefault="002E60A6">
      <w:pPr>
        <w:pStyle w:val="TOC3"/>
        <w:rPr>
          <w:rFonts w:eastAsiaTheme="minorEastAsia"/>
        </w:rPr>
      </w:pPr>
      <w:hyperlink w:anchor="_Toc229054498" w:history="1">
        <w:r w:rsidRPr="0024097F">
          <w:rPr>
            <w:rStyle w:val="Hyperlink"/>
            <w:rFonts w:ascii="Arial" w:eastAsia="Calibri" w:hAnsi="Arial"/>
          </w:rPr>
          <w:t>11.1.9</w:t>
        </w:r>
        <w:r>
          <w:rPr>
            <w:rFonts w:eastAsiaTheme="minorEastAsia"/>
          </w:rPr>
          <w:tab/>
        </w:r>
        <w:r w:rsidRPr="0024097F">
          <w:rPr>
            <w:rStyle w:val="Hyperlink"/>
            <w:rFonts w:eastAsia="Calibri"/>
          </w:rPr>
          <w:t>Coordination with Reliability Coordinator and WECC Unscheduled Flow Mitigation</w:t>
        </w:r>
        <w:r>
          <w:rPr>
            <w:webHidden/>
          </w:rPr>
          <w:tab/>
        </w:r>
        <w:r>
          <w:rPr>
            <w:webHidden/>
          </w:rPr>
          <w:fldChar w:fldCharType="begin"/>
        </w:r>
        <w:r>
          <w:rPr>
            <w:webHidden/>
          </w:rPr>
          <w:instrText xml:space="preserve"> PAGEREF _Toc229054498 \h </w:instrText>
        </w:r>
        <w:r>
          <w:rPr>
            <w:webHidden/>
          </w:rPr>
        </w:r>
        <w:r>
          <w:rPr>
            <w:webHidden/>
          </w:rPr>
          <w:fldChar w:fldCharType="separate"/>
        </w:r>
        <w:r w:rsidR="00DA0658">
          <w:rPr>
            <w:webHidden/>
          </w:rPr>
          <w:t>49</w:t>
        </w:r>
        <w:r>
          <w:rPr>
            <w:webHidden/>
          </w:rPr>
          <w:fldChar w:fldCharType="end"/>
        </w:r>
      </w:hyperlink>
    </w:p>
    <w:p w14:paraId="018E0A02" w14:textId="788A23AC" w:rsidR="002E60A6" w:rsidRDefault="002E60A6">
      <w:pPr>
        <w:pStyle w:val="TOC3"/>
        <w:rPr>
          <w:rFonts w:eastAsiaTheme="minorEastAsia"/>
        </w:rPr>
      </w:pPr>
      <w:hyperlink w:anchor="_Toc229054499" w:history="1">
        <w:r w:rsidRPr="0024097F">
          <w:rPr>
            <w:rStyle w:val="Hyperlink"/>
            <w:rFonts w:ascii="Arial" w:eastAsia="Calibri" w:hAnsi="Arial"/>
          </w:rPr>
          <w:t>11.1.10</w:t>
        </w:r>
        <w:r>
          <w:rPr>
            <w:rFonts w:eastAsiaTheme="minorEastAsia"/>
          </w:rPr>
          <w:tab/>
        </w:r>
        <w:r w:rsidRPr="0024097F">
          <w:rPr>
            <w:rStyle w:val="Hyperlink"/>
            <w:rFonts w:eastAsia="Calibri"/>
          </w:rPr>
          <w:t>Entitlement Constraints for WEIM Incremental Flow</w:t>
        </w:r>
        <w:r>
          <w:rPr>
            <w:webHidden/>
          </w:rPr>
          <w:tab/>
        </w:r>
        <w:r>
          <w:rPr>
            <w:webHidden/>
          </w:rPr>
          <w:fldChar w:fldCharType="begin"/>
        </w:r>
        <w:r>
          <w:rPr>
            <w:webHidden/>
          </w:rPr>
          <w:instrText xml:space="preserve"> PAGEREF _Toc229054499 \h </w:instrText>
        </w:r>
        <w:r>
          <w:rPr>
            <w:webHidden/>
          </w:rPr>
        </w:r>
        <w:r>
          <w:rPr>
            <w:webHidden/>
          </w:rPr>
          <w:fldChar w:fldCharType="separate"/>
        </w:r>
        <w:r w:rsidR="00DA0658">
          <w:rPr>
            <w:webHidden/>
          </w:rPr>
          <w:t>51</w:t>
        </w:r>
        <w:r>
          <w:rPr>
            <w:webHidden/>
          </w:rPr>
          <w:fldChar w:fldCharType="end"/>
        </w:r>
      </w:hyperlink>
    </w:p>
    <w:p w14:paraId="4122A653" w14:textId="7308277C" w:rsidR="002E60A6" w:rsidRDefault="002E60A6">
      <w:pPr>
        <w:pStyle w:val="TOC3"/>
        <w:rPr>
          <w:rFonts w:eastAsiaTheme="minorEastAsia"/>
        </w:rPr>
      </w:pPr>
      <w:hyperlink w:anchor="_Toc229054500" w:history="1">
        <w:r w:rsidRPr="0024097F">
          <w:rPr>
            <w:rStyle w:val="Hyperlink"/>
            <w:rFonts w:ascii="Arial" w:hAnsi="Arial"/>
          </w:rPr>
          <w:t>11.1.11</w:t>
        </w:r>
        <w:r>
          <w:rPr>
            <w:rFonts w:eastAsiaTheme="minorEastAsia"/>
          </w:rPr>
          <w:tab/>
        </w:r>
        <w:r w:rsidRPr="0024097F">
          <w:rPr>
            <w:rStyle w:val="Hyperlink"/>
          </w:rPr>
          <w:t>Entitlement Constraints for WEIM Area Total Flow</w:t>
        </w:r>
        <w:r>
          <w:rPr>
            <w:webHidden/>
          </w:rPr>
          <w:tab/>
        </w:r>
        <w:r>
          <w:rPr>
            <w:webHidden/>
          </w:rPr>
          <w:fldChar w:fldCharType="begin"/>
        </w:r>
        <w:r>
          <w:rPr>
            <w:webHidden/>
          </w:rPr>
          <w:instrText xml:space="preserve"> PAGEREF _Toc229054500 \h </w:instrText>
        </w:r>
        <w:r>
          <w:rPr>
            <w:webHidden/>
          </w:rPr>
        </w:r>
        <w:r>
          <w:rPr>
            <w:webHidden/>
          </w:rPr>
          <w:fldChar w:fldCharType="separate"/>
        </w:r>
        <w:r w:rsidR="00DA0658">
          <w:rPr>
            <w:webHidden/>
          </w:rPr>
          <w:t>51</w:t>
        </w:r>
        <w:r>
          <w:rPr>
            <w:webHidden/>
          </w:rPr>
          <w:fldChar w:fldCharType="end"/>
        </w:r>
      </w:hyperlink>
    </w:p>
    <w:p w14:paraId="69538F73" w14:textId="10A379D5" w:rsidR="002E60A6" w:rsidRDefault="002E60A6">
      <w:pPr>
        <w:pStyle w:val="TOC2"/>
        <w:rPr>
          <w:rFonts w:eastAsiaTheme="minorEastAsia"/>
          <w:b w:val="0"/>
        </w:rPr>
      </w:pPr>
      <w:hyperlink w:anchor="_Toc229054501" w:history="1">
        <w:r w:rsidRPr="0024097F">
          <w:rPr>
            <w:rStyle w:val="Hyperlink"/>
            <w:rFonts w:ascii="Arial" w:eastAsia="Calibri" w:hAnsi="Arial"/>
          </w:rPr>
          <w:t>11.2</w:t>
        </w:r>
        <w:r>
          <w:rPr>
            <w:rFonts w:eastAsiaTheme="minorEastAsia"/>
            <w:b w:val="0"/>
          </w:rPr>
          <w:tab/>
        </w:r>
        <w:r w:rsidRPr="0024097F">
          <w:rPr>
            <w:rStyle w:val="Hyperlink"/>
            <w:rFonts w:eastAsia="Calibri"/>
          </w:rPr>
          <w:t>Day-Ahead Operations</w:t>
        </w:r>
        <w:r>
          <w:rPr>
            <w:webHidden/>
          </w:rPr>
          <w:tab/>
        </w:r>
        <w:r>
          <w:rPr>
            <w:webHidden/>
          </w:rPr>
          <w:fldChar w:fldCharType="begin"/>
        </w:r>
        <w:r>
          <w:rPr>
            <w:webHidden/>
          </w:rPr>
          <w:instrText xml:space="preserve"> PAGEREF _Toc229054501 \h </w:instrText>
        </w:r>
        <w:r>
          <w:rPr>
            <w:webHidden/>
          </w:rPr>
        </w:r>
        <w:r>
          <w:rPr>
            <w:webHidden/>
          </w:rPr>
          <w:fldChar w:fldCharType="separate"/>
        </w:r>
        <w:r w:rsidR="00DA0658">
          <w:rPr>
            <w:webHidden/>
          </w:rPr>
          <w:t>51</w:t>
        </w:r>
        <w:r>
          <w:rPr>
            <w:webHidden/>
          </w:rPr>
          <w:fldChar w:fldCharType="end"/>
        </w:r>
      </w:hyperlink>
    </w:p>
    <w:p w14:paraId="45B31727" w14:textId="20A8B431" w:rsidR="002E60A6" w:rsidRDefault="002E60A6">
      <w:pPr>
        <w:pStyle w:val="TOC2"/>
        <w:rPr>
          <w:rFonts w:eastAsiaTheme="minorEastAsia"/>
          <w:b w:val="0"/>
        </w:rPr>
      </w:pPr>
      <w:hyperlink w:anchor="_Toc229054502" w:history="1">
        <w:r w:rsidRPr="0024097F">
          <w:rPr>
            <w:rStyle w:val="Hyperlink"/>
            <w:rFonts w:ascii="Arial" w:eastAsia="Calibri" w:hAnsi="Arial"/>
          </w:rPr>
          <w:t>11.3</w:t>
        </w:r>
        <w:r>
          <w:rPr>
            <w:rFonts w:eastAsiaTheme="minorEastAsia"/>
            <w:b w:val="0"/>
          </w:rPr>
          <w:tab/>
        </w:r>
        <w:r w:rsidRPr="0024097F">
          <w:rPr>
            <w:rStyle w:val="Hyperlink"/>
            <w:rFonts w:eastAsia="Calibri"/>
          </w:rPr>
          <w:t>Real-Time Operations</w:t>
        </w:r>
        <w:r>
          <w:rPr>
            <w:webHidden/>
          </w:rPr>
          <w:tab/>
        </w:r>
        <w:r>
          <w:rPr>
            <w:webHidden/>
          </w:rPr>
          <w:fldChar w:fldCharType="begin"/>
        </w:r>
        <w:r>
          <w:rPr>
            <w:webHidden/>
          </w:rPr>
          <w:instrText xml:space="preserve"> PAGEREF _Toc229054502 \h </w:instrText>
        </w:r>
        <w:r>
          <w:rPr>
            <w:webHidden/>
          </w:rPr>
        </w:r>
        <w:r>
          <w:rPr>
            <w:webHidden/>
          </w:rPr>
          <w:fldChar w:fldCharType="separate"/>
        </w:r>
        <w:r w:rsidR="00DA0658">
          <w:rPr>
            <w:webHidden/>
          </w:rPr>
          <w:t>54</w:t>
        </w:r>
        <w:r>
          <w:rPr>
            <w:webHidden/>
          </w:rPr>
          <w:fldChar w:fldCharType="end"/>
        </w:r>
      </w:hyperlink>
    </w:p>
    <w:p w14:paraId="028C0DFC" w14:textId="69D91743" w:rsidR="002E60A6" w:rsidRDefault="002E60A6">
      <w:pPr>
        <w:pStyle w:val="TOC3"/>
        <w:rPr>
          <w:rFonts w:eastAsiaTheme="minorEastAsia"/>
        </w:rPr>
      </w:pPr>
      <w:hyperlink w:anchor="_Toc229054503" w:history="1">
        <w:r w:rsidRPr="0024097F">
          <w:rPr>
            <w:rStyle w:val="Hyperlink"/>
            <w:rFonts w:ascii="Arial" w:eastAsia="Calibri" w:hAnsi="Arial"/>
          </w:rPr>
          <w:t>11.3.1</w:t>
        </w:r>
        <w:r>
          <w:rPr>
            <w:rFonts w:eastAsiaTheme="minorEastAsia"/>
          </w:rPr>
          <w:tab/>
        </w:r>
        <w:r w:rsidRPr="0024097F">
          <w:rPr>
            <w:rStyle w:val="Hyperlink"/>
            <w:rFonts w:eastAsia="Calibri"/>
          </w:rPr>
          <w:t>Establishment of Hourly Base Schedules and Hourly Resource Plan</w:t>
        </w:r>
        <w:r>
          <w:rPr>
            <w:webHidden/>
          </w:rPr>
          <w:tab/>
        </w:r>
        <w:r>
          <w:rPr>
            <w:webHidden/>
          </w:rPr>
          <w:fldChar w:fldCharType="begin"/>
        </w:r>
        <w:r>
          <w:rPr>
            <w:webHidden/>
          </w:rPr>
          <w:instrText xml:space="preserve"> PAGEREF _Toc229054503 \h </w:instrText>
        </w:r>
        <w:r>
          <w:rPr>
            <w:webHidden/>
          </w:rPr>
        </w:r>
        <w:r>
          <w:rPr>
            <w:webHidden/>
          </w:rPr>
          <w:fldChar w:fldCharType="separate"/>
        </w:r>
        <w:r w:rsidR="00DA0658">
          <w:rPr>
            <w:webHidden/>
          </w:rPr>
          <w:t>56</w:t>
        </w:r>
        <w:r>
          <w:rPr>
            <w:webHidden/>
          </w:rPr>
          <w:fldChar w:fldCharType="end"/>
        </w:r>
      </w:hyperlink>
    </w:p>
    <w:p w14:paraId="520135B7" w14:textId="66B2A1F5" w:rsidR="002E60A6" w:rsidRDefault="002E60A6">
      <w:pPr>
        <w:pStyle w:val="TOC3"/>
        <w:rPr>
          <w:rFonts w:eastAsiaTheme="minorEastAsia"/>
        </w:rPr>
      </w:pPr>
      <w:hyperlink w:anchor="_Toc229054504" w:history="1">
        <w:r w:rsidRPr="0024097F">
          <w:rPr>
            <w:rStyle w:val="Hyperlink"/>
            <w:rFonts w:ascii="Arial" w:eastAsia="Calibri" w:hAnsi="Arial"/>
          </w:rPr>
          <w:t>11.3.2</w:t>
        </w:r>
        <w:r>
          <w:rPr>
            <w:rFonts w:eastAsiaTheme="minorEastAsia"/>
          </w:rPr>
          <w:tab/>
        </w:r>
        <w:r w:rsidRPr="0024097F">
          <w:rPr>
            <w:rStyle w:val="Hyperlink"/>
            <w:rFonts w:eastAsia="Calibri"/>
          </w:rPr>
          <w:t>Resource Sufficiency Evaluation</w:t>
        </w:r>
        <w:r>
          <w:rPr>
            <w:webHidden/>
          </w:rPr>
          <w:tab/>
        </w:r>
        <w:r>
          <w:rPr>
            <w:webHidden/>
          </w:rPr>
          <w:fldChar w:fldCharType="begin"/>
        </w:r>
        <w:r>
          <w:rPr>
            <w:webHidden/>
          </w:rPr>
          <w:instrText xml:space="preserve"> PAGEREF _Toc229054504 \h </w:instrText>
        </w:r>
        <w:r>
          <w:rPr>
            <w:webHidden/>
          </w:rPr>
        </w:r>
        <w:r>
          <w:rPr>
            <w:webHidden/>
          </w:rPr>
          <w:fldChar w:fldCharType="separate"/>
        </w:r>
        <w:r w:rsidR="00DA0658">
          <w:rPr>
            <w:webHidden/>
          </w:rPr>
          <w:t>57</w:t>
        </w:r>
        <w:r>
          <w:rPr>
            <w:webHidden/>
          </w:rPr>
          <w:fldChar w:fldCharType="end"/>
        </w:r>
      </w:hyperlink>
    </w:p>
    <w:p w14:paraId="13769E07" w14:textId="7ABFDCB9" w:rsidR="002E60A6" w:rsidRDefault="002E60A6">
      <w:pPr>
        <w:pStyle w:val="TOC3"/>
        <w:rPr>
          <w:rFonts w:eastAsiaTheme="minorEastAsia"/>
        </w:rPr>
      </w:pPr>
      <w:hyperlink w:anchor="_Toc229054505" w:history="1">
        <w:r w:rsidRPr="0024097F">
          <w:rPr>
            <w:rStyle w:val="Hyperlink"/>
            <w:rFonts w:ascii="Arial" w:eastAsia="Calibri" w:hAnsi="Arial"/>
          </w:rPr>
          <w:t>11.3.3</w:t>
        </w:r>
        <w:r>
          <w:rPr>
            <w:rFonts w:eastAsiaTheme="minorEastAsia"/>
          </w:rPr>
          <w:tab/>
        </w:r>
        <w:r w:rsidRPr="0024097F">
          <w:rPr>
            <w:rStyle w:val="Hyperlink"/>
            <w:rFonts w:eastAsia="Calibri"/>
          </w:rPr>
          <w:t>Locational Marginal Prices</w:t>
        </w:r>
        <w:r>
          <w:rPr>
            <w:webHidden/>
          </w:rPr>
          <w:tab/>
        </w:r>
        <w:r>
          <w:rPr>
            <w:webHidden/>
          </w:rPr>
          <w:fldChar w:fldCharType="begin"/>
        </w:r>
        <w:r>
          <w:rPr>
            <w:webHidden/>
          </w:rPr>
          <w:instrText xml:space="preserve"> PAGEREF _Toc229054505 \h </w:instrText>
        </w:r>
        <w:r>
          <w:rPr>
            <w:webHidden/>
          </w:rPr>
        </w:r>
        <w:r>
          <w:rPr>
            <w:webHidden/>
          </w:rPr>
          <w:fldChar w:fldCharType="separate"/>
        </w:r>
        <w:r w:rsidR="00DA0658">
          <w:rPr>
            <w:webHidden/>
          </w:rPr>
          <w:t>95</w:t>
        </w:r>
        <w:r>
          <w:rPr>
            <w:webHidden/>
          </w:rPr>
          <w:fldChar w:fldCharType="end"/>
        </w:r>
      </w:hyperlink>
    </w:p>
    <w:p w14:paraId="48993647" w14:textId="2C96141A" w:rsidR="002E60A6" w:rsidRDefault="002E60A6">
      <w:pPr>
        <w:pStyle w:val="TOC3"/>
        <w:rPr>
          <w:rFonts w:eastAsiaTheme="minorEastAsia"/>
        </w:rPr>
      </w:pPr>
      <w:hyperlink w:anchor="_Toc229054506" w:history="1">
        <w:r w:rsidRPr="0024097F">
          <w:rPr>
            <w:rStyle w:val="Hyperlink"/>
            <w:rFonts w:ascii="Arial" w:hAnsi="Arial"/>
          </w:rPr>
          <w:t>11.3.4</w:t>
        </w:r>
        <w:r>
          <w:rPr>
            <w:rFonts w:eastAsiaTheme="minorEastAsia"/>
          </w:rPr>
          <w:tab/>
        </w:r>
        <w:r w:rsidRPr="0024097F">
          <w:rPr>
            <w:rStyle w:val="Hyperlink"/>
          </w:rPr>
          <w:t>Using WEIM Available Balancing Capacity to Resolve Infeasible Power Balance Conditions in WEIM BAAs</w:t>
        </w:r>
        <w:r>
          <w:rPr>
            <w:webHidden/>
          </w:rPr>
          <w:tab/>
        </w:r>
        <w:r>
          <w:rPr>
            <w:webHidden/>
          </w:rPr>
          <w:fldChar w:fldCharType="begin"/>
        </w:r>
        <w:r>
          <w:rPr>
            <w:webHidden/>
          </w:rPr>
          <w:instrText xml:space="preserve"> PAGEREF _Toc229054506 \h </w:instrText>
        </w:r>
        <w:r>
          <w:rPr>
            <w:webHidden/>
          </w:rPr>
        </w:r>
        <w:r>
          <w:rPr>
            <w:webHidden/>
          </w:rPr>
          <w:fldChar w:fldCharType="separate"/>
        </w:r>
        <w:r w:rsidR="00DA0658">
          <w:rPr>
            <w:webHidden/>
          </w:rPr>
          <w:t>124</w:t>
        </w:r>
        <w:r>
          <w:rPr>
            <w:webHidden/>
          </w:rPr>
          <w:fldChar w:fldCharType="end"/>
        </w:r>
      </w:hyperlink>
    </w:p>
    <w:p w14:paraId="38C4236D" w14:textId="25E7874A" w:rsidR="002E60A6" w:rsidRDefault="002E60A6">
      <w:pPr>
        <w:pStyle w:val="TOC3"/>
        <w:rPr>
          <w:rFonts w:eastAsiaTheme="minorEastAsia"/>
        </w:rPr>
      </w:pPr>
      <w:hyperlink w:anchor="_Toc229054507" w:history="1">
        <w:r w:rsidRPr="0024097F">
          <w:rPr>
            <w:rStyle w:val="Hyperlink"/>
            <w:rFonts w:ascii="Arial" w:eastAsia="Calibri" w:hAnsi="Arial"/>
          </w:rPr>
          <w:t>11.3.5</w:t>
        </w:r>
        <w:r>
          <w:rPr>
            <w:rFonts w:eastAsiaTheme="minorEastAsia"/>
          </w:rPr>
          <w:tab/>
        </w:r>
        <w:r w:rsidRPr="0024097F">
          <w:rPr>
            <w:rStyle w:val="Hyperlink"/>
            <w:rFonts w:eastAsia="Calibri"/>
          </w:rPr>
          <w:t>EIM Market Power Mitigation</w:t>
        </w:r>
        <w:r>
          <w:rPr>
            <w:webHidden/>
          </w:rPr>
          <w:tab/>
        </w:r>
        <w:r>
          <w:rPr>
            <w:webHidden/>
          </w:rPr>
          <w:fldChar w:fldCharType="begin"/>
        </w:r>
        <w:r>
          <w:rPr>
            <w:webHidden/>
          </w:rPr>
          <w:instrText xml:space="preserve"> PAGEREF _Toc229054507 \h </w:instrText>
        </w:r>
        <w:r>
          <w:rPr>
            <w:webHidden/>
          </w:rPr>
        </w:r>
        <w:r>
          <w:rPr>
            <w:webHidden/>
          </w:rPr>
          <w:fldChar w:fldCharType="separate"/>
        </w:r>
        <w:r w:rsidR="00DA0658">
          <w:rPr>
            <w:webHidden/>
          </w:rPr>
          <w:t>130</w:t>
        </w:r>
        <w:r>
          <w:rPr>
            <w:webHidden/>
          </w:rPr>
          <w:fldChar w:fldCharType="end"/>
        </w:r>
      </w:hyperlink>
    </w:p>
    <w:p w14:paraId="578FDA13" w14:textId="69312DEC" w:rsidR="002E60A6" w:rsidRDefault="002E60A6">
      <w:pPr>
        <w:pStyle w:val="TOC3"/>
        <w:rPr>
          <w:rFonts w:eastAsiaTheme="minorEastAsia"/>
        </w:rPr>
      </w:pPr>
      <w:hyperlink w:anchor="_Toc229054508" w:history="1">
        <w:r w:rsidRPr="0024097F">
          <w:rPr>
            <w:rStyle w:val="Hyperlink"/>
            <w:rFonts w:ascii="Arial" w:eastAsia="Calibri" w:hAnsi="Arial"/>
          </w:rPr>
          <w:t>11.3.6</w:t>
        </w:r>
        <w:r>
          <w:rPr>
            <w:rFonts w:eastAsiaTheme="minorEastAsia"/>
          </w:rPr>
          <w:tab/>
        </w:r>
        <w:r w:rsidRPr="0024097F">
          <w:rPr>
            <w:rStyle w:val="Hyperlink"/>
            <w:rFonts w:eastAsia="Calibri"/>
          </w:rPr>
          <w:t>Default Energy Bids</w:t>
        </w:r>
        <w:r>
          <w:rPr>
            <w:webHidden/>
          </w:rPr>
          <w:tab/>
        </w:r>
        <w:r>
          <w:rPr>
            <w:webHidden/>
          </w:rPr>
          <w:fldChar w:fldCharType="begin"/>
        </w:r>
        <w:r>
          <w:rPr>
            <w:webHidden/>
          </w:rPr>
          <w:instrText xml:space="preserve"> PAGEREF _Toc229054508 \h </w:instrText>
        </w:r>
        <w:r>
          <w:rPr>
            <w:webHidden/>
          </w:rPr>
        </w:r>
        <w:r>
          <w:rPr>
            <w:webHidden/>
          </w:rPr>
          <w:fldChar w:fldCharType="separate"/>
        </w:r>
        <w:r w:rsidR="00DA0658">
          <w:rPr>
            <w:webHidden/>
          </w:rPr>
          <w:t>133</w:t>
        </w:r>
        <w:r>
          <w:rPr>
            <w:webHidden/>
          </w:rPr>
          <w:fldChar w:fldCharType="end"/>
        </w:r>
      </w:hyperlink>
    </w:p>
    <w:p w14:paraId="44ADDDB3" w14:textId="20521EC9" w:rsidR="002E60A6" w:rsidRDefault="002E60A6">
      <w:pPr>
        <w:pStyle w:val="TOC3"/>
        <w:rPr>
          <w:rFonts w:eastAsiaTheme="minorEastAsia"/>
        </w:rPr>
      </w:pPr>
      <w:hyperlink w:anchor="_Toc229054509" w:history="1">
        <w:r w:rsidRPr="0024097F">
          <w:rPr>
            <w:rStyle w:val="Hyperlink"/>
            <w:rFonts w:ascii="Arial" w:hAnsi="Arial"/>
          </w:rPr>
          <w:t>11.3.7</w:t>
        </w:r>
        <w:r>
          <w:rPr>
            <w:rFonts w:eastAsiaTheme="minorEastAsia"/>
          </w:rPr>
          <w:tab/>
        </w:r>
        <w:r w:rsidRPr="0024097F">
          <w:rPr>
            <w:rStyle w:val="Hyperlink"/>
          </w:rPr>
          <w:t>Auto-Match of Import/Export Schedule Changes</w:t>
        </w:r>
        <w:r>
          <w:rPr>
            <w:webHidden/>
          </w:rPr>
          <w:tab/>
        </w:r>
        <w:r>
          <w:rPr>
            <w:webHidden/>
          </w:rPr>
          <w:fldChar w:fldCharType="begin"/>
        </w:r>
        <w:r>
          <w:rPr>
            <w:webHidden/>
          </w:rPr>
          <w:instrText xml:space="preserve"> PAGEREF _Toc229054509 \h </w:instrText>
        </w:r>
        <w:r>
          <w:rPr>
            <w:webHidden/>
          </w:rPr>
        </w:r>
        <w:r>
          <w:rPr>
            <w:webHidden/>
          </w:rPr>
          <w:fldChar w:fldCharType="separate"/>
        </w:r>
        <w:r w:rsidR="00DA0658">
          <w:rPr>
            <w:webHidden/>
          </w:rPr>
          <w:t>133</w:t>
        </w:r>
        <w:r>
          <w:rPr>
            <w:webHidden/>
          </w:rPr>
          <w:fldChar w:fldCharType="end"/>
        </w:r>
      </w:hyperlink>
    </w:p>
    <w:p w14:paraId="5D1EEADA" w14:textId="3C6D58C7" w:rsidR="002E60A6" w:rsidRDefault="002E60A6">
      <w:pPr>
        <w:pStyle w:val="TOC3"/>
        <w:rPr>
          <w:rFonts w:eastAsiaTheme="minorEastAsia"/>
        </w:rPr>
      </w:pPr>
      <w:hyperlink w:anchor="_Toc229054510" w:history="1">
        <w:r w:rsidRPr="0024097F">
          <w:rPr>
            <w:rStyle w:val="Hyperlink"/>
            <w:rFonts w:ascii="Arial" w:hAnsi="Arial"/>
          </w:rPr>
          <w:t>11.3.8</w:t>
        </w:r>
        <w:r>
          <w:rPr>
            <w:rFonts w:eastAsiaTheme="minorEastAsia"/>
          </w:rPr>
          <w:tab/>
        </w:r>
        <w:r w:rsidRPr="0024097F">
          <w:rPr>
            <w:rStyle w:val="Hyperlink"/>
          </w:rPr>
          <w:t>Auto Mirror of CAISO Import/Export Schedule Changes</w:t>
        </w:r>
        <w:r>
          <w:rPr>
            <w:webHidden/>
          </w:rPr>
          <w:tab/>
        </w:r>
        <w:r>
          <w:rPr>
            <w:webHidden/>
          </w:rPr>
          <w:fldChar w:fldCharType="begin"/>
        </w:r>
        <w:r>
          <w:rPr>
            <w:webHidden/>
          </w:rPr>
          <w:instrText xml:space="preserve"> PAGEREF _Toc229054510 \h </w:instrText>
        </w:r>
        <w:r>
          <w:rPr>
            <w:webHidden/>
          </w:rPr>
        </w:r>
        <w:r>
          <w:rPr>
            <w:webHidden/>
          </w:rPr>
          <w:fldChar w:fldCharType="separate"/>
        </w:r>
        <w:r w:rsidR="00DA0658">
          <w:rPr>
            <w:webHidden/>
          </w:rPr>
          <w:t>134</w:t>
        </w:r>
        <w:r>
          <w:rPr>
            <w:webHidden/>
          </w:rPr>
          <w:fldChar w:fldCharType="end"/>
        </w:r>
      </w:hyperlink>
    </w:p>
    <w:p w14:paraId="06248A56" w14:textId="20B63781" w:rsidR="002E60A6" w:rsidRDefault="002E60A6">
      <w:pPr>
        <w:pStyle w:val="TOC3"/>
        <w:rPr>
          <w:rFonts w:eastAsiaTheme="minorEastAsia"/>
        </w:rPr>
      </w:pPr>
      <w:hyperlink w:anchor="_Toc229054511" w:history="1">
        <w:r w:rsidRPr="0024097F">
          <w:rPr>
            <w:rStyle w:val="Hyperlink"/>
            <w:rFonts w:ascii="Arial" w:eastAsia="Calibri" w:hAnsi="Arial"/>
          </w:rPr>
          <w:t>11.3.9</w:t>
        </w:r>
        <w:r>
          <w:rPr>
            <w:rFonts w:eastAsiaTheme="minorEastAsia"/>
          </w:rPr>
          <w:tab/>
        </w:r>
        <w:r w:rsidRPr="0024097F">
          <w:rPr>
            <w:rStyle w:val="Hyperlink"/>
            <w:rFonts w:eastAsia="Calibri"/>
          </w:rPr>
          <w:t>Manual Dispatch</w:t>
        </w:r>
        <w:r>
          <w:rPr>
            <w:webHidden/>
          </w:rPr>
          <w:tab/>
        </w:r>
        <w:r>
          <w:rPr>
            <w:webHidden/>
          </w:rPr>
          <w:fldChar w:fldCharType="begin"/>
        </w:r>
        <w:r>
          <w:rPr>
            <w:webHidden/>
          </w:rPr>
          <w:instrText xml:space="preserve"> PAGEREF _Toc229054511 \h </w:instrText>
        </w:r>
        <w:r>
          <w:rPr>
            <w:webHidden/>
          </w:rPr>
        </w:r>
        <w:r>
          <w:rPr>
            <w:webHidden/>
          </w:rPr>
          <w:fldChar w:fldCharType="separate"/>
        </w:r>
        <w:r w:rsidR="00DA0658">
          <w:rPr>
            <w:webHidden/>
          </w:rPr>
          <w:t>135</w:t>
        </w:r>
        <w:r>
          <w:rPr>
            <w:webHidden/>
          </w:rPr>
          <w:fldChar w:fldCharType="end"/>
        </w:r>
      </w:hyperlink>
    </w:p>
    <w:p w14:paraId="42DBB040" w14:textId="76764851" w:rsidR="002E60A6" w:rsidRDefault="002E60A6">
      <w:pPr>
        <w:pStyle w:val="TOC3"/>
        <w:rPr>
          <w:rFonts w:eastAsiaTheme="minorEastAsia"/>
        </w:rPr>
      </w:pPr>
      <w:hyperlink w:anchor="_Toc229054512" w:history="1">
        <w:r w:rsidRPr="0024097F">
          <w:rPr>
            <w:rStyle w:val="Hyperlink"/>
            <w:rFonts w:ascii="Arial" w:eastAsia="Calibri" w:hAnsi="Arial"/>
          </w:rPr>
          <w:t>11.3.10</w:t>
        </w:r>
        <w:r>
          <w:rPr>
            <w:rFonts w:eastAsiaTheme="minorEastAsia"/>
          </w:rPr>
          <w:tab/>
        </w:r>
        <w:r w:rsidRPr="0024097F">
          <w:rPr>
            <w:rStyle w:val="Hyperlink"/>
            <w:rFonts w:eastAsia="Calibri"/>
          </w:rPr>
          <w:t>Load Forecast Operator Adjustments</w:t>
        </w:r>
        <w:r>
          <w:rPr>
            <w:webHidden/>
          </w:rPr>
          <w:tab/>
        </w:r>
        <w:r>
          <w:rPr>
            <w:webHidden/>
          </w:rPr>
          <w:fldChar w:fldCharType="begin"/>
        </w:r>
        <w:r>
          <w:rPr>
            <w:webHidden/>
          </w:rPr>
          <w:instrText xml:space="preserve"> PAGEREF _Toc229054512 \h </w:instrText>
        </w:r>
        <w:r>
          <w:rPr>
            <w:webHidden/>
          </w:rPr>
        </w:r>
        <w:r>
          <w:rPr>
            <w:webHidden/>
          </w:rPr>
          <w:fldChar w:fldCharType="separate"/>
        </w:r>
        <w:r w:rsidR="00DA0658">
          <w:rPr>
            <w:webHidden/>
          </w:rPr>
          <w:t>136</w:t>
        </w:r>
        <w:r>
          <w:rPr>
            <w:webHidden/>
          </w:rPr>
          <w:fldChar w:fldCharType="end"/>
        </w:r>
      </w:hyperlink>
    </w:p>
    <w:p w14:paraId="01056B22" w14:textId="3ADE6410" w:rsidR="002E60A6" w:rsidRDefault="002E60A6">
      <w:pPr>
        <w:pStyle w:val="TOC3"/>
        <w:rPr>
          <w:rFonts w:eastAsiaTheme="minorEastAsia"/>
        </w:rPr>
      </w:pPr>
      <w:hyperlink w:anchor="_Toc229054513" w:history="1">
        <w:r w:rsidRPr="0024097F">
          <w:rPr>
            <w:rStyle w:val="Hyperlink"/>
            <w:rFonts w:ascii="Arial" w:eastAsia="Calibri" w:hAnsi="Arial"/>
          </w:rPr>
          <w:t>11.3.11</w:t>
        </w:r>
        <w:r>
          <w:rPr>
            <w:rFonts w:eastAsiaTheme="minorEastAsia"/>
          </w:rPr>
          <w:tab/>
        </w:r>
        <w:r w:rsidRPr="0024097F">
          <w:rPr>
            <w:rStyle w:val="Hyperlink"/>
            <w:rFonts w:eastAsia="Calibri"/>
          </w:rPr>
          <w:t>Contingency Dispatch</w:t>
        </w:r>
        <w:r>
          <w:rPr>
            <w:webHidden/>
          </w:rPr>
          <w:tab/>
        </w:r>
        <w:r>
          <w:rPr>
            <w:webHidden/>
          </w:rPr>
          <w:fldChar w:fldCharType="begin"/>
        </w:r>
        <w:r>
          <w:rPr>
            <w:webHidden/>
          </w:rPr>
          <w:instrText xml:space="preserve"> PAGEREF _Toc229054513 \h </w:instrText>
        </w:r>
        <w:r>
          <w:rPr>
            <w:webHidden/>
          </w:rPr>
        </w:r>
        <w:r>
          <w:rPr>
            <w:webHidden/>
          </w:rPr>
          <w:fldChar w:fldCharType="separate"/>
        </w:r>
        <w:r w:rsidR="00DA0658">
          <w:rPr>
            <w:webHidden/>
          </w:rPr>
          <w:t>137</w:t>
        </w:r>
        <w:r>
          <w:rPr>
            <w:webHidden/>
          </w:rPr>
          <w:fldChar w:fldCharType="end"/>
        </w:r>
      </w:hyperlink>
    </w:p>
    <w:p w14:paraId="47EBAFB3" w14:textId="370FE420" w:rsidR="002E60A6" w:rsidRDefault="002E60A6">
      <w:pPr>
        <w:pStyle w:val="TOC3"/>
        <w:rPr>
          <w:rFonts w:eastAsiaTheme="minorEastAsia"/>
        </w:rPr>
      </w:pPr>
      <w:hyperlink w:anchor="_Toc229054514" w:history="1">
        <w:r w:rsidRPr="0024097F">
          <w:rPr>
            <w:rStyle w:val="Hyperlink"/>
            <w:rFonts w:ascii="Arial" w:hAnsi="Arial"/>
          </w:rPr>
          <w:t>11.3.12</w:t>
        </w:r>
        <w:r>
          <w:rPr>
            <w:rFonts w:eastAsiaTheme="minorEastAsia"/>
          </w:rPr>
          <w:tab/>
        </w:r>
        <w:r w:rsidRPr="0024097F">
          <w:rPr>
            <w:rStyle w:val="Hyperlink"/>
          </w:rPr>
          <w:t>FMM Interchange Schedules based on RTSI</w:t>
        </w:r>
        <w:r>
          <w:rPr>
            <w:webHidden/>
          </w:rPr>
          <w:tab/>
        </w:r>
        <w:r>
          <w:rPr>
            <w:webHidden/>
          </w:rPr>
          <w:fldChar w:fldCharType="begin"/>
        </w:r>
        <w:r>
          <w:rPr>
            <w:webHidden/>
          </w:rPr>
          <w:instrText xml:space="preserve"> PAGEREF _Toc229054514 \h </w:instrText>
        </w:r>
        <w:r>
          <w:rPr>
            <w:webHidden/>
          </w:rPr>
        </w:r>
        <w:r>
          <w:rPr>
            <w:webHidden/>
          </w:rPr>
          <w:fldChar w:fldCharType="separate"/>
        </w:r>
        <w:r w:rsidR="00DA0658">
          <w:rPr>
            <w:webHidden/>
          </w:rPr>
          <w:t>139</w:t>
        </w:r>
        <w:r>
          <w:rPr>
            <w:webHidden/>
          </w:rPr>
          <w:fldChar w:fldCharType="end"/>
        </w:r>
      </w:hyperlink>
    </w:p>
    <w:p w14:paraId="37C03049" w14:textId="219D09D3" w:rsidR="002E60A6" w:rsidRDefault="002E60A6">
      <w:pPr>
        <w:pStyle w:val="TOC3"/>
        <w:rPr>
          <w:rFonts w:eastAsiaTheme="minorEastAsia"/>
        </w:rPr>
      </w:pPr>
      <w:hyperlink w:anchor="_Toc229054515" w:history="1">
        <w:r w:rsidRPr="0024097F">
          <w:rPr>
            <w:rStyle w:val="Hyperlink"/>
            <w:rFonts w:ascii="Arial" w:hAnsi="Arial"/>
          </w:rPr>
          <w:t>11.3.13</w:t>
        </w:r>
        <w:r>
          <w:rPr>
            <w:rFonts w:eastAsiaTheme="minorEastAsia"/>
          </w:rPr>
          <w:tab/>
        </w:r>
        <w:r w:rsidRPr="0024097F">
          <w:rPr>
            <w:rStyle w:val="Hyperlink"/>
          </w:rPr>
          <w:t>EIM Thresholds</w:t>
        </w:r>
        <w:r>
          <w:rPr>
            <w:webHidden/>
          </w:rPr>
          <w:tab/>
        </w:r>
        <w:r>
          <w:rPr>
            <w:webHidden/>
          </w:rPr>
          <w:fldChar w:fldCharType="begin"/>
        </w:r>
        <w:r>
          <w:rPr>
            <w:webHidden/>
          </w:rPr>
          <w:instrText xml:space="preserve"> PAGEREF _Toc229054515 \h </w:instrText>
        </w:r>
        <w:r>
          <w:rPr>
            <w:webHidden/>
          </w:rPr>
        </w:r>
        <w:r>
          <w:rPr>
            <w:webHidden/>
          </w:rPr>
          <w:fldChar w:fldCharType="separate"/>
        </w:r>
        <w:r w:rsidR="00DA0658">
          <w:rPr>
            <w:webHidden/>
          </w:rPr>
          <w:t>140</w:t>
        </w:r>
        <w:r>
          <w:rPr>
            <w:webHidden/>
          </w:rPr>
          <w:fldChar w:fldCharType="end"/>
        </w:r>
      </w:hyperlink>
    </w:p>
    <w:p w14:paraId="63091FAF" w14:textId="1DFFE858" w:rsidR="002E60A6" w:rsidRDefault="002E60A6">
      <w:pPr>
        <w:pStyle w:val="TOC2"/>
        <w:rPr>
          <w:rFonts w:eastAsiaTheme="minorEastAsia"/>
          <w:b w:val="0"/>
        </w:rPr>
      </w:pPr>
      <w:hyperlink w:anchor="_Toc229054516" w:history="1">
        <w:r w:rsidRPr="0024097F">
          <w:rPr>
            <w:rStyle w:val="Hyperlink"/>
            <w:rFonts w:ascii="Arial" w:eastAsia="Calibri" w:hAnsi="Arial"/>
          </w:rPr>
          <w:t>11.4</w:t>
        </w:r>
        <w:r>
          <w:rPr>
            <w:rFonts w:eastAsiaTheme="minorEastAsia"/>
            <w:b w:val="0"/>
          </w:rPr>
          <w:tab/>
        </w:r>
        <w:r w:rsidRPr="0024097F">
          <w:rPr>
            <w:rStyle w:val="Hyperlink"/>
            <w:rFonts w:eastAsia="Calibri"/>
          </w:rPr>
          <w:t>Contingencies and Corrective Actions</w:t>
        </w:r>
        <w:r>
          <w:rPr>
            <w:webHidden/>
          </w:rPr>
          <w:tab/>
        </w:r>
        <w:r>
          <w:rPr>
            <w:webHidden/>
          </w:rPr>
          <w:fldChar w:fldCharType="begin"/>
        </w:r>
        <w:r>
          <w:rPr>
            <w:webHidden/>
          </w:rPr>
          <w:instrText xml:space="preserve"> PAGEREF _Toc229054516 \h </w:instrText>
        </w:r>
        <w:r>
          <w:rPr>
            <w:webHidden/>
          </w:rPr>
        </w:r>
        <w:r>
          <w:rPr>
            <w:webHidden/>
          </w:rPr>
          <w:fldChar w:fldCharType="separate"/>
        </w:r>
        <w:r w:rsidR="00DA0658">
          <w:rPr>
            <w:webHidden/>
          </w:rPr>
          <w:t>144</w:t>
        </w:r>
        <w:r>
          <w:rPr>
            <w:webHidden/>
          </w:rPr>
          <w:fldChar w:fldCharType="end"/>
        </w:r>
      </w:hyperlink>
    </w:p>
    <w:p w14:paraId="70115B22" w14:textId="646E8C68" w:rsidR="002E60A6" w:rsidRDefault="002E60A6">
      <w:pPr>
        <w:pStyle w:val="TOC3"/>
        <w:rPr>
          <w:rFonts w:eastAsiaTheme="minorEastAsia"/>
        </w:rPr>
      </w:pPr>
      <w:hyperlink w:anchor="_Toc229054517" w:history="1">
        <w:r w:rsidRPr="0024097F">
          <w:rPr>
            <w:rStyle w:val="Hyperlink"/>
            <w:rFonts w:ascii="Arial" w:eastAsia="Calibri" w:hAnsi="Arial"/>
          </w:rPr>
          <w:t>11.4.1</w:t>
        </w:r>
        <w:r>
          <w:rPr>
            <w:rFonts w:eastAsiaTheme="minorEastAsia"/>
          </w:rPr>
          <w:tab/>
        </w:r>
        <w:r w:rsidRPr="0024097F">
          <w:rPr>
            <w:rStyle w:val="Hyperlink"/>
            <w:rFonts w:eastAsia="Calibri"/>
          </w:rPr>
          <w:t>Recovery Approach</w:t>
        </w:r>
        <w:r>
          <w:rPr>
            <w:webHidden/>
          </w:rPr>
          <w:tab/>
        </w:r>
        <w:r>
          <w:rPr>
            <w:webHidden/>
          </w:rPr>
          <w:fldChar w:fldCharType="begin"/>
        </w:r>
        <w:r>
          <w:rPr>
            <w:webHidden/>
          </w:rPr>
          <w:instrText xml:space="preserve"> PAGEREF _Toc229054517 \h </w:instrText>
        </w:r>
        <w:r>
          <w:rPr>
            <w:webHidden/>
          </w:rPr>
        </w:r>
        <w:r>
          <w:rPr>
            <w:webHidden/>
          </w:rPr>
          <w:fldChar w:fldCharType="separate"/>
        </w:r>
        <w:r w:rsidR="00DA0658">
          <w:rPr>
            <w:webHidden/>
          </w:rPr>
          <w:t>145</w:t>
        </w:r>
        <w:r>
          <w:rPr>
            <w:webHidden/>
          </w:rPr>
          <w:fldChar w:fldCharType="end"/>
        </w:r>
      </w:hyperlink>
    </w:p>
    <w:p w14:paraId="64E20A08" w14:textId="198DDF43" w:rsidR="002E60A6" w:rsidRDefault="002E60A6">
      <w:pPr>
        <w:pStyle w:val="TOC2"/>
        <w:rPr>
          <w:rFonts w:eastAsiaTheme="minorEastAsia"/>
          <w:b w:val="0"/>
        </w:rPr>
      </w:pPr>
      <w:hyperlink w:anchor="_Toc229054518" w:history="1">
        <w:r w:rsidRPr="0024097F">
          <w:rPr>
            <w:rStyle w:val="Hyperlink"/>
            <w:rFonts w:ascii="Arial" w:eastAsia="Calibri" w:hAnsi="Arial"/>
          </w:rPr>
          <w:t>11.5</w:t>
        </w:r>
        <w:r>
          <w:rPr>
            <w:rFonts w:eastAsiaTheme="minorEastAsia"/>
            <w:b w:val="0"/>
          </w:rPr>
          <w:tab/>
        </w:r>
        <w:r w:rsidRPr="0024097F">
          <w:rPr>
            <w:rStyle w:val="Hyperlink"/>
            <w:rFonts w:eastAsia="Calibri"/>
          </w:rPr>
          <w:t>Separation of the WEIM Entity</w:t>
        </w:r>
        <w:r>
          <w:rPr>
            <w:webHidden/>
          </w:rPr>
          <w:tab/>
        </w:r>
        <w:r>
          <w:rPr>
            <w:webHidden/>
          </w:rPr>
          <w:fldChar w:fldCharType="begin"/>
        </w:r>
        <w:r>
          <w:rPr>
            <w:webHidden/>
          </w:rPr>
          <w:instrText xml:space="preserve"> PAGEREF _Toc229054518 \h </w:instrText>
        </w:r>
        <w:r>
          <w:rPr>
            <w:webHidden/>
          </w:rPr>
        </w:r>
        <w:r>
          <w:rPr>
            <w:webHidden/>
          </w:rPr>
          <w:fldChar w:fldCharType="separate"/>
        </w:r>
        <w:r w:rsidR="00DA0658">
          <w:rPr>
            <w:webHidden/>
          </w:rPr>
          <w:t>147</w:t>
        </w:r>
        <w:r>
          <w:rPr>
            <w:webHidden/>
          </w:rPr>
          <w:fldChar w:fldCharType="end"/>
        </w:r>
      </w:hyperlink>
    </w:p>
    <w:p w14:paraId="4EA7B749" w14:textId="057D837A" w:rsidR="002E60A6" w:rsidRDefault="002E60A6">
      <w:pPr>
        <w:pStyle w:val="TOC3"/>
        <w:rPr>
          <w:rFonts w:eastAsiaTheme="minorEastAsia"/>
        </w:rPr>
      </w:pPr>
      <w:hyperlink w:anchor="_Toc229054519" w:history="1">
        <w:r w:rsidRPr="0024097F">
          <w:rPr>
            <w:rStyle w:val="Hyperlink"/>
            <w:rFonts w:ascii="Arial" w:eastAsia="Calibri" w:hAnsi="Arial"/>
          </w:rPr>
          <w:t>11.5.1</w:t>
        </w:r>
        <w:r>
          <w:rPr>
            <w:rFonts w:eastAsiaTheme="minorEastAsia"/>
          </w:rPr>
          <w:tab/>
        </w:r>
        <w:r w:rsidRPr="0024097F">
          <w:rPr>
            <w:rStyle w:val="Hyperlink"/>
            <w:rFonts w:eastAsia="Calibri"/>
          </w:rPr>
          <w:t>EIM Entity Separation from Market</w:t>
        </w:r>
        <w:r>
          <w:rPr>
            <w:webHidden/>
          </w:rPr>
          <w:tab/>
        </w:r>
        <w:r>
          <w:rPr>
            <w:webHidden/>
          </w:rPr>
          <w:fldChar w:fldCharType="begin"/>
        </w:r>
        <w:r>
          <w:rPr>
            <w:webHidden/>
          </w:rPr>
          <w:instrText xml:space="preserve"> PAGEREF _Toc229054519 \h </w:instrText>
        </w:r>
        <w:r>
          <w:rPr>
            <w:webHidden/>
          </w:rPr>
        </w:r>
        <w:r>
          <w:rPr>
            <w:webHidden/>
          </w:rPr>
          <w:fldChar w:fldCharType="separate"/>
        </w:r>
        <w:r w:rsidR="00DA0658">
          <w:rPr>
            <w:webHidden/>
          </w:rPr>
          <w:t>147</w:t>
        </w:r>
        <w:r>
          <w:rPr>
            <w:webHidden/>
          </w:rPr>
          <w:fldChar w:fldCharType="end"/>
        </w:r>
      </w:hyperlink>
    </w:p>
    <w:p w14:paraId="132F5852" w14:textId="43E339F0" w:rsidR="002E60A6" w:rsidRDefault="002E60A6">
      <w:pPr>
        <w:pStyle w:val="TOC2"/>
        <w:rPr>
          <w:rFonts w:eastAsiaTheme="minorEastAsia"/>
          <w:b w:val="0"/>
        </w:rPr>
      </w:pPr>
      <w:hyperlink w:anchor="_Toc229054520" w:history="1">
        <w:r w:rsidRPr="0024097F">
          <w:rPr>
            <w:rStyle w:val="Hyperlink"/>
            <w:rFonts w:ascii="Arial" w:eastAsia="Calibri" w:hAnsi="Arial"/>
          </w:rPr>
          <w:t>11.6</w:t>
        </w:r>
        <w:r>
          <w:rPr>
            <w:rFonts w:eastAsiaTheme="minorEastAsia"/>
            <w:b w:val="0"/>
          </w:rPr>
          <w:tab/>
        </w:r>
        <w:r w:rsidRPr="0024097F">
          <w:rPr>
            <w:rStyle w:val="Hyperlink"/>
            <w:rFonts w:eastAsia="Calibri"/>
          </w:rPr>
          <w:t>Advanced Load Forecasting System (ALFS)</w:t>
        </w:r>
        <w:r>
          <w:rPr>
            <w:webHidden/>
          </w:rPr>
          <w:tab/>
        </w:r>
        <w:r>
          <w:rPr>
            <w:webHidden/>
          </w:rPr>
          <w:fldChar w:fldCharType="begin"/>
        </w:r>
        <w:r>
          <w:rPr>
            <w:webHidden/>
          </w:rPr>
          <w:instrText xml:space="preserve"> PAGEREF _Toc229054520 \h </w:instrText>
        </w:r>
        <w:r>
          <w:rPr>
            <w:webHidden/>
          </w:rPr>
        </w:r>
        <w:r>
          <w:rPr>
            <w:webHidden/>
          </w:rPr>
          <w:fldChar w:fldCharType="separate"/>
        </w:r>
        <w:r w:rsidR="00DA0658">
          <w:rPr>
            <w:webHidden/>
          </w:rPr>
          <w:t>148</w:t>
        </w:r>
        <w:r>
          <w:rPr>
            <w:webHidden/>
          </w:rPr>
          <w:fldChar w:fldCharType="end"/>
        </w:r>
      </w:hyperlink>
    </w:p>
    <w:p w14:paraId="1A5BEB60" w14:textId="50CB0686" w:rsidR="002E60A6" w:rsidRDefault="002E60A6">
      <w:pPr>
        <w:pStyle w:val="TOC3"/>
        <w:rPr>
          <w:rFonts w:eastAsiaTheme="minorEastAsia"/>
        </w:rPr>
      </w:pPr>
      <w:hyperlink w:anchor="_Toc229054521" w:history="1">
        <w:r w:rsidRPr="0024097F">
          <w:rPr>
            <w:rStyle w:val="Hyperlink"/>
            <w:rFonts w:ascii="Arial" w:eastAsia="Calibri" w:hAnsi="Arial"/>
          </w:rPr>
          <w:t>11.6.1</w:t>
        </w:r>
        <w:r>
          <w:rPr>
            <w:rFonts w:eastAsiaTheme="minorEastAsia"/>
          </w:rPr>
          <w:tab/>
        </w:r>
        <w:r w:rsidRPr="0024097F">
          <w:rPr>
            <w:rStyle w:val="Hyperlink"/>
            <w:rFonts w:eastAsia="Calibri"/>
          </w:rPr>
          <w:t>Requirements for Load Forecasting</w:t>
        </w:r>
        <w:r>
          <w:rPr>
            <w:webHidden/>
          </w:rPr>
          <w:tab/>
        </w:r>
        <w:r>
          <w:rPr>
            <w:webHidden/>
          </w:rPr>
          <w:fldChar w:fldCharType="begin"/>
        </w:r>
        <w:r>
          <w:rPr>
            <w:webHidden/>
          </w:rPr>
          <w:instrText xml:space="preserve"> PAGEREF _Toc229054521 \h </w:instrText>
        </w:r>
        <w:r>
          <w:rPr>
            <w:webHidden/>
          </w:rPr>
        </w:r>
        <w:r>
          <w:rPr>
            <w:webHidden/>
          </w:rPr>
          <w:fldChar w:fldCharType="separate"/>
        </w:r>
        <w:r w:rsidR="00DA0658">
          <w:rPr>
            <w:webHidden/>
          </w:rPr>
          <w:t>148</w:t>
        </w:r>
        <w:r>
          <w:rPr>
            <w:webHidden/>
          </w:rPr>
          <w:fldChar w:fldCharType="end"/>
        </w:r>
      </w:hyperlink>
    </w:p>
    <w:p w14:paraId="53619472" w14:textId="27C7DA67" w:rsidR="002E60A6" w:rsidRDefault="002E60A6">
      <w:pPr>
        <w:pStyle w:val="TOC2"/>
        <w:rPr>
          <w:rFonts w:eastAsiaTheme="minorEastAsia"/>
          <w:b w:val="0"/>
        </w:rPr>
      </w:pPr>
      <w:hyperlink w:anchor="_Toc229054522" w:history="1">
        <w:r w:rsidRPr="0024097F">
          <w:rPr>
            <w:rStyle w:val="Hyperlink"/>
            <w:rFonts w:ascii="Arial" w:eastAsia="Calibri" w:hAnsi="Arial"/>
          </w:rPr>
          <w:t>11.7</w:t>
        </w:r>
        <w:r>
          <w:rPr>
            <w:rFonts w:eastAsiaTheme="minorEastAsia"/>
            <w:b w:val="0"/>
          </w:rPr>
          <w:tab/>
        </w:r>
        <w:r w:rsidRPr="0024097F">
          <w:rPr>
            <w:rStyle w:val="Hyperlink"/>
            <w:rFonts w:eastAsia="Calibri"/>
          </w:rPr>
          <w:t>Variable Energy Resource (VERs)</w:t>
        </w:r>
        <w:r>
          <w:rPr>
            <w:webHidden/>
          </w:rPr>
          <w:tab/>
        </w:r>
        <w:r>
          <w:rPr>
            <w:webHidden/>
          </w:rPr>
          <w:fldChar w:fldCharType="begin"/>
        </w:r>
        <w:r>
          <w:rPr>
            <w:webHidden/>
          </w:rPr>
          <w:instrText xml:space="preserve"> PAGEREF _Toc229054522 \h </w:instrText>
        </w:r>
        <w:r>
          <w:rPr>
            <w:webHidden/>
          </w:rPr>
        </w:r>
        <w:r>
          <w:rPr>
            <w:webHidden/>
          </w:rPr>
          <w:fldChar w:fldCharType="separate"/>
        </w:r>
        <w:r w:rsidR="00DA0658">
          <w:rPr>
            <w:webHidden/>
          </w:rPr>
          <w:t>149</w:t>
        </w:r>
        <w:r>
          <w:rPr>
            <w:webHidden/>
          </w:rPr>
          <w:fldChar w:fldCharType="end"/>
        </w:r>
      </w:hyperlink>
    </w:p>
    <w:p w14:paraId="6188B9B2" w14:textId="117D4DC7" w:rsidR="002E60A6" w:rsidRDefault="002E60A6">
      <w:pPr>
        <w:pStyle w:val="TOC3"/>
        <w:rPr>
          <w:rFonts w:eastAsiaTheme="minorEastAsia"/>
        </w:rPr>
      </w:pPr>
      <w:hyperlink w:anchor="_Toc229054523" w:history="1">
        <w:r w:rsidRPr="0024097F">
          <w:rPr>
            <w:rStyle w:val="Hyperlink"/>
            <w:rFonts w:ascii="Arial" w:eastAsia="Calibri" w:hAnsi="Arial"/>
          </w:rPr>
          <w:t>11.7.1</w:t>
        </w:r>
        <w:r>
          <w:rPr>
            <w:rFonts w:eastAsiaTheme="minorEastAsia"/>
          </w:rPr>
          <w:tab/>
        </w:r>
        <w:r w:rsidRPr="0024097F">
          <w:rPr>
            <w:rStyle w:val="Hyperlink"/>
            <w:rFonts w:eastAsia="Calibri"/>
          </w:rPr>
          <w:t>Forecast Fee</w:t>
        </w:r>
        <w:r>
          <w:rPr>
            <w:webHidden/>
          </w:rPr>
          <w:tab/>
        </w:r>
        <w:r>
          <w:rPr>
            <w:webHidden/>
          </w:rPr>
          <w:fldChar w:fldCharType="begin"/>
        </w:r>
        <w:r>
          <w:rPr>
            <w:webHidden/>
          </w:rPr>
          <w:instrText xml:space="preserve"> PAGEREF _Toc229054523 \h </w:instrText>
        </w:r>
        <w:r>
          <w:rPr>
            <w:webHidden/>
          </w:rPr>
        </w:r>
        <w:r>
          <w:rPr>
            <w:webHidden/>
          </w:rPr>
          <w:fldChar w:fldCharType="separate"/>
        </w:r>
        <w:r w:rsidR="00DA0658">
          <w:rPr>
            <w:webHidden/>
          </w:rPr>
          <w:t>149</w:t>
        </w:r>
        <w:r>
          <w:rPr>
            <w:webHidden/>
          </w:rPr>
          <w:fldChar w:fldCharType="end"/>
        </w:r>
      </w:hyperlink>
    </w:p>
    <w:p w14:paraId="5548CB2A" w14:textId="7A6F9368" w:rsidR="002E60A6" w:rsidRDefault="002E60A6">
      <w:pPr>
        <w:pStyle w:val="TOC3"/>
        <w:rPr>
          <w:rFonts w:eastAsiaTheme="minorEastAsia"/>
        </w:rPr>
      </w:pPr>
      <w:hyperlink w:anchor="_Toc229054524" w:history="1">
        <w:r w:rsidRPr="0024097F">
          <w:rPr>
            <w:rStyle w:val="Hyperlink"/>
            <w:rFonts w:ascii="Arial" w:eastAsia="Calibri" w:hAnsi="Arial"/>
          </w:rPr>
          <w:t>11.7.2</w:t>
        </w:r>
        <w:r>
          <w:rPr>
            <w:rFonts w:eastAsiaTheme="minorEastAsia"/>
          </w:rPr>
          <w:tab/>
        </w:r>
        <w:r w:rsidRPr="0024097F">
          <w:rPr>
            <w:rStyle w:val="Hyperlink"/>
            <w:rFonts w:eastAsia="Calibri"/>
          </w:rPr>
          <w:t>EIM Variable Energy Resource Forecasting</w:t>
        </w:r>
        <w:r>
          <w:rPr>
            <w:webHidden/>
          </w:rPr>
          <w:tab/>
        </w:r>
        <w:r>
          <w:rPr>
            <w:webHidden/>
          </w:rPr>
          <w:fldChar w:fldCharType="begin"/>
        </w:r>
        <w:r>
          <w:rPr>
            <w:webHidden/>
          </w:rPr>
          <w:instrText xml:space="preserve"> PAGEREF _Toc229054524 \h </w:instrText>
        </w:r>
        <w:r>
          <w:rPr>
            <w:webHidden/>
          </w:rPr>
        </w:r>
        <w:r>
          <w:rPr>
            <w:webHidden/>
          </w:rPr>
          <w:fldChar w:fldCharType="separate"/>
        </w:r>
        <w:r w:rsidR="00DA0658">
          <w:rPr>
            <w:webHidden/>
          </w:rPr>
          <w:t>150</w:t>
        </w:r>
        <w:r>
          <w:rPr>
            <w:webHidden/>
          </w:rPr>
          <w:fldChar w:fldCharType="end"/>
        </w:r>
      </w:hyperlink>
    </w:p>
    <w:p w14:paraId="64A6DA81" w14:textId="5FD16CEE" w:rsidR="002E60A6" w:rsidRDefault="002E60A6">
      <w:pPr>
        <w:pStyle w:val="TOC1"/>
        <w:tabs>
          <w:tab w:val="left" w:pos="2448"/>
        </w:tabs>
        <w:rPr>
          <w:rFonts w:eastAsiaTheme="minorEastAsia" w:cstheme="minorBidi"/>
          <w:b w:val="0"/>
        </w:rPr>
      </w:pPr>
      <w:hyperlink w:anchor="_Toc229054525" w:history="1">
        <w:r w:rsidRPr="0024097F">
          <w:rPr>
            <w:rStyle w:val="Hyperlink"/>
            <w:rFonts w:ascii="Arial" w:eastAsiaTheme="majorEastAsia" w:hAnsi="Arial"/>
          </w:rPr>
          <w:t>11.8</w:t>
        </w:r>
        <w:r>
          <w:rPr>
            <w:rFonts w:eastAsiaTheme="minorEastAsia" w:cstheme="minorBidi"/>
            <w:b w:val="0"/>
          </w:rPr>
          <w:tab/>
        </w:r>
        <w:r w:rsidRPr="0024097F">
          <w:rPr>
            <w:rStyle w:val="Hyperlink"/>
            <w:rFonts w:ascii="Arial" w:eastAsiaTheme="majorEastAsia" w:hAnsi="Arial"/>
          </w:rPr>
          <w:t>Intertie Multi-Stage Generator (TMSG)</w:t>
        </w:r>
        <w:r>
          <w:rPr>
            <w:webHidden/>
          </w:rPr>
          <w:tab/>
        </w:r>
        <w:r>
          <w:rPr>
            <w:webHidden/>
          </w:rPr>
          <w:fldChar w:fldCharType="begin"/>
        </w:r>
        <w:r>
          <w:rPr>
            <w:webHidden/>
          </w:rPr>
          <w:instrText xml:space="preserve"> PAGEREF _Toc229054525 \h </w:instrText>
        </w:r>
        <w:r>
          <w:rPr>
            <w:webHidden/>
          </w:rPr>
        </w:r>
        <w:r>
          <w:rPr>
            <w:webHidden/>
          </w:rPr>
          <w:fldChar w:fldCharType="separate"/>
        </w:r>
        <w:r w:rsidR="00DA0658">
          <w:rPr>
            <w:webHidden/>
          </w:rPr>
          <w:t>152</w:t>
        </w:r>
        <w:r>
          <w:rPr>
            <w:webHidden/>
          </w:rPr>
          <w:fldChar w:fldCharType="end"/>
        </w:r>
      </w:hyperlink>
    </w:p>
    <w:p w14:paraId="7019754E" w14:textId="204B442A" w:rsidR="002E60A6" w:rsidRDefault="002E60A6">
      <w:pPr>
        <w:pStyle w:val="TOC1"/>
        <w:rPr>
          <w:rFonts w:eastAsiaTheme="minorEastAsia" w:cstheme="minorBidi"/>
          <w:b w:val="0"/>
        </w:rPr>
      </w:pPr>
      <w:hyperlink w:anchor="_Toc229054526" w:history="1">
        <w:r w:rsidRPr="0024097F">
          <w:rPr>
            <w:rStyle w:val="Hyperlink"/>
            <w:rFonts w:ascii="Arial" w:hAnsi="Arial"/>
          </w:rPr>
          <w:t>12.</w:t>
        </w:r>
        <w:r>
          <w:rPr>
            <w:rFonts w:eastAsiaTheme="minorEastAsia" w:cstheme="minorBidi"/>
            <w:b w:val="0"/>
          </w:rPr>
          <w:tab/>
        </w:r>
        <w:r w:rsidRPr="0024097F">
          <w:rPr>
            <w:rStyle w:val="Hyperlink"/>
          </w:rPr>
          <w:t>SETTLEMENTS AND BILLING</w:t>
        </w:r>
        <w:r>
          <w:rPr>
            <w:webHidden/>
          </w:rPr>
          <w:tab/>
        </w:r>
        <w:r>
          <w:rPr>
            <w:webHidden/>
          </w:rPr>
          <w:fldChar w:fldCharType="begin"/>
        </w:r>
        <w:r>
          <w:rPr>
            <w:webHidden/>
          </w:rPr>
          <w:instrText xml:space="preserve"> PAGEREF _Toc229054526 \h </w:instrText>
        </w:r>
        <w:r>
          <w:rPr>
            <w:webHidden/>
          </w:rPr>
        </w:r>
        <w:r>
          <w:rPr>
            <w:webHidden/>
          </w:rPr>
          <w:fldChar w:fldCharType="separate"/>
        </w:r>
        <w:r w:rsidR="00DA0658">
          <w:rPr>
            <w:webHidden/>
          </w:rPr>
          <w:t>153</w:t>
        </w:r>
        <w:r>
          <w:rPr>
            <w:webHidden/>
          </w:rPr>
          <w:fldChar w:fldCharType="end"/>
        </w:r>
      </w:hyperlink>
    </w:p>
    <w:p w14:paraId="1BB62780" w14:textId="70429A79" w:rsidR="002E60A6" w:rsidRDefault="002E60A6">
      <w:pPr>
        <w:pStyle w:val="TOC2"/>
        <w:rPr>
          <w:rFonts w:eastAsiaTheme="minorEastAsia"/>
          <w:b w:val="0"/>
        </w:rPr>
      </w:pPr>
      <w:hyperlink w:anchor="_Toc229054527" w:history="1">
        <w:r w:rsidRPr="0024097F">
          <w:rPr>
            <w:rStyle w:val="Hyperlink"/>
            <w:rFonts w:ascii="Arial" w:hAnsi="Arial"/>
          </w:rPr>
          <w:t>12.1</w:t>
        </w:r>
        <w:r>
          <w:rPr>
            <w:rFonts w:eastAsiaTheme="minorEastAsia"/>
            <w:b w:val="0"/>
          </w:rPr>
          <w:tab/>
        </w:r>
        <w:r w:rsidRPr="0024097F">
          <w:rPr>
            <w:rStyle w:val="Hyperlink"/>
          </w:rPr>
          <w:t>Charge Codes</w:t>
        </w:r>
        <w:r>
          <w:rPr>
            <w:webHidden/>
          </w:rPr>
          <w:tab/>
        </w:r>
        <w:r>
          <w:rPr>
            <w:webHidden/>
          </w:rPr>
          <w:fldChar w:fldCharType="begin"/>
        </w:r>
        <w:r>
          <w:rPr>
            <w:webHidden/>
          </w:rPr>
          <w:instrText xml:space="preserve"> PAGEREF _Toc229054527 \h </w:instrText>
        </w:r>
        <w:r>
          <w:rPr>
            <w:webHidden/>
          </w:rPr>
        </w:r>
        <w:r>
          <w:rPr>
            <w:webHidden/>
          </w:rPr>
          <w:fldChar w:fldCharType="separate"/>
        </w:r>
        <w:r w:rsidR="00DA0658">
          <w:rPr>
            <w:webHidden/>
          </w:rPr>
          <w:t>153</w:t>
        </w:r>
        <w:r>
          <w:rPr>
            <w:webHidden/>
          </w:rPr>
          <w:fldChar w:fldCharType="end"/>
        </w:r>
      </w:hyperlink>
    </w:p>
    <w:p w14:paraId="36161E36" w14:textId="4B26293D" w:rsidR="002E60A6" w:rsidRDefault="002E60A6">
      <w:pPr>
        <w:pStyle w:val="TOC2"/>
        <w:rPr>
          <w:rFonts w:eastAsiaTheme="minorEastAsia"/>
          <w:b w:val="0"/>
        </w:rPr>
      </w:pPr>
      <w:hyperlink w:anchor="_Toc229054528" w:history="1">
        <w:r w:rsidRPr="0024097F">
          <w:rPr>
            <w:rStyle w:val="Hyperlink"/>
            <w:rFonts w:ascii="Arial" w:hAnsi="Arial"/>
          </w:rPr>
          <w:t>12.2</w:t>
        </w:r>
        <w:r>
          <w:rPr>
            <w:rFonts w:eastAsiaTheme="minorEastAsia"/>
            <w:b w:val="0"/>
          </w:rPr>
          <w:tab/>
        </w:r>
        <w:r w:rsidRPr="0024097F">
          <w:rPr>
            <w:rStyle w:val="Hyperlink"/>
          </w:rPr>
          <w:t>Disagreements</w:t>
        </w:r>
        <w:r>
          <w:rPr>
            <w:webHidden/>
          </w:rPr>
          <w:tab/>
        </w:r>
        <w:r>
          <w:rPr>
            <w:webHidden/>
          </w:rPr>
          <w:fldChar w:fldCharType="begin"/>
        </w:r>
        <w:r>
          <w:rPr>
            <w:webHidden/>
          </w:rPr>
          <w:instrText xml:space="preserve"> PAGEREF _Toc229054528 \h </w:instrText>
        </w:r>
        <w:r>
          <w:rPr>
            <w:webHidden/>
          </w:rPr>
        </w:r>
        <w:r>
          <w:rPr>
            <w:webHidden/>
          </w:rPr>
          <w:fldChar w:fldCharType="separate"/>
        </w:r>
        <w:r w:rsidR="00DA0658">
          <w:rPr>
            <w:webHidden/>
          </w:rPr>
          <w:t>154</w:t>
        </w:r>
        <w:r>
          <w:rPr>
            <w:webHidden/>
          </w:rPr>
          <w:fldChar w:fldCharType="end"/>
        </w:r>
      </w:hyperlink>
    </w:p>
    <w:p w14:paraId="0991C6C0" w14:textId="79B16BE7" w:rsidR="002E60A6" w:rsidRDefault="002E60A6">
      <w:pPr>
        <w:pStyle w:val="TOC2"/>
        <w:rPr>
          <w:rFonts w:eastAsiaTheme="minorEastAsia"/>
          <w:b w:val="0"/>
        </w:rPr>
      </w:pPr>
      <w:hyperlink w:anchor="_Toc229054529" w:history="1">
        <w:r w:rsidRPr="0024097F">
          <w:rPr>
            <w:rStyle w:val="Hyperlink"/>
            <w:rFonts w:ascii="Arial" w:hAnsi="Arial"/>
          </w:rPr>
          <w:t>12.3</w:t>
        </w:r>
        <w:r>
          <w:rPr>
            <w:rFonts w:eastAsiaTheme="minorEastAsia"/>
            <w:b w:val="0"/>
          </w:rPr>
          <w:tab/>
        </w:r>
        <w:r w:rsidRPr="0024097F">
          <w:rPr>
            <w:rStyle w:val="Hyperlink"/>
          </w:rPr>
          <w:t>Suspension</w:t>
        </w:r>
        <w:r>
          <w:rPr>
            <w:webHidden/>
          </w:rPr>
          <w:tab/>
        </w:r>
        <w:r>
          <w:rPr>
            <w:webHidden/>
          </w:rPr>
          <w:fldChar w:fldCharType="begin"/>
        </w:r>
        <w:r>
          <w:rPr>
            <w:webHidden/>
          </w:rPr>
          <w:instrText xml:space="preserve"> PAGEREF _Toc229054529 \h </w:instrText>
        </w:r>
        <w:r>
          <w:rPr>
            <w:webHidden/>
          </w:rPr>
        </w:r>
        <w:r>
          <w:rPr>
            <w:webHidden/>
          </w:rPr>
          <w:fldChar w:fldCharType="separate"/>
        </w:r>
        <w:r w:rsidR="00DA0658">
          <w:rPr>
            <w:webHidden/>
          </w:rPr>
          <w:t>154</w:t>
        </w:r>
        <w:r>
          <w:rPr>
            <w:webHidden/>
          </w:rPr>
          <w:fldChar w:fldCharType="end"/>
        </w:r>
      </w:hyperlink>
    </w:p>
    <w:p w14:paraId="38827204" w14:textId="683DD587" w:rsidR="002E60A6" w:rsidRDefault="002E60A6">
      <w:pPr>
        <w:pStyle w:val="TOC2"/>
        <w:rPr>
          <w:rFonts w:eastAsiaTheme="minorEastAsia"/>
          <w:b w:val="0"/>
        </w:rPr>
      </w:pPr>
      <w:hyperlink w:anchor="_Toc229054530" w:history="1">
        <w:r w:rsidRPr="0024097F">
          <w:rPr>
            <w:rStyle w:val="Hyperlink"/>
            <w:rFonts w:ascii="Arial" w:hAnsi="Arial"/>
          </w:rPr>
          <w:t>12.4</w:t>
        </w:r>
        <w:r>
          <w:rPr>
            <w:rFonts w:eastAsiaTheme="minorEastAsia"/>
            <w:b w:val="0"/>
          </w:rPr>
          <w:tab/>
        </w:r>
        <w:r w:rsidRPr="0024097F">
          <w:rPr>
            <w:rStyle w:val="Hyperlink"/>
          </w:rPr>
          <w:t>Real-Time Unaccounted For Energy (UFE) Election Process</w:t>
        </w:r>
        <w:r>
          <w:rPr>
            <w:webHidden/>
          </w:rPr>
          <w:tab/>
        </w:r>
        <w:r>
          <w:rPr>
            <w:webHidden/>
          </w:rPr>
          <w:fldChar w:fldCharType="begin"/>
        </w:r>
        <w:r>
          <w:rPr>
            <w:webHidden/>
          </w:rPr>
          <w:instrText xml:space="preserve"> PAGEREF _Toc229054530 \h </w:instrText>
        </w:r>
        <w:r>
          <w:rPr>
            <w:webHidden/>
          </w:rPr>
        </w:r>
        <w:r>
          <w:rPr>
            <w:webHidden/>
          </w:rPr>
          <w:fldChar w:fldCharType="separate"/>
        </w:r>
        <w:r w:rsidR="00DA0658">
          <w:rPr>
            <w:webHidden/>
          </w:rPr>
          <w:t>154</w:t>
        </w:r>
        <w:r>
          <w:rPr>
            <w:webHidden/>
          </w:rPr>
          <w:fldChar w:fldCharType="end"/>
        </w:r>
      </w:hyperlink>
    </w:p>
    <w:p w14:paraId="7F5CDB1E" w14:textId="4E4D9358" w:rsidR="002E60A6" w:rsidRDefault="002E60A6">
      <w:pPr>
        <w:pStyle w:val="TOC1"/>
        <w:rPr>
          <w:rFonts w:eastAsiaTheme="minorEastAsia" w:cstheme="minorBidi"/>
          <w:b w:val="0"/>
        </w:rPr>
      </w:pPr>
      <w:hyperlink w:anchor="_Toc229054531" w:history="1">
        <w:r w:rsidRPr="0024097F">
          <w:rPr>
            <w:rStyle w:val="Hyperlink"/>
            <w:rFonts w:ascii="Arial" w:hAnsi="Arial"/>
          </w:rPr>
          <w:t>13.</w:t>
        </w:r>
        <w:r>
          <w:rPr>
            <w:rFonts w:eastAsiaTheme="minorEastAsia" w:cstheme="minorBidi"/>
            <w:b w:val="0"/>
          </w:rPr>
          <w:tab/>
        </w:r>
        <w:r w:rsidRPr="0024097F">
          <w:rPr>
            <w:rStyle w:val="Hyperlink"/>
          </w:rPr>
          <w:t>READINESS</w:t>
        </w:r>
        <w:r>
          <w:rPr>
            <w:webHidden/>
          </w:rPr>
          <w:tab/>
        </w:r>
        <w:r>
          <w:rPr>
            <w:webHidden/>
          </w:rPr>
          <w:fldChar w:fldCharType="begin"/>
        </w:r>
        <w:r>
          <w:rPr>
            <w:webHidden/>
          </w:rPr>
          <w:instrText xml:space="preserve"> PAGEREF _Toc229054531 \h </w:instrText>
        </w:r>
        <w:r>
          <w:rPr>
            <w:webHidden/>
          </w:rPr>
        </w:r>
        <w:r>
          <w:rPr>
            <w:webHidden/>
          </w:rPr>
          <w:fldChar w:fldCharType="separate"/>
        </w:r>
        <w:r w:rsidR="00DA0658">
          <w:rPr>
            <w:webHidden/>
          </w:rPr>
          <w:t>156</w:t>
        </w:r>
        <w:r>
          <w:rPr>
            <w:webHidden/>
          </w:rPr>
          <w:fldChar w:fldCharType="end"/>
        </w:r>
      </w:hyperlink>
    </w:p>
    <w:p w14:paraId="284EFBAC" w14:textId="3E2FE954" w:rsidR="002E60A6" w:rsidRDefault="002E60A6">
      <w:pPr>
        <w:pStyle w:val="TOC2"/>
        <w:rPr>
          <w:rFonts w:eastAsiaTheme="minorEastAsia"/>
          <w:b w:val="0"/>
        </w:rPr>
      </w:pPr>
      <w:hyperlink w:anchor="_Toc229054532" w:history="1">
        <w:r w:rsidRPr="0024097F">
          <w:rPr>
            <w:rStyle w:val="Hyperlink"/>
            <w:rFonts w:ascii="Arial" w:hAnsi="Arial"/>
          </w:rPr>
          <w:t>13.1</w:t>
        </w:r>
        <w:r>
          <w:rPr>
            <w:rFonts w:eastAsiaTheme="minorEastAsia"/>
            <w:b w:val="0"/>
          </w:rPr>
          <w:tab/>
        </w:r>
        <w:r w:rsidRPr="0024097F">
          <w:rPr>
            <w:rStyle w:val="Hyperlink"/>
          </w:rPr>
          <w:t>Readiness Criteria Categories</w:t>
        </w:r>
        <w:r>
          <w:rPr>
            <w:webHidden/>
          </w:rPr>
          <w:tab/>
        </w:r>
        <w:r>
          <w:rPr>
            <w:webHidden/>
          </w:rPr>
          <w:fldChar w:fldCharType="begin"/>
        </w:r>
        <w:r>
          <w:rPr>
            <w:webHidden/>
          </w:rPr>
          <w:instrText xml:space="preserve"> PAGEREF _Toc229054532 \h </w:instrText>
        </w:r>
        <w:r>
          <w:rPr>
            <w:webHidden/>
          </w:rPr>
        </w:r>
        <w:r>
          <w:rPr>
            <w:webHidden/>
          </w:rPr>
          <w:fldChar w:fldCharType="separate"/>
        </w:r>
        <w:r w:rsidR="00DA0658">
          <w:rPr>
            <w:webHidden/>
          </w:rPr>
          <w:t>156</w:t>
        </w:r>
        <w:r>
          <w:rPr>
            <w:webHidden/>
          </w:rPr>
          <w:fldChar w:fldCharType="end"/>
        </w:r>
      </w:hyperlink>
    </w:p>
    <w:p w14:paraId="7919AD01" w14:textId="43C633CA" w:rsidR="002E60A6" w:rsidRDefault="002E60A6">
      <w:pPr>
        <w:pStyle w:val="TOC2"/>
        <w:rPr>
          <w:rFonts w:eastAsiaTheme="minorEastAsia"/>
          <w:b w:val="0"/>
        </w:rPr>
      </w:pPr>
      <w:hyperlink w:anchor="_Toc229054533" w:history="1">
        <w:r w:rsidRPr="0024097F">
          <w:rPr>
            <w:rStyle w:val="Hyperlink"/>
            <w:rFonts w:ascii="Arial" w:hAnsi="Arial"/>
          </w:rPr>
          <w:t>13.2</w:t>
        </w:r>
        <w:r>
          <w:rPr>
            <w:rFonts w:eastAsiaTheme="minorEastAsia"/>
            <w:b w:val="0"/>
          </w:rPr>
          <w:tab/>
        </w:r>
        <w:r w:rsidRPr="0024097F">
          <w:rPr>
            <w:rStyle w:val="Hyperlink"/>
          </w:rPr>
          <w:t>Readiness Metrics, Criteria, and Thresholds</w:t>
        </w:r>
        <w:r>
          <w:rPr>
            <w:webHidden/>
          </w:rPr>
          <w:tab/>
        </w:r>
        <w:r>
          <w:rPr>
            <w:webHidden/>
          </w:rPr>
          <w:fldChar w:fldCharType="begin"/>
        </w:r>
        <w:r>
          <w:rPr>
            <w:webHidden/>
          </w:rPr>
          <w:instrText xml:space="preserve"> PAGEREF _Toc229054533 \h </w:instrText>
        </w:r>
        <w:r>
          <w:rPr>
            <w:webHidden/>
          </w:rPr>
        </w:r>
        <w:r>
          <w:rPr>
            <w:webHidden/>
          </w:rPr>
          <w:fldChar w:fldCharType="separate"/>
        </w:r>
        <w:r w:rsidR="00DA0658">
          <w:rPr>
            <w:webHidden/>
          </w:rPr>
          <w:t>158</w:t>
        </w:r>
        <w:r>
          <w:rPr>
            <w:webHidden/>
          </w:rPr>
          <w:fldChar w:fldCharType="end"/>
        </w:r>
      </w:hyperlink>
    </w:p>
    <w:p w14:paraId="690EF00E" w14:textId="79C9716A" w:rsidR="002E60A6" w:rsidRDefault="002E60A6">
      <w:pPr>
        <w:pStyle w:val="TOC2"/>
        <w:rPr>
          <w:rFonts w:eastAsiaTheme="minorEastAsia"/>
          <w:b w:val="0"/>
        </w:rPr>
      </w:pPr>
      <w:hyperlink w:anchor="_Toc229054534" w:history="1">
        <w:r w:rsidRPr="0024097F">
          <w:rPr>
            <w:rStyle w:val="Hyperlink"/>
            <w:rFonts w:ascii="Arial" w:hAnsi="Arial"/>
          </w:rPr>
          <w:t>13.3</w:t>
        </w:r>
        <w:r>
          <w:rPr>
            <w:rFonts w:eastAsiaTheme="minorEastAsia"/>
            <w:b w:val="0"/>
          </w:rPr>
          <w:tab/>
        </w:r>
        <w:r w:rsidRPr="0024097F">
          <w:rPr>
            <w:rStyle w:val="Hyperlink"/>
          </w:rPr>
          <w:t>Readiness Reporting, Determination &amp; Certification</w:t>
        </w:r>
        <w:r>
          <w:rPr>
            <w:webHidden/>
          </w:rPr>
          <w:tab/>
        </w:r>
        <w:r>
          <w:rPr>
            <w:webHidden/>
          </w:rPr>
          <w:fldChar w:fldCharType="begin"/>
        </w:r>
        <w:r>
          <w:rPr>
            <w:webHidden/>
          </w:rPr>
          <w:instrText xml:space="preserve"> PAGEREF _Toc229054534 \h </w:instrText>
        </w:r>
        <w:r>
          <w:rPr>
            <w:webHidden/>
          </w:rPr>
        </w:r>
        <w:r>
          <w:rPr>
            <w:webHidden/>
          </w:rPr>
          <w:fldChar w:fldCharType="separate"/>
        </w:r>
        <w:r w:rsidR="00DA0658">
          <w:rPr>
            <w:webHidden/>
          </w:rPr>
          <w:t>167</w:t>
        </w:r>
        <w:r>
          <w:rPr>
            <w:webHidden/>
          </w:rPr>
          <w:fldChar w:fldCharType="end"/>
        </w:r>
      </w:hyperlink>
    </w:p>
    <w:p w14:paraId="7D1C2A1D" w14:textId="664179FF" w:rsidR="002E60A6" w:rsidRDefault="002E60A6">
      <w:pPr>
        <w:pStyle w:val="TOC1"/>
        <w:rPr>
          <w:rFonts w:eastAsiaTheme="minorEastAsia" w:cstheme="minorBidi"/>
          <w:b w:val="0"/>
        </w:rPr>
      </w:pPr>
      <w:hyperlink w:anchor="_Toc229054535" w:history="1">
        <w:r w:rsidRPr="0024097F">
          <w:rPr>
            <w:rStyle w:val="Hyperlink"/>
            <w:rFonts w:ascii="Arial" w:hAnsi="Arial"/>
          </w:rPr>
          <w:t>14.</w:t>
        </w:r>
        <w:r>
          <w:rPr>
            <w:rFonts w:eastAsiaTheme="minorEastAsia" w:cstheme="minorBidi"/>
            <w:b w:val="0"/>
          </w:rPr>
          <w:tab/>
        </w:r>
        <w:r w:rsidRPr="0024097F">
          <w:rPr>
            <w:rStyle w:val="Hyperlink"/>
          </w:rPr>
          <w:t>RULES OF CONDUCT</w:t>
        </w:r>
        <w:r>
          <w:rPr>
            <w:webHidden/>
          </w:rPr>
          <w:tab/>
        </w:r>
        <w:r>
          <w:rPr>
            <w:webHidden/>
          </w:rPr>
          <w:fldChar w:fldCharType="begin"/>
        </w:r>
        <w:r>
          <w:rPr>
            <w:webHidden/>
          </w:rPr>
          <w:instrText xml:space="preserve"> PAGEREF _Toc229054535 \h </w:instrText>
        </w:r>
        <w:r>
          <w:rPr>
            <w:webHidden/>
          </w:rPr>
        </w:r>
        <w:r>
          <w:rPr>
            <w:webHidden/>
          </w:rPr>
          <w:fldChar w:fldCharType="separate"/>
        </w:r>
        <w:r w:rsidR="00DA0658">
          <w:rPr>
            <w:webHidden/>
          </w:rPr>
          <w:t>168</w:t>
        </w:r>
        <w:r>
          <w:rPr>
            <w:webHidden/>
          </w:rPr>
          <w:fldChar w:fldCharType="end"/>
        </w:r>
      </w:hyperlink>
    </w:p>
    <w:p w14:paraId="3C88A35B" w14:textId="7963F87F" w:rsidR="002E60A6" w:rsidRDefault="002E60A6">
      <w:pPr>
        <w:pStyle w:val="TOC1"/>
        <w:rPr>
          <w:rFonts w:eastAsiaTheme="minorEastAsia" w:cstheme="minorBidi"/>
          <w:b w:val="0"/>
        </w:rPr>
      </w:pPr>
      <w:hyperlink w:anchor="_Toc229054536" w:history="1">
        <w:r w:rsidRPr="0024097F">
          <w:rPr>
            <w:rStyle w:val="Hyperlink"/>
            <w:rFonts w:ascii="Arial" w:hAnsi="Arial"/>
          </w:rPr>
          <w:t>15.</w:t>
        </w:r>
        <w:r>
          <w:rPr>
            <w:rFonts w:eastAsiaTheme="minorEastAsia" w:cstheme="minorBidi"/>
            <w:b w:val="0"/>
          </w:rPr>
          <w:tab/>
        </w:r>
        <w:r w:rsidRPr="0024097F">
          <w:rPr>
            <w:rStyle w:val="Hyperlink"/>
          </w:rPr>
          <w:t>CHANGE MANAGEMENT</w:t>
        </w:r>
        <w:r>
          <w:rPr>
            <w:webHidden/>
          </w:rPr>
          <w:tab/>
        </w:r>
        <w:r>
          <w:rPr>
            <w:webHidden/>
          </w:rPr>
          <w:fldChar w:fldCharType="begin"/>
        </w:r>
        <w:r>
          <w:rPr>
            <w:webHidden/>
          </w:rPr>
          <w:instrText xml:space="preserve"> PAGEREF _Toc229054536 \h </w:instrText>
        </w:r>
        <w:r>
          <w:rPr>
            <w:webHidden/>
          </w:rPr>
        </w:r>
        <w:r>
          <w:rPr>
            <w:webHidden/>
          </w:rPr>
          <w:fldChar w:fldCharType="separate"/>
        </w:r>
        <w:r w:rsidR="00DA0658">
          <w:rPr>
            <w:webHidden/>
          </w:rPr>
          <w:t>169</w:t>
        </w:r>
        <w:r>
          <w:rPr>
            <w:webHidden/>
          </w:rPr>
          <w:fldChar w:fldCharType="end"/>
        </w:r>
      </w:hyperlink>
    </w:p>
    <w:p w14:paraId="60EFA79C" w14:textId="5A6053EC" w:rsidR="002E60A6" w:rsidRDefault="002E60A6">
      <w:pPr>
        <w:pStyle w:val="TOC1"/>
        <w:rPr>
          <w:rFonts w:eastAsiaTheme="minorEastAsia" w:cstheme="minorBidi"/>
          <w:b w:val="0"/>
        </w:rPr>
      </w:pPr>
      <w:hyperlink w:anchor="_Toc229054537" w:history="1">
        <w:r w:rsidRPr="0024097F">
          <w:rPr>
            <w:rStyle w:val="Hyperlink"/>
            <w:rFonts w:ascii="Arial" w:hAnsi="Arial"/>
          </w:rPr>
          <w:t>16.</w:t>
        </w:r>
        <w:r>
          <w:rPr>
            <w:rFonts w:eastAsiaTheme="minorEastAsia" w:cstheme="minorBidi"/>
            <w:b w:val="0"/>
          </w:rPr>
          <w:tab/>
        </w:r>
        <w:r w:rsidRPr="0024097F">
          <w:rPr>
            <w:rStyle w:val="Hyperlink"/>
          </w:rPr>
          <w:t>DEFINITIONS AND ACRONYMS</w:t>
        </w:r>
        <w:r>
          <w:rPr>
            <w:webHidden/>
          </w:rPr>
          <w:tab/>
        </w:r>
        <w:r>
          <w:rPr>
            <w:webHidden/>
          </w:rPr>
          <w:fldChar w:fldCharType="begin"/>
        </w:r>
        <w:r>
          <w:rPr>
            <w:webHidden/>
          </w:rPr>
          <w:instrText xml:space="preserve"> PAGEREF _Toc229054537 \h </w:instrText>
        </w:r>
        <w:r>
          <w:rPr>
            <w:webHidden/>
          </w:rPr>
        </w:r>
        <w:r>
          <w:rPr>
            <w:webHidden/>
          </w:rPr>
          <w:fldChar w:fldCharType="separate"/>
        </w:r>
        <w:r w:rsidR="00DA0658">
          <w:rPr>
            <w:webHidden/>
          </w:rPr>
          <w:t>169</w:t>
        </w:r>
        <w:r>
          <w:rPr>
            <w:webHidden/>
          </w:rPr>
          <w:fldChar w:fldCharType="end"/>
        </w:r>
      </w:hyperlink>
    </w:p>
    <w:p w14:paraId="64FDE56F" w14:textId="270EB8AB" w:rsidR="002E60A6" w:rsidRDefault="002E60A6">
      <w:pPr>
        <w:pStyle w:val="TOC2"/>
        <w:rPr>
          <w:rFonts w:eastAsiaTheme="minorEastAsia"/>
          <w:b w:val="0"/>
        </w:rPr>
      </w:pPr>
      <w:hyperlink w:anchor="_Toc229054538" w:history="1">
        <w:r w:rsidRPr="0024097F">
          <w:rPr>
            <w:rStyle w:val="Hyperlink"/>
            <w:rFonts w:ascii="Arial" w:hAnsi="Arial"/>
          </w:rPr>
          <w:t>16.1</w:t>
        </w:r>
        <w:r>
          <w:rPr>
            <w:rFonts w:eastAsiaTheme="minorEastAsia"/>
            <w:b w:val="0"/>
          </w:rPr>
          <w:tab/>
        </w:r>
        <w:r w:rsidRPr="0024097F">
          <w:rPr>
            <w:rStyle w:val="Hyperlink"/>
          </w:rPr>
          <w:t>Acronyms</w:t>
        </w:r>
        <w:r>
          <w:rPr>
            <w:webHidden/>
          </w:rPr>
          <w:tab/>
        </w:r>
        <w:r>
          <w:rPr>
            <w:webHidden/>
          </w:rPr>
          <w:fldChar w:fldCharType="begin"/>
        </w:r>
        <w:r>
          <w:rPr>
            <w:webHidden/>
          </w:rPr>
          <w:instrText xml:space="preserve"> PAGEREF _Toc229054538 \h </w:instrText>
        </w:r>
        <w:r>
          <w:rPr>
            <w:webHidden/>
          </w:rPr>
        </w:r>
        <w:r>
          <w:rPr>
            <w:webHidden/>
          </w:rPr>
          <w:fldChar w:fldCharType="separate"/>
        </w:r>
        <w:r w:rsidR="00DA0658">
          <w:rPr>
            <w:webHidden/>
          </w:rPr>
          <w:t>170</w:t>
        </w:r>
        <w:r>
          <w:rPr>
            <w:webHidden/>
          </w:rPr>
          <w:fldChar w:fldCharType="end"/>
        </w:r>
      </w:hyperlink>
    </w:p>
    <w:p w14:paraId="7B57C463" w14:textId="7943F8B1" w:rsidR="002E60A6" w:rsidRDefault="002E60A6">
      <w:pPr>
        <w:pStyle w:val="TOC2"/>
        <w:rPr>
          <w:rFonts w:eastAsiaTheme="minorEastAsia"/>
          <w:b w:val="0"/>
        </w:rPr>
      </w:pPr>
      <w:hyperlink w:anchor="_Toc229054539" w:history="1">
        <w:r w:rsidRPr="0024097F">
          <w:rPr>
            <w:rStyle w:val="Hyperlink"/>
            <w:rFonts w:ascii="Arial" w:hAnsi="Arial"/>
          </w:rPr>
          <w:t>16.2</w:t>
        </w:r>
        <w:r>
          <w:rPr>
            <w:rFonts w:eastAsiaTheme="minorEastAsia"/>
            <w:b w:val="0"/>
          </w:rPr>
          <w:tab/>
        </w:r>
        <w:r w:rsidRPr="0024097F">
          <w:rPr>
            <w:rStyle w:val="Hyperlink"/>
          </w:rPr>
          <w:t>Definitions</w:t>
        </w:r>
        <w:r>
          <w:rPr>
            <w:webHidden/>
          </w:rPr>
          <w:tab/>
        </w:r>
        <w:r>
          <w:rPr>
            <w:webHidden/>
          </w:rPr>
          <w:fldChar w:fldCharType="begin"/>
        </w:r>
        <w:r>
          <w:rPr>
            <w:webHidden/>
          </w:rPr>
          <w:instrText xml:space="preserve"> PAGEREF _Toc229054539 \h </w:instrText>
        </w:r>
        <w:r>
          <w:rPr>
            <w:webHidden/>
          </w:rPr>
        </w:r>
        <w:r>
          <w:rPr>
            <w:webHidden/>
          </w:rPr>
          <w:fldChar w:fldCharType="separate"/>
        </w:r>
        <w:r w:rsidR="00DA0658">
          <w:rPr>
            <w:webHidden/>
          </w:rPr>
          <w:t>171</w:t>
        </w:r>
        <w:r>
          <w:rPr>
            <w:webHidden/>
          </w:rPr>
          <w:fldChar w:fldCharType="end"/>
        </w:r>
      </w:hyperlink>
    </w:p>
    <w:p w14:paraId="71160DD6" w14:textId="3F37F641" w:rsidR="002E60A6" w:rsidRDefault="002E60A6">
      <w:pPr>
        <w:pStyle w:val="TOC1"/>
        <w:rPr>
          <w:rFonts w:eastAsiaTheme="minorEastAsia" w:cstheme="minorBidi"/>
          <w:b w:val="0"/>
        </w:rPr>
      </w:pPr>
      <w:hyperlink w:anchor="_Toc229054540" w:history="1">
        <w:r w:rsidRPr="0024097F">
          <w:rPr>
            <w:rStyle w:val="Hyperlink"/>
          </w:rPr>
          <w:t xml:space="preserve">Appendix A: </w:t>
        </w:r>
        <w:r w:rsidRPr="0024097F">
          <w:rPr>
            <w:rStyle w:val="Hyperlink"/>
            <w:rFonts w:eastAsia="Calibri"/>
          </w:rPr>
          <w:t>Mathematical Formulation for WEIM Transfer</w:t>
        </w:r>
        <w:r>
          <w:rPr>
            <w:webHidden/>
          </w:rPr>
          <w:tab/>
        </w:r>
        <w:r>
          <w:rPr>
            <w:webHidden/>
          </w:rPr>
          <w:fldChar w:fldCharType="begin"/>
        </w:r>
        <w:r>
          <w:rPr>
            <w:webHidden/>
          </w:rPr>
          <w:instrText xml:space="preserve"> PAGEREF _Toc229054540 \h </w:instrText>
        </w:r>
        <w:r>
          <w:rPr>
            <w:webHidden/>
          </w:rPr>
        </w:r>
        <w:r>
          <w:rPr>
            <w:webHidden/>
          </w:rPr>
          <w:fldChar w:fldCharType="separate"/>
        </w:r>
        <w:r w:rsidR="00DA0658">
          <w:rPr>
            <w:webHidden/>
          </w:rPr>
          <w:t>176</w:t>
        </w:r>
        <w:r>
          <w:rPr>
            <w:webHidden/>
          </w:rPr>
          <w:fldChar w:fldCharType="end"/>
        </w:r>
      </w:hyperlink>
    </w:p>
    <w:p w14:paraId="761DBEF4" w14:textId="48E9A4B8" w:rsidR="002E60A6" w:rsidRDefault="002E60A6">
      <w:pPr>
        <w:pStyle w:val="TOC1"/>
        <w:rPr>
          <w:rFonts w:eastAsiaTheme="minorEastAsia" w:cstheme="minorBidi"/>
          <w:b w:val="0"/>
        </w:rPr>
      </w:pPr>
      <w:hyperlink w:anchor="_Toc229054541" w:history="1">
        <w:r w:rsidRPr="0024097F">
          <w:rPr>
            <w:rStyle w:val="Hyperlink"/>
          </w:rPr>
          <w:t>Appendix B: Mathematical Formulation for using Available Capacity resolving infeasible power balance conditions in WEIM BAAs</w:t>
        </w:r>
        <w:r>
          <w:rPr>
            <w:webHidden/>
          </w:rPr>
          <w:tab/>
        </w:r>
        <w:r>
          <w:rPr>
            <w:webHidden/>
          </w:rPr>
          <w:fldChar w:fldCharType="begin"/>
        </w:r>
        <w:r>
          <w:rPr>
            <w:webHidden/>
          </w:rPr>
          <w:instrText xml:space="preserve"> PAGEREF _Toc229054541 \h </w:instrText>
        </w:r>
        <w:r>
          <w:rPr>
            <w:webHidden/>
          </w:rPr>
        </w:r>
        <w:r>
          <w:rPr>
            <w:webHidden/>
          </w:rPr>
          <w:fldChar w:fldCharType="separate"/>
        </w:r>
        <w:r w:rsidR="00DA0658">
          <w:rPr>
            <w:webHidden/>
          </w:rPr>
          <w:t>198</w:t>
        </w:r>
        <w:r>
          <w:rPr>
            <w:webHidden/>
          </w:rPr>
          <w:fldChar w:fldCharType="end"/>
        </w:r>
      </w:hyperlink>
    </w:p>
    <w:p w14:paraId="6E338C5A" w14:textId="138C1DEE" w:rsidR="002E60A6" w:rsidRDefault="002E60A6">
      <w:pPr>
        <w:pStyle w:val="TOC1"/>
        <w:rPr>
          <w:rFonts w:eastAsiaTheme="minorEastAsia" w:cstheme="minorBidi"/>
          <w:b w:val="0"/>
        </w:rPr>
      </w:pPr>
      <w:hyperlink w:anchor="_Toc229054542" w:history="1">
        <w:r w:rsidRPr="0024097F">
          <w:rPr>
            <w:rStyle w:val="Hyperlink"/>
          </w:rPr>
          <w:t>Appendix C:  Demand Response Attestation</w:t>
        </w:r>
        <w:r>
          <w:rPr>
            <w:webHidden/>
          </w:rPr>
          <w:tab/>
        </w:r>
        <w:r>
          <w:rPr>
            <w:webHidden/>
          </w:rPr>
          <w:fldChar w:fldCharType="begin"/>
        </w:r>
        <w:r>
          <w:rPr>
            <w:webHidden/>
          </w:rPr>
          <w:instrText xml:space="preserve"> PAGEREF _Toc229054542 \h </w:instrText>
        </w:r>
        <w:r>
          <w:rPr>
            <w:webHidden/>
          </w:rPr>
        </w:r>
        <w:r>
          <w:rPr>
            <w:webHidden/>
          </w:rPr>
          <w:fldChar w:fldCharType="separate"/>
        </w:r>
        <w:r w:rsidR="00DA0658">
          <w:rPr>
            <w:webHidden/>
          </w:rPr>
          <w:t>202</w:t>
        </w:r>
        <w:r>
          <w:rPr>
            <w:webHidden/>
          </w:rPr>
          <w:fldChar w:fldCharType="end"/>
        </w:r>
      </w:hyperlink>
    </w:p>
    <w:p w14:paraId="0D2052CC" w14:textId="4A9C4052" w:rsidR="00D00182" w:rsidRPr="00C03513" w:rsidRDefault="00BF5ECA" w:rsidP="006C2CAC">
      <w:pPr>
        <w:spacing w:after="200" w:line="276" w:lineRule="auto"/>
        <w:rPr>
          <w:rFonts w:cs="Arial"/>
        </w:rPr>
        <w:sectPr w:rsidR="00D00182" w:rsidRPr="00C03513" w:rsidSect="00A47C1E">
          <w:headerReference w:type="default" r:id="rId12"/>
          <w:footerReference w:type="default" r:id="rId13"/>
          <w:headerReference w:type="first" r:id="rId14"/>
          <w:footerReference w:type="first" r:id="rId15"/>
          <w:pgSz w:w="12240" w:h="15840"/>
          <w:pgMar w:top="432" w:right="1350" w:bottom="432" w:left="1440" w:header="720" w:footer="720" w:gutter="0"/>
          <w:pgNumType w:start="1"/>
          <w:cols w:space="720"/>
          <w:titlePg/>
          <w:docGrid w:linePitch="299"/>
        </w:sectPr>
      </w:pPr>
      <w:r w:rsidRPr="00C03513">
        <w:rPr>
          <w:rFonts w:cs="Arial"/>
        </w:rPr>
        <w:fldChar w:fldCharType="end"/>
      </w:r>
    </w:p>
    <w:p w14:paraId="2C151368" w14:textId="77777777" w:rsidR="00D00182" w:rsidRPr="00B00E71" w:rsidRDefault="00D00182" w:rsidP="008E1C96">
      <w:pPr>
        <w:pStyle w:val="Heading1"/>
      </w:pPr>
      <w:bookmarkStart w:id="0" w:name="_Toc389662559"/>
      <w:bookmarkStart w:id="1" w:name="_Toc390946244"/>
      <w:bookmarkStart w:id="2" w:name="_Toc391969809"/>
      <w:bookmarkStart w:id="3" w:name="_Toc229054449"/>
      <w:r w:rsidRPr="008E1C96">
        <w:lastRenderedPageBreak/>
        <w:t>I</w:t>
      </w:r>
      <w:r w:rsidR="008E1C96" w:rsidRPr="008E1C96">
        <w:t>NTRODUCTION</w:t>
      </w:r>
      <w:bookmarkEnd w:id="0"/>
      <w:bookmarkEnd w:id="1"/>
      <w:bookmarkEnd w:id="2"/>
      <w:bookmarkEnd w:id="3"/>
    </w:p>
    <w:p w14:paraId="3F965892" w14:textId="2E3A209A" w:rsidR="00D00182" w:rsidRPr="00C03513" w:rsidRDefault="00D00182" w:rsidP="000F52BB">
      <w:pPr>
        <w:pStyle w:val="ParaText"/>
        <w:rPr>
          <w:rFonts w:cs="Arial"/>
        </w:rPr>
      </w:pPr>
      <w:r w:rsidRPr="00C03513">
        <w:rPr>
          <w:rFonts w:cs="Arial"/>
        </w:rPr>
        <w:t xml:space="preserve">Welcome to the CAISO </w:t>
      </w:r>
      <w:r w:rsidRPr="00C03513">
        <w:rPr>
          <w:rFonts w:cs="Arial"/>
          <w:b/>
          <w:bCs/>
          <w:i/>
          <w:iCs/>
        </w:rPr>
        <w:t>BPM fo</w:t>
      </w:r>
      <w:r w:rsidR="00DE6F5F" w:rsidRPr="00C03513">
        <w:rPr>
          <w:rFonts w:cs="Arial"/>
          <w:b/>
          <w:bCs/>
          <w:i/>
          <w:iCs/>
        </w:rPr>
        <w:t>r</w:t>
      </w:r>
      <w:r w:rsidR="0029044A">
        <w:rPr>
          <w:rFonts w:cs="Arial"/>
          <w:b/>
          <w:bCs/>
          <w:i/>
          <w:iCs/>
        </w:rPr>
        <w:t xml:space="preserve"> the </w:t>
      </w:r>
      <w:r w:rsidR="005F24C1">
        <w:rPr>
          <w:rFonts w:cs="Arial"/>
          <w:b/>
          <w:bCs/>
          <w:i/>
          <w:iCs/>
        </w:rPr>
        <w:t>Western Energy Imbalance Market</w:t>
      </w:r>
      <w:r w:rsidR="00DE6F5F" w:rsidRPr="00C03513">
        <w:rPr>
          <w:rFonts w:cs="Arial"/>
          <w:b/>
          <w:bCs/>
          <w:i/>
          <w:iCs/>
        </w:rPr>
        <w:t>.</w:t>
      </w:r>
      <w:r w:rsidRPr="00C03513">
        <w:rPr>
          <w:rFonts w:cs="Arial"/>
        </w:rPr>
        <w:t xml:space="preserve"> </w:t>
      </w:r>
      <w:r w:rsidR="00DE6F5F" w:rsidRPr="00C03513">
        <w:rPr>
          <w:rFonts w:cs="Arial"/>
        </w:rPr>
        <w:t xml:space="preserve"> </w:t>
      </w:r>
      <w:r w:rsidRPr="00C03513">
        <w:rPr>
          <w:rFonts w:cs="Arial"/>
        </w:rPr>
        <w:t>In this Introduction you will find the following information:</w:t>
      </w:r>
    </w:p>
    <w:p w14:paraId="05D0A013" w14:textId="77777777" w:rsidR="00D00182" w:rsidRPr="00C03513" w:rsidRDefault="00D00182" w:rsidP="00B851D4">
      <w:pPr>
        <w:pStyle w:val="Bullet1HRt"/>
        <w:numPr>
          <w:ilvl w:val="0"/>
          <w:numId w:val="36"/>
        </w:numPr>
        <w:rPr>
          <w:rFonts w:cs="Arial"/>
        </w:rPr>
      </w:pPr>
      <w:r w:rsidRPr="00C03513">
        <w:rPr>
          <w:rFonts w:cs="Arial"/>
        </w:rPr>
        <w:t xml:space="preserve">The purpose of </w:t>
      </w:r>
      <w:r w:rsidR="008F0F75" w:rsidRPr="00C03513">
        <w:rPr>
          <w:rFonts w:cs="Arial"/>
        </w:rPr>
        <w:t>California Independent System Operator Corporation (</w:t>
      </w:r>
      <w:r w:rsidRPr="00C03513">
        <w:rPr>
          <w:rFonts w:cs="Arial"/>
        </w:rPr>
        <w:t>CAISO</w:t>
      </w:r>
      <w:r w:rsidR="008F0F75" w:rsidRPr="00C03513">
        <w:rPr>
          <w:rFonts w:cs="Arial"/>
        </w:rPr>
        <w:t>) Business Practice Manuals</w:t>
      </w:r>
      <w:r w:rsidRPr="00C03513">
        <w:rPr>
          <w:rFonts w:cs="Arial"/>
        </w:rPr>
        <w:t xml:space="preserve"> </w:t>
      </w:r>
      <w:r w:rsidR="008F0F75" w:rsidRPr="00C03513">
        <w:rPr>
          <w:rFonts w:cs="Arial"/>
        </w:rPr>
        <w:t>(</w:t>
      </w:r>
      <w:r w:rsidRPr="00C03513">
        <w:rPr>
          <w:rFonts w:cs="Arial"/>
        </w:rPr>
        <w:t>BPMs</w:t>
      </w:r>
      <w:r w:rsidR="008F0F75" w:rsidRPr="00C03513">
        <w:rPr>
          <w:rFonts w:cs="Arial"/>
        </w:rPr>
        <w:t>)</w:t>
      </w:r>
      <w:r w:rsidR="00B132CB" w:rsidRPr="00C03513">
        <w:rPr>
          <w:rFonts w:cs="Arial"/>
        </w:rPr>
        <w:t>;</w:t>
      </w:r>
    </w:p>
    <w:p w14:paraId="2F99B3DF" w14:textId="77777777" w:rsidR="00D00182" w:rsidRPr="00C03513" w:rsidRDefault="00D00182" w:rsidP="00B851D4">
      <w:pPr>
        <w:pStyle w:val="Bullet1HRt"/>
        <w:numPr>
          <w:ilvl w:val="0"/>
          <w:numId w:val="36"/>
        </w:numPr>
        <w:rPr>
          <w:rFonts w:cs="Arial"/>
        </w:rPr>
      </w:pPr>
      <w:r w:rsidRPr="00C03513">
        <w:rPr>
          <w:rFonts w:cs="Arial"/>
        </w:rPr>
        <w:t>What you can expect from this CAISO BPM</w:t>
      </w:r>
      <w:r w:rsidR="00B132CB" w:rsidRPr="00C03513">
        <w:rPr>
          <w:rFonts w:cs="Arial"/>
        </w:rPr>
        <w:t xml:space="preserve">; </w:t>
      </w:r>
    </w:p>
    <w:p w14:paraId="369649FA" w14:textId="77777777" w:rsidR="00527618" w:rsidRPr="00BF03A5" w:rsidRDefault="00D00182" w:rsidP="00B851D4">
      <w:pPr>
        <w:pStyle w:val="Bullet1HRt"/>
        <w:numPr>
          <w:ilvl w:val="0"/>
          <w:numId w:val="36"/>
        </w:numPr>
      </w:pPr>
      <w:r w:rsidRPr="00C03513">
        <w:rPr>
          <w:rFonts w:cs="Arial"/>
        </w:rPr>
        <w:t>Other CAISO BPMs or documents that provide related or additional information</w:t>
      </w:r>
      <w:r w:rsidR="00527618">
        <w:rPr>
          <w:rFonts w:cs="Arial"/>
        </w:rPr>
        <w:t>; and</w:t>
      </w:r>
    </w:p>
    <w:p w14:paraId="3EA0DF1A" w14:textId="77777777" w:rsidR="00D00182" w:rsidRDefault="00527618" w:rsidP="00B851D4">
      <w:pPr>
        <w:pStyle w:val="Bullet1HRt"/>
        <w:numPr>
          <w:ilvl w:val="0"/>
          <w:numId w:val="36"/>
        </w:numPr>
        <w:rPr>
          <w:rFonts w:cs="Arial"/>
        </w:rPr>
      </w:pPr>
      <w:r>
        <w:rPr>
          <w:rFonts w:cs="Arial"/>
        </w:rPr>
        <w:t>The draft status of this BPM and expected next steps</w:t>
      </w:r>
      <w:r w:rsidR="00B132CB" w:rsidRPr="00C03513">
        <w:rPr>
          <w:rFonts w:cs="Arial"/>
        </w:rPr>
        <w:t>.</w:t>
      </w:r>
    </w:p>
    <w:p w14:paraId="3C9BB5C6" w14:textId="77777777" w:rsidR="00D00182" w:rsidRPr="008E1C96" w:rsidRDefault="00D00182" w:rsidP="008E1C96">
      <w:pPr>
        <w:pStyle w:val="Heading2"/>
      </w:pPr>
      <w:bookmarkStart w:id="4" w:name="_Toc389662560"/>
      <w:bookmarkStart w:id="5" w:name="_Toc390946245"/>
      <w:bookmarkStart w:id="6" w:name="_Toc391969810"/>
      <w:bookmarkStart w:id="7" w:name="_Toc229054450"/>
      <w:r w:rsidRPr="008E1C96">
        <w:t>Purpose of CAISO Business Practice Manuals</w:t>
      </w:r>
      <w:bookmarkEnd w:id="4"/>
      <w:bookmarkEnd w:id="5"/>
      <w:bookmarkEnd w:id="6"/>
      <w:bookmarkEnd w:id="7"/>
    </w:p>
    <w:p w14:paraId="3C9931CA" w14:textId="77777777" w:rsidR="00D00182" w:rsidRPr="00B00E71" w:rsidRDefault="00D00182" w:rsidP="00B06DE4">
      <w:pPr>
        <w:pStyle w:val="ParaText"/>
      </w:pPr>
      <w:r w:rsidRPr="00C03513">
        <w:rPr>
          <w:rFonts w:cs="Arial"/>
        </w:rPr>
        <w:t xml:space="preserve">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 </w:t>
      </w:r>
      <w:r w:rsidR="003D2EC1">
        <w:t>Each Business Practice Manual is posted in the BPM Library at:</w:t>
      </w:r>
      <w:r w:rsidR="001765FC" w:rsidRPr="001765FC">
        <w:t xml:space="preserve"> </w:t>
      </w:r>
      <w:hyperlink r:id="rId16" w:history="1">
        <w:r w:rsidR="001765FC" w:rsidRPr="007A33C4">
          <w:rPr>
            <w:color w:val="0000FF"/>
            <w:u w:val="single"/>
          </w:rPr>
          <w:t>http://bpmcm.caiso.com/Pages/BPMLibrary.aspx</w:t>
        </w:r>
      </w:hyperlink>
      <w:r w:rsidR="001765FC" w:rsidRPr="007A33C4">
        <w:rPr>
          <w:color w:val="0000FF"/>
          <w:u w:val="single"/>
        </w:rPr>
        <w:t xml:space="preserve">.  </w:t>
      </w:r>
      <w:r w:rsidR="003D2EC1">
        <w:t xml:space="preserve"> </w:t>
      </w:r>
      <w:r w:rsidR="00D71FFC" w:rsidRPr="00E16E49">
        <w:rPr>
          <w:rStyle w:val="Hyperlink"/>
          <w:color w:val="auto"/>
          <w:u w:val="none"/>
        </w:rPr>
        <w:t xml:space="preserve">Updates to all BPMs are managed in accordance with the change management procedures included in the </w:t>
      </w:r>
      <w:hyperlink r:id="rId17" w:history="1">
        <w:r w:rsidR="001765FC" w:rsidRPr="001765FC">
          <w:rPr>
            <w:rStyle w:val="Hyperlink"/>
            <w:b/>
          </w:rPr>
          <w:t>BPM for Change Management</w:t>
        </w:r>
      </w:hyperlink>
      <w:r w:rsidR="001765FC" w:rsidRPr="001765FC">
        <w:t>.</w:t>
      </w:r>
    </w:p>
    <w:p w14:paraId="5C17E973" w14:textId="77777777" w:rsidR="00D00182" w:rsidRPr="00C03513" w:rsidRDefault="00D00182" w:rsidP="00606233">
      <w:pPr>
        <w:pStyle w:val="Heading2"/>
        <w:keepLines/>
        <w:numPr>
          <w:ilvl w:val="1"/>
          <w:numId w:val="7"/>
        </w:numPr>
        <w:rPr>
          <w:rFonts w:cs="Arial"/>
        </w:rPr>
      </w:pPr>
      <w:bookmarkStart w:id="8" w:name="_Toc389662561"/>
      <w:bookmarkStart w:id="9" w:name="_Toc390946246"/>
      <w:bookmarkStart w:id="10" w:name="_Toc391969811"/>
      <w:bookmarkStart w:id="11" w:name="_Toc229054451"/>
      <w:r w:rsidRPr="00C03513">
        <w:rPr>
          <w:rFonts w:cs="Arial"/>
        </w:rPr>
        <w:t xml:space="preserve">Purpose of </w:t>
      </w:r>
      <w:r w:rsidR="00A51DCD" w:rsidRPr="00C03513">
        <w:rPr>
          <w:rFonts w:cs="Arial"/>
        </w:rPr>
        <w:t>Th</w:t>
      </w:r>
      <w:r w:rsidRPr="00C03513">
        <w:rPr>
          <w:rFonts w:cs="Arial"/>
        </w:rPr>
        <w:t>is Business Practice Manual</w:t>
      </w:r>
      <w:bookmarkEnd w:id="8"/>
      <w:bookmarkEnd w:id="9"/>
      <w:bookmarkEnd w:id="10"/>
      <w:bookmarkEnd w:id="11"/>
    </w:p>
    <w:p w14:paraId="1C63BD2B" w14:textId="4202D5BF" w:rsidR="00FD34EB" w:rsidRDefault="00486B53" w:rsidP="000F52BB">
      <w:pPr>
        <w:pStyle w:val="ParaText"/>
        <w:rPr>
          <w:rFonts w:cs="Arial"/>
        </w:rPr>
      </w:pPr>
      <w:r>
        <w:rPr>
          <w:rFonts w:cs="Arial"/>
        </w:rPr>
        <w:t xml:space="preserve">The </w:t>
      </w:r>
      <w:r w:rsidR="005F24C1">
        <w:rPr>
          <w:rFonts w:cs="Arial"/>
        </w:rPr>
        <w:t>Western Energy Imbalance Market</w:t>
      </w:r>
      <w:r w:rsidR="00AD59C2">
        <w:rPr>
          <w:rFonts w:cs="Arial"/>
        </w:rPr>
        <w:t xml:space="preserve"> is an extension of </w:t>
      </w:r>
      <w:r w:rsidR="006A582E">
        <w:rPr>
          <w:rFonts w:cs="Arial"/>
        </w:rPr>
        <w:t>CA</w:t>
      </w:r>
      <w:r w:rsidR="008C11A0">
        <w:rPr>
          <w:rFonts w:cs="Arial"/>
        </w:rPr>
        <w:t xml:space="preserve">ISO’s </w:t>
      </w:r>
      <w:r w:rsidR="00FC30E3">
        <w:rPr>
          <w:rFonts w:cs="Arial"/>
        </w:rPr>
        <w:t>Real-Time</w:t>
      </w:r>
      <w:r w:rsidR="008C11A0">
        <w:rPr>
          <w:rFonts w:cs="Arial"/>
        </w:rPr>
        <w:t xml:space="preserve"> M</w:t>
      </w:r>
      <w:r>
        <w:rPr>
          <w:rFonts w:cs="Arial"/>
        </w:rPr>
        <w:t>arket.  Many of the busine</w:t>
      </w:r>
      <w:r w:rsidR="008C11A0">
        <w:rPr>
          <w:rFonts w:cs="Arial"/>
        </w:rPr>
        <w:t xml:space="preserve">ss practices applicable to the </w:t>
      </w:r>
      <w:r w:rsidR="00FC30E3">
        <w:rPr>
          <w:rFonts w:cs="Arial"/>
        </w:rPr>
        <w:t>Real-Time</w:t>
      </w:r>
      <w:r w:rsidR="008C11A0">
        <w:rPr>
          <w:rFonts w:cs="Arial"/>
        </w:rPr>
        <w:t xml:space="preserve"> M</w:t>
      </w:r>
      <w:r>
        <w:rPr>
          <w:rFonts w:cs="Arial"/>
        </w:rPr>
        <w:t xml:space="preserve">arket also </w:t>
      </w:r>
      <w:r w:rsidR="00311EBF">
        <w:rPr>
          <w:rFonts w:cs="Arial"/>
        </w:rPr>
        <w:t xml:space="preserve">apply to the </w:t>
      </w:r>
      <w:r w:rsidR="005F24C1">
        <w:rPr>
          <w:rFonts w:cs="Arial"/>
        </w:rPr>
        <w:t>Western Energy Imbalance Market</w:t>
      </w:r>
      <w:r w:rsidR="00311EBF">
        <w:rPr>
          <w:rFonts w:cs="Arial"/>
        </w:rPr>
        <w:t xml:space="preserve"> (EIM)</w:t>
      </w:r>
      <w:r>
        <w:rPr>
          <w:rFonts w:cs="Arial"/>
        </w:rPr>
        <w:t xml:space="preserve">.  </w:t>
      </w:r>
      <w:r w:rsidR="00FD34EB">
        <w:rPr>
          <w:rFonts w:cs="Arial"/>
        </w:rPr>
        <w:t>This business pra</w:t>
      </w:r>
      <w:r w:rsidR="00311EBF">
        <w:rPr>
          <w:rFonts w:cs="Arial"/>
        </w:rPr>
        <w:t>ctice manual is a guideline for</w:t>
      </w:r>
      <w:r w:rsidR="005F24C1">
        <w:rPr>
          <w:rFonts w:cs="Arial"/>
        </w:rPr>
        <w:t xml:space="preserve"> WEIM </w:t>
      </w:r>
      <w:r w:rsidR="00FD34EB">
        <w:rPr>
          <w:rFonts w:cs="Arial"/>
        </w:rPr>
        <w:t>participants and will outline the processes in the EIM</w:t>
      </w:r>
      <w:r>
        <w:rPr>
          <w:rFonts w:cs="Arial"/>
        </w:rPr>
        <w:t>, including references to existing Business Practice Manuals</w:t>
      </w:r>
      <w:r w:rsidR="00FD34EB">
        <w:rPr>
          <w:rFonts w:cs="Arial"/>
        </w:rPr>
        <w:t xml:space="preserve">.  Revision requests for the BPMs may be submitted by stakeholders or an internal </w:t>
      </w:r>
      <w:r w:rsidR="00D415ED">
        <w:rPr>
          <w:rFonts w:cs="Arial"/>
        </w:rPr>
        <w:t>CA</w:t>
      </w:r>
      <w:r w:rsidR="00FD34EB">
        <w:rPr>
          <w:rFonts w:cs="Arial"/>
        </w:rPr>
        <w:t xml:space="preserve">ISO department.  </w:t>
      </w:r>
    </w:p>
    <w:p w14:paraId="395CCCAD" w14:textId="77777777" w:rsidR="00D00182" w:rsidRPr="00C03513" w:rsidRDefault="00D00182" w:rsidP="000F52BB">
      <w:pPr>
        <w:pStyle w:val="ParaText"/>
        <w:rPr>
          <w:rFonts w:cs="Arial"/>
        </w:rPr>
      </w:pPr>
      <w:r w:rsidRPr="00C03513">
        <w:rPr>
          <w:rFonts w:cs="Arial"/>
        </w:rPr>
        <w:t>If a Market Participant detects an inconsistency between BPMs, it should report the inconsistency to CAISO before relying on either provision.</w:t>
      </w:r>
    </w:p>
    <w:p w14:paraId="3824C936" w14:textId="77777777" w:rsidR="00D00182" w:rsidRPr="00C03513" w:rsidRDefault="00D00182" w:rsidP="00B06DE4">
      <w:pPr>
        <w:pStyle w:val="ParaText"/>
        <w:rPr>
          <w:rFonts w:cs="Arial"/>
          <w:bCs/>
        </w:rPr>
      </w:pPr>
      <w:r w:rsidRPr="00C03513">
        <w:rPr>
          <w:rFonts w:cs="Arial"/>
        </w:rPr>
        <w:lastRenderedPageBreak/>
        <w:t xml:space="preserve">The provisions of this BPM are intended to be consistent with the CAISO Tariff.  If </w:t>
      </w:r>
      <w:r w:rsidRPr="00C03513">
        <w:rPr>
          <w:rFonts w:cs="Arial"/>
          <w:bCs/>
        </w:rPr>
        <w:t xml:space="preserve">the provisions of this BPM </w:t>
      </w:r>
      <w:r w:rsidRPr="00C03513">
        <w:rPr>
          <w:rFonts w:cs="Arial"/>
        </w:rPr>
        <w:t xml:space="preserve">nevertheless conflict with </w:t>
      </w:r>
      <w:r w:rsidR="00AD59C2">
        <w:rPr>
          <w:rFonts w:cs="Arial"/>
          <w:bCs/>
        </w:rPr>
        <w:t xml:space="preserve">the CAISO Tariff, </w:t>
      </w:r>
      <w:r w:rsidRPr="00C03513">
        <w:rPr>
          <w:rFonts w:cs="Arial"/>
        </w:rPr>
        <w:t xml:space="preserve">CAISO is bound to operate in accordance with </w:t>
      </w:r>
      <w:r w:rsidRPr="00C03513">
        <w:rPr>
          <w:rFonts w:cs="Arial"/>
          <w:bCs/>
        </w:rPr>
        <w:t>the CAISO Tariff.  Any provision of the CAISO Tariff that may have been summarized or repeated in this BPM is only to aid understanding.  Even though e</w:t>
      </w:r>
      <w:r w:rsidR="00AD59C2">
        <w:rPr>
          <w:rFonts w:cs="Arial"/>
          <w:bCs/>
        </w:rPr>
        <w:t xml:space="preserve">very effort will be made by </w:t>
      </w:r>
      <w:r w:rsidRPr="00C03513">
        <w:rPr>
          <w:rFonts w:cs="Arial"/>
          <w:bCs/>
        </w:rPr>
        <w:t>CAISO to update the information contained in</w:t>
      </w:r>
      <w:r w:rsidR="001D146C">
        <w:rPr>
          <w:rFonts w:cs="Arial"/>
          <w:bCs/>
        </w:rPr>
        <w:t xml:space="preserve"> this BPM and to notify Market P</w:t>
      </w:r>
      <w:r w:rsidRPr="00C03513">
        <w:rPr>
          <w:rFonts w:cs="Arial"/>
          <w:bCs/>
        </w:rPr>
        <w:t>articipants of changes, it is the responsibility of each Market Participant to ensure that he or she is using the most recent version of this BPM and to comply with all applicable provisions of the CAISO Tariff.</w:t>
      </w:r>
    </w:p>
    <w:p w14:paraId="7647F794" w14:textId="77777777" w:rsidR="00D00182" w:rsidRPr="00C03513" w:rsidRDefault="00D00182" w:rsidP="00E16E49">
      <w:pPr>
        <w:pStyle w:val="ParaText"/>
        <w:rPr>
          <w:rFonts w:cs="Arial"/>
          <w:bCs/>
        </w:rPr>
      </w:pPr>
      <w:r w:rsidRPr="00C03513">
        <w:rPr>
          <w:rFonts w:cs="Arial"/>
          <w:bCs/>
        </w:rPr>
        <w:t xml:space="preserve">A reference in this BPM to the CAISO Tariff, a given agreement, any other BPM or instrument, </w:t>
      </w:r>
      <w:r w:rsidRPr="00C03513">
        <w:rPr>
          <w:rFonts w:cs="Arial"/>
        </w:rPr>
        <w:t xml:space="preserve">is intended to </w:t>
      </w:r>
      <w:r w:rsidRPr="00C03513">
        <w:rPr>
          <w:rFonts w:cs="Arial"/>
          <w:bCs/>
        </w:rPr>
        <w:t>refer to the CAISO Tariff, that agreement, BPM</w:t>
      </w:r>
      <w:r w:rsidR="001D146C">
        <w:rPr>
          <w:rFonts w:cs="Arial"/>
          <w:bCs/>
        </w:rPr>
        <w:t>,</w:t>
      </w:r>
      <w:r w:rsidRPr="00C03513">
        <w:rPr>
          <w:rFonts w:cs="Arial"/>
          <w:bCs/>
        </w:rPr>
        <w:t xml:space="preserve"> or instrument as modified, amended, supplemented</w:t>
      </w:r>
      <w:r w:rsidR="001D146C">
        <w:rPr>
          <w:rFonts w:cs="Arial"/>
          <w:bCs/>
        </w:rPr>
        <w:t>,</w:t>
      </w:r>
      <w:r w:rsidRPr="00C03513">
        <w:rPr>
          <w:rFonts w:cs="Arial"/>
          <w:bCs/>
        </w:rPr>
        <w:t xml:space="preserve"> or restated.</w:t>
      </w:r>
    </w:p>
    <w:p w14:paraId="41F1D63C" w14:textId="77777777" w:rsidR="00D00182" w:rsidRPr="00C03513" w:rsidRDefault="00D00182" w:rsidP="00606233">
      <w:pPr>
        <w:pStyle w:val="Heading2"/>
        <w:numPr>
          <w:ilvl w:val="1"/>
          <w:numId w:val="7"/>
        </w:numPr>
        <w:rPr>
          <w:rFonts w:cs="Arial"/>
        </w:rPr>
      </w:pPr>
      <w:bookmarkStart w:id="12" w:name="_Toc389662562"/>
      <w:bookmarkStart w:id="13" w:name="_Toc390946247"/>
      <w:bookmarkStart w:id="14" w:name="_Toc391969812"/>
      <w:bookmarkStart w:id="15" w:name="_Toc229054452"/>
      <w:r w:rsidRPr="00C03513">
        <w:rPr>
          <w:rFonts w:cs="Arial"/>
        </w:rPr>
        <w:t>References</w:t>
      </w:r>
      <w:bookmarkEnd w:id="12"/>
      <w:bookmarkEnd w:id="13"/>
      <w:bookmarkEnd w:id="14"/>
      <w:bookmarkEnd w:id="15"/>
    </w:p>
    <w:p w14:paraId="75B4A42B" w14:textId="77777777" w:rsidR="00D00182" w:rsidRPr="00C03513" w:rsidRDefault="00DA22FB" w:rsidP="00D00182">
      <w:pPr>
        <w:pStyle w:val="ParaText"/>
        <w:rPr>
          <w:rFonts w:cs="Arial"/>
        </w:rPr>
      </w:pPr>
      <w:r>
        <w:rPr>
          <w:rFonts w:cs="Arial"/>
        </w:rPr>
        <w:t>R</w:t>
      </w:r>
      <w:r w:rsidR="00D00182" w:rsidRPr="00C03513">
        <w:rPr>
          <w:rFonts w:cs="Arial"/>
        </w:rPr>
        <w:t>eference information related to this BPM includes:</w:t>
      </w:r>
    </w:p>
    <w:p w14:paraId="2E0B06CD" w14:textId="77777777" w:rsidR="00D00182" w:rsidRDefault="00D00182" w:rsidP="00D00182">
      <w:pPr>
        <w:pStyle w:val="Bullet1"/>
        <w:rPr>
          <w:rFonts w:cs="Arial"/>
        </w:rPr>
      </w:pPr>
      <w:r w:rsidRPr="00C03513">
        <w:rPr>
          <w:rFonts w:cs="Arial"/>
        </w:rPr>
        <w:t>Other CAISO BPMs</w:t>
      </w:r>
    </w:p>
    <w:p w14:paraId="78109FA4" w14:textId="77777777" w:rsidR="00305625" w:rsidRDefault="00305625" w:rsidP="00D00182">
      <w:pPr>
        <w:pStyle w:val="Bullet1"/>
        <w:rPr>
          <w:rFonts w:cs="Arial"/>
        </w:rPr>
      </w:pPr>
      <w:r w:rsidRPr="00C03513">
        <w:rPr>
          <w:rFonts w:cs="Arial"/>
        </w:rPr>
        <w:t>CAISO Tariff</w:t>
      </w:r>
    </w:p>
    <w:p w14:paraId="30C9471F" w14:textId="77777777" w:rsidR="00305625" w:rsidRDefault="00305625" w:rsidP="00D00182">
      <w:pPr>
        <w:pStyle w:val="Bullet1"/>
        <w:rPr>
          <w:rFonts w:cs="Arial"/>
        </w:rPr>
      </w:pPr>
      <w:r w:rsidRPr="00562195">
        <w:rPr>
          <w:rFonts w:cs="Arial"/>
        </w:rPr>
        <w:t>EIM Final Proposal, September 23, 2013</w:t>
      </w:r>
    </w:p>
    <w:p w14:paraId="34BA4382" w14:textId="77777777" w:rsidR="00305625" w:rsidRPr="00C03513" w:rsidRDefault="00305625" w:rsidP="00E62C48">
      <w:pPr>
        <w:pStyle w:val="Bullet1"/>
        <w:numPr>
          <w:ilvl w:val="0"/>
          <w:numId w:val="0"/>
        </w:numPr>
        <w:ind w:left="720"/>
        <w:rPr>
          <w:rFonts w:cs="Arial"/>
        </w:rPr>
      </w:pPr>
    </w:p>
    <w:p w14:paraId="68BCA47F" w14:textId="77777777" w:rsidR="003A0BB4" w:rsidRPr="00C03513" w:rsidRDefault="003A0BB4">
      <w:pPr>
        <w:pStyle w:val="Bullet1HRt"/>
        <w:numPr>
          <w:ilvl w:val="0"/>
          <w:numId w:val="0"/>
        </w:numPr>
      </w:pPr>
      <w:r w:rsidRPr="00C03513">
        <w:t>CAISO posts current versions of these documents</w:t>
      </w:r>
      <w:r w:rsidR="000F52BB">
        <w:t xml:space="preserve"> on its website</w:t>
      </w:r>
      <w:r w:rsidRPr="00C03513">
        <w:t>.</w:t>
      </w:r>
    </w:p>
    <w:p w14:paraId="27FF86E9" w14:textId="794E80F4" w:rsidR="003A0BB4" w:rsidRPr="00C03513" w:rsidRDefault="003A0BB4" w:rsidP="003A0BB4">
      <w:pPr>
        <w:pStyle w:val="Bullet1HRt"/>
        <w:numPr>
          <w:ilvl w:val="0"/>
          <w:numId w:val="0"/>
        </w:numPr>
      </w:pPr>
      <w:r w:rsidRPr="00C03513">
        <w:t>Whenever this BPM refers to the</w:t>
      </w:r>
      <w:r w:rsidR="00552869" w:rsidRPr="00C03513">
        <w:t xml:space="preserve"> Tariff</w:t>
      </w:r>
      <w:r w:rsidRPr="00C03513">
        <w:t>, a given agreement (such as</w:t>
      </w:r>
      <w:r w:rsidR="005F24C1">
        <w:t xml:space="preserve"> WEIM </w:t>
      </w:r>
      <w:r w:rsidR="00963966">
        <w:t>Entity Agreement</w:t>
      </w:r>
      <w:r w:rsidR="00552869" w:rsidRPr="00C03513">
        <w:t>),</w:t>
      </w:r>
      <w:r w:rsidRPr="00C03513">
        <w:t xml:space="preserve"> or any other BPM or instrument, the intent is to refer to the</w:t>
      </w:r>
      <w:r w:rsidR="00552869" w:rsidRPr="00C03513">
        <w:t xml:space="preserve"> Tariff</w:t>
      </w:r>
      <w:r w:rsidRPr="00C03513">
        <w:t xml:space="preserve">, that agreement, </w:t>
      </w:r>
      <w:r w:rsidR="00957872">
        <w:t xml:space="preserve">any </w:t>
      </w:r>
      <w:r w:rsidRPr="00C03513">
        <w:t>other BPM or instrument as it may have been modified, amended, supplemented</w:t>
      </w:r>
      <w:r w:rsidR="009A0B75">
        <w:t>,</w:t>
      </w:r>
      <w:r w:rsidRPr="00C03513">
        <w:t xml:space="preserve"> or restated from the release date of this </w:t>
      </w:r>
      <w:r w:rsidR="00552869" w:rsidRPr="00C03513">
        <w:t xml:space="preserve"> </w:t>
      </w:r>
      <w:r w:rsidRPr="00C03513">
        <w:t>BPM</w:t>
      </w:r>
      <w:r w:rsidR="001D146C">
        <w:t xml:space="preserve"> for the </w:t>
      </w:r>
      <w:r w:rsidR="005F24C1">
        <w:t>Western Energy Imbalance Market</w:t>
      </w:r>
      <w:r w:rsidRPr="00C03513">
        <w:t>.</w:t>
      </w:r>
    </w:p>
    <w:p w14:paraId="10E76C45" w14:textId="77777777" w:rsidR="004430AC" w:rsidRDefault="003A0BB4" w:rsidP="005242BC">
      <w:pPr>
        <w:pStyle w:val="Bullet1HRt"/>
        <w:numPr>
          <w:ilvl w:val="0"/>
          <w:numId w:val="0"/>
        </w:numPr>
      </w:pPr>
      <w:r w:rsidRPr="00C03513">
        <w:t xml:space="preserve">The captions and headings in this BPM </w:t>
      </w:r>
      <w:r w:rsidR="00963966">
        <w:t xml:space="preserve">are </w:t>
      </w:r>
      <w:r w:rsidRPr="00C03513">
        <w:t>intend</w:t>
      </w:r>
      <w:r w:rsidR="00963966">
        <w:t>ed</w:t>
      </w:r>
      <w:r w:rsidRPr="00C03513">
        <w:t xml:space="preserve"> solely to facilitate reference and not to have any bearing on the meaning of any of the terms and conditions of this BPM.</w:t>
      </w:r>
    </w:p>
    <w:p w14:paraId="19313B75" w14:textId="77777777" w:rsidR="007B1C43" w:rsidRPr="00BF03A5" w:rsidRDefault="007B1C43" w:rsidP="005242BC">
      <w:pPr>
        <w:pStyle w:val="Bullet1HRt"/>
        <w:numPr>
          <w:ilvl w:val="0"/>
          <w:numId w:val="0"/>
        </w:numPr>
      </w:pPr>
    </w:p>
    <w:p w14:paraId="10C2A750" w14:textId="77777777" w:rsidR="00D00182" w:rsidRDefault="00CF6A5D" w:rsidP="008E1C96">
      <w:pPr>
        <w:pStyle w:val="Heading1"/>
      </w:pPr>
      <w:r w:rsidRPr="008E1C96">
        <w:lastRenderedPageBreak/>
        <w:t xml:space="preserve"> </w:t>
      </w:r>
      <w:bookmarkStart w:id="16" w:name="_Toc389662563"/>
      <w:bookmarkStart w:id="17" w:name="_Toc390946248"/>
      <w:bookmarkStart w:id="18" w:name="_Toc391969813"/>
      <w:bookmarkStart w:id="19" w:name="_Toc229054453"/>
      <w:r w:rsidR="008E1C96" w:rsidRPr="008E1C96">
        <w:t>BACKGROUND</w:t>
      </w:r>
      <w:bookmarkEnd w:id="16"/>
      <w:bookmarkEnd w:id="17"/>
      <w:bookmarkEnd w:id="18"/>
      <w:bookmarkEnd w:id="19"/>
    </w:p>
    <w:p w14:paraId="16995732" w14:textId="4C570720" w:rsidR="00A04358" w:rsidRDefault="00A04358" w:rsidP="00877DDB">
      <w:pPr>
        <w:pStyle w:val="Bullet1HRt"/>
        <w:numPr>
          <w:ilvl w:val="0"/>
          <w:numId w:val="0"/>
        </w:numPr>
      </w:pPr>
      <w:r>
        <w:t xml:space="preserve">Welcome to the </w:t>
      </w:r>
      <w:r w:rsidRPr="00877DDB">
        <w:t>Background</w:t>
      </w:r>
      <w:r>
        <w:t xml:space="preserve"> section of the CAISO </w:t>
      </w:r>
      <w:r w:rsidRPr="00877DDB">
        <w:t xml:space="preserve">BPM for the </w:t>
      </w:r>
      <w:r w:rsidR="005F24C1">
        <w:t>Western Energy Imbalance Market</w:t>
      </w:r>
      <w:r>
        <w:t xml:space="preserve">.  </w:t>
      </w:r>
      <w:r w:rsidR="009D2609">
        <w:t>In this section</w:t>
      </w:r>
      <w:r>
        <w:t xml:space="preserve"> </w:t>
      </w:r>
      <w:r w:rsidR="009D2609">
        <w:t xml:space="preserve">you will find </w:t>
      </w:r>
      <w:r>
        <w:t xml:space="preserve">the following </w:t>
      </w:r>
      <w:r w:rsidR="009D2609">
        <w:t>information</w:t>
      </w:r>
      <w:r>
        <w:t>:</w:t>
      </w:r>
    </w:p>
    <w:p w14:paraId="13B2D64F" w14:textId="77B62036" w:rsidR="00587E28" w:rsidRDefault="00587E28" w:rsidP="00B851D4">
      <w:pPr>
        <w:pStyle w:val="Bullet1HRt"/>
        <w:numPr>
          <w:ilvl w:val="0"/>
          <w:numId w:val="69"/>
        </w:numPr>
      </w:pPr>
      <w:r>
        <w:t xml:space="preserve">Summary of CAISO’s </w:t>
      </w:r>
      <w:r w:rsidR="005F24C1">
        <w:t>Western Energy Imbalance Market</w:t>
      </w:r>
      <w:r>
        <w:t xml:space="preserve"> Processes</w:t>
      </w:r>
      <w:r w:rsidR="001B2475">
        <w:t>.</w:t>
      </w:r>
    </w:p>
    <w:p w14:paraId="4223A989" w14:textId="081ED4D6" w:rsidR="00587E28" w:rsidRDefault="00587E28" w:rsidP="00B851D4">
      <w:pPr>
        <w:pStyle w:val="Bullet1HRt"/>
        <w:numPr>
          <w:ilvl w:val="0"/>
          <w:numId w:val="69"/>
        </w:numPr>
      </w:pPr>
      <w:r>
        <w:t>Summary of distinctive</w:t>
      </w:r>
      <w:r w:rsidR="005F24C1">
        <w:t xml:space="preserve"> WEIM </w:t>
      </w:r>
      <w:r>
        <w:t>features.</w:t>
      </w:r>
    </w:p>
    <w:p w14:paraId="6D2BC4F5" w14:textId="2F49A6AC" w:rsidR="00246D43" w:rsidRPr="00B00E71" w:rsidRDefault="009D2609" w:rsidP="00877DDB">
      <w:pPr>
        <w:pStyle w:val="Bullet1HRt"/>
        <w:numPr>
          <w:ilvl w:val="0"/>
          <w:numId w:val="0"/>
        </w:numPr>
      </w:pPr>
      <w:r>
        <w:t xml:space="preserve"> </w:t>
      </w:r>
      <w:r w:rsidR="00FC30E3">
        <w:t>The</w:t>
      </w:r>
      <w:r w:rsidR="005F24C1">
        <w:t xml:space="preserve"> WEIM </w:t>
      </w:r>
      <w:r w:rsidR="00FC30E3">
        <w:t>is a Real-Time M</w:t>
      </w:r>
      <w:r w:rsidR="0083749E" w:rsidRPr="00B00E71">
        <w:t>arket to dispatch econom</w:t>
      </w:r>
      <w:r w:rsidR="00C148A5">
        <w:t>ic bids voluntarily offered by Participating R</w:t>
      </w:r>
      <w:r w:rsidR="0083749E" w:rsidRPr="00B00E71">
        <w:t xml:space="preserve">esources to efficiently balance supply, transfers between balancing authority areas, and load across its footprint. </w:t>
      </w:r>
      <w:r w:rsidR="005F24C1">
        <w:t xml:space="preserve"> WEIM </w:t>
      </w:r>
      <w:r w:rsidR="0083749E" w:rsidRPr="008C1485">
        <w:t xml:space="preserve">processes will be </w:t>
      </w:r>
      <w:r w:rsidR="00AD59C2">
        <w:t xml:space="preserve">similar and integrated with </w:t>
      </w:r>
      <w:r w:rsidR="003C7E61">
        <w:t>CA</w:t>
      </w:r>
      <w:r w:rsidR="0083749E" w:rsidRPr="008C1485">
        <w:t xml:space="preserve">ISO’s existing market processes. </w:t>
      </w:r>
      <w:r w:rsidR="00963966">
        <w:t xml:space="preserve"> </w:t>
      </w:r>
      <w:r w:rsidR="0083749E" w:rsidRPr="00B00E71">
        <w:t>The primary difference is that the</w:t>
      </w:r>
      <w:r w:rsidR="005F24C1">
        <w:t xml:space="preserve"> WEIM </w:t>
      </w:r>
      <w:r w:rsidR="0083749E" w:rsidRPr="00B00E71">
        <w:t>only incl</w:t>
      </w:r>
      <w:r w:rsidR="00AD59C2">
        <w:t xml:space="preserve">udes </w:t>
      </w:r>
      <w:r w:rsidR="003C7E61">
        <w:t>CA</w:t>
      </w:r>
      <w:r w:rsidR="0083749E" w:rsidRPr="00B00E71">
        <w:t>ISO</w:t>
      </w:r>
      <w:r w:rsidR="00FC30E3">
        <w:t>’s Real-Time M</w:t>
      </w:r>
      <w:r w:rsidR="00AD59C2">
        <w:t xml:space="preserve">arket and not </w:t>
      </w:r>
      <w:r w:rsidR="00E4613C">
        <w:t>CAISO’s Day-Ahead M</w:t>
      </w:r>
      <w:r w:rsidR="0083749E" w:rsidRPr="00B00E71">
        <w:t>arket. The</w:t>
      </w:r>
      <w:r w:rsidR="005F24C1">
        <w:t xml:space="preserve"> WEIM </w:t>
      </w:r>
      <w:r w:rsidR="0083749E" w:rsidRPr="00B00E71">
        <w:t>will have some unique characteristics to reflect this difference</w:t>
      </w:r>
      <w:r w:rsidR="00BF675A">
        <w:t>.  The</w:t>
      </w:r>
      <w:r w:rsidR="005F24C1">
        <w:t xml:space="preserve"> WEIM </w:t>
      </w:r>
      <w:r w:rsidR="00BF675A">
        <w:t>includes design elements that</w:t>
      </w:r>
      <w:r w:rsidR="0083749E" w:rsidRPr="00B00E71">
        <w:t xml:space="preserve"> ensure</w:t>
      </w:r>
      <w:r w:rsidR="005F24C1">
        <w:t xml:space="preserve"> WEIM </w:t>
      </w:r>
      <w:r w:rsidR="0083749E" w:rsidRPr="00B00E71">
        <w:t>balancing authorities have sufficient generation resources av</w:t>
      </w:r>
      <w:r w:rsidR="00FC30E3">
        <w:t>ailable in the Real-Time M</w:t>
      </w:r>
      <w:r w:rsidR="00BF675A">
        <w:t>arket</w:t>
      </w:r>
      <w:r w:rsidR="00D42782">
        <w:t>,</w:t>
      </w:r>
      <w:r w:rsidR="00BF675A">
        <w:t xml:space="preserve"> and allocates costs</w:t>
      </w:r>
      <w:r w:rsidR="006418F6">
        <w:t xml:space="preserve"> </w:t>
      </w:r>
      <w:r w:rsidR="0083749E" w:rsidRPr="00B00E71">
        <w:t xml:space="preserve">between balancing authorities according to </w:t>
      </w:r>
      <w:r w:rsidR="003C7E61">
        <w:t>CA</w:t>
      </w:r>
      <w:r w:rsidR="00BF675A">
        <w:t>ISO guiding principles. The</w:t>
      </w:r>
      <w:r w:rsidR="005F24C1">
        <w:t xml:space="preserve"> WEIM </w:t>
      </w:r>
      <w:r w:rsidR="00BF675A">
        <w:t>also ensures that p</w:t>
      </w:r>
      <w:r w:rsidR="0083749E" w:rsidRPr="00B00E71">
        <w:t>rotections are in place so convergence bidding does not cause cost uplifts in</w:t>
      </w:r>
      <w:r w:rsidR="005F24C1">
        <w:t xml:space="preserve"> WEIM </w:t>
      </w:r>
      <w:r w:rsidR="0083749E" w:rsidRPr="00B00E71">
        <w:t xml:space="preserve">balancing authorities. </w:t>
      </w:r>
    </w:p>
    <w:p w14:paraId="432FE330" w14:textId="3C9A4AE6" w:rsidR="0083749E" w:rsidRPr="00B97D31" w:rsidRDefault="00246D43" w:rsidP="00877DDB">
      <w:pPr>
        <w:pStyle w:val="Bullet1HRt"/>
        <w:numPr>
          <w:ilvl w:val="0"/>
          <w:numId w:val="0"/>
        </w:numPr>
      </w:pPr>
      <w:r w:rsidRPr="00B00E71">
        <w:t xml:space="preserve">This market </w:t>
      </w:r>
      <w:r w:rsidR="00AB2354">
        <w:t>structure</w:t>
      </w:r>
      <w:r w:rsidRPr="00B00E71">
        <w:t xml:space="preserve"> is reflected in the framework of this BPM, which is the same framework as applied to the</w:t>
      </w:r>
      <w:r w:rsidR="005F24C1">
        <w:t xml:space="preserve"> WEIM </w:t>
      </w:r>
      <w:r w:rsidRPr="00B00E71">
        <w:t>tariff provisions.  Matters that are unique to the</w:t>
      </w:r>
      <w:r w:rsidR="005F24C1">
        <w:t xml:space="preserve"> WEIM </w:t>
      </w:r>
      <w:r w:rsidRPr="00B00E71">
        <w:t>will be addressed in this BPM.  Matters that a</w:t>
      </w:r>
      <w:r w:rsidR="00FC30E3">
        <w:t>re generally applicable to the Real-Time M</w:t>
      </w:r>
      <w:r w:rsidRPr="00B00E71">
        <w:t xml:space="preserve">arket and </w:t>
      </w:r>
      <w:r w:rsidR="006A582E">
        <w:t>CA</w:t>
      </w:r>
      <w:r w:rsidRPr="00B00E71">
        <w:t>ISO market participants will be addressed in existing BPMs.  Matt</w:t>
      </w:r>
      <w:r w:rsidR="00FC30E3">
        <w:t>ers applicable to both current Real-Time M</w:t>
      </w:r>
      <w:r w:rsidRPr="00B00E71">
        <w:t>arket participants and</w:t>
      </w:r>
      <w:r w:rsidR="005F24C1">
        <w:t xml:space="preserve"> WEIM </w:t>
      </w:r>
      <w:r w:rsidRPr="00B00E71">
        <w:t>participants, particularly cost allocatio</w:t>
      </w:r>
      <w:r w:rsidR="00FC30E3">
        <w:t>n of charges applicable to the Real-Time M</w:t>
      </w:r>
      <w:r w:rsidRPr="00B00E71">
        <w:t>arket, will be addressed in the existing BP</w:t>
      </w:r>
      <w:r w:rsidR="001C2A48" w:rsidRPr="00B00E71">
        <w:t>M</w:t>
      </w:r>
      <w:r w:rsidRPr="00B00E71">
        <w:t>s.</w:t>
      </w:r>
      <w:r w:rsidR="001C2A48" w:rsidRPr="00B00E71">
        <w:t xml:space="preserve">  This framework integrates this BPM with other BPMs and establishes this BPM as a guide for</w:t>
      </w:r>
      <w:r w:rsidR="005F24C1">
        <w:t xml:space="preserve"> WEIM </w:t>
      </w:r>
      <w:r w:rsidR="001C2A48" w:rsidRPr="00B00E71">
        <w:t>participants.  Existing market participants may continue to find practices applicable to their business in the current BPMs</w:t>
      </w:r>
      <w:r w:rsidR="00CE52FC">
        <w:t>, available on the CAISO website</w:t>
      </w:r>
      <w:r w:rsidR="001C2A48" w:rsidRPr="00B00E71">
        <w:t xml:space="preserve">. </w:t>
      </w:r>
      <w:r w:rsidRPr="00B00E71">
        <w:t xml:space="preserve">    </w:t>
      </w:r>
    </w:p>
    <w:p w14:paraId="1F2B8FC4" w14:textId="65469766" w:rsidR="00246D43" w:rsidRDefault="005F24C1" w:rsidP="008C1485">
      <w:pPr>
        <w:pStyle w:val="Heading2"/>
      </w:pPr>
      <w:bookmarkStart w:id="20" w:name="_Toc389662564"/>
      <w:bookmarkStart w:id="21" w:name="_Toc390946249"/>
      <w:bookmarkStart w:id="22" w:name="_Toc391969814"/>
      <w:bookmarkStart w:id="23" w:name="_Toc229054454"/>
      <w:r>
        <w:t>Western Energy Imbalance Market</w:t>
      </w:r>
      <w:r w:rsidR="00EA285F">
        <w:t xml:space="preserve"> Overview</w:t>
      </w:r>
      <w:bookmarkStart w:id="24" w:name="_Toc390765914"/>
      <w:bookmarkStart w:id="25" w:name="_Toc390778381"/>
      <w:bookmarkStart w:id="26" w:name="_Toc390779359"/>
      <w:bookmarkStart w:id="27" w:name="_Toc390782172"/>
      <w:bookmarkStart w:id="28" w:name="_Toc390871644"/>
      <w:bookmarkStart w:id="29" w:name="_Toc390871701"/>
      <w:bookmarkStart w:id="30" w:name="_Toc390871758"/>
      <w:bookmarkEnd w:id="20"/>
      <w:bookmarkEnd w:id="21"/>
      <w:bookmarkEnd w:id="22"/>
      <w:bookmarkEnd w:id="24"/>
      <w:bookmarkEnd w:id="25"/>
      <w:bookmarkEnd w:id="26"/>
      <w:bookmarkEnd w:id="27"/>
      <w:bookmarkEnd w:id="28"/>
      <w:bookmarkEnd w:id="29"/>
      <w:bookmarkEnd w:id="30"/>
      <w:bookmarkEnd w:id="23"/>
    </w:p>
    <w:p w14:paraId="6537182F" w14:textId="0D667977" w:rsidR="00246D43" w:rsidRPr="00B00E71" w:rsidRDefault="003C7E61" w:rsidP="00B00E71">
      <w:pPr>
        <w:pStyle w:val="Bullet1HRt"/>
        <w:numPr>
          <w:ilvl w:val="0"/>
          <w:numId w:val="0"/>
        </w:numPr>
      </w:pPr>
      <w:r>
        <w:t>CA</w:t>
      </w:r>
      <w:r w:rsidR="00FC30E3">
        <w:t>ISO has based the</w:t>
      </w:r>
      <w:r w:rsidR="005F24C1">
        <w:t xml:space="preserve"> WEIM </w:t>
      </w:r>
      <w:r w:rsidR="00FC30E3">
        <w:t>on the Real-Time M</w:t>
      </w:r>
      <w:r w:rsidR="00246D43" w:rsidRPr="00B00E71">
        <w:t xml:space="preserve">arket design, which was developed in part to comply with FERC Order No. 764, </w:t>
      </w:r>
      <w:r>
        <w:t xml:space="preserve">and </w:t>
      </w:r>
      <w:r w:rsidR="00246D43" w:rsidRPr="00B00E71">
        <w:t xml:space="preserve">consists of a 15-minute market and a 5-minute dispatch. Each of these market runs will produce schedules and locational marginal prices for resources. </w:t>
      </w:r>
      <w:r w:rsidR="00246D43" w:rsidRPr="00B00E71">
        <w:lastRenderedPageBreak/>
        <w:t>The</w:t>
      </w:r>
      <w:r w:rsidR="005F24C1">
        <w:t xml:space="preserve"> WEIM </w:t>
      </w:r>
      <w:r w:rsidR="00246D43" w:rsidRPr="00B00E71">
        <w:t>will also commit short-start generation units in</w:t>
      </w:r>
      <w:r w:rsidR="00CE52FC">
        <w:t xml:space="preserve"> the 15-minute market. Like </w:t>
      </w:r>
      <w:r>
        <w:t>CA</w:t>
      </w:r>
      <w:r w:rsidR="00FC30E3">
        <w:t>ISO’s current Real-Time</w:t>
      </w:r>
      <w:r w:rsidR="00303EEF">
        <w:t xml:space="preserve"> M</w:t>
      </w:r>
      <w:r w:rsidR="00246D43" w:rsidRPr="00B00E71">
        <w:t>arket, the</w:t>
      </w:r>
      <w:r w:rsidR="005F24C1">
        <w:t xml:space="preserve"> WEIM </w:t>
      </w:r>
      <w:r w:rsidR="00246D43" w:rsidRPr="00B00E71">
        <w:t xml:space="preserve">will enforce a flexible ramping constraint to commit and position resources to meet future load and supply variability and uncertainty. </w:t>
      </w:r>
    </w:p>
    <w:p w14:paraId="0DA7B5F1" w14:textId="4B799737" w:rsidR="00924ADE" w:rsidRPr="00CE52FC" w:rsidRDefault="00303EEF" w:rsidP="00B00E71">
      <w:pPr>
        <w:pStyle w:val="Bullet1HRt"/>
        <w:numPr>
          <w:ilvl w:val="0"/>
          <w:numId w:val="0"/>
        </w:numPr>
      </w:pPr>
      <w:r>
        <w:t>In the Day-A</w:t>
      </w:r>
      <w:r w:rsidR="001C2A48" w:rsidRPr="00B00E71">
        <w:t>head time</w:t>
      </w:r>
      <w:r w:rsidR="003C7E61">
        <w:t xml:space="preserve"> </w:t>
      </w:r>
      <w:r w:rsidR="001C2A48" w:rsidRPr="00B00E71">
        <w:t>frame,</w:t>
      </w:r>
      <w:r w:rsidR="005F24C1">
        <w:t xml:space="preserve"> WEIM </w:t>
      </w:r>
      <w:r w:rsidR="001C2A48" w:rsidRPr="00B00E71">
        <w:t xml:space="preserve">balancing authorities </w:t>
      </w:r>
      <w:r w:rsidR="00963966">
        <w:t>participating in the</w:t>
      </w:r>
      <w:r w:rsidR="005F24C1">
        <w:t xml:space="preserve"> WEIM </w:t>
      </w:r>
      <w:r w:rsidR="001C2A48" w:rsidRPr="00B00E71">
        <w:t>will submit load fore</w:t>
      </w:r>
      <w:r w:rsidR="000B6D3C">
        <w:t xml:space="preserve">casts </w:t>
      </w:r>
      <w:r w:rsidR="00181CB0">
        <w:t xml:space="preserve">or elect to use the </w:t>
      </w:r>
      <w:r w:rsidR="00CE52FC">
        <w:t>CA</w:t>
      </w:r>
      <w:r w:rsidR="00181CB0">
        <w:t>ISO</w:t>
      </w:r>
      <w:r w:rsidR="004430AC">
        <w:t>-</w:t>
      </w:r>
      <w:r w:rsidR="00181CB0">
        <w:t>created forecast</w:t>
      </w:r>
      <w:r w:rsidR="00CE52FC">
        <w:t xml:space="preserve"> for the</w:t>
      </w:r>
      <w:r w:rsidR="005F24C1">
        <w:t xml:space="preserve"> WEIM </w:t>
      </w:r>
      <w:r w:rsidR="00CE52FC">
        <w:t>balancing</w:t>
      </w:r>
      <w:r w:rsidR="00181CB0">
        <w:t xml:space="preserve">, </w:t>
      </w:r>
      <w:r w:rsidR="000B6D3C">
        <w:t>and anticipated resource Base S</w:t>
      </w:r>
      <w:r w:rsidR="00CE52FC">
        <w:t xml:space="preserve">chedules to </w:t>
      </w:r>
      <w:r w:rsidR="006A582E">
        <w:t>CA</w:t>
      </w:r>
      <w:r w:rsidR="00CE52FC">
        <w:t>ISO</w:t>
      </w:r>
      <w:r w:rsidR="00924ADE" w:rsidRPr="00B00E71">
        <w:t>, while remaining responsible for reliability in their area</w:t>
      </w:r>
      <w:r w:rsidR="001C2A48" w:rsidRPr="00B00E71">
        <w:t xml:space="preserve">. </w:t>
      </w:r>
      <w:r w:rsidR="00924ADE" w:rsidRPr="00B00E71">
        <w:t xml:space="preserve"> </w:t>
      </w:r>
      <w:r w:rsidR="00CE52FC">
        <w:t xml:space="preserve">This information will allow </w:t>
      </w:r>
      <w:r w:rsidR="006A582E">
        <w:t>CA</w:t>
      </w:r>
      <w:r w:rsidR="001C2A48" w:rsidRPr="00B00E71">
        <w:t>ISO to identify infeasible schedules, such as those that might cause transmission overloads in the</w:t>
      </w:r>
      <w:r w:rsidR="005F24C1">
        <w:t xml:space="preserve"> WEIM </w:t>
      </w:r>
      <w:r w:rsidR="001C2A48" w:rsidRPr="00B00E71">
        <w:t>footprint, and provide advisory information to</w:t>
      </w:r>
      <w:r w:rsidR="005F24C1">
        <w:t xml:space="preserve"> WEIM </w:t>
      </w:r>
      <w:r w:rsidR="001C2A48" w:rsidRPr="00B00E71">
        <w:t>balancing auth</w:t>
      </w:r>
      <w:r w:rsidR="000B6D3C">
        <w:t>orities so they can revise the Base S</w:t>
      </w:r>
      <w:r w:rsidR="001C2A48" w:rsidRPr="00B00E71">
        <w:t xml:space="preserve">chedules to resolve </w:t>
      </w:r>
      <w:r w:rsidR="000B6D3C">
        <w:t>any infeasibilities. These</w:t>
      </w:r>
      <w:r w:rsidR="005F24C1">
        <w:t xml:space="preserve"> WEIM </w:t>
      </w:r>
      <w:r w:rsidR="000B6D3C">
        <w:t>Base S</w:t>
      </w:r>
      <w:r w:rsidR="001C2A48" w:rsidRPr="00B00E71">
        <w:t>chedules will help to imp</w:t>
      </w:r>
      <w:r w:rsidR="009D507A">
        <w:t xml:space="preserve">rove the accuracy of </w:t>
      </w:r>
      <w:r w:rsidR="006A582E">
        <w:t>CA</w:t>
      </w:r>
      <w:r w:rsidR="00E4613C">
        <w:t>ISO’s Day-Ahead M</w:t>
      </w:r>
      <w:r w:rsidR="001C2A48" w:rsidRPr="00B00E71">
        <w:t>arket model</w:t>
      </w:r>
      <w:r w:rsidR="00CE52FC">
        <w:t>.</w:t>
      </w:r>
    </w:p>
    <w:p w14:paraId="75FBA37B" w14:textId="6ECACFCC" w:rsidR="00924ADE" w:rsidRPr="00B00E71" w:rsidRDefault="00FC30E3" w:rsidP="00B00E71">
      <w:pPr>
        <w:pStyle w:val="Bullet1HRt"/>
        <w:numPr>
          <w:ilvl w:val="0"/>
          <w:numId w:val="0"/>
        </w:numPr>
        <w:rPr>
          <w:rFonts w:cs="Arial"/>
        </w:rPr>
      </w:pPr>
      <w:r>
        <w:rPr>
          <w:rFonts w:cs="Arial"/>
        </w:rPr>
        <w:t>In Real-Time</w:t>
      </w:r>
      <w:r w:rsidR="00CE52FC">
        <w:rPr>
          <w:rFonts w:cs="Arial"/>
        </w:rPr>
        <w:t xml:space="preserve">, </w:t>
      </w:r>
      <w:r w:rsidR="006A582E">
        <w:rPr>
          <w:rFonts w:cs="Arial"/>
        </w:rPr>
        <w:t>CA</w:t>
      </w:r>
      <w:r w:rsidR="00924ADE" w:rsidRPr="00B06DE4">
        <w:rPr>
          <w:rFonts w:cs="Arial"/>
        </w:rPr>
        <w:t>I</w:t>
      </w:r>
      <w:r w:rsidR="003C7E61">
        <w:rPr>
          <w:rFonts w:cs="Arial"/>
        </w:rPr>
        <w:t xml:space="preserve">SO will financially settle the </w:t>
      </w:r>
      <w:r w:rsidR="005F24C1">
        <w:rPr>
          <w:rFonts w:cs="Arial"/>
        </w:rPr>
        <w:t>Western Energy Imbalance Market</w:t>
      </w:r>
      <w:r w:rsidR="00924ADE" w:rsidRPr="00B06DE4">
        <w:rPr>
          <w:rFonts w:cs="Arial"/>
        </w:rPr>
        <w:t xml:space="preserve"> in a manner that appropriately recognizes the costs attributable to each participating balancing au</w:t>
      </w:r>
      <w:r w:rsidR="00CE52FC">
        <w:rPr>
          <w:rFonts w:cs="Arial"/>
        </w:rPr>
        <w:t xml:space="preserve">thority area.  For example, </w:t>
      </w:r>
      <w:r w:rsidR="006A582E">
        <w:rPr>
          <w:rFonts w:cs="Arial"/>
        </w:rPr>
        <w:t>CA</w:t>
      </w:r>
      <w:r w:rsidR="00924ADE" w:rsidRPr="00B06DE4">
        <w:rPr>
          <w:rFonts w:cs="Arial"/>
        </w:rPr>
        <w:t>ISO will allocate bid cost recovery payme</w:t>
      </w:r>
      <w:r w:rsidR="00924ADE" w:rsidRPr="00BB070F">
        <w:rPr>
          <w:rFonts w:cs="Arial"/>
        </w:rPr>
        <w:t>nts to resources, as well as neutrality amounts that track differences between payments received from load and payments to generation to each participating balancing</w:t>
      </w:r>
      <w:r w:rsidR="00CE52FC">
        <w:rPr>
          <w:rFonts w:cs="Arial"/>
        </w:rPr>
        <w:t xml:space="preserve"> authority, consistent with </w:t>
      </w:r>
      <w:r w:rsidR="006A582E">
        <w:rPr>
          <w:rFonts w:cs="Arial"/>
        </w:rPr>
        <w:t>CA</w:t>
      </w:r>
      <w:r w:rsidR="00924ADE" w:rsidRPr="00BB070F">
        <w:rPr>
          <w:rFonts w:cs="Arial"/>
        </w:rPr>
        <w:t>ISO</w:t>
      </w:r>
      <w:r w:rsidR="00CE52FC">
        <w:rPr>
          <w:rFonts w:cs="Arial"/>
        </w:rPr>
        <w:t>’s cost allocation pr</w:t>
      </w:r>
      <w:r w:rsidR="004C2528">
        <w:rPr>
          <w:rFonts w:cs="Arial"/>
        </w:rPr>
        <w:t xml:space="preserve">inciples.  </w:t>
      </w:r>
      <w:r w:rsidR="00924ADE" w:rsidRPr="00BB070F">
        <w:rPr>
          <w:rFonts w:cs="Arial"/>
        </w:rPr>
        <w:t>The participating balancing authorities will be responsible for allocating these amounts according to their respective open ac</w:t>
      </w:r>
      <w:r w:rsidR="00CE52FC">
        <w:rPr>
          <w:rFonts w:cs="Arial"/>
        </w:rPr>
        <w:t xml:space="preserve">cess transmission tariffs.  </w:t>
      </w:r>
      <w:r w:rsidR="006A582E">
        <w:rPr>
          <w:rFonts w:cs="Arial"/>
        </w:rPr>
        <w:t>CA</w:t>
      </w:r>
      <w:r w:rsidR="00924ADE" w:rsidRPr="00BB070F">
        <w:rPr>
          <w:rFonts w:cs="Arial"/>
        </w:rPr>
        <w:t>ISO will use a process based on its existing local market power mitigation approach to mitigate market power in each balan</w:t>
      </w:r>
      <w:r w:rsidR="00924ADE" w:rsidRPr="003D6985">
        <w:rPr>
          <w:rFonts w:cs="Arial"/>
        </w:rPr>
        <w:t>cing</w:t>
      </w:r>
      <w:r w:rsidR="00924ADE" w:rsidRPr="005F06B1">
        <w:rPr>
          <w:rFonts w:cs="Arial"/>
        </w:rPr>
        <w:t xml:space="preserve"> authority </w:t>
      </w:r>
      <w:r w:rsidR="00924ADE">
        <w:rPr>
          <w:rFonts w:cs="Arial"/>
        </w:rPr>
        <w:t>area participating in t</w:t>
      </w:r>
      <w:r w:rsidR="00CE52FC">
        <w:rPr>
          <w:rFonts w:cs="Arial"/>
        </w:rPr>
        <w:t>he EIM</w:t>
      </w:r>
      <w:r w:rsidR="00924ADE">
        <w:rPr>
          <w:rFonts w:cs="Arial"/>
        </w:rPr>
        <w:t>, and will monitor and assess the application of market power mitigation before and after implementation.</w:t>
      </w:r>
    </w:p>
    <w:p w14:paraId="51BBAA15" w14:textId="3484C350" w:rsidR="00924ADE" w:rsidRPr="00B00E71" w:rsidRDefault="00924ADE" w:rsidP="00B00E71">
      <w:pPr>
        <w:pStyle w:val="Bullet1HRt"/>
        <w:numPr>
          <w:ilvl w:val="0"/>
          <w:numId w:val="0"/>
        </w:numPr>
        <w:rPr>
          <w:rFonts w:cs="Arial"/>
        </w:rPr>
      </w:pPr>
      <w:r>
        <w:rPr>
          <w:rFonts w:cs="Arial"/>
        </w:rPr>
        <w:t>The prop</w:t>
      </w:r>
      <w:r w:rsidR="00A11DAB">
        <w:rPr>
          <w:rFonts w:cs="Arial"/>
        </w:rPr>
        <w:t>osed tariff revisions recognize</w:t>
      </w:r>
      <w:r>
        <w:rPr>
          <w:rFonts w:cs="Arial"/>
        </w:rPr>
        <w:t xml:space="preserve"> the need for re</w:t>
      </w:r>
      <w:r w:rsidR="00270C54">
        <w:rPr>
          <w:rFonts w:cs="Arial"/>
        </w:rPr>
        <w:t>sources that serve load in the CA</w:t>
      </w:r>
      <w:r>
        <w:rPr>
          <w:rFonts w:cs="Arial"/>
        </w:rPr>
        <w:t>ISO balancing authority area through the</w:t>
      </w:r>
      <w:r w:rsidR="005F24C1">
        <w:t xml:space="preserve"> WEIM </w:t>
      </w:r>
      <w:r>
        <w:rPr>
          <w:rFonts w:cs="Arial"/>
        </w:rPr>
        <w:t xml:space="preserve">to comply with </w:t>
      </w:r>
      <w:r w:rsidRPr="005F06B1">
        <w:rPr>
          <w:rFonts w:cs="Arial"/>
        </w:rPr>
        <w:t>California’s greenhouse gas cap and trade regulation</w:t>
      </w:r>
      <w:r>
        <w:rPr>
          <w:rFonts w:cs="Arial"/>
        </w:rPr>
        <w:t xml:space="preserve">s.  As it currently does for </w:t>
      </w:r>
      <w:r w:rsidR="00FC30E3">
        <w:rPr>
          <w:rFonts w:cs="Arial"/>
        </w:rPr>
        <w:t>resources participating in its Real-Time M</w:t>
      </w:r>
      <w:r>
        <w:rPr>
          <w:rFonts w:cs="Arial"/>
        </w:rPr>
        <w:t>arket</w:t>
      </w:r>
      <w:r w:rsidR="00357601">
        <w:rPr>
          <w:rFonts w:cs="Arial"/>
        </w:rPr>
        <w:t xml:space="preserve">, </w:t>
      </w:r>
      <w:r w:rsidR="006A582E">
        <w:rPr>
          <w:rFonts w:cs="Arial"/>
        </w:rPr>
        <w:t>CA</w:t>
      </w:r>
      <w:r w:rsidRPr="005F06B1">
        <w:rPr>
          <w:rFonts w:cs="Arial"/>
        </w:rPr>
        <w:t>ISO will allow</w:t>
      </w:r>
      <w:r w:rsidR="005F24C1">
        <w:rPr>
          <w:rFonts w:cs="Arial"/>
        </w:rPr>
        <w:t xml:space="preserve"> WEIM </w:t>
      </w:r>
      <w:r w:rsidR="00963966">
        <w:rPr>
          <w:rFonts w:cs="Arial"/>
        </w:rPr>
        <w:t>participating</w:t>
      </w:r>
      <w:r w:rsidRPr="00B00E71">
        <w:t xml:space="preserve"> </w:t>
      </w:r>
      <w:r w:rsidRPr="005F06B1">
        <w:rPr>
          <w:rFonts w:cs="Arial"/>
        </w:rPr>
        <w:t>resources to include the costs of compl</w:t>
      </w:r>
      <w:r>
        <w:rPr>
          <w:rFonts w:cs="Arial"/>
        </w:rPr>
        <w:t xml:space="preserve">iance in </w:t>
      </w:r>
      <w:r w:rsidR="00562195">
        <w:rPr>
          <w:rFonts w:cs="Arial"/>
        </w:rPr>
        <w:t>a</w:t>
      </w:r>
      <w:r w:rsidR="005F24C1">
        <w:rPr>
          <w:rFonts w:cs="Arial"/>
        </w:rPr>
        <w:t xml:space="preserve"> WEIM </w:t>
      </w:r>
      <w:r w:rsidR="00562195">
        <w:rPr>
          <w:rFonts w:cs="Arial"/>
        </w:rPr>
        <w:t xml:space="preserve">bid </w:t>
      </w:r>
      <w:r w:rsidR="00A20ED4">
        <w:rPr>
          <w:rFonts w:cs="Arial"/>
        </w:rPr>
        <w:t>a</w:t>
      </w:r>
      <w:r w:rsidR="00562195">
        <w:rPr>
          <w:rFonts w:cs="Arial"/>
        </w:rPr>
        <w:t xml:space="preserve">dder </w:t>
      </w:r>
      <w:r>
        <w:rPr>
          <w:rFonts w:cs="Arial"/>
        </w:rPr>
        <w:t xml:space="preserve">and </w:t>
      </w:r>
      <w:r w:rsidRPr="005F06B1">
        <w:rPr>
          <w:rFonts w:cs="Arial"/>
        </w:rPr>
        <w:t xml:space="preserve">will incorporate this cost into its dispatch of generation </w:t>
      </w:r>
      <w:r w:rsidR="00C40C29">
        <w:rPr>
          <w:rFonts w:cs="Arial"/>
        </w:rPr>
        <w:t xml:space="preserve">as appropriate.  </w:t>
      </w:r>
      <w:r w:rsidR="006A582E">
        <w:rPr>
          <w:rFonts w:cs="Arial"/>
        </w:rPr>
        <w:t>CA</w:t>
      </w:r>
      <w:r>
        <w:rPr>
          <w:rFonts w:cs="Arial"/>
        </w:rPr>
        <w:t xml:space="preserve">ISO </w:t>
      </w:r>
      <w:r w:rsidRPr="005F06B1">
        <w:rPr>
          <w:rFonts w:cs="Arial"/>
        </w:rPr>
        <w:t xml:space="preserve">will not consider this cost when it dispatches this generation </w:t>
      </w:r>
      <w:r>
        <w:rPr>
          <w:rFonts w:cs="Arial"/>
        </w:rPr>
        <w:t xml:space="preserve">that is attributable </w:t>
      </w:r>
      <w:r w:rsidRPr="005F06B1">
        <w:rPr>
          <w:rFonts w:cs="Arial"/>
        </w:rPr>
        <w:t>to serv</w:t>
      </w:r>
      <w:r>
        <w:rPr>
          <w:rFonts w:cs="Arial"/>
        </w:rPr>
        <w:t>ing</w:t>
      </w:r>
      <w:r w:rsidR="00C40C29">
        <w:rPr>
          <w:rFonts w:cs="Arial"/>
        </w:rPr>
        <w:t xml:space="preserve"> load outside </w:t>
      </w:r>
      <w:r w:rsidR="006A582E">
        <w:rPr>
          <w:rFonts w:cs="Arial"/>
        </w:rPr>
        <w:t>CA</w:t>
      </w:r>
      <w:r w:rsidRPr="005F06B1">
        <w:rPr>
          <w:rFonts w:cs="Arial"/>
        </w:rPr>
        <w:t>ISO</w:t>
      </w:r>
      <w:r w:rsidR="004C2528">
        <w:rPr>
          <w:rFonts w:cs="Arial"/>
        </w:rPr>
        <w:t xml:space="preserve">, and </w:t>
      </w:r>
      <w:r>
        <w:rPr>
          <w:rFonts w:cs="Arial"/>
        </w:rPr>
        <w:t>therefore, g</w:t>
      </w:r>
      <w:r w:rsidRPr="005F06B1">
        <w:rPr>
          <w:rFonts w:cs="Arial"/>
        </w:rPr>
        <w:t xml:space="preserve">reenhouse gas regulation compliance costs will not affect </w:t>
      </w:r>
      <w:r>
        <w:rPr>
          <w:rFonts w:cs="Arial"/>
        </w:rPr>
        <w:t xml:space="preserve">locational prices outside the </w:t>
      </w:r>
      <w:r w:rsidR="006A582E">
        <w:rPr>
          <w:rFonts w:cs="Arial"/>
        </w:rPr>
        <w:t>CA</w:t>
      </w:r>
      <w:r>
        <w:rPr>
          <w:rFonts w:cs="Arial"/>
        </w:rPr>
        <w:t>ISO balancing authority area</w:t>
      </w:r>
      <w:r w:rsidRPr="005F06B1">
        <w:rPr>
          <w:rFonts w:cs="Arial"/>
        </w:rPr>
        <w:t>.</w:t>
      </w:r>
      <w:r>
        <w:rPr>
          <w:rFonts w:cs="Arial"/>
        </w:rPr>
        <w:t xml:space="preserve"> </w:t>
      </w:r>
    </w:p>
    <w:p w14:paraId="2778BFF9" w14:textId="08A9A9D4" w:rsidR="00846CAB" w:rsidRDefault="00924ADE" w:rsidP="00DF0BA1">
      <w:pPr>
        <w:pStyle w:val="Bullet1HRt"/>
        <w:numPr>
          <w:ilvl w:val="0"/>
          <w:numId w:val="0"/>
        </w:numPr>
        <w:rPr>
          <w:rFonts w:cs="Arial"/>
        </w:rPr>
      </w:pPr>
      <w:r>
        <w:rPr>
          <w:rFonts w:cs="Arial"/>
        </w:rPr>
        <w:lastRenderedPageBreak/>
        <w:t>Transmission access to the</w:t>
      </w:r>
      <w:r w:rsidR="005F24C1">
        <w:rPr>
          <w:rFonts w:cs="Arial"/>
        </w:rPr>
        <w:t xml:space="preserve"> WEIM </w:t>
      </w:r>
      <w:r>
        <w:rPr>
          <w:rFonts w:cs="Arial"/>
        </w:rPr>
        <w:t>will be provided under the applicable transmission service provider tariffs.  As par</w:t>
      </w:r>
      <w:r w:rsidR="00E76673">
        <w:rPr>
          <w:rFonts w:cs="Arial"/>
        </w:rPr>
        <w:t xml:space="preserve">t of a reciprocal arrangement, </w:t>
      </w:r>
      <w:r w:rsidR="006A582E">
        <w:rPr>
          <w:rFonts w:cs="Arial"/>
        </w:rPr>
        <w:t>CA</w:t>
      </w:r>
      <w:r w:rsidRPr="005F06B1">
        <w:rPr>
          <w:rFonts w:cs="Arial"/>
        </w:rPr>
        <w:t xml:space="preserve">ISO </w:t>
      </w:r>
      <w:r>
        <w:rPr>
          <w:rFonts w:cs="Arial"/>
        </w:rPr>
        <w:t xml:space="preserve">has proposed </w:t>
      </w:r>
      <w:r w:rsidRPr="005F06B1">
        <w:rPr>
          <w:rFonts w:cs="Arial"/>
        </w:rPr>
        <w:t xml:space="preserve">that there be no </w:t>
      </w:r>
      <w:r>
        <w:rPr>
          <w:rFonts w:cs="Arial"/>
        </w:rPr>
        <w:t xml:space="preserve">incremental transmission </w:t>
      </w:r>
      <w:r w:rsidRPr="005F06B1">
        <w:rPr>
          <w:rFonts w:cs="Arial"/>
        </w:rPr>
        <w:t>charge for the use of transmission to support</w:t>
      </w:r>
      <w:r w:rsidR="005F24C1">
        <w:rPr>
          <w:rFonts w:cs="Arial"/>
        </w:rPr>
        <w:t xml:space="preserve"> WEIM </w:t>
      </w:r>
      <w:r w:rsidRPr="005F06B1">
        <w:rPr>
          <w:rFonts w:cs="Arial"/>
        </w:rPr>
        <w:t>transfers</w:t>
      </w:r>
      <w:r>
        <w:rPr>
          <w:rFonts w:cs="Arial"/>
        </w:rPr>
        <w:t xml:space="preserve"> between participating balancing authority areas</w:t>
      </w:r>
      <w:r w:rsidRPr="005F06B1">
        <w:rPr>
          <w:rFonts w:cs="Arial"/>
        </w:rPr>
        <w:t xml:space="preserve">.  </w:t>
      </w:r>
      <w:r>
        <w:rPr>
          <w:rFonts w:cs="Arial"/>
        </w:rPr>
        <w:t>Within the first year of op</w:t>
      </w:r>
      <w:r w:rsidR="00E76673">
        <w:rPr>
          <w:rFonts w:cs="Arial"/>
        </w:rPr>
        <w:t xml:space="preserve">eration, </w:t>
      </w:r>
      <w:r w:rsidR="006A582E">
        <w:rPr>
          <w:rFonts w:cs="Arial"/>
        </w:rPr>
        <w:t>CA</w:t>
      </w:r>
      <w:r>
        <w:rPr>
          <w:rFonts w:cs="Arial"/>
        </w:rPr>
        <w:t xml:space="preserve">ISO will consider in consultation with </w:t>
      </w:r>
      <w:r w:rsidRPr="005F06B1">
        <w:rPr>
          <w:rFonts w:cs="Arial"/>
        </w:rPr>
        <w:t>stakeholders</w:t>
      </w:r>
      <w:r>
        <w:rPr>
          <w:rFonts w:cs="Arial"/>
        </w:rPr>
        <w:t xml:space="preserve"> whether to continue this arrangement or to modify it, and this BPM will be updated </w:t>
      </w:r>
      <w:r w:rsidR="00F73DA7">
        <w:rPr>
          <w:rFonts w:cs="Arial"/>
        </w:rPr>
        <w:t>accordingly</w:t>
      </w:r>
      <w:r>
        <w:rPr>
          <w:rFonts w:cs="Arial"/>
        </w:rPr>
        <w:t>.</w:t>
      </w:r>
    </w:p>
    <w:p w14:paraId="5E696CDA" w14:textId="77777777" w:rsidR="00DF0BA1" w:rsidRPr="00DF0BA1" w:rsidRDefault="00DF0BA1" w:rsidP="00DF0BA1">
      <w:pPr>
        <w:pStyle w:val="Bullet1HRt"/>
        <w:numPr>
          <w:ilvl w:val="0"/>
          <w:numId w:val="0"/>
        </w:numPr>
        <w:rPr>
          <w:rFonts w:cs="Arial"/>
        </w:rPr>
      </w:pPr>
    </w:p>
    <w:p w14:paraId="0D81C648" w14:textId="77777777" w:rsidR="00B84E9F" w:rsidRDefault="009D5C89" w:rsidP="00B84E9F">
      <w:pPr>
        <w:pStyle w:val="Heading1"/>
      </w:pPr>
      <w:bookmarkStart w:id="31" w:name="_Toc389662565"/>
      <w:bookmarkStart w:id="32" w:name="_Toc390946250"/>
      <w:bookmarkStart w:id="33" w:name="_Toc391969815"/>
      <w:bookmarkStart w:id="34" w:name="_Toc229054455"/>
      <w:r>
        <w:t>ROLES AND</w:t>
      </w:r>
      <w:r w:rsidR="00B84E9F">
        <w:t xml:space="preserve"> RESPONSIBILITIES</w:t>
      </w:r>
      <w:bookmarkEnd w:id="31"/>
      <w:bookmarkEnd w:id="32"/>
      <w:bookmarkEnd w:id="33"/>
      <w:bookmarkEnd w:id="34"/>
      <w:r w:rsidR="00E26236">
        <w:t xml:space="preserve"> </w:t>
      </w:r>
    </w:p>
    <w:p w14:paraId="46A07EE3" w14:textId="18CE153A" w:rsidR="001B2475" w:rsidRDefault="001B2475" w:rsidP="00B00E71">
      <w:pPr>
        <w:spacing w:after="240" w:line="300" w:lineRule="auto"/>
        <w:rPr>
          <w:rFonts w:cs="Arial"/>
        </w:rPr>
      </w:pPr>
      <w:r>
        <w:rPr>
          <w:rFonts w:cs="Arial"/>
        </w:rPr>
        <w:t xml:space="preserve">Welcome to the </w:t>
      </w:r>
      <w:r w:rsidRPr="00FA595A">
        <w:rPr>
          <w:rFonts w:cs="Arial"/>
          <w:i/>
        </w:rPr>
        <w:t>Roles and Responsibilities</w:t>
      </w:r>
      <w:r>
        <w:rPr>
          <w:rFonts w:cs="Arial"/>
        </w:rPr>
        <w:t xml:space="preserve"> section of the CAISO </w:t>
      </w:r>
      <w:r w:rsidRPr="00FA595A">
        <w:rPr>
          <w:rFonts w:cs="Arial"/>
          <w:i/>
        </w:rPr>
        <w:t xml:space="preserve">BPM for the </w:t>
      </w:r>
      <w:r w:rsidR="005F24C1">
        <w:rPr>
          <w:rFonts w:cs="Arial"/>
          <w:i/>
        </w:rPr>
        <w:t>Western Energy Imbalance Market</w:t>
      </w:r>
      <w:r>
        <w:rPr>
          <w:rFonts w:cs="Arial"/>
        </w:rPr>
        <w:t>.  In this section you will find the following information:</w:t>
      </w:r>
    </w:p>
    <w:p w14:paraId="1630B64A" w14:textId="77777777" w:rsidR="001B2475" w:rsidRPr="00FA595A" w:rsidRDefault="008960C5" w:rsidP="00B851D4">
      <w:pPr>
        <w:pStyle w:val="ListParagraph"/>
        <w:numPr>
          <w:ilvl w:val="0"/>
          <w:numId w:val="41"/>
        </w:numPr>
        <w:spacing w:after="240" w:line="300" w:lineRule="auto"/>
      </w:pPr>
      <w:r w:rsidRPr="00FA595A">
        <w:rPr>
          <w:rFonts w:cs="Arial"/>
        </w:rPr>
        <w:t xml:space="preserve">This </w:t>
      </w:r>
      <w:r w:rsidR="007B20C1" w:rsidRPr="00FA595A">
        <w:rPr>
          <w:rFonts w:cs="Arial"/>
        </w:rPr>
        <w:t>section identifies and describes t</w:t>
      </w:r>
      <w:r w:rsidR="009D5C89" w:rsidRPr="00FA595A">
        <w:rPr>
          <w:rFonts w:cs="Arial"/>
        </w:rPr>
        <w:t xml:space="preserve">he basic </w:t>
      </w:r>
      <w:r w:rsidR="009D5C89" w:rsidRPr="00FA595A">
        <w:rPr>
          <w:rFonts w:cs="Arial"/>
          <w:i/>
        </w:rPr>
        <w:t>Roles and R</w:t>
      </w:r>
      <w:r w:rsidR="007B20C1" w:rsidRPr="00FA595A">
        <w:rPr>
          <w:rFonts w:cs="Arial"/>
          <w:i/>
        </w:rPr>
        <w:t>esponsibilities</w:t>
      </w:r>
      <w:r w:rsidR="007B20C1" w:rsidRPr="00FA595A">
        <w:rPr>
          <w:rFonts w:cs="Arial"/>
        </w:rPr>
        <w:t xml:space="preserve"> of the entities that participate in the CAISO Markets.</w:t>
      </w:r>
      <w:r w:rsidR="00924ADE" w:rsidRPr="00FA595A">
        <w:rPr>
          <w:rFonts w:cs="Arial"/>
        </w:rPr>
        <w:t xml:space="preserve">  </w:t>
      </w:r>
    </w:p>
    <w:p w14:paraId="65CDF6F8" w14:textId="38C48B73" w:rsidR="00924ADE" w:rsidRDefault="006566B0" w:rsidP="00B851D4">
      <w:pPr>
        <w:pStyle w:val="ListParagraph"/>
        <w:numPr>
          <w:ilvl w:val="0"/>
          <w:numId w:val="41"/>
        </w:numPr>
        <w:spacing w:after="240" w:line="300" w:lineRule="auto"/>
      </w:pPr>
      <w:r>
        <w:t>This section introduces</w:t>
      </w:r>
      <w:r w:rsidR="001B2475">
        <w:t xml:space="preserve"> </w:t>
      </w:r>
      <w:r w:rsidR="00924ADE" w:rsidRPr="00A23926">
        <w:t xml:space="preserve">four new types of </w:t>
      </w:r>
      <w:r w:rsidR="00924ADE">
        <w:t>p</w:t>
      </w:r>
      <w:r w:rsidR="00924ADE" w:rsidRPr="00A23926">
        <w:t>articipants</w:t>
      </w:r>
      <w:r w:rsidR="00FC30E3">
        <w:t xml:space="preserve"> in the Real-Time M</w:t>
      </w:r>
      <w:r w:rsidR="00924ADE">
        <w:t>arket</w:t>
      </w:r>
      <w:r w:rsidR="00924ADE" w:rsidRPr="00A23926">
        <w:t>, which are collectively known as</w:t>
      </w:r>
      <w:r w:rsidR="005F24C1">
        <w:t xml:space="preserve"> WEIM </w:t>
      </w:r>
      <w:r w:rsidR="00924ADE">
        <w:t>M</w:t>
      </w:r>
      <w:r w:rsidR="00924ADE" w:rsidRPr="00A23926">
        <w:t xml:space="preserve">arket </w:t>
      </w:r>
      <w:r w:rsidR="00924ADE">
        <w:t>P</w:t>
      </w:r>
      <w:r w:rsidR="00924ADE" w:rsidRPr="00A23926">
        <w:t xml:space="preserve">articipants.  </w:t>
      </w:r>
    </w:p>
    <w:p w14:paraId="298869E0" w14:textId="271D8F8D" w:rsidR="001D24E5" w:rsidRDefault="00924ADE" w:rsidP="00B00E71">
      <w:pPr>
        <w:tabs>
          <w:tab w:val="left" w:pos="720"/>
        </w:tabs>
        <w:spacing w:after="240" w:line="300" w:lineRule="auto"/>
      </w:pPr>
      <w:r w:rsidRPr="0005695E">
        <w:rPr>
          <w:b/>
        </w:rPr>
        <w:t xml:space="preserve">EIM </w:t>
      </w:r>
      <w:r>
        <w:rPr>
          <w:b/>
        </w:rPr>
        <w:t>E</w:t>
      </w:r>
      <w:r w:rsidRPr="0005695E">
        <w:rPr>
          <w:b/>
        </w:rPr>
        <w:t>ntity</w:t>
      </w:r>
      <w:r w:rsidRPr="003D447F">
        <w:rPr>
          <w:b/>
        </w:rPr>
        <w:t>:</w:t>
      </w:r>
      <w:r>
        <w:t xml:space="preserve">  The</w:t>
      </w:r>
      <w:r w:rsidR="005F24C1">
        <w:t xml:space="preserve"> WEIM </w:t>
      </w:r>
      <w:r>
        <w:t xml:space="preserve">Entity </w:t>
      </w:r>
      <w:r w:rsidRPr="00A23926">
        <w:t xml:space="preserve">is a balancing authority that </w:t>
      </w:r>
      <w:r>
        <w:t xml:space="preserve">elects to participate in </w:t>
      </w:r>
      <w:r w:rsidRPr="00A23926">
        <w:t xml:space="preserve">the </w:t>
      </w:r>
      <w:r w:rsidR="005F24C1">
        <w:t>Western Energy Imbalance Market</w:t>
      </w:r>
      <w:r w:rsidRPr="00A23926">
        <w:t xml:space="preserve">.  As </w:t>
      </w:r>
      <w:r w:rsidR="00153940">
        <w:t>a WEIM</w:t>
      </w:r>
      <w:r w:rsidR="005F24C1">
        <w:t xml:space="preserve"> </w:t>
      </w:r>
      <w:r>
        <w:t>M</w:t>
      </w:r>
      <w:r w:rsidRPr="00A23926">
        <w:t xml:space="preserve">arket </w:t>
      </w:r>
      <w:r>
        <w:t>P</w:t>
      </w:r>
      <w:r w:rsidRPr="00A23926">
        <w:t>articipant, the</w:t>
      </w:r>
      <w:r w:rsidR="005F24C1">
        <w:t xml:space="preserve"> WEIM </w:t>
      </w:r>
      <w:r>
        <w:t>E</w:t>
      </w:r>
      <w:r w:rsidRPr="00A23926">
        <w:t>ntity is responsible</w:t>
      </w:r>
      <w:r w:rsidR="008C6848">
        <w:t>: (1) f</w:t>
      </w:r>
      <w:r w:rsidRPr="00A23926">
        <w:t xml:space="preserve">or </w:t>
      </w:r>
      <w:r>
        <w:t>identifying</w:t>
      </w:r>
      <w:r w:rsidRPr="00A23926">
        <w:t xml:space="preserve"> </w:t>
      </w:r>
      <w:r>
        <w:t xml:space="preserve">available </w:t>
      </w:r>
      <w:r w:rsidRPr="00A23926">
        <w:t xml:space="preserve">transmission </w:t>
      </w:r>
      <w:r>
        <w:t>intertie</w:t>
      </w:r>
      <w:r w:rsidRPr="00A23926">
        <w:t xml:space="preserve"> capacity in its balanci</w:t>
      </w:r>
      <w:r w:rsidR="008C6848">
        <w:t xml:space="preserve">ng authority area for use in </w:t>
      </w:r>
      <w:r w:rsidRPr="00A23926">
        <w:t xml:space="preserve"> </w:t>
      </w:r>
      <w:r w:rsidR="006A582E">
        <w:t>CA</w:t>
      </w:r>
      <w:r w:rsidR="00FC30E3">
        <w:t>ISO’s Real-Time M</w:t>
      </w:r>
      <w:r w:rsidRPr="00A23926">
        <w:t>arket and, (2) through its</w:t>
      </w:r>
      <w:r w:rsidR="005F24C1">
        <w:t xml:space="preserve"> WEIM </w:t>
      </w:r>
      <w:r>
        <w:t>Entity S</w:t>
      </w:r>
      <w:r w:rsidRPr="00A23926">
        <w:t xml:space="preserve">cheduling </w:t>
      </w:r>
      <w:r>
        <w:t>C</w:t>
      </w:r>
      <w:r w:rsidRPr="00A23926">
        <w:t xml:space="preserve">oordinator, for scheduling all load and resources in </w:t>
      </w:r>
      <w:r>
        <w:t>its balancing authority a</w:t>
      </w:r>
      <w:r w:rsidRPr="00A23926">
        <w:t xml:space="preserve">rea that do not participate in the </w:t>
      </w:r>
      <w:r w:rsidR="00FC30E3">
        <w:t>Real-Time</w:t>
      </w:r>
      <w:r w:rsidR="00303EEF">
        <w:t xml:space="preserve"> M</w:t>
      </w:r>
      <w:r w:rsidRPr="00A23926">
        <w:t xml:space="preserve">arket (known as </w:t>
      </w:r>
      <w:r w:rsidR="00C148A5">
        <w:t>non-participating load and non-p</w:t>
      </w:r>
      <w:r w:rsidRPr="00A23926">
        <w:t xml:space="preserve">articipating resources) and for </w:t>
      </w:r>
      <w:r>
        <w:t>settling</w:t>
      </w:r>
      <w:r w:rsidRPr="00A23926">
        <w:t xml:space="preserve"> charges </w:t>
      </w:r>
      <w:r>
        <w:t xml:space="preserve">and payments </w:t>
      </w:r>
      <w:r w:rsidRPr="00A23926">
        <w:t>related to non-participating load and non-participating resources.</w:t>
      </w:r>
    </w:p>
    <w:p w14:paraId="715291C9" w14:textId="399A42B2" w:rsidR="001D24E5" w:rsidRDefault="00924ADE" w:rsidP="00B00E71">
      <w:pPr>
        <w:tabs>
          <w:tab w:val="left" w:pos="720"/>
        </w:tabs>
        <w:spacing w:after="240" w:line="300" w:lineRule="auto"/>
      </w:pPr>
      <w:r>
        <w:rPr>
          <w:b/>
        </w:rPr>
        <w:t xml:space="preserve">EIM Entity Scheduling Coordinator:  </w:t>
      </w:r>
      <w:r w:rsidRPr="00A23926">
        <w:t>The</w:t>
      </w:r>
      <w:r w:rsidR="005F24C1">
        <w:t xml:space="preserve"> WEIM </w:t>
      </w:r>
      <w:r>
        <w:t>E</w:t>
      </w:r>
      <w:r w:rsidRPr="00A23926">
        <w:t xml:space="preserve">ntity </w:t>
      </w:r>
      <w:r>
        <w:t>S</w:t>
      </w:r>
      <w:r w:rsidRPr="00A23926">
        <w:t xml:space="preserve">cheduling </w:t>
      </w:r>
      <w:r>
        <w:t>C</w:t>
      </w:r>
      <w:r w:rsidRPr="00A23926">
        <w:t>oordinator is the entity through which the</w:t>
      </w:r>
      <w:r w:rsidR="005F24C1">
        <w:t xml:space="preserve"> WEIM </w:t>
      </w:r>
      <w:r>
        <w:t>E</w:t>
      </w:r>
      <w:r w:rsidRPr="00A23926">
        <w:t xml:space="preserve">ntity participates in the </w:t>
      </w:r>
      <w:r w:rsidR="00FC30E3">
        <w:t>Real-Time</w:t>
      </w:r>
      <w:r w:rsidR="00303EEF">
        <w:t xml:space="preserve"> M</w:t>
      </w:r>
      <w:r w:rsidRPr="00A23926">
        <w:t xml:space="preserve">arket.  In order to prevent the </w:t>
      </w:r>
      <w:r>
        <w:t xml:space="preserve">inappropriate </w:t>
      </w:r>
      <w:r w:rsidRPr="00A23926">
        <w:t xml:space="preserve">sharing of information regarding transmission and generation, </w:t>
      </w:r>
      <w:r w:rsidR="00153940">
        <w:t>a WEIM</w:t>
      </w:r>
      <w:r w:rsidR="005F24C1">
        <w:t xml:space="preserve"> </w:t>
      </w:r>
      <w:r>
        <w:t>E</w:t>
      </w:r>
      <w:r w:rsidRPr="00A23926">
        <w:t xml:space="preserve">ntity </w:t>
      </w:r>
      <w:r>
        <w:t>S</w:t>
      </w:r>
      <w:r w:rsidRPr="00A23926">
        <w:t xml:space="preserve">cheduling </w:t>
      </w:r>
      <w:r>
        <w:t>C</w:t>
      </w:r>
      <w:r w:rsidRPr="00A23926">
        <w:t xml:space="preserve">oordinator cannot be a </w:t>
      </w:r>
      <w:r>
        <w:t>s</w:t>
      </w:r>
      <w:r w:rsidRPr="00A23926">
        <w:t xml:space="preserve">cheduling </w:t>
      </w:r>
      <w:r>
        <w:t>c</w:t>
      </w:r>
      <w:r w:rsidRPr="00A23926">
        <w:t xml:space="preserve">oordinator for </w:t>
      </w:r>
      <w:r>
        <w:t xml:space="preserve">a </w:t>
      </w:r>
      <w:r w:rsidRPr="00A23926">
        <w:t xml:space="preserve">supply </w:t>
      </w:r>
      <w:r>
        <w:t xml:space="preserve">resource </w:t>
      </w:r>
      <w:r w:rsidRPr="00A23926">
        <w:t xml:space="preserve">unless it is a transmission provider subject to the Commission’s standards of conduct </w:t>
      </w:r>
      <w:r>
        <w:t xml:space="preserve">set forth </w:t>
      </w:r>
      <w:r w:rsidRPr="00A23926">
        <w:t>in 18 C.F.R. § 358.</w:t>
      </w:r>
    </w:p>
    <w:p w14:paraId="07AFBCF1" w14:textId="4CD76144" w:rsidR="001D24E5" w:rsidRDefault="00924ADE" w:rsidP="00B00E71">
      <w:pPr>
        <w:tabs>
          <w:tab w:val="left" w:pos="720"/>
        </w:tabs>
        <w:spacing w:after="240" w:line="300" w:lineRule="auto"/>
      </w:pPr>
      <w:r>
        <w:rPr>
          <w:b/>
        </w:rPr>
        <w:lastRenderedPageBreak/>
        <w:t xml:space="preserve">EIM Participating Resources:  </w:t>
      </w:r>
      <w:r w:rsidRPr="00A23926">
        <w:t>The</w:t>
      </w:r>
      <w:r w:rsidR="005F24C1">
        <w:t xml:space="preserve"> WEIM </w:t>
      </w:r>
      <w:r w:rsidR="00220498">
        <w:t>P</w:t>
      </w:r>
      <w:r w:rsidRPr="00A23926">
        <w:t xml:space="preserve">articipating </w:t>
      </w:r>
      <w:r w:rsidR="00220498">
        <w:t>R</w:t>
      </w:r>
      <w:r w:rsidRPr="00A23926">
        <w:t xml:space="preserve">esources are </w:t>
      </w:r>
      <w:r>
        <w:t>the owners or operators of</w:t>
      </w:r>
      <w:r w:rsidR="005F24C1">
        <w:t xml:space="preserve"> WEIM </w:t>
      </w:r>
      <w:r w:rsidRPr="00A23926">
        <w:t xml:space="preserve">resources that wish to bid supply into the </w:t>
      </w:r>
      <w:r w:rsidR="00FC30E3">
        <w:t>Real-Time</w:t>
      </w:r>
      <w:r w:rsidR="00303EEF">
        <w:t xml:space="preserve"> M</w:t>
      </w:r>
      <w:r w:rsidRPr="00A23926">
        <w:t xml:space="preserve">arket. </w:t>
      </w:r>
      <w:r w:rsidR="005F24C1">
        <w:t xml:space="preserve"> WEIM </w:t>
      </w:r>
      <w:r>
        <w:t xml:space="preserve">resources </w:t>
      </w:r>
      <w:r w:rsidRPr="00A23926">
        <w:t>can be generating unit</w:t>
      </w:r>
      <w:r>
        <w:t>s</w:t>
      </w:r>
      <w:r w:rsidRPr="00A23926">
        <w:t>, participating load, demand resource provider</w:t>
      </w:r>
      <w:r>
        <w:t>s, or other resources qualified to deliver energy or similar services, such as non-generation resources</w:t>
      </w:r>
      <w:r w:rsidRPr="00A23926">
        <w:t>.</w:t>
      </w:r>
      <w:r>
        <w:t xml:space="preserve">  Each type of resource that is eligible to participate in the current </w:t>
      </w:r>
      <w:r w:rsidR="006A582E">
        <w:t>CA</w:t>
      </w:r>
      <w:r>
        <w:t xml:space="preserve">ISO </w:t>
      </w:r>
      <w:r w:rsidR="00FC30E3">
        <w:t>Real-Time M</w:t>
      </w:r>
      <w:r>
        <w:t xml:space="preserve">arket is eligible to participate through the </w:t>
      </w:r>
      <w:r w:rsidR="005F24C1">
        <w:t>Western Energy Imbalance Market</w:t>
      </w:r>
      <w:r>
        <w:t>, but only if the</w:t>
      </w:r>
      <w:r w:rsidR="005F24C1">
        <w:t xml:space="preserve"> WEIM </w:t>
      </w:r>
      <w:r>
        <w:t xml:space="preserve">Entity supports participation by that type of resource and the resource meets the technical requirements for such participation pursuant to the terms and conditions of the </w:t>
      </w:r>
      <w:r w:rsidR="006A582E">
        <w:t>CA</w:t>
      </w:r>
      <w:r>
        <w:t>ISO tariff and the</w:t>
      </w:r>
      <w:r w:rsidR="005F24C1">
        <w:t xml:space="preserve"> WEIM </w:t>
      </w:r>
      <w:r>
        <w:t>Entity’s open access transmission tariff.</w:t>
      </w:r>
      <w:r w:rsidRPr="00A23926">
        <w:t xml:space="preserve">  </w:t>
      </w:r>
    </w:p>
    <w:p w14:paraId="7BF012D5" w14:textId="64A13D29" w:rsidR="00924ADE" w:rsidRDefault="00924ADE" w:rsidP="00B00E71">
      <w:pPr>
        <w:tabs>
          <w:tab w:val="left" w:pos="720"/>
        </w:tabs>
        <w:spacing w:after="240" w:line="300" w:lineRule="auto"/>
      </w:pPr>
      <w:r>
        <w:rPr>
          <w:b/>
        </w:rPr>
        <w:t xml:space="preserve">EIM Participating Resource Scheduling Coordinator:  </w:t>
      </w:r>
      <w:r w:rsidRPr="00A23926">
        <w:t>The</w:t>
      </w:r>
      <w:r w:rsidR="005F24C1">
        <w:t xml:space="preserve"> WEIM </w:t>
      </w:r>
      <w:r>
        <w:t>Participating Resource S</w:t>
      </w:r>
      <w:r w:rsidRPr="00A23926">
        <w:t xml:space="preserve">cheduling </w:t>
      </w:r>
      <w:r>
        <w:t>C</w:t>
      </w:r>
      <w:r w:rsidRPr="00A23926">
        <w:t>oordinator is the entity through which the</w:t>
      </w:r>
      <w:r w:rsidR="005F24C1">
        <w:t xml:space="preserve"> WEIM </w:t>
      </w:r>
      <w:r>
        <w:t xml:space="preserve">Participating Resource </w:t>
      </w:r>
      <w:r w:rsidRPr="00A23926">
        <w:t xml:space="preserve">participates in the </w:t>
      </w:r>
      <w:r w:rsidR="00FC30E3">
        <w:t>Real-Time M</w:t>
      </w:r>
      <w:r w:rsidRPr="00A23926">
        <w:t xml:space="preserve">arket.  </w:t>
      </w:r>
      <w:r>
        <w:t>T</w:t>
      </w:r>
      <w:r w:rsidRPr="00A23926">
        <w:t xml:space="preserve">o prevent the </w:t>
      </w:r>
      <w:r>
        <w:t xml:space="preserve">inappropriate </w:t>
      </w:r>
      <w:r w:rsidRPr="00A23926">
        <w:t xml:space="preserve">sharing of information regarding transmission and generation, </w:t>
      </w:r>
      <w:r w:rsidR="00153940">
        <w:t>a WEIM</w:t>
      </w:r>
      <w:r w:rsidR="005F24C1">
        <w:t xml:space="preserve"> </w:t>
      </w:r>
      <w:r>
        <w:t>Participating Resource S</w:t>
      </w:r>
      <w:r w:rsidRPr="00A23926">
        <w:t xml:space="preserve">cheduling </w:t>
      </w:r>
      <w:r>
        <w:t>C</w:t>
      </w:r>
      <w:r w:rsidRPr="00A23926">
        <w:t xml:space="preserve">oordinator cannot be </w:t>
      </w:r>
      <w:r w:rsidR="00153940">
        <w:t>a WEIM</w:t>
      </w:r>
      <w:r w:rsidR="005F24C1">
        <w:t xml:space="preserve"> </w:t>
      </w:r>
      <w:r>
        <w:t>Entity</w:t>
      </w:r>
      <w:r w:rsidRPr="00A23926">
        <w:t xml:space="preserve"> </w:t>
      </w:r>
      <w:r>
        <w:t>S</w:t>
      </w:r>
      <w:r w:rsidRPr="00A23926">
        <w:t xml:space="preserve">cheduling </w:t>
      </w:r>
      <w:r>
        <w:t>C</w:t>
      </w:r>
      <w:r w:rsidRPr="00A23926">
        <w:t xml:space="preserve">oordinator unless it is a transmission provider subject to the Commission’s standards of conduct </w:t>
      </w:r>
      <w:r>
        <w:t xml:space="preserve">set forth </w:t>
      </w:r>
      <w:r w:rsidRPr="00A23926">
        <w:t>in 18 C.F.R. § 358.</w:t>
      </w:r>
    </w:p>
    <w:p w14:paraId="440F78CE" w14:textId="1F535BE0" w:rsidR="00924ADE" w:rsidRDefault="00924ADE" w:rsidP="00924ADE">
      <w:pPr>
        <w:spacing w:after="240" w:line="300" w:lineRule="auto"/>
      </w:pPr>
      <w:r>
        <w:t xml:space="preserve">To participate in the </w:t>
      </w:r>
      <w:r w:rsidR="00FC30E3">
        <w:t>Real-Time M</w:t>
      </w:r>
      <w:r>
        <w:t xml:space="preserve">arket through the </w:t>
      </w:r>
      <w:r w:rsidR="005F24C1">
        <w:t>Western Energy Imbalance Market</w:t>
      </w:r>
      <w:r>
        <w:t xml:space="preserve">, an </w:t>
      </w:r>
      <w:r w:rsidRPr="00A23926">
        <w:t xml:space="preserve">entity must enter </w:t>
      </w:r>
      <w:r>
        <w:t xml:space="preserve">into </w:t>
      </w:r>
      <w:r w:rsidR="001D24E5">
        <w:t xml:space="preserve">a </w:t>
      </w:r>
      <w:r w:rsidRPr="00B31177">
        <w:rPr>
          <w:i/>
        </w:rPr>
        <w:t>pro forma</w:t>
      </w:r>
      <w:r w:rsidR="009D507A">
        <w:t xml:space="preserve"> agreement with </w:t>
      </w:r>
      <w:r w:rsidR="006A582E">
        <w:t>CA</w:t>
      </w:r>
      <w:r w:rsidRPr="00A23926">
        <w:t>ISO that sets out the parties</w:t>
      </w:r>
      <w:r>
        <w:t>’</w:t>
      </w:r>
      <w:r w:rsidRPr="00A23926">
        <w:t xml:space="preserve"> respective obligations</w:t>
      </w:r>
      <w:r>
        <w:t xml:space="preserve"> with respect to the entity’s role.</w:t>
      </w:r>
      <w:r w:rsidR="001D24E5">
        <w:t xml:space="preserve">  The </w:t>
      </w:r>
      <w:r w:rsidR="001D24E5">
        <w:rPr>
          <w:i/>
        </w:rPr>
        <w:t xml:space="preserve">pro forma </w:t>
      </w:r>
      <w:r w:rsidR="001D24E5">
        <w:t>agreements are included in</w:t>
      </w:r>
      <w:r w:rsidR="00DF0BA1">
        <w:t xml:space="preserve"> Appendix B of the tariff</w:t>
      </w:r>
      <w:r w:rsidR="008F782A">
        <w:t>.</w:t>
      </w:r>
    </w:p>
    <w:p w14:paraId="209A4164" w14:textId="61095B7F" w:rsidR="00424480" w:rsidRPr="00424480" w:rsidRDefault="003F271C" w:rsidP="005F6CDE">
      <w:pPr>
        <w:pStyle w:val="Heading2"/>
      </w:pPr>
      <w:bookmarkStart w:id="35" w:name="_Toc229054456"/>
      <w:r>
        <w:t>Implementing and Terminating the</w:t>
      </w:r>
      <w:r w:rsidR="005F24C1">
        <w:t xml:space="preserve"> WEIM </w:t>
      </w:r>
      <w:r w:rsidR="00424480" w:rsidRPr="00424480">
        <w:t>Entit</w:t>
      </w:r>
      <w:r>
        <w:t>y Participation</w:t>
      </w:r>
      <w:bookmarkEnd w:id="35"/>
    </w:p>
    <w:p w14:paraId="58CB68E7" w14:textId="38E453F3" w:rsidR="00486B53" w:rsidRPr="00486B53" w:rsidRDefault="00963966" w:rsidP="00FA595A">
      <w:pPr>
        <w:spacing w:after="240" w:line="300" w:lineRule="auto"/>
        <w:rPr>
          <w:rFonts w:cs="Arial"/>
          <w:b/>
        </w:rPr>
      </w:pPr>
      <w:r>
        <w:rPr>
          <w:rFonts w:cs="Arial"/>
        </w:rPr>
        <w:t>Prior to becoming a</w:t>
      </w:r>
      <w:r w:rsidR="005F24C1">
        <w:rPr>
          <w:rFonts w:cs="Arial"/>
        </w:rPr>
        <w:t xml:space="preserve"> WEIM </w:t>
      </w:r>
      <w:r>
        <w:rPr>
          <w:rFonts w:cs="Arial"/>
        </w:rPr>
        <w:t xml:space="preserve">Entity, an interested balancing authority must enter into an </w:t>
      </w:r>
      <w:r w:rsidR="00AB2354">
        <w:rPr>
          <w:rFonts w:cs="Arial"/>
        </w:rPr>
        <w:t>implementation</w:t>
      </w:r>
      <w:r>
        <w:rPr>
          <w:rFonts w:cs="Arial"/>
        </w:rPr>
        <w:t xml:space="preserve"> agreeme</w:t>
      </w:r>
      <w:r w:rsidR="00B5293B">
        <w:rPr>
          <w:rFonts w:cs="Arial"/>
        </w:rPr>
        <w:t xml:space="preserve">nt with </w:t>
      </w:r>
      <w:r w:rsidR="006A582E">
        <w:rPr>
          <w:rFonts w:cs="Arial"/>
        </w:rPr>
        <w:t>CA</w:t>
      </w:r>
      <w:r>
        <w:rPr>
          <w:rFonts w:cs="Arial"/>
        </w:rPr>
        <w:t xml:space="preserve">ISO.  </w:t>
      </w:r>
      <w:r w:rsidR="00AD5840">
        <w:rPr>
          <w:rFonts w:cs="Arial"/>
        </w:rPr>
        <w:t>See Tariff S</w:t>
      </w:r>
      <w:r w:rsidR="00450F1E" w:rsidRPr="00424480">
        <w:rPr>
          <w:rFonts w:cs="Arial"/>
        </w:rPr>
        <w:t>ection 29.2(b).</w:t>
      </w:r>
      <w:r w:rsidR="00450F1E">
        <w:rPr>
          <w:rFonts w:cs="Arial"/>
        </w:rPr>
        <w:t xml:space="preserve">  </w:t>
      </w:r>
      <w:r>
        <w:rPr>
          <w:rFonts w:cs="Arial"/>
        </w:rPr>
        <w:t xml:space="preserve">Each </w:t>
      </w:r>
      <w:r w:rsidR="00450F1E">
        <w:rPr>
          <w:rFonts w:cs="Arial"/>
        </w:rPr>
        <w:t>ne</w:t>
      </w:r>
      <w:r w:rsidR="00424480" w:rsidRPr="00424480">
        <w:rPr>
          <w:rFonts w:cs="Arial"/>
        </w:rPr>
        <w:t>w</w:t>
      </w:r>
      <w:r w:rsidR="005F24C1">
        <w:rPr>
          <w:rFonts w:cs="Arial"/>
        </w:rPr>
        <w:t xml:space="preserve"> WEIM </w:t>
      </w:r>
      <w:r w:rsidR="00424480" w:rsidRPr="00424480">
        <w:rPr>
          <w:rFonts w:cs="Arial"/>
        </w:rPr>
        <w:t>entit</w:t>
      </w:r>
      <w:r w:rsidR="00450F1E">
        <w:rPr>
          <w:rFonts w:cs="Arial"/>
        </w:rPr>
        <w:t>y</w:t>
      </w:r>
      <w:r w:rsidR="00424480" w:rsidRPr="00424480">
        <w:rPr>
          <w:rFonts w:cs="Arial"/>
        </w:rPr>
        <w:t xml:space="preserve"> will be </w:t>
      </w:r>
      <w:r w:rsidR="00450F1E">
        <w:rPr>
          <w:rFonts w:cs="Arial"/>
        </w:rPr>
        <w:t>made public through</w:t>
      </w:r>
      <w:r w:rsidR="00B5293B">
        <w:rPr>
          <w:rFonts w:cs="Arial"/>
        </w:rPr>
        <w:t xml:space="preserve"> the filing of </w:t>
      </w:r>
      <w:r w:rsidR="00424480" w:rsidRPr="00B5293B">
        <w:rPr>
          <w:rFonts w:cs="Arial"/>
          <w:i/>
        </w:rPr>
        <w:t>New</w:t>
      </w:r>
      <w:r w:rsidR="005F24C1">
        <w:rPr>
          <w:rFonts w:cs="Arial"/>
          <w:i/>
        </w:rPr>
        <w:t xml:space="preserve"> WEIM </w:t>
      </w:r>
      <w:r w:rsidR="00424480" w:rsidRPr="00B5293B">
        <w:rPr>
          <w:rFonts w:cs="Arial"/>
          <w:i/>
        </w:rPr>
        <w:t>Entities</w:t>
      </w:r>
      <w:bookmarkStart w:id="36" w:name="_Toc389662566"/>
      <w:r w:rsidR="00B5293B">
        <w:rPr>
          <w:rFonts w:cs="Arial"/>
        </w:rPr>
        <w:t>.</w:t>
      </w:r>
    </w:p>
    <w:p w14:paraId="0E843C04" w14:textId="04D04FEE" w:rsidR="008F782A" w:rsidRPr="0028031A" w:rsidRDefault="00153940" w:rsidP="00FA595A">
      <w:pPr>
        <w:spacing w:after="240" w:line="300" w:lineRule="auto"/>
        <w:rPr>
          <w:rFonts w:cs="Arial"/>
          <w:b/>
        </w:rPr>
      </w:pPr>
      <w:r>
        <w:t>A</w:t>
      </w:r>
      <w:r w:rsidR="005F24C1">
        <w:t xml:space="preserve"> WEIM </w:t>
      </w:r>
      <w:r w:rsidR="008F782A" w:rsidRPr="008F782A">
        <w:t>Entity may terminate participation in the</w:t>
      </w:r>
      <w:r w:rsidR="005F24C1">
        <w:t xml:space="preserve"> WEIM </w:t>
      </w:r>
      <w:r w:rsidR="008F782A" w:rsidRPr="008F782A">
        <w:t>by pr</w:t>
      </w:r>
      <w:r w:rsidR="00B5293B">
        <w:t xml:space="preserve">oviding 180 days’ notice to </w:t>
      </w:r>
      <w:r w:rsidR="006A582E">
        <w:t>CA</w:t>
      </w:r>
      <w:r w:rsidR="008F782A" w:rsidRPr="008F782A">
        <w:t>ISO.  In addition, the</w:t>
      </w:r>
      <w:r w:rsidR="005F24C1">
        <w:t xml:space="preserve"> WEIM </w:t>
      </w:r>
      <w:r w:rsidR="008F782A" w:rsidRPr="008F782A">
        <w:t>Entity may suspend operation of the</w:t>
      </w:r>
      <w:r w:rsidR="005F24C1">
        <w:t xml:space="preserve"> WEIM </w:t>
      </w:r>
      <w:r w:rsidR="008F782A" w:rsidRPr="008F782A">
        <w:t>in its balancin</w:t>
      </w:r>
      <w:r w:rsidR="0003458D">
        <w:t>g authority area during the 180-</w:t>
      </w:r>
      <w:r w:rsidR="008F782A" w:rsidRPr="008F782A">
        <w:t>day notic</w:t>
      </w:r>
      <w:r w:rsidR="00AD5840">
        <w:t>e provision in accordance with S</w:t>
      </w:r>
      <w:r w:rsidR="008F782A" w:rsidRPr="008F782A">
        <w:t>ection 1</w:t>
      </w:r>
      <w:r w:rsidR="00BF675A">
        <w:t>0.5</w:t>
      </w:r>
      <w:r w:rsidR="008F782A" w:rsidRPr="008F782A">
        <w:t xml:space="preserve"> of this BPM.</w:t>
      </w:r>
    </w:p>
    <w:p w14:paraId="01FF0D9E" w14:textId="77777777" w:rsidR="0028031A" w:rsidRPr="00486B53" w:rsidRDefault="0028031A" w:rsidP="0028031A">
      <w:pPr>
        <w:spacing w:after="240" w:line="300" w:lineRule="auto"/>
        <w:ind w:left="1080"/>
        <w:rPr>
          <w:rFonts w:cs="Arial"/>
          <w:b/>
        </w:rPr>
      </w:pPr>
    </w:p>
    <w:p w14:paraId="30BA27AA" w14:textId="77777777" w:rsidR="006C2CAC" w:rsidRDefault="0033195C" w:rsidP="008F782A">
      <w:pPr>
        <w:pStyle w:val="Heading1"/>
      </w:pPr>
      <w:bookmarkStart w:id="37" w:name="_Toc389662570"/>
      <w:bookmarkStart w:id="38" w:name="_Toc390946255"/>
      <w:bookmarkStart w:id="39" w:name="_Toc391969816"/>
      <w:bookmarkStart w:id="40" w:name="_Toc229054457"/>
      <w:bookmarkEnd w:id="36"/>
      <w:r>
        <w:lastRenderedPageBreak/>
        <w:t>SCHEDULING COORDINATOR CERTIFICATION</w:t>
      </w:r>
      <w:bookmarkEnd w:id="37"/>
      <w:bookmarkEnd w:id="38"/>
      <w:bookmarkEnd w:id="39"/>
      <w:bookmarkEnd w:id="40"/>
      <w:r w:rsidR="0039613C" w:rsidRPr="008F782A">
        <w:t xml:space="preserve"> </w:t>
      </w:r>
    </w:p>
    <w:p w14:paraId="70906040" w14:textId="61849A8E" w:rsidR="00EC4CBC" w:rsidRDefault="007D543C" w:rsidP="006F6DD6">
      <w:pPr>
        <w:spacing w:after="240" w:line="300" w:lineRule="auto"/>
        <w:ind w:left="-90"/>
      </w:pPr>
      <w:r>
        <w:t xml:space="preserve">Welcome to </w:t>
      </w:r>
      <w:r w:rsidR="00EC4CBC">
        <w:t xml:space="preserve">the </w:t>
      </w:r>
      <w:r w:rsidR="00EC4CBC" w:rsidRPr="00EC4CBC">
        <w:rPr>
          <w:i/>
        </w:rPr>
        <w:t>Scheduling Coordinator Certification</w:t>
      </w:r>
      <w:r w:rsidR="00EC4CBC">
        <w:t xml:space="preserve"> section of th</w:t>
      </w:r>
      <w:r>
        <w:t>e</w:t>
      </w:r>
      <w:r w:rsidR="00EC4CBC">
        <w:t xml:space="preserve"> </w:t>
      </w:r>
      <w:r>
        <w:t xml:space="preserve">CAISO </w:t>
      </w:r>
      <w:r w:rsidR="00EC4CBC" w:rsidRPr="007D543C">
        <w:rPr>
          <w:i/>
        </w:rPr>
        <w:t>BPM</w:t>
      </w:r>
      <w:r w:rsidRPr="007D543C">
        <w:rPr>
          <w:i/>
        </w:rPr>
        <w:t xml:space="preserve"> for the </w:t>
      </w:r>
      <w:r w:rsidR="005F24C1">
        <w:rPr>
          <w:i/>
        </w:rPr>
        <w:t>Western Energy Imbalance Market</w:t>
      </w:r>
      <w:r>
        <w:t>.  In this section</w:t>
      </w:r>
      <w:r w:rsidR="00775CF7">
        <w:t xml:space="preserve"> </w:t>
      </w:r>
      <w:r w:rsidR="00EC4CBC">
        <w:t>you will find the following information:</w:t>
      </w:r>
    </w:p>
    <w:p w14:paraId="6DC970A2" w14:textId="7C4EE863" w:rsidR="006A26A7" w:rsidRDefault="00EC4CBC" w:rsidP="00B851D4">
      <w:pPr>
        <w:numPr>
          <w:ilvl w:val="0"/>
          <w:numId w:val="35"/>
        </w:numPr>
        <w:spacing w:after="240" w:line="300" w:lineRule="auto"/>
      </w:pPr>
      <w:r>
        <w:t>An overview of how p</w:t>
      </w:r>
      <w:r w:rsidR="002E46E9" w:rsidRPr="00E60EED">
        <w:t>articipants in the</w:t>
      </w:r>
      <w:r w:rsidR="005F24C1">
        <w:t xml:space="preserve"> WEIM </w:t>
      </w:r>
      <w:r w:rsidR="009D507A">
        <w:t xml:space="preserve">transact with </w:t>
      </w:r>
      <w:r w:rsidR="002E46E9" w:rsidRPr="00B06DE4">
        <w:t>CAISO through a Scheduling Coordinator</w:t>
      </w:r>
      <w:r w:rsidR="005F0DEA" w:rsidRPr="00B06DE4">
        <w:t xml:space="preserve"> (SC)</w:t>
      </w:r>
      <w:r w:rsidR="002E46E9" w:rsidRPr="00BB070F">
        <w:t>.</w:t>
      </w:r>
      <w:r w:rsidR="006A26A7">
        <w:t xml:space="preserve"> </w:t>
      </w:r>
    </w:p>
    <w:p w14:paraId="63F2DA94" w14:textId="77777777" w:rsidR="00EC4CBC" w:rsidRDefault="006A26A7" w:rsidP="00B851D4">
      <w:pPr>
        <w:numPr>
          <w:ilvl w:val="0"/>
          <w:numId w:val="35"/>
        </w:numPr>
        <w:spacing w:after="240" w:line="300" w:lineRule="auto"/>
      </w:pPr>
      <w:r>
        <w:t>An overview of the process used for Scheduling Coordinator Certification</w:t>
      </w:r>
      <w:r w:rsidR="00CA517E">
        <w:t>.</w:t>
      </w:r>
      <w:r>
        <w:t xml:space="preserve">  </w:t>
      </w:r>
      <w:r w:rsidR="002E46E9" w:rsidRPr="00BB070F">
        <w:t xml:space="preserve">  </w:t>
      </w:r>
    </w:p>
    <w:p w14:paraId="76B856F9" w14:textId="58B735C0" w:rsidR="00E77E45" w:rsidRPr="00480065" w:rsidRDefault="002E46E9" w:rsidP="006F6DD6">
      <w:pPr>
        <w:spacing w:after="240" w:line="300" w:lineRule="auto"/>
        <w:ind w:left="-90"/>
      </w:pPr>
      <w:r w:rsidRPr="00BB070F">
        <w:t>There are two types of Scheduling Coordinators</w:t>
      </w:r>
      <w:r w:rsidR="006362F9" w:rsidRPr="003D6985">
        <w:t xml:space="preserve"> </w:t>
      </w:r>
      <w:r w:rsidRPr="003D6985">
        <w:t>specific t</w:t>
      </w:r>
      <w:r w:rsidR="006362F9" w:rsidRPr="003D6985">
        <w:t>o participation in the</w:t>
      </w:r>
      <w:r w:rsidR="005F24C1">
        <w:t xml:space="preserve"> WEIM </w:t>
      </w:r>
      <w:r w:rsidR="006362F9" w:rsidRPr="003D6985">
        <w:t xml:space="preserve">that </w:t>
      </w:r>
      <w:r w:rsidRPr="003D6985">
        <w:t>are d</w:t>
      </w:r>
      <w:r w:rsidR="00FF4643" w:rsidRPr="003D6985">
        <w:t>ifferent from the</w:t>
      </w:r>
      <w:r w:rsidRPr="00480065">
        <w:t xml:space="preserve"> Scheduling Coordinators listed in the </w:t>
      </w:r>
      <w:hyperlink r:id="rId18" w:history="1">
        <w:r w:rsidRPr="00480065">
          <w:rPr>
            <w:rStyle w:val="Hyperlink"/>
            <w:b/>
          </w:rPr>
          <w:t>BPM for Scheduling Coordinator Certification and Termination</w:t>
        </w:r>
      </w:hyperlink>
      <w:r w:rsidRPr="00480065">
        <w:t>.  The two types of Scheduling Coordinators that may transact in the</w:t>
      </w:r>
      <w:r w:rsidR="005F24C1">
        <w:t xml:space="preserve"> WEIM </w:t>
      </w:r>
      <w:r w:rsidRPr="00480065">
        <w:t xml:space="preserve">are:  </w:t>
      </w:r>
    </w:p>
    <w:p w14:paraId="18ED8E4A" w14:textId="5B26E23E" w:rsidR="00E77E45" w:rsidRPr="00BA2E6E" w:rsidRDefault="00F849F7" w:rsidP="00BA2E6E">
      <w:pPr>
        <w:numPr>
          <w:ilvl w:val="0"/>
          <w:numId w:val="9"/>
        </w:numPr>
        <w:spacing w:after="240" w:line="300" w:lineRule="auto"/>
      </w:pPr>
      <w:r w:rsidRPr="00F95AB3">
        <w:rPr>
          <w:b/>
        </w:rPr>
        <w:t xml:space="preserve">EIM </w:t>
      </w:r>
      <w:r w:rsidR="00CA517E" w:rsidRPr="00F95AB3">
        <w:rPr>
          <w:b/>
        </w:rPr>
        <w:t>Entity Scheduling Coordinators:</w:t>
      </w:r>
      <w:r w:rsidR="00CA517E">
        <w:t xml:space="preserve">  </w:t>
      </w:r>
      <w:r w:rsidRPr="00480065">
        <w:t>Represent non-participating load and non-participating resources within the EIM.   A</w:t>
      </w:r>
      <w:r w:rsidR="005F24C1">
        <w:t xml:space="preserve"> WEIM </w:t>
      </w:r>
      <w:r w:rsidRPr="00480065">
        <w:t>Entity Scheduling Coordinator may represent multiple</w:t>
      </w:r>
      <w:r w:rsidR="005F24C1">
        <w:t xml:space="preserve"> WEIM </w:t>
      </w:r>
      <w:r w:rsidRPr="00480065">
        <w:t>Entities if it has informed each</w:t>
      </w:r>
      <w:r w:rsidR="005F24C1">
        <w:t xml:space="preserve"> WEIM </w:t>
      </w:r>
      <w:r w:rsidRPr="00480065">
        <w:t xml:space="preserve">Entity of the multiple </w:t>
      </w:r>
      <w:r w:rsidR="009C0EE3" w:rsidRPr="00480065">
        <w:t>representations</w:t>
      </w:r>
      <w:r w:rsidRPr="00480065">
        <w:t xml:space="preserve">, </w:t>
      </w:r>
      <w:r w:rsidR="009C0EE3" w:rsidRPr="00480065">
        <w:t>and has</w:t>
      </w:r>
      <w:r w:rsidRPr="00480065">
        <w:t xml:space="preserve"> completed a</w:t>
      </w:r>
      <w:r w:rsidR="005F24C1">
        <w:t xml:space="preserve"> WEIM </w:t>
      </w:r>
      <w:r w:rsidRPr="00480065">
        <w:t>Entity Schedulin</w:t>
      </w:r>
      <w:r w:rsidR="00F429F2">
        <w:t xml:space="preserve">g </w:t>
      </w:r>
      <w:r w:rsidRPr="00480065">
        <w:t>Coordinator Representation Form and submitted it to</w:t>
      </w:r>
      <w:r w:rsidR="009D507A">
        <w:t xml:space="preserve"> </w:t>
      </w:r>
      <w:r w:rsidR="00577BCD">
        <w:t>CAISO in the manner noted o</w:t>
      </w:r>
      <w:r w:rsidRPr="00480065">
        <w:t xml:space="preserve">n the form. </w:t>
      </w:r>
    </w:p>
    <w:p w14:paraId="6C785BDC" w14:textId="59AD8FB7" w:rsidR="002E46E9" w:rsidRPr="00BB070F" w:rsidRDefault="002E46E9" w:rsidP="000879D6">
      <w:pPr>
        <w:numPr>
          <w:ilvl w:val="0"/>
          <w:numId w:val="9"/>
        </w:numPr>
        <w:spacing w:after="240" w:line="300" w:lineRule="auto"/>
      </w:pPr>
      <w:r w:rsidRPr="00F95AB3">
        <w:rPr>
          <w:b/>
        </w:rPr>
        <w:t>EIM Participating Resource Scheduling Coordinators</w:t>
      </w:r>
      <w:r w:rsidR="00E77E45" w:rsidRPr="00F95AB3">
        <w:rPr>
          <w:b/>
        </w:rPr>
        <w:t>:</w:t>
      </w:r>
      <w:r w:rsidR="00F429F2">
        <w:t xml:space="preserve">  </w:t>
      </w:r>
      <w:r w:rsidR="00E77E45" w:rsidRPr="00B06DE4">
        <w:t>Only represent resources that plan to participate in the</w:t>
      </w:r>
      <w:r w:rsidR="005F24C1">
        <w:t xml:space="preserve"> WEIM </w:t>
      </w:r>
      <w:r w:rsidR="00E77E45" w:rsidRPr="00B06DE4">
        <w:t>and may not be the</w:t>
      </w:r>
      <w:r w:rsidR="005F24C1">
        <w:t xml:space="preserve"> WEIM </w:t>
      </w:r>
      <w:r w:rsidR="00E77E45" w:rsidRPr="00B06DE4">
        <w:t>Entity Scheduling Coordinator.</w:t>
      </w:r>
    </w:p>
    <w:p w14:paraId="606902DA" w14:textId="335529AA" w:rsidR="00842CCC" w:rsidRPr="00B06DE4" w:rsidRDefault="002E46E9" w:rsidP="006F6DD6">
      <w:pPr>
        <w:spacing w:after="240" w:line="300" w:lineRule="auto"/>
      </w:pPr>
      <w:r w:rsidRPr="003D6985">
        <w:t xml:space="preserve">The </w:t>
      </w:r>
      <w:hyperlink r:id="rId19" w:history="1">
        <w:r w:rsidR="00A21E2E" w:rsidRPr="00B06DE4">
          <w:rPr>
            <w:rStyle w:val="Hyperlink"/>
            <w:b/>
          </w:rPr>
          <w:t>BPM for Scheduling Coordinator Certification and Termination</w:t>
        </w:r>
      </w:hyperlink>
      <w:r w:rsidR="005F0DEA" w:rsidRPr="00B06DE4">
        <w:rPr>
          <w:b/>
        </w:rPr>
        <w:t xml:space="preserve"> </w:t>
      </w:r>
      <w:r w:rsidRPr="00B06DE4">
        <w:t>outlines the processes and approximate associated timelines, including the training, testi</w:t>
      </w:r>
      <w:r w:rsidRPr="00BB070F">
        <w:t>ng</w:t>
      </w:r>
      <w:r w:rsidR="00D144D0" w:rsidRPr="003D6985">
        <w:t xml:space="preserve">, and informational submissions </w:t>
      </w:r>
      <w:r w:rsidRPr="00480065">
        <w:t>that an applicant must complete in order to become a</w:t>
      </w:r>
      <w:r w:rsidR="005F0DEA" w:rsidRPr="00480065">
        <w:t>n eligible</w:t>
      </w:r>
      <w:r w:rsidRPr="00480065">
        <w:t xml:space="preserve"> certified Scheduling Coordinator (SC)</w:t>
      </w:r>
      <w:r w:rsidR="00577BCD">
        <w:t xml:space="preserve"> with </w:t>
      </w:r>
      <w:r w:rsidR="00842CCC" w:rsidRPr="00480065">
        <w:t>CAISO.  Both types of</w:t>
      </w:r>
      <w:r w:rsidR="005F24C1">
        <w:t xml:space="preserve"> WEIM </w:t>
      </w:r>
      <w:r w:rsidR="002556CA">
        <w:t xml:space="preserve">Entity </w:t>
      </w:r>
      <w:r w:rsidR="00842CCC" w:rsidRPr="00480065">
        <w:t>Scheduling Coordinators are also respo</w:t>
      </w:r>
      <w:r w:rsidR="00577BCD">
        <w:t xml:space="preserve">nsible for registering with </w:t>
      </w:r>
      <w:r w:rsidR="00842CCC" w:rsidRPr="00480065">
        <w:t xml:space="preserve">CAISO the resources that they will represent as noted in the </w:t>
      </w:r>
      <w:hyperlink w:anchor="_FULL_NETWORK_MODEL" w:history="1">
        <w:r w:rsidR="00842CCC" w:rsidRPr="00F95AB3">
          <w:rPr>
            <w:rStyle w:val="Hyperlink"/>
          </w:rPr>
          <w:t>Full Network Model section of this BPM</w:t>
        </w:r>
      </w:hyperlink>
      <w:r w:rsidR="00842CCC" w:rsidRPr="00480065">
        <w:t>.</w:t>
      </w:r>
    </w:p>
    <w:p w14:paraId="379F4FD2" w14:textId="0CE7A762" w:rsidR="00E16545" w:rsidRDefault="00842CCC" w:rsidP="006F6DD6">
      <w:pPr>
        <w:spacing w:after="240" w:line="300" w:lineRule="auto"/>
      </w:pPr>
      <w:r w:rsidRPr="00B06DE4">
        <w:t xml:space="preserve">The </w:t>
      </w:r>
      <w:hyperlink r:id="rId20" w:history="1">
        <w:r w:rsidRPr="00B06DE4">
          <w:rPr>
            <w:rStyle w:val="Hyperlink"/>
            <w:b/>
          </w:rPr>
          <w:t>BPM for Scheduling Coordinator Certification and Termination</w:t>
        </w:r>
      </w:hyperlink>
      <w:r w:rsidR="005F0DEA" w:rsidRPr="00B06DE4">
        <w:rPr>
          <w:b/>
        </w:rPr>
        <w:t xml:space="preserve"> </w:t>
      </w:r>
      <w:r w:rsidR="002E46E9" w:rsidRPr="00B06DE4">
        <w:t xml:space="preserve">also addresses the </w:t>
      </w:r>
      <w:r w:rsidR="002E46E9" w:rsidRPr="003D6985">
        <w:t xml:space="preserve">responsibilities </w:t>
      </w:r>
      <w:r w:rsidR="005F0DEA" w:rsidRPr="003D6985">
        <w:t xml:space="preserve">and status that an SC must maintain in order to participate in the markets </w:t>
      </w:r>
      <w:r w:rsidR="00577BCD">
        <w:lastRenderedPageBreak/>
        <w:t xml:space="preserve">operated by </w:t>
      </w:r>
      <w:r w:rsidR="005F0DEA" w:rsidRPr="00480065">
        <w:t>CAISO.</w:t>
      </w:r>
      <w:r w:rsidR="005F0DEA" w:rsidRPr="00480065" w:rsidDel="005F0DEA">
        <w:t xml:space="preserve"> </w:t>
      </w:r>
      <w:r w:rsidR="002E46E9" w:rsidRPr="00480065">
        <w:t>To particip</w:t>
      </w:r>
      <w:r w:rsidR="00D144D0" w:rsidRPr="00480065">
        <w:t>ate in the EIM, entities must</w:t>
      </w:r>
      <w:r w:rsidR="002E46E9" w:rsidRPr="00480065">
        <w:t xml:space="preserve"> request access to a variety of applications as noted in Section 5.3.4 of the </w:t>
      </w:r>
      <w:hyperlink r:id="rId21" w:history="1">
        <w:r w:rsidR="00A21E2E" w:rsidRPr="00B06DE4">
          <w:rPr>
            <w:rStyle w:val="Hyperlink"/>
            <w:b/>
          </w:rPr>
          <w:t>BPM for Scheduling Coordinator Certification and Termination</w:t>
        </w:r>
      </w:hyperlink>
      <w:r w:rsidR="002E46E9" w:rsidRPr="00B06DE4">
        <w:t xml:space="preserve">.  While registration as </w:t>
      </w:r>
      <w:r w:rsidR="00153940">
        <w:t>a WEIM</w:t>
      </w:r>
      <w:r w:rsidR="005F24C1">
        <w:t xml:space="preserve"> </w:t>
      </w:r>
      <w:r w:rsidR="002E46E9" w:rsidRPr="00B06DE4">
        <w:t>participant is part of the s</w:t>
      </w:r>
      <w:r w:rsidR="002E46E9" w:rsidRPr="00BB070F">
        <w:t>tandard process to</w:t>
      </w:r>
      <w:r w:rsidR="002E46E9" w:rsidRPr="002E46E9">
        <w:t xml:space="preserve"> become a</w:t>
      </w:r>
      <w:r w:rsidR="005F0DEA">
        <w:t>n</w:t>
      </w:r>
      <w:r w:rsidR="002E46E9" w:rsidRPr="002E46E9">
        <w:t xml:space="preserve"> SC, if additional SC_IDs are desired, </w:t>
      </w:r>
      <w:r w:rsidR="00153940">
        <w:t>a WEIM</w:t>
      </w:r>
      <w:r w:rsidR="005F24C1">
        <w:t xml:space="preserve"> </w:t>
      </w:r>
      <w:r w:rsidR="002E46E9" w:rsidRPr="002E46E9">
        <w:t xml:space="preserve">participant should refer to Section 5.5 of the </w:t>
      </w:r>
      <w:hyperlink r:id="rId22" w:history="1">
        <w:r w:rsidR="00A21E2E" w:rsidRPr="00B84E9F">
          <w:rPr>
            <w:rStyle w:val="Hyperlink"/>
            <w:b/>
          </w:rPr>
          <w:t>BPM for Scheduling Coordinator Certification and Termination</w:t>
        </w:r>
      </w:hyperlink>
      <w:r w:rsidR="002E46E9" w:rsidRPr="002E46E9">
        <w:t xml:space="preserve"> for more information.  </w:t>
      </w:r>
    </w:p>
    <w:p w14:paraId="75C5F0F8" w14:textId="741C21C1" w:rsidR="006B2D5F" w:rsidRDefault="002E46E9" w:rsidP="006B2D5F">
      <w:pPr>
        <w:spacing w:after="240" w:line="300" w:lineRule="auto"/>
      </w:pPr>
      <w:r w:rsidRPr="002E46E9">
        <w:t>For</w:t>
      </w:r>
      <w:r w:rsidR="005F24C1">
        <w:t xml:space="preserve"> WEIM </w:t>
      </w:r>
      <w:r w:rsidRPr="002E46E9">
        <w:t>Entity Scheduling Coordinators and</w:t>
      </w:r>
      <w:r w:rsidR="005F24C1">
        <w:t xml:space="preserve"> WEIM </w:t>
      </w:r>
      <w:r w:rsidRPr="002E46E9">
        <w:t>Participating Resource Scheduling Coordinators, certain activities outlined in Section 3 of</w:t>
      </w:r>
      <w:r w:rsidR="00E16545">
        <w:t xml:space="preserve"> the</w:t>
      </w:r>
      <w:r w:rsidRPr="002E46E9">
        <w:t xml:space="preserve"> </w:t>
      </w:r>
      <w:hyperlink r:id="rId23" w:history="1">
        <w:r w:rsidR="00A21E2E" w:rsidRPr="00B84E9F">
          <w:rPr>
            <w:rStyle w:val="Hyperlink"/>
            <w:b/>
          </w:rPr>
          <w:t>BPM for Scheduling Coordinator Certification and Termination</w:t>
        </w:r>
      </w:hyperlink>
      <w:r w:rsidRPr="00E16545">
        <w:rPr>
          <w:b/>
        </w:rPr>
        <w:t xml:space="preserve"> </w:t>
      </w:r>
      <w:r w:rsidRPr="002E46E9">
        <w:t>do not apply</w:t>
      </w:r>
      <w:r w:rsidR="00967ECB">
        <w:t xml:space="preserve"> to participation in</w:t>
      </w:r>
      <w:r w:rsidR="005F0DEA">
        <w:t xml:space="preserve"> the</w:t>
      </w:r>
      <w:r w:rsidR="00967ECB">
        <w:t xml:space="preserve"> EIM</w:t>
      </w:r>
      <w:r w:rsidRPr="002E46E9">
        <w:t xml:space="preserve">.  </w:t>
      </w:r>
      <w:r w:rsidRPr="009C0623">
        <w:t>Specifically, those activities listed that reflect Inter-SC Trades, CAISO Balancing Authority Area Generating Units, CAISO Balancing Authority Area Load,</w:t>
      </w:r>
      <w:r w:rsidR="00967ECB" w:rsidRPr="009C0623">
        <w:t xml:space="preserve"> </w:t>
      </w:r>
      <w:r w:rsidRPr="009C0623">
        <w:t>and Convergence Bidding are not applicable to participation in the EIM.</w:t>
      </w:r>
      <w:bookmarkStart w:id="41" w:name="_Toc389662571"/>
      <w:bookmarkStart w:id="42" w:name="_Toc390946256"/>
    </w:p>
    <w:p w14:paraId="45BA5773" w14:textId="77777777" w:rsidR="007C7A35" w:rsidRDefault="007C7A35" w:rsidP="005F6CDE">
      <w:pPr>
        <w:pStyle w:val="Heading2"/>
      </w:pPr>
      <w:bookmarkStart w:id="43" w:name="_Toc229054458"/>
      <w:r w:rsidRPr="00423E1F">
        <w:t>Determination of SC Certification Requirements</w:t>
      </w:r>
      <w:bookmarkEnd w:id="43"/>
      <w:r w:rsidRPr="00423E1F">
        <w:t xml:space="preserve"> </w:t>
      </w:r>
    </w:p>
    <w:p w14:paraId="18B9AC46" w14:textId="2EFFDBCC" w:rsidR="007A721E" w:rsidRDefault="007A721E">
      <w:r w:rsidRPr="00877DDB">
        <w:t>An existing Certified Scheduling Coordinator with a valid Scheduling Coordinator Agreement (SCA) in place for the corporate parent of the</w:t>
      </w:r>
      <w:r w:rsidR="005F24C1">
        <w:t xml:space="preserve"> WEIM </w:t>
      </w:r>
      <w:r w:rsidRPr="00877DDB">
        <w:t>Entity may qualify for certification requirements for</w:t>
      </w:r>
      <w:r w:rsidR="005F24C1">
        <w:t xml:space="preserve"> WEIM </w:t>
      </w:r>
      <w:r w:rsidRPr="00877DDB">
        <w:t>Participating Resource Scheduling Coordinator and/or</w:t>
      </w:r>
      <w:r w:rsidR="005F24C1">
        <w:t xml:space="preserve"> WEIM </w:t>
      </w:r>
      <w:r w:rsidRPr="00877DDB">
        <w:t>Entity Scheduling Coordinator certification requirements. Please review the provision set forth in tariff section 29.4 and section 3 of the</w:t>
      </w:r>
      <w:r w:rsidR="005F24C1">
        <w:t xml:space="preserve"> WEIM </w:t>
      </w:r>
      <w:r w:rsidRPr="00877DDB">
        <w:t xml:space="preserve">BPM for determination of SC certification requirements: </w:t>
      </w:r>
    </w:p>
    <w:p w14:paraId="2612B693" w14:textId="504A7F2B" w:rsidR="00BE02D8" w:rsidRPr="00877DDB" w:rsidRDefault="00BE02D8" w:rsidP="007A721E">
      <w:r w:rsidRPr="00877DDB">
        <w:t xml:space="preserve"> </w:t>
      </w:r>
      <w:r w:rsidRPr="00877DDB">
        <w:br/>
      </w:r>
      <w:r w:rsidRPr="00877DDB">
        <w:rPr>
          <w:color w:val="000000" w:themeColor="text1"/>
        </w:rPr>
        <w:t xml:space="preserve">Tariff section 29.4 Roles and Responsibilities; (c) 3 (b). </w:t>
      </w:r>
      <w:r w:rsidR="00153940">
        <w:rPr>
          <w:color w:val="000000" w:themeColor="text1"/>
        </w:rPr>
        <w:t>A WEIM</w:t>
      </w:r>
      <w:r w:rsidR="005F24C1">
        <w:rPr>
          <w:color w:val="000000" w:themeColor="text1"/>
        </w:rPr>
        <w:t xml:space="preserve"> </w:t>
      </w:r>
      <w:r w:rsidRPr="00877DDB">
        <w:rPr>
          <w:color w:val="000000" w:themeColor="text1"/>
        </w:rPr>
        <w:t xml:space="preserve">Entity Scheduling Coordinator may not also be </w:t>
      </w:r>
      <w:r w:rsidR="00153940">
        <w:rPr>
          <w:color w:val="000000" w:themeColor="text1"/>
        </w:rPr>
        <w:t>a WEIM</w:t>
      </w:r>
      <w:r w:rsidR="005F24C1">
        <w:rPr>
          <w:color w:val="000000" w:themeColor="text1"/>
        </w:rPr>
        <w:t xml:space="preserve"> </w:t>
      </w:r>
      <w:r w:rsidRPr="00877DDB">
        <w:rPr>
          <w:color w:val="000000" w:themeColor="text1"/>
        </w:rPr>
        <w:t>Participating Resources Scheduling Coordinator or a Scheduling Coordinator for a Participating Generator, Participating Load or Demand Response Provider, unless the</w:t>
      </w:r>
      <w:r w:rsidR="005F24C1">
        <w:rPr>
          <w:color w:val="000000" w:themeColor="text1"/>
        </w:rPr>
        <w:t xml:space="preserve"> WEIM </w:t>
      </w:r>
      <w:r w:rsidRPr="00877DDB">
        <w:rPr>
          <w:color w:val="000000" w:themeColor="text1"/>
        </w:rPr>
        <w:t>Entity Scheduling Coordinator is a transmission provider subject to the standards of conduct set forth in 18 C.F.R § 358.</w:t>
      </w:r>
    </w:p>
    <w:p w14:paraId="36F2E145" w14:textId="77777777" w:rsidR="00BE02D8" w:rsidRDefault="00BE02D8" w:rsidP="00BE02D8">
      <w:pPr>
        <w:ind w:left="720"/>
      </w:pPr>
    </w:p>
    <w:p w14:paraId="1EB8F2EE" w14:textId="5CDCC18D" w:rsidR="007A721E" w:rsidRDefault="007A721E" w:rsidP="00BE02D8">
      <w:r>
        <w:t>The determination of requirements will depend on the corporate structure of the</w:t>
      </w:r>
      <w:r w:rsidR="005F24C1">
        <w:t xml:space="preserve"> WEIM </w:t>
      </w:r>
      <w:r>
        <w:t>Entity and</w:t>
      </w:r>
      <w:r w:rsidR="005F24C1">
        <w:t xml:space="preserve"> WEIM </w:t>
      </w:r>
      <w:r>
        <w:t>Participating Resources owned by the parent company.  Discussions between CAISO legal counsel and</w:t>
      </w:r>
      <w:r w:rsidR="005F24C1">
        <w:t xml:space="preserve"> WEIM </w:t>
      </w:r>
      <w:r>
        <w:t>Entity legal counsel will be required. If it is determined that the</w:t>
      </w:r>
      <w:r w:rsidR="005F24C1">
        <w:t xml:space="preserve"> WEIM </w:t>
      </w:r>
      <w:r>
        <w:t>Entity does not meet the stated exception, the</w:t>
      </w:r>
      <w:r w:rsidR="005F24C1">
        <w:t xml:space="preserve"> WEIM </w:t>
      </w:r>
      <w:r>
        <w:t xml:space="preserve">Entity SC must complete the entire SC certification process which can take a minimum of 120 days. Please refer to the BPM for the requirements for SC certification.  </w:t>
      </w:r>
    </w:p>
    <w:p w14:paraId="384C464A" w14:textId="77777777" w:rsidR="00BE02D8" w:rsidRDefault="00BE02D8" w:rsidP="00BE02D8"/>
    <w:p w14:paraId="613156B4" w14:textId="475789D9" w:rsidR="00BE02D8" w:rsidRPr="00877DDB" w:rsidRDefault="00BE02D8" w:rsidP="00BE02D8">
      <w:r>
        <w:lastRenderedPageBreak/>
        <w:t>If it is determined that the</w:t>
      </w:r>
      <w:r w:rsidR="005F24C1">
        <w:t xml:space="preserve"> WEIM </w:t>
      </w:r>
      <w:r>
        <w:t>Entity does in fact  meet the stated exception, then the</w:t>
      </w:r>
      <w:r w:rsidR="005F24C1">
        <w:t xml:space="preserve"> WEIM </w:t>
      </w:r>
      <w:r>
        <w:t xml:space="preserve">entity SC will not need to complete the entire certification process. </w:t>
      </w:r>
    </w:p>
    <w:p w14:paraId="3CD81EB8" w14:textId="3D862B2C" w:rsidR="00BE02D8" w:rsidRPr="00877DDB" w:rsidRDefault="00BE02D8" w:rsidP="00B851D4">
      <w:pPr>
        <w:pStyle w:val="ListParagraph"/>
        <w:numPr>
          <w:ilvl w:val="0"/>
          <w:numId w:val="54"/>
        </w:numPr>
      </w:pPr>
      <w:r w:rsidRPr="00877DDB">
        <w:t>Business Practice Manual (BPM) Library</w:t>
      </w:r>
      <w:r w:rsidR="005F71AB">
        <w:t>:</w:t>
      </w:r>
      <w:r w:rsidRPr="00877DDB">
        <w:t xml:space="preserve"> </w:t>
      </w:r>
      <w:hyperlink r:id="rId24" w:history="1">
        <w:r w:rsidRPr="00877DDB">
          <w:t>http://bpmcm.caiso.com/Pages/BPMLibrary.aspx</w:t>
        </w:r>
      </w:hyperlink>
      <w:r w:rsidRPr="00877DDB">
        <w:t xml:space="preserve"> </w:t>
      </w:r>
    </w:p>
    <w:p w14:paraId="4A1F3ED4" w14:textId="77777777" w:rsidR="00BE02D8" w:rsidRPr="00877DDB" w:rsidRDefault="00BE02D8" w:rsidP="00BE02D8">
      <w:pPr>
        <w:pStyle w:val="ListParagraph"/>
        <w:ind w:left="1080"/>
      </w:pPr>
      <w:r w:rsidRPr="00877DDB">
        <w:t>(Scheduling Coordinator Certification and Termination)</w:t>
      </w:r>
    </w:p>
    <w:p w14:paraId="2BBA1785" w14:textId="77777777" w:rsidR="00BE02D8" w:rsidRDefault="00BE02D8" w:rsidP="006B2D5F">
      <w:pPr>
        <w:spacing w:after="240" w:line="300" w:lineRule="auto"/>
      </w:pPr>
    </w:p>
    <w:p w14:paraId="1D250E41" w14:textId="77777777" w:rsidR="00AE404B" w:rsidRDefault="00AE404B" w:rsidP="00AE404B">
      <w:pPr>
        <w:pStyle w:val="Heading1"/>
      </w:pPr>
      <w:bookmarkStart w:id="44" w:name="_AGREEMENTS"/>
      <w:bookmarkStart w:id="45" w:name="_Toc229054459"/>
      <w:bookmarkEnd w:id="44"/>
      <w:r>
        <w:t>AGREEMENTS</w:t>
      </w:r>
      <w:bookmarkEnd w:id="45"/>
    </w:p>
    <w:p w14:paraId="31A08B49" w14:textId="1D57AA71" w:rsidR="00BE02D8" w:rsidRPr="00BE02D8" w:rsidRDefault="00BE02D8" w:rsidP="00BE02D8">
      <w:r w:rsidRPr="00BE02D8">
        <w:t xml:space="preserve">For entities that have signed </w:t>
      </w:r>
      <w:r w:rsidR="00153940">
        <w:t>a WEIM</w:t>
      </w:r>
      <w:r w:rsidR="005F24C1">
        <w:t xml:space="preserve"> </w:t>
      </w:r>
      <w:r w:rsidRPr="00BE02D8">
        <w:t xml:space="preserve">implementation agreement, the purpose of this document is to provide the specific steps and appropriate links to obtain all the applicable agreements to be completed and executed in order to participate in the </w:t>
      </w:r>
      <w:r w:rsidR="005F24C1">
        <w:t>Western Energy Imbalance Market</w:t>
      </w:r>
      <w:r w:rsidRPr="00BE02D8">
        <w:t>.  References made to the</w:t>
      </w:r>
      <w:r w:rsidR="005F24C1">
        <w:t xml:space="preserve"> WEIM </w:t>
      </w:r>
      <w:r w:rsidRPr="00BE02D8">
        <w:t xml:space="preserve">BPM and CAISO tariff refer to the most current versions of these documents.  </w:t>
      </w:r>
      <w:r w:rsidRPr="00BE02D8">
        <w:br/>
      </w:r>
    </w:p>
    <w:p w14:paraId="2D2AC2D0" w14:textId="14C47F17" w:rsidR="00BE02D8" w:rsidRDefault="00BE02D8" w:rsidP="00B851D4">
      <w:pPr>
        <w:pStyle w:val="ListParagraph"/>
        <w:numPr>
          <w:ilvl w:val="0"/>
          <w:numId w:val="54"/>
        </w:numPr>
      </w:pPr>
      <w:r w:rsidRPr="00BE02D8">
        <w:t>Business Practice Manual (BPM) library</w:t>
      </w:r>
      <w:r w:rsidR="005F71AB">
        <w:t>:</w:t>
      </w:r>
      <w:r w:rsidRPr="00BE02D8">
        <w:t xml:space="preserve"> </w:t>
      </w:r>
      <w:hyperlink r:id="rId25" w:history="1">
        <w:r w:rsidRPr="00BE02D8">
          <w:rPr>
            <w:color w:val="0000FF"/>
            <w:u w:val="single"/>
          </w:rPr>
          <w:t>http://bpmcm.caiso.com/Pages/BPMLibrary.aspx</w:t>
        </w:r>
      </w:hyperlink>
      <w:r w:rsidRPr="00BE02D8">
        <w:t xml:space="preserve"> </w:t>
      </w:r>
      <w:r w:rsidR="005F71AB">
        <w:t xml:space="preserve">under </w:t>
      </w:r>
      <w:r w:rsidR="005F24C1">
        <w:t>Western Energy Imbalance Market</w:t>
      </w:r>
    </w:p>
    <w:p w14:paraId="1F74F5F4" w14:textId="7354DC8F" w:rsidR="00BE02D8" w:rsidRPr="00BE02D8" w:rsidRDefault="00BE02D8" w:rsidP="00BE02D8">
      <w:pPr>
        <w:pStyle w:val="ListParagraph"/>
        <w:ind w:left="1080"/>
      </w:pPr>
      <w:r>
        <w:t>CAISO</w:t>
      </w:r>
      <w:r w:rsidRPr="00BE02D8">
        <w:t xml:space="preserve"> Conformed Tariff </w:t>
      </w:r>
      <w:r w:rsidR="005F71AB">
        <w:t xml:space="preserve"> </w:t>
      </w:r>
    </w:p>
    <w:p w14:paraId="650C4258" w14:textId="3C980AF3" w:rsidR="00BE02D8" w:rsidRPr="00BE02D8" w:rsidRDefault="00BE02D8" w:rsidP="00BE02D8">
      <w:r w:rsidRPr="00BE02D8">
        <w:t>The addition of a new balancing area to the</w:t>
      </w:r>
      <w:r w:rsidR="005F24C1">
        <w:t xml:space="preserve"> WEIM </w:t>
      </w:r>
      <w:r w:rsidRPr="00BE02D8">
        <w:t xml:space="preserve">will typically involve the agreements listed below.  The schedule for completion of these agreements will be developed during the initial project planning phases.  It is recommended that the Implementation Agreement be executed 8-9 months prior to initial participation in order to begin the process for completing and executing the below agreements: </w:t>
      </w:r>
    </w:p>
    <w:p w14:paraId="225A065C" w14:textId="77777777" w:rsidR="00BE02D8" w:rsidRPr="00BE02D8" w:rsidRDefault="00BE02D8" w:rsidP="00B851D4">
      <w:pPr>
        <w:numPr>
          <w:ilvl w:val="0"/>
          <w:numId w:val="53"/>
        </w:numPr>
      </w:pPr>
      <w:r w:rsidRPr="00BE02D8">
        <w:t>EIM Entity Agreement</w:t>
      </w:r>
    </w:p>
    <w:p w14:paraId="72B2A979" w14:textId="77777777" w:rsidR="00BE02D8" w:rsidRPr="00BE02D8" w:rsidRDefault="00BE02D8" w:rsidP="00B851D4">
      <w:pPr>
        <w:numPr>
          <w:ilvl w:val="0"/>
          <w:numId w:val="53"/>
        </w:numPr>
      </w:pPr>
      <w:r w:rsidRPr="00BE02D8">
        <w:t xml:space="preserve">EIM Entity Scheduling Coordinator Agreement </w:t>
      </w:r>
    </w:p>
    <w:p w14:paraId="4B1C6DAF" w14:textId="77777777" w:rsidR="00BE02D8" w:rsidRPr="00BE02D8" w:rsidRDefault="00BE02D8" w:rsidP="00B851D4">
      <w:pPr>
        <w:numPr>
          <w:ilvl w:val="1"/>
          <w:numId w:val="53"/>
        </w:numPr>
      </w:pPr>
      <w:r w:rsidRPr="00BE02D8">
        <w:t>Meter Service Agreement for Scheduling Coordinators</w:t>
      </w:r>
    </w:p>
    <w:p w14:paraId="1CA8AD9D" w14:textId="77777777" w:rsidR="00BE02D8" w:rsidRPr="00BE02D8" w:rsidRDefault="00BE02D8" w:rsidP="00B851D4">
      <w:pPr>
        <w:numPr>
          <w:ilvl w:val="0"/>
          <w:numId w:val="53"/>
        </w:numPr>
      </w:pPr>
      <w:r w:rsidRPr="00BE02D8">
        <w:t>EIM Participating Resource Scheduling Coordinator Agreements</w:t>
      </w:r>
    </w:p>
    <w:p w14:paraId="0E192E1D" w14:textId="77777777" w:rsidR="00BE02D8" w:rsidRPr="00BE02D8" w:rsidRDefault="00BE02D8" w:rsidP="00B851D4">
      <w:pPr>
        <w:numPr>
          <w:ilvl w:val="1"/>
          <w:numId w:val="53"/>
        </w:numPr>
      </w:pPr>
      <w:r w:rsidRPr="00BE02D8">
        <w:t>Meter Service Agreement for Scheduling Coordinators</w:t>
      </w:r>
    </w:p>
    <w:p w14:paraId="770ACC59" w14:textId="77777777" w:rsidR="00BE02D8" w:rsidRPr="00BE02D8" w:rsidRDefault="00BE02D8" w:rsidP="00B851D4">
      <w:pPr>
        <w:numPr>
          <w:ilvl w:val="0"/>
          <w:numId w:val="53"/>
        </w:numPr>
      </w:pPr>
      <w:r w:rsidRPr="00BE02D8">
        <w:t>EIM Participating Resource Agreement</w:t>
      </w:r>
    </w:p>
    <w:p w14:paraId="744E6CE9" w14:textId="77777777" w:rsidR="00BE02D8" w:rsidRDefault="00BE02D8" w:rsidP="00B851D4">
      <w:pPr>
        <w:numPr>
          <w:ilvl w:val="1"/>
          <w:numId w:val="53"/>
        </w:numPr>
      </w:pPr>
      <w:r w:rsidRPr="00BE02D8">
        <w:lastRenderedPageBreak/>
        <w:t xml:space="preserve">(optional) Meter Service Agreement for </w:t>
      </w:r>
      <w:r>
        <w:t>CA</w:t>
      </w:r>
      <w:r w:rsidRPr="00BE02D8">
        <w:t>ISO Metered Entities</w:t>
      </w:r>
    </w:p>
    <w:p w14:paraId="7FB52D23" w14:textId="77777777" w:rsidR="00BE02D8" w:rsidRDefault="00BE02D8" w:rsidP="00BE02D8"/>
    <w:p w14:paraId="649199B7" w14:textId="77777777" w:rsidR="00BE02D8" w:rsidRDefault="00BE02D8" w:rsidP="00BE02D8">
      <w:pPr>
        <w:outlineLvl w:val="0"/>
        <w:rPr>
          <w:color w:val="244061"/>
        </w:rPr>
      </w:pPr>
    </w:p>
    <w:p w14:paraId="40C2E104" w14:textId="77777777" w:rsidR="00BE02D8" w:rsidRPr="00BA7F31" w:rsidRDefault="00BE02D8" w:rsidP="00D46AE0">
      <w:pPr>
        <w:pStyle w:val="Heading2"/>
      </w:pPr>
      <w:bookmarkStart w:id="46" w:name="_Toc229054460"/>
      <w:r w:rsidRPr="00BA7F31">
        <w:t>EIM Entity Agreement</w:t>
      </w:r>
      <w:bookmarkEnd w:id="46"/>
    </w:p>
    <w:p w14:paraId="0F3F20A3" w14:textId="12417C0F" w:rsidR="00BE02D8" w:rsidRPr="00877DDB" w:rsidRDefault="00BE02D8" w:rsidP="00B851D4">
      <w:pPr>
        <w:pStyle w:val="ListParagraph"/>
        <w:numPr>
          <w:ilvl w:val="0"/>
          <w:numId w:val="59"/>
        </w:numPr>
        <w:rPr>
          <w:b/>
        </w:rPr>
      </w:pPr>
      <w:r w:rsidRPr="00877DDB">
        <w:t>Submit the Information Request Sheet for</w:t>
      </w:r>
      <w:r w:rsidR="005F24C1">
        <w:t xml:space="preserve"> WEIM </w:t>
      </w:r>
      <w:r w:rsidRPr="00877DDB">
        <w:t>Entity Agreement</w:t>
      </w:r>
    </w:p>
    <w:p w14:paraId="03D3B9F3" w14:textId="77777777" w:rsidR="005F71AB" w:rsidRDefault="00BE02D8" w:rsidP="00545134">
      <w:pPr>
        <w:ind w:left="720"/>
        <w:rPr>
          <w:color w:val="1F497D"/>
        </w:rPr>
      </w:pPr>
      <w:hyperlink r:id="rId26" w:history="1">
        <w:r w:rsidRPr="00BE02D8">
          <w:rPr>
            <w:rStyle w:val="Hyperlink"/>
          </w:rPr>
          <w:t>http://www.caiso.com/Documents/EnergyImbalanceMarketEntityAgreementInformationRequestSheet.doc</w:t>
        </w:r>
      </w:hyperlink>
      <w:r w:rsidRPr="00172552">
        <w:rPr>
          <w:color w:val="1F497D"/>
        </w:rPr>
        <w:t xml:space="preserve"> </w:t>
      </w:r>
    </w:p>
    <w:p w14:paraId="6C91639C" w14:textId="199E43E7" w:rsidR="00BE02D8" w:rsidRDefault="005F71AB" w:rsidP="00545134">
      <w:pPr>
        <w:ind w:left="720"/>
        <w:rPr>
          <w:color w:val="1F497D"/>
        </w:rPr>
      </w:pPr>
      <w:r w:rsidRPr="00877DDB">
        <w:t xml:space="preserve">Send submissions </w:t>
      </w:r>
      <w:r w:rsidR="00BE02D8" w:rsidRPr="00877DDB">
        <w:t xml:space="preserve">to: </w:t>
      </w:r>
      <w:hyperlink r:id="rId27" w:history="1">
        <w:r w:rsidR="00BE02D8" w:rsidRPr="009743F6">
          <w:rPr>
            <w:rStyle w:val="Hyperlink"/>
          </w:rPr>
          <w:t>RegulatoryContracts@caiso.com</w:t>
        </w:r>
      </w:hyperlink>
      <w:r w:rsidR="00BE02D8">
        <w:rPr>
          <w:color w:val="1F497D"/>
        </w:rPr>
        <w:t xml:space="preserve"> </w:t>
      </w:r>
    </w:p>
    <w:p w14:paraId="20A74AB0" w14:textId="77777777" w:rsidR="00BE02D8" w:rsidRPr="00172552" w:rsidRDefault="00BE02D8" w:rsidP="00BE02D8">
      <w:pPr>
        <w:rPr>
          <w:color w:val="1F497D"/>
        </w:rPr>
      </w:pPr>
    </w:p>
    <w:p w14:paraId="4CE914E2" w14:textId="77777777" w:rsidR="00BE02D8" w:rsidRDefault="00BE02D8" w:rsidP="00D46AE0">
      <w:pPr>
        <w:pStyle w:val="Heading2"/>
      </w:pPr>
      <w:bookmarkStart w:id="47" w:name="_Toc229054461"/>
      <w:r w:rsidRPr="00BA7F31">
        <w:t>EIM Entity Scheduling Coordinator (Entity SC)</w:t>
      </w:r>
      <w:bookmarkEnd w:id="47"/>
      <w:r>
        <w:t xml:space="preserve"> </w:t>
      </w:r>
    </w:p>
    <w:p w14:paraId="24D2FEDD" w14:textId="77777777" w:rsidR="007A721E" w:rsidRDefault="007A721E"/>
    <w:p w14:paraId="4D88392E" w14:textId="77777777" w:rsidR="00BE02D8" w:rsidRDefault="00BE02D8" w:rsidP="00AF0A22">
      <w:pPr>
        <w:rPr>
          <w:color w:val="1F497D"/>
        </w:rPr>
      </w:pPr>
      <w:r w:rsidRPr="00877DDB">
        <w:t>The submittals listed below should be sent to:</w:t>
      </w:r>
      <w:r w:rsidRPr="00877DDB">
        <w:rPr>
          <w:b/>
        </w:rPr>
        <w:t xml:space="preserve"> </w:t>
      </w:r>
      <w:hyperlink r:id="rId28" w:history="1">
        <w:r w:rsidRPr="00172552">
          <w:rPr>
            <w:rStyle w:val="Hyperlink"/>
          </w:rPr>
          <w:t>SCRequests@caiso.com</w:t>
        </w:r>
      </w:hyperlink>
    </w:p>
    <w:p w14:paraId="7E066BD4" w14:textId="77777777" w:rsidR="00BE02D8" w:rsidRDefault="00BE02D8" w:rsidP="00BE02D8">
      <w:pPr>
        <w:outlineLvl w:val="0"/>
        <w:rPr>
          <w:color w:val="1F497D"/>
        </w:rPr>
      </w:pPr>
    </w:p>
    <w:p w14:paraId="5763A737" w14:textId="2A184D67" w:rsidR="00BE02D8" w:rsidRDefault="00BE02D8" w:rsidP="00B851D4">
      <w:pPr>
        <w:pStyle w:val="ListParagraph"/>
        <w:numPr>
          <w:ilvl w:val="0"/>
          <w:numId w:val="60"/>
        </w:numPr>
      </w:pPr>
      <w:r>
        <w:t>EIM Entity will work with the CAISO to determine the SCID naming options. In addition to the SCID, there will be various other IDs that need to be set up for the</w:t>
      </w:r>
      <w:r w:rsidR="005F24C1">
        <w:t xml:space="preserve"> WEIM </w:t>
      </w:r>
      <w:r>
        <w:t>Entity and the</w:t>
      </w:r>
      <w:r w:rsidR="005F24C1">
        <w:t xml:space="preserve"> WEIM </w:t>
      </w:r>
      <w:r>
        <w:t>Entity SC. The CAISO will work with the</w:t>
      </w:r>
      <w:r w:rsidR="005F24C1">
        <w:t xml:space="preserve"> WEIM </w:t>
      </w:r>
      <w:r>
        <w:t>Entity to have these IDs set up in the MAPStage testing environment.</w:t>
      </w:r>
    </w:p>
    <w:p w14:paraId="2512C4EB" w14:textId="665D0ED9" w:rsidR="00BE02D8" w:rsidRPr="00BE02D8" w:rsidRDefault="00BE02D8" w:rsidP="00B851D4">
      <w:pPr>
        <w:pStyle w:val="ListParagraph"/>
        <w:numPr>
          <w:ilvl w:val="0"/>
          <w:numId w:val="60"/>
        </w:numPr>
      </w:pPr>
      <w:r w:rsidRPr="00640A94">
        <w:t>Submit the</w:t>
      </w:r>
      <w:r w:rsidR="005F24C1">
        <w:t xml:space="preserve"> WEIM </w:t>
      </w:r>
      <w:r w:rsidRPr="00640A94">
        <w:t>entity SC application with the</w:t>
      </w:r>
      <w:r w:rsidR="005F24C1">
        <w:t xml:space="preserve"> WEIM </w:t>
      </w:r>
      <w:r w:rsidRPr="00640A94">
        <w:t>entity (balancing authority) box checked per example below</w:t>
      </w:r>
    </w:p>
    <w:p w14:paraId="5C194057" w14:textId="77777777" w:rsidR="00BE02D8" w:rsidRPr="00640A94" w:rsidRDefault="00BE02D8" w:rsidP="009540DF">
      <w:r>
        <w:br/>
      </w:r>
    </w:p>
    <w:p w14:paraId="4FC622B2" w14:textId="77777777" w:rsidR="00BE02D8" w:rsidRPr="006E2D91" w:rsidRDefault="00BE02D8" w:rsidP="00D46AE0">
      <w:hyperlink r:id="rId29" w:history="1">
        <w:r w:rsidRPr="00BE02D8">
          <w:rPr>
            <w:rStyle w:val="Hyperlink"/>
          </w:rPr>
          <w:t>http://www.caiso.com/Documents/SchedulingCoordinatorApplicationFormEIM-SelectionOptions.doc</w:t>
        </w:r>
      </w:hyperlink>
      <w:r w:rsidRPr="006E2D91">
        <w:t xml:space="preserve"> </w:t>
      </w:r>
    </w:p>
    <w:p w14:paraId="7F2DDF60" w14:textId="77777777" w:rsidR="00BE02D8" w:rsidRPr="006E2D91" w:rsidRDefault="00BE02D8" w:rsidP="00D46AE0">
      <w:r w:rsidRPr="006E2D91">
        <w:t>Indicate designated SCID on page 1</w:t>
      </w:r>
    </w:p>
    <w:p w14:paraId="1DDF687A" w14:textId="77777777" w:rsidR="00BE02D8" w:rsidRPr="006E2D91" w:rsidRDefault="00BE02D8" w:rsidP="00BE02D8">
      <w:pPr>
        <w:ind w:firstLine="450"/>
        <w:rPr>
          <w:color w:val="1F497D"/>
        </w:rPr>
      </w:pPr>
    </w:p>
    <w:p w14:paraId="1EB7DAE0" w14:textId="77777777" w:rsidR="00BE02D8" w:rsidRPr="006E2D91" w:rsidRDefault="00BE02D8" w:rsidP="00BE02D8">
      <w:pPr>
        <w:ind w:firstLine="450"/>
        <w:rPr>
          <w:color w:val="1F497D"/>
        </w:rPr>
      </w:pPr>
      <w:r w:rsidRPr="00F55A81">
        <w:rPr>
          <w:noProof/>
          <w:color w:val="1F497D"/>
        </w:rPr>
        <w:lastRenderedPageBreak/>
        <w:drawing>
          <wp:inline distT="0" distB="0" distL="0" distR="0" wp14:anchorId="056D4506" wp14:editId="4BFDBB70">
            <wp:extent cx="61436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3625" cy="1447800"/>
                    </a:xfrm>
                    <a:prstGeom prst="rect">
                      <a:avLst/>
                    </a:prstGeom>
                    <a:noFill/>
                    <a:ln>
                      <a:noFill/>
                    </a:ln>
                  </pic:spPr>
                </pic:pic>
              </a:graphicData>
            </a:graphic>
          </wp:inline>
        </w:drawing>
      </w:r>
    </w:p>
    <w:p w14:paraId="0E5492F4" w14:textId="77777777" w:rsidR="00BE02D8" w:rsidRPr="006E2D91" w:rsidRDefault="00BE02D8" w:rsidP="00BE02D8">
      <w:pPr>
        <w:ind w:firstLine="450"/>
        <w:rPr>
          <w:color w:val="1F497D"/>
        </w:rPr>
      </w:pPr>
    </w:p>
    <w:p w14:paraId="5D964A5E" w14:textId="3FC724EF" w:rsidR="00BE02D8" w:rsidRPr="00877DDB" w:rsidRDefault="00BE02D8" w:rsidP="00B851D4">
      <w:pPr>
        <w:pStyle w:val="ListParagraph"/>
        <w:numPr>
          <w:ilvl w:val="0"/>
          <w:numId w:val="55"/>
        </w:numPr>
        <w:rPr>
          <w:b/>
        </w:rPr>
      </w:pPr>
      <w:r w:rsidRPr="00877DDB">
        <w:t>Submit the Information Request Sheet for</w:t>
      </w:r>
      <w:r w:rsidR="005F24C1">
        <w:t xml:space="preserve"> WEIM </w:t>
      </w:r>
      <w:r w:rsidRPr="00877DDB">
        <w:t xml:space="preserve">Entity SC </w:t>
      </w:r>
    </w:p>
    <w:p w14:paraId="69AFED09" w14:textId="77777777" w:rsidR="00BE02D8" w:rsidRPr="006E2D91" w:rsidRDefault="00BE02D8" w:rsidP="00BE02D8">
      <w:pPr>
        <w:ind w:left="450"/>
        <w:rPr>
          <w:color w:val="1F497D"/>
        </w:rPr>
      </w:pPr>
      <w:hyperlink r:id="rId31" w:history="1">
        <w:r w:rsidRPr="00BE02D8">
          <w:rPr>
            <w:rStyle w:val="Hyperlink"/>
          </w:rPr>
          <w:t>http://www.caiso.com/Documents/EnergyImbalanceMarketEntitySchedulingCoordinatorAgreementInformationRequestSheet.doc</w:t>
        </w:r>
      </w:hyperlink>
      <w:r w:rsidRPr="006E2D91">
        <w:rPr>
          <w:color w:val="1F497D"/>
        </w:rPr>
        <w:t xml:space="preserve"> </w:t>
      </w:r>
    </w:p>
    <w:p w14:paraId="1D2559E6" w14:textId="77777777" w:rsidR="00BE02D8" w:rsidRPr="006E2D91" w:rsidRDefault="00BE02D8" w:rsidP="00BE02D8">
      <w:pPr>
        <w:ind w:firstLine="450"/>
        <w:rPr>
          <w:color w:val="1F497D"/>
        </w:rPr>
      </w:pPr>
    </w:p>
    <w:p w14:paraId="3CF6880C" w14:textId="2AAEA98B" w:rsidR="00BE02D8" w:rsidRPr="00877DDB" w:rsidRDefault="00BE02D8" w:rsidP="00B851D4">
      <w:pPr>
        <w:pStyle w:val="ListParagraph"/>
        <w:numPr>
          <w:ilvl w:val="0"/>
          <w:numId w:val="55"/>
        </w:numPr>
      </w:pPr>
      <w:r w:rsidRPr="00877DDB">
        <w:t>Download the template from the CAISO website for the MSA/SC agreement for the</w:t>
      </w:r>
      <w:r w:rsidR="005F24C1">
        <w:t xml:space="preserve"> WEIM </w:t>
      </w:r>
      <w:r w:rsidRPr="00877DDB">
        <w:t>entity (balancing area). Submit the MSA/SC Information Request Sheet – (Specific verbiage will be provided by the CAISO for the Schedule 3)</w:t>
      </w:r>
    </w:p>
    <w:p w14:paraId="58CE16BD" w14:textId="7FD2E149" w:rsidR="00BE02D8" w:rsidRPr="00877DDB" w:rsidRDefault="00BE02D8" w:rsidP="00BE02D8">
      <w:r w:rsidRPr="00877DDB">
        <w:t>After all the requirements have been met by the</w:t>
      </w:r>
      <w:r w:rsidR="005F24C1">
        <w:t xml:space="preserve"> WEIM </w:t>
      </w:r>
      <w:r w:rsidRPr="00877DDB">
        <w:t>entity SC, agreements are issued.</w:t>
      </w:r>
    </w:p>
    <w:p w14:paraId="754B3D74" w14:textId="77777777" w:rsidR="00BE02D8" w:rsidRPr="00877DDB" w:rsidRDefault="007C7A35" w:rsidP="00BE02D8">
      <w:pPr>
        <w:rPr>
          <w:b/>
        </w:rPr>
      </w:pPr>
      <w:r w:rsidRPr="00877DDB">
        <w:t xml:space="preserve">The following requirements </w:t>
      </w:r>
      <w:r w:rsidR="00BE02D8" w:rsidRPr="00877DDB">
        <w:t xml:space="preserve">to be met no later than 30 days prior to parallel operations. </w:t>
      </w:r>
      <w:r w:rsidR="00BE02D8" w:rsidRPr="00877DDB">
        <w:br/>
      </w:r>
    </w:p>
    <w:p w14:paraId="62818173" w14:textId="3508C051" w:rsidR="007C7A35" w:rsidRPr="00877DDB" w:rsidRDefault="00BE02D8" w:rsidP="00B851D4">
      <w:pPr>
        <w:pStyle w:val="ListParagraph"/>
        <w:numPr>
          <w:ilvl w:val="0"/>
          <w:numId w:val="55"/>
        </w:numPr>
      </w:pPr>
      <w:r w:rsidRPr="00877DDB">
        <w:t>Submit the updated Affiliate Form -</w:t>
      </w:r>
      <w:r w:rsidR="007C7A35" w:rsidRPr="00877DDB">
        <w:t xml:space="preserve"> (all SCs must have an up-to-date </w:t>
      </w:r>
      <w:r w:rsidR="00153940" w:rsidRPr="00877DDB">
        <w:t>Affiliate</w:t>
      </w:r>
      <w:r w:rsidR="007C7A35" w:rsidRPr="00877DDB">
        <w:t xml:space="preserve"> form on file with the CAISO as affiliates change)</w:t>
      </w:r>
    </w:p>
    <w:p w14:paraId="1D5011CA" w14:textId="77777777" w:rsidR="00BE02D8" w:rsidRDefault="00BE02D8" w:rsidP="00BE02D8">
      <w:pPr>
        <w:ind w:left="720"/>
        <w:rPr>
          <w:color w:val="1F497D"/>
        </w:rPr>
      </w:pPr>
      <w:hyperlink r:id="rId32" w:history="1">
        <w:r w:rsidRPr="00BE02D8">
          <w:rPr>
            <w:rStyle w:val="Hyperlink"/>
          </w:rPr>
          <w:t>http://www.caiso.com/Documents/ISOAffiliationResourceControlAgreementDisclosureForm.xls</w:t>
        </w:r>
      </w:hyperlink>
    </w:p>
    <w:p w14:paraId="23C73346" w14:textId="77777777" w:rsidR="00BE02D8" w:rsidRDefault="00BE02D8" w:rsidP="00BE02D8">
      <w:pPr>
        <w:rPr>
          <w:b/>
          <w:color w:val="FF0000"/>
        </w:rPr>
      </w:pPr>
    </w:p>
    <w:p w14:paraId="2C06C372" w14:textId="6C5B41AE" w:rsidR="007C7A35" w:rsidRPr="00877DDB" w:rsidRDefault="00BE02D8" w:rsidP="00B851D4">
      <w:pPr>
        <w:pStyle w:val="ListParagraph"/>
        <w:numPr>
          <w:ilvl w:val="0"/>
          <w:numId w:val="55"/>
        </w:numPr>
      </w:pPr>
      <w:r w:rsidRPr="00877DDB">
        <w:t xml:space="preserve">Submit the Electronic Funds Transfer form – </w:t>
      </w:r>
      <w:r w:rsidR="007C7A35" w:rsidRPr="00877DDB">
        <w:t>(if the</w:t>
      </w:r>
      <w:r w:rsidR="005F24C1">
        <w:t xml:space="preserve"> WEIM </w:t>
      </w:r>
      <w:r w:rsidR="007C7A35" w:rsidRPr="00877DDB">
        <w:t>Entity SC plans on using a separate bank account different from the bank account currently on file with the CAISO)</w:t>
      </w:r>
    </w:p>
    <w:p w14:paraId="1A84BD0A" w14:textId="77777777" w:rsidR="00BE02D8" w:rsidRDefault="00BE02D8" w:rsidP="00BE02D8">
      <w:pPr>
        <w:ind w:firstLine="720"/>
        <w:rPr>
          <w:color w:val="1F497D"/>
        </w:rPr>
      </w:pPr>
      <w:hyperlink r:id="rId33" w:history="1">
        <w:r w:rsidRPr="009743F6">
          <w:rPr>
            <w:rStyle w:val="Hyperlink"/>
          </w:rPr>
          <w:t>http://www.caiso.com/Documents/ISO_PaymentSelectionInstructions-EFT-Form.doc</w:t>
        </w:r>
      </w:hyperlink>
      <w:r>
        <w:rPr>
          <w:color w:val="1F497D"/>
        </w:rPr>
        <w:t xml:space="preserve"> </w:t>
      </w:r>
    </w:p>
    <w:p w14:paraId="7154ED31" w14:textId="00CAEA78" w:rsidR="00BE02D8" w:rsidRPr="00877DDB" w:rsidRDefault="00BE02D8" w:rsidP="00BE02D8">
      <w:pPr>
        <w:ind w:firstLine="720"/>
      </w:pPr>
      <w:r w:rsidRPr="00877DDB">
        <w:t>Required if</w:t>
      </w:r>
      <w:r w:rsidR="005F24C1">
        <w:t xml:space="preserve"> WEIM </w:t>
      </w:r>
      <w:r w:rsidRPr="00877DDB">
        <w:t>entity SC will be using a separate bank account from the</w:t>
      </w:r>
      <w:r w:rsidR="005F24C1">
        <w:t xml:space="preserve"> WEIM </w:t>
      </w:r>
      <w:r w:rsidRPr="00877DDB">
        <w:t>PR SC.</w:t>
      </w:r>
    </w:p>
    <w:p w14:paraId="621C525B" w14:textId="77777777" w:rsidR="00BE02D8" w:rsidRPr="006E2D91" w:rsidRDefault="00BE02D8" w:rsidP="00BE02D8">
      <w:pPr>
        <w:ind w:firstLine="450"/>
        <w:rPr>
          <w:color w:val="1F497D"/>
        </w:rPr>
      </w:pPr>
    </w:p>
    <w:p w14:paraId="73905A14" w14:textId="0773AF04" w:rsidR="00BE02D8" w:rsidRPr="00877DDB" w:rsidRDefault="00BE02D8" w:rsidP="00B851D4">
      <w:pPr>
        <w:pStyle w:val="ListParagraph"/>
        <w:numPr>
          <w:ilvl w:val="0"/>
          <w:numId w:val="55"/>
        </w:numPr>
      </w:pPr>
      <w:r w:rsidRPr="00877DDB">
        <w:lastRenderedPageBreak/>
        <w:t xml:space="preserve">Submit an Emergency Plan </w:t>
      </w:r>
      <w:r w:rsidR="007C7A35" w:rsidRPr="00877DDB">
        <w:t>–</w:t>
      </w:r>
      <w:r w:rsidRPr="00877DDB">
        <w:t xml:space="preserve"> </w:t>
      </w:r>
      <w:r w:rsidR="007C7A35" w:rsidRPr="00877DDB">
        <w:t>(If the</w:t>
      </w:r>
      <w:r w:rsidR="005F24C1">
        <w:t xml:space="preserve"> WEIM </w:t>
      </w:r>
      <w:r w:rsidR="007C7A35" w:rsidRPr="00877DDB">
        <w:t>Entity SC plans on having a separate operations real time desk from what is currently on file with the CAISO)</w:t>
      </w:r>
    </w:p>
    <w:p w14:paraId="03DC9620" w14:textId="77777777" w:rsidR="00BE02D8" w:rsidRDefault="00BE02D8" w:rsidP="00D46AE0">
      <w:pPr>
        <w:ind w:firstLine="720"/>
        <w:rPr>
          <w:color w:val="1F497D"/>
        </w:rPr>
      </w:pPr>
      <w:hyperlink r:id="rId34" w:history="1">
        <w:r w:rsidRPr="009743F6">
          <w:rPr>
            <w:rStyle w:val="Hyperlink"/>
          </w:rPr>
          <w:t>http://www.caiso.com/Documents/EmergencyPlanForm.doc</w:t>
        </w:r>
      </w:hyperlink>
    </w:p>
    <w:p w14:paraId="4077E99F" w14:textId="77777777" w:rsidR="00BE02D8" w:rsidRDefault="00BE02D8" w:rsidP="00BE02D8">
      <w:pPr>
        <w:rPr>
          <w:color w:val="1F497D"/>
        </w:rPr>
      </w:pPr>
    </w:p>
    <w:p w14:paraId="534A41BE" w14:textId="77777777" w:rsidR="00BE02D8" w:rsidRPr="00877DDB" w:rsidRDefault="00BE02D8" w:rsidP="00B851D4">
      <w:pPr>
        <w:pStyle w:val="ListParagraph"/>
        <w:numPr>
          <w:ilvl w:val="0"/>
          <w:numId w:val="55"/>
        </w:numPr>
      </w:pPr>
      <w:r w:rsidRPr="00877DDB">
        <w:t xml:space="preserve">Perform Real Time Grid Ops test. The real time test is a series of 5 calls from the CAISO real time desk to the 24 hour number provided in the submitted Emergency Plan at any time or any day over a   7-10 period. </w:t>
      </w:r>
      <w:r w:rsidR="007C7A35" w:rsidRPr="00877DDB">
        <w:t>(based on the submission of the Emergency Plan in #5)</w:t>
      </w:r>
    </w:p>
    <w:p w14:paraId="62C8ECB7" w14:textId="77777777" w:rsidR="00BE02D8" w:rsidRDefault="00BE02D8" w:rsidP="00BE02D8">
      <w:pPr>
        <w:ind w:left="720"/>
        <w:rPr>
          <w:color w:val="1F497D"/>
        </w:rPr>
      </w:pPr>
    </w:p>
    <w:p w14:paraId="512E0863" w14:textId="77777777" w:rsidR="00BE02D8" w:rsidRPr="00BA7F31" w:rsidRDefault="00BE02D8" w:rsidP="00D46AE0">
      <w:pPr>
        <w:pStyle w:val="Heading2"/>
      </w:pPr>
      <w:bookmarkStart w:id="48" w:name="_Toc229054462"/>
      <w:r w:rsidRPr="00BA7F31">
        <w:t>EIM Participating Resource Scheduling Coordinator (EIM PR SC)</w:t>
      </w:r>
      <w:bookmarkEnd w:id="48"/>
      <w:r w:rsidRPr="00BA7F31">
        <w:t xml:space="preserve"> </w:t>
      </w:r>
    </w:p>
    <w:p w14:paraId="6E04AAFC" w14:textId="77777777" w:rsidR="007A721E" w:rsidRDefault="007A721E" w:rsidP="00BE02D8">
      <w:pPr>
        <w:rPr>
          <w:b/>
          <w:color w:val="1F497D"/>
        </w:rPr>
      </w:pPr>
      <w:r w:rsidRPr="00877DDB">
        <w:t>All of the following submittals should be sent to</w:t>
      </w:r>
      <w:r w:rsidRPr="00877DDB">
        <w:rPr>
          <w:b/>
        </w:rPr>
        <w:t xml:space="preserve"> </w:t>
      </w:r>
      <w:hyperlink r:id="rId35" w:history="1">
        <w:r w:rsidRPr="008D6FD4">
          <w:rPr>
            <w:rStyle w:val="Hyperlink"/>
            <w:b/>
          </w:rPr>
          <w:t>SCRequests@caiso.com</w:t>
        </w:r>
      </w:hyperlink>
    </w:p>
    <w:p w14:paraId="44206A67" w14:textId="3D3EFCC7" w:rsidR="007A721E" w:rsidRPr="00642F1C" w:rsidRDefault="007A721E" w:rsidP="00BE02D8">
      <w:pPr>
        <w:spacing w:after="200" w:line="276" w:lineRule="auto"/>
        <w:rPr>
          <w:rFonts w:cs="Arial"/>
        </w:rPr>
      </w:pPr>
      <w:r w:rsidRPr="00877DDB">
        <w:rPr>
          <w:rFonts w:cs="Arial"/>
        </w:rPr>
        <w:t>Special Note: For other</w:t>
      </w:r>
      <w:r w:rsidR="005F24C1">
        <w:rPr>
          <w:rFonts w:cs="Arial"/>
        </w:rPr>
        <w:t xml:space="preserve"> WEIM </w:t>
      </w:r>
      <w:r w:rsidRPr="00877DDB">
        <w:rPr>
          <w:rFonts w:cs="Arial"/>
        </w:rPr>
        <w:t>PR SCs not part of the</w:t>
      </w:r>
      <w:r w:rsidR="005F24C1">
        <w:rPr>
          <w:rFonts w:cs="Arial"/>
        </w:rPr>
        <w:t xml:space="preserve"> WEIM </w:t>
      </w:r>
      <w:r w:rsidRPr="00877DDB">
        <w:rPr>
          <w:rFonts w:cs="Arial"/>
        </w:rPr>
        <w:t>entity, there are steps and requirements. Refer to documentation posted on the CAISO web site:</w:t>
      </w:r>
    </w:p>
    <w:p w14:paraId="2A9EB7C7" w14:textId="77777777" w:rsidR="007A721E" w:rsidRDefault="007A721E"/>
    <w:p w14:paraId="25FD1646" w14:textId="77777777" w:rsidR="00BE02D8" w:rsidRPr="00BE02D8" w:rsidRDefault="00BE02D8" w:rsidP="00B851D4">
      <w:pPr>
        <w:pStyle w:val="ListParagraph"/>
        <w:numPr>
          <w:ilvl w:val="0"/>
          <w:numId w:val="56"/>
        </w:numPr>
        <w:rPr>
          <w:rFonts w:cs="Arial"/>
          <w:color w:val="1F497D"/>
        </w:rPr>
      </w:pPr>
      <w:r w:rsidRPr="00877DDB">
        <w:rPr>
          <w:rFonts w:eastAsia="Calibri" w:cs="Arial"/>
        </w:rPr>
        <w:t>Submit</w:t>
      </w:r>
      <w:r w:rsidRPr="00877DDB">
        <w:rPr>
          <w:rFonts w:ascii="Calibri" w:eastAsia="Calibri" w:hAnsi="Calibri"/>
        </w:rPr>
        <w:t xml:space="preserve"> </w:t>
      </w:r>
      <w:r w:rsidRPr="00877DDB">
        <w:rPr>
          <w:rFonts w:eastAsia="Calibri" w:cs="Arial"/>
        </w:rPr>
        <w:t xml:space="preserve">a request (email) for an additional SCID to </w:t>
      </w:r>
      <w:hyperlink r:id="rId36" w:history="1">
        <w:r w:rsidRPr="00BE02D8">
          <w:rPr>
            <w:rStyle w:val="Hyperlink"/>
            <w:rFonts w:eastAsia="Calibri" w:cs="Arial"/>
          </w:rPr>
          <w:t>SCRequests@caiso.com</w:t>
        </w:r>
      </w:hyperlink>
      <w:r w:rsidRPr="00BE02D8">
        <w:rPr>
          <w:rFonts w:eastAsia="Calibri" w:cs="Arial"/>
          <w:color w:val="1F497D"/>
        </w:rPr>
        <w:t xml:space="preserve"> </w:t>
      </w:r>
      <w:r w:rsidRPr="00877DDB">
        <w:rPr>
          <w:rFonts w:eastAsia="Calibri" w:cs="Arial"/>
        </w:rPr>
        <w:t>(indicating this is for EIM)</w:t>
      </w:r>
    </w:p>
    <w:p w14:paraId="794C521E" w14:textId="3943202C" w:rsidR="00BE02D8" w:rsidRPr="00877DDB" w:rsidRDefault="00BE02D8" w:rsidP="00BE02D8">
      <w:pPr>
        <w:ind w:left="630"/>
      </w:pPr>
      <w:r w:rsidRPr="00BE02D8">
        <w:rPr>
          <w:b/>
          <w:color w:val="943634"/>
        </w:rPr>
        <w:t>Optional</w:t>
      </w:r>
      <w:r w:rsidR="005F71AB">
        <w:rPr>
          <w:b/>
          <w:color w:val="943634"/>
        </w:rPr>
        <w:t>:</w:t>
      </w:r>
      <w:r w:rsidRPr="00BE02D8">
        <w:rPr>
          <w:color w:val="1F497D"/>
        </w:rPr>
        <w:t xml:space="preserve"> </w:t>
      </w:r>
      <w:r w:rsidRPr="00877DDB">
        <w:t>A separate SCID for the</w:t>
      </w:r>
      <w:r w:rsidR="005F24C1">
        <w:t xml:space="preserve"> WEIM </w:t>
      </w:r>
      <w:r w:rsidRPr="00877DDB">
        <w:t>participating resource SC is not required, but it is recommended to have a dedicate</w:t>
      </w:r>
      <w:r w:rsidR="007C7A35" w:rsidRPr="00877DDB">
        <w:t>d SCID due to the fact the</w:t>
      </w:r>
      <w:r w:rsidR="005F24C1">
        <w:t xml:space="preserve"> WEIM </w:t>
      </w:r>
      <w:r w:rsidR="007C7A35" w:rsidRPr="00877DDB">
        <w:t>E</w:t>
      </w:r>
      <w:r w:rsidRPr="00877DDB">
        <w:t>ntity SC will have visibility to the resource data templates for all resources associated with the specified SCID.</w:t>
      </w:r>
    </w:p>
    <w:p w14:paraId="7FF74F2B" w14:textId="77777777" w:rsidR="00BE02D8" w:rsidRPr="00877DDB" w:rsidRDefault="00BE02D8" w:rsidP="00BE02D8">
      <w:pPr>
        <w:pStyle w:val="ListParagraph"/>
        <w:rPr>
          <w:rFonts w:cs="Arial"/>
        </w:rPr>
      </w:pPr>
      <w:r w:rsidRPr="00877DDB">
        <w:rPr>
          <w:rFonts w:cs="Arial"/>
        </w:rPr>
        <w:tab/>
      </w:r>
    </w:p>
    <w:p w14:paraId="4DA511A4" w14:textId="77777777" w:rsidR="00BE02D8" w:rsidRPr="00BE02D8" w:rsidRDefault="00BE02D8" w:rsidP="00B851D4">
      <w:pPr>
        <w:pStyle w:val="ListParagraph"/>
        <w:numPr>
          <w:ilvl w:val="0"/>
          <w:numId w:val="56"/>
        </w:numPr>
        <w:rPr>
          <w:rFonts w:ascii="Calibri" w:eastAsia="Calibri" w:hAnsi="Calibri"/>
          <w:color w:val="1F497D"/>
        </w:rPr>
      </w:pPr>
      <w:r w:rsidRPr="00877DDB">
        <w:t>The PR SC will be notified of approval of the requested SCID and will be instructed to submit the SCID request letter</w:t>
      </w:r>
    </w:p>
    <w:p w14:paraId="50A2A581" w14:textId="77777777" w:rsidR="00BE02D8" w:rsidRPr="009E4DB2" w:rsidRDefault="00BE02D8" w:rsidP="00BE02D8">
      <w:pPr>
        <w:ind w:left="630"/>
        <w:rPr>
          <w:color w:val="1F497D"/>
        </w:rPr>
      </w:pPr>
      <w:hyperlink r:id="rId37" w:history="1">
        <w:r>
          <w:rPr>
            <w:rStyle w:val="Hyperlink"/>
          </w:rPr>
          <w:t>http://www.caiso.com/Documents/ExistingSchedulingCoordinatorRequestsAdditionalSCID.doc</w:t>
        </w:r>
      </w:hyperlink>
    </w:p>
    <w:p w14:paraId="0AB43968" w14:textId="77777777" w:rsidR="00BE02D8" w:rsidRDefault="00BE02D8" w:rsidP="00BE02D8">
      <w:pPr>
        <w:rPr>
          <w:color w:val="1F497D"/>
        </w:rPr>
      </w:pPr>
    </w:p>
    <w:p w14:paraId="3F0B01B4" w14:textId="77777777" w:rsidR="00BE02D8" w:rsidRPr="00877DDB" w:rsidRDefault="00BE02D8" w:rsidP="00B851D4">
      <w:pPr>
        <w:pStyle w:val="ListParagraph"/>
        <w:numPr>
          <w:ilvl w:val="0"/>
          <w:numId w:val="56"/>
        </w:numPr>
      </w:pPr>
      <w:r w:rsidRPr="00877DDB">
        <w:t xml:space="preserve">Submit Base Schedule Coordinator (BSC) ID request form -- CAISO will provide the BSCID based on a specific naming convention. This form should be submitted along with the </w:t>
      </w:r>
      <w:r w:rsidRPr="00877DDB">
        <w:lastRenderedPageBreak/>
        <w:t>Additional SCID request letter to have the same effective start date. The BSC ID is used for the submission of base schedules into the BSAP (base schedule application)</w:t>
      </w:r>
    </w:p>
    <w:p w14:paraId="244D35B4" w14:textId="77777777" w:rsidR="00BE02D8" w:rsidRPr="00877DDB" w:rsidRDefault="00BE02D8" w:rsidP="00B851D4">
      <w:pPr>
        <w:pStyle w:val="ListParagraph"/>
        <w:numPr>
          <w:ilvl w:val="0"/>
          <w:numId w:val="54"/>
        </w:numPr>
      </w:pPr>
      <w:r w:rsidRPr="00877DDB">
        <w:t xml:space="preserve">The master file is updated with an effective start date for the SCID and BSCID per this submission. </w:t>
      </w:r>
    </w:p>
    <w:p w14:paraId="4111EFAA" w14:textId="77777777" w:rsidR="00BE02D8" w:rsidRPr="00877DDB" w:rsidRDefault="00BE02D8" w:rsidP="00BE02D8"/>
    <w:p w14:paraId="4EC1238E" w14:textId="382E5F23" w:rsidR="005F71AB" w:rsidRPr="00877DDB" w:rsidRDefault="00BE02D8" w:rsidP="00B851D4">
      <w:pPr>
        <w:pStyle w:val="ListParagraph"/>
        <w:numPr>
          <w:ilvl w:val="0"/>
          <w:numId w:val="56"/>
        </w:numPr>
      </w:pPr>
      <w:r w:rsidRPr="00877DDB">
        <w:t>Submit the PR SC application with the</w:t>
      </w:r>
      <w:r w:rsidR="005F24C1">
        <w:t xml:space="preserve"> WEIM </w:t>
      </w:r>
      <w:r w:rsidRPr="00877DDB">
        <w:t>participating Resource box checked per example below.</w:t>
      </w:r>
      <w:r w:rsidR="005F71AB">
        <w:t xml:space="preserve"> </w:t>
      </w:r>
    </w:p>
    <w:p w14:paraId="627DD5CD" w14:textId="77777777" w:rsidR="00BE02D8" w:rsidRPr="00642F1C" w:rsidRDefault="00BE02D8" w:rsidP="00877DDB">
      <w:pPr>
        <w:pStyle w:val="ListParagraph"/>
        <w:rPr>
          <w:color w:val="1F497D"/>
        </w:rPr>
      </w:pPr>
      <w:hyperlink r:id="rId38" w:history="1">
        <w:r w:rsidRPr="00BE02D8">
          <w:rPr>
            <w:rStyle w:val="Hyperlink"/>
          </w:rPr>
          <w:t>http://www.caiso.com/Documents/SchedulingCoordinatorApplicationFormEIM-SelectionOptions.doc</w:t>
        </w:r>
      </w:hyperlink>
      <w:r w:rsidRPr="00642F1C">
        <w:rPr>
          <w:color w:val="1F497D"/>
        </w:rPr>
        <w:t xml:space="preserve"> </w:t>
      </w:r>
      <w:r w:rsidRPr="00642F1C">
        <w:rPr>
          <w:color w:val="1F497D"/>
        </w:rPr>
        <w:br/>
      </w:r>
    </w:p>
    <w:p w14:paraId="108003CD" w14:textId="77777777" w:rsidR="00BE02D8" w:rsidRDefault="00BE02D8" w:rsidP="00BE02D8">
      <w:pPr>
        <w:ind w:left="720"/>
        <w:rPr>
          <w:color w:val="1F497D"/>
        </w:rPr>
      </w:pPr>
    </w:p>
    <w:p w14:paraId="1A1E7949" w14:textId="77777777" w:rsidR="00BE02D8" w:rsidRDefault="00BE02D8" w:rsidP="00BE02D8">
      <w:pPr>
        <w:ind w:left="720"/>
        <w:rPr>
          <w:color w:val="1F497D"/>
        </w:rPr>
      </w:pPr>
      <w:r w:rsidRPr="00F55A81">
        <w:rPr>
          <w:noProof/>
          <w:color w:val="1F497D"/>
        </w:rPr>
        <w:drawing>
          <wp:inline distT="0" distB="0" distL="0" distR="0" wp14:anchorId="600CA3BC" wp14:editId="5FF23A49">
            <wp:extent cx="5391150" cy="1200150"/>
            <wp:effectExtent l="0" t="0" r="0" b="0"/>
            <wp:docPr id="36" name="Picture 36" descr="PR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 SC"/>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91150" cy="1200150"/>
                    </a:xfrm>
                    <a:prstGeom prst="rect">
                      <a:avLst/>
                    </a:prstGeom>
                    <a:noFill/>
                    <a:ln>
                      <a:noFill/>
                    </a:ln>
                  </pic:spPr>
                </pic:pic>
              </a:graphicData>
            </a:graphic>
          </wp:inline>
        </w:drawing>
      </w:r>
    </w:p>
    <w:p w14:paraId="1E1FA6A2" w14:textId="77777777" w:rsidR="00BE02D8" w:rsidRDefault="00BE02D8" w:rsidP="00BE02D8">
      <w:pPr>
        <w:ind w:left="720"/>
        <w:rPr>
          <w:color w:val="1F497D"/>
        </w:rPr>
      </w:pPr>
    </w:p>
    <w:p w14:paraId="3F4868C6" w14:textId="77777777" w:rsidR="00BE02D8" w:rsidRPr="00877DDB" w:rsidRDefault="00BE02D8" w:rsidP="00BE02D8">
      <w:pPr>
        <w:ind w:left="720"/>
      </w:pPr>
    </w:p>
    <w:p w14:paraId="57E83830" w14:textId="247629D6" w:rsidR="00BE02D8" w:rsidRPr="00877DDB" w:rsidRDefault="00BE02D8" w:rsidP="00B851D4">
      <w:pPr>
        <w:pStyle w:val="ListParagraph"/>
        <w:numPr>
          <w:ilvl w:val="0"/>
          <w:numId w:val="56"/>
        </w:numPr>
        <w:rPr>
          <w:b/>
        </w:rPr>
      </w:pPr>
      <w:r w:rsidRPr="00877DDB">
        <w:t>Submit the Information Request Sheet for</w:t>
      </w:r>
      <w:r w:rsidR="005F24C1">
        <w:t xml:space="preserve"> WEIM </w:t>
      </w:r>
      <w:r w:rsidRPr="00877DDB">
        <w:t xml:space="preserve">PR SC </w:t>
      </w:r>
    </w:p>
    <w:p w14:paraId="02C0757D" w14:textId="77777777" w:rsidR="00BE02D8" w:rsidRDefault="00BE02D8" w:rsidP="00BE02D8">
      <w:pPr>
        <w:ind w:left="720"/>
        <w:rPr>
          <w:color w:val="1F497D"/>
        </w:rPr>
      </w:pPr>
      <w:hyperlink r:id="rId40" w:history="1">
        <w:r w:rsidRPr="008D6FD4">
          <w:rPr>
            <w:rStyle w:val="Hyperlink"/>
          </w:rPr>
          <w:t>http://www.caiso.com/Documents/EnergyImbalanceMarketParticipatingResourceSchedulingCoordinatorAgreementInformationRequestSheet.doc</w:t>
        </w:r>
      </w:hyperlink>
      <w:r>
        <w:rPr>
          <w:color w:val="1F497D"/>
        </w:rPr>
        <w:t xml:space="preserve"> </w:t>
      </w:r>
    </w:p>
    <w:p w14:paraId="2C67ED0A" w14:textId="77777777" w:rsidR="00BE02D8" w:rsidRDefault="00BE02D8" w:rsidP="00BE02D8">
      <w:pPr>
        <w:ind w:left="720"/>
        <w:rPr>
          <w:color w:val="1F497D"/>
        </w:rPr>
      </w:pPr>
    </w:p>
    <w:p w14:paraId="29FD6E0E" w14:textId="17AFA955" w:rsidR="00BE02D8" w:rsidRPr="00877DDB" w:rsidRDefault="00BE02D8" w:rsidP="00B851D4">
      <w:pPr>
        <w:pStyle w:val="ListParagraph"/>
        <w:numPr>
          <w:ilvl w:val="0"/>
          <w:numId w:val="56"/>
        </w:numPr>
      </w:pPr>
      <w:r w:rsidRPr="00877DDB">
        <w:t xml:space="preserve">Download the template from the </w:t>
      </w:r>
      <w:r w:rsidR="006B6F17" w:rsidRPr="00877DDB">
        <w:t>CA</w:t>
      </w:r>
      <w:r w:rsidRPr="00877DDB">
        <w:t>ISO website for th</w:t>
      </w:r>
      <w:r w:rsidR="007C7A35" w:rsidRPr="00877DDB">
        <w:t>e MSA/SC agreement for the</w:t>
      </w:r>
      <w:r w:rsidR="005F24C1">
        <w:t xml:space="preserve"> WEIM </w:t>
      </w:r>
      <w:r w:rsidR="007C7A35" w:rsidRPr="00877DDB">
        <w:t>E</w:t>
      </w:r>
      <w:r w:rsidRPr="00877DDB">
        <w:t>ntity (balancing area)</w:t>
      </w:r>
    </w:p>
    <w:p w14:paraId="7A73DC42" w14:textId="77777777" w:rsidR="00BE02D8" w:rsidRPr="00877DDB" w:rsidRDefault="00BE02D8" w:rsidP="00BE02D8">
      <w:pPr>
        <w:ind w:left="720"/>
      </w:pPr>
      <w:r w:rsidRPr="00877DDB">
        <w:t xml:space="preserve">Submit the MSA/SC Information Request Sheet – (Specific verbiage will be provided by the </w:t>
      </w:r>
      <w:r w:rsidR="000D72C0" w:rsidRPr="00877DDB">
        <w:t>CA</w:t>
      </w:r>
      <w:r w:rsidRPr="00877DDB">
        <w:t>ISO for the Schedule 3)</w:t>
      </w:r>
    </w:p>
    <w:p w14:paraId="49D5D3A0" w14:textId="1ADC67E5" w:rsidR="00BE02D8" w:rsidRPr="00877DDB" w:rsidRDefault="00BE02D8" w:rsidP="00B851D4">
      <w:pPr>
        <w:pStyle w:val="ListParagraph"/>
        <w:numPr>
          <w:ilvl w:val="0"/>
          <w:numId w:val="54"/>
        </w:numPr>
      </w:pPr>
      <w:r w:rsidRPr="00877DDB">
        <w:t>After all the requirements have been met by the</w:t>
      </w:r>
      <w:r w:rsidR="005F24C1">
        <w:t xml:space="preserve"> WEIM </w:t>
      </w:r>
      <w:r w:rsidRPr="00877DDB">
        <w:t>PR SC, agreements are issued.</w:t>
      </w:r>
    </w:p>
    <w:p w14:paraId="2B248083" w14:textId="77777777" w:rsidR="00BE02D8" w:rsidRDefault="00BE02D8" w:rsidP="00BE02D8">
      <w:pPr>
        <w:rPr>
          <w:b/>
          <w:color w:val="1F497D"/>
        </w:rPr>
      </w:pPr>
    </w:p>
    <w:p w14:paraId="3262DDD5" w14:textId="77777777" w:rsidR="00BE02D8" w:rsidRPr="00877DDB" w:rsidRDefault="00BE02D8" w:rsidP="00BE02D8">
      <w:pPr>
        <w:rPr>
          <w:b/>
        </w:rPr>
      </w:pPr>
      <w:r w:rsidRPr="00877DDB">
        <w:rPr>
          <w:b/>
        </w:rPr>
        <w:t>The following requirements need to be met no later than 30 days prior to parallel operations.</w:t>
      </w:r>
      <w:r w:rsidRPr="00877DDB">
        <w:rPr>
          <w:b/>
        </w:rPr>
        <w:br/>
      </w:r>
    </w:p>
    <w:p w14:paraId="15E50FB8" w14:textId="77777777" w:rsidR="00BE02D8" w:rsidRPr="00877DDB" w:rsidRDefault="00BE02D8" w:rsidP="00B851D4">
      <w:pPr>
        <w:pStyle w:val="ListParagraph"/>
        <w:numPr>
          <w:ilvl w:val="0"/>
          <w:numId w:val="56"/>
        </w:numPr>
      </w:pPr>
      <w:r w:rsidRPr="00877DDB">
        <w:t>Submit an updated Affiliate Form</w:t>
      </w:r>
      <w:r w:rsidR="007C7A35" w:rsidRPr="00877DDB">
        <w:t xml:space="preserve"> - (all SCs must have an up-to-date </w:t>
      </w:r>
      <w:r w:rsidR="003F0008" w:rsidRPr="00877DDB">
        <w:t>Affiliate</w:t>
      </w:r>
      <w:r w:rsidR="007C7A35" w:rsidRPr="00877DDB">
        <w:t xml:space="preserve"> form on file with the </w:t>
      </w:r>
      <w:r w:rsidR="000D72C0" w:rsidRPr="00877DDB">
        <w:t>CA</w:t>
      </w:r>
      <w:r w:rsidR="007C7A35" w:rsidRPr="00877DDB">
        <w:t>ISO as affiliates change)</w:t>
      </w:r>
    </w:p>
    <w:p w14:paraId="0F98C96F" w14:textId="77777777" w:rsidR="00BE02D8" w:rsidRDefault="00C82C40" w:rsidP="00D46AE0">
      <w:pPr>
        <w:ind w:left="720"/>
        <w:rPr>
          <w:color w:val="1F497D"/>
        </w:rPr>
      </w:pPr>
      <w:hyperlink r:id="rId41" w:history="1">
        <w:r w:rsidRPr="00C82C40">
          <w:rPr>
            <w:rStyle w:val="Hyperlink"/>
          </w:rPr>
          <w:t>http://www.caiso.com/Documents/ISOAffiliationResourceControlAgreementDisclosureForm.xls</w:t>
        </w:r>
      </w:hyperlink>
      <w:r w:rsidR="00BE02D8">
        <w:rPr>
          <w:color w:val="1F497D"/>
        </w:rPr>
        <w:t xml:space="preserve"> </w:t>
      </w:r>
    </w:p>
    <w:p w14:paraId="737454A7" w14:textId="77777777" w:rsidR="00BE02D8" w:rsidRDefault="00BE02D8" w:rsidP="00BE02D8">
      <w:pPr>
        <w:rPr>
          <w:color w:val="1F497D"/>
        </w:rPr>
      </w:pPr>
    </w:p>
    <w:p w14:paraId="50E086C0" w14:textId="20C20413" w:rsidR="00BE02D8" w:rsidRPr="00877DDB" w:rsidRDefault="00BE02D8" w:rsidP="00B851D4">
      <w:pPr>
        <w:pStyle w:val="ListParagraph"/>
        <w:numPr>
          <w:ilvl w:val="0"/>
          <w:numId w:val="56"/>
        </w:numPr>
      </w:pPr>
      <w:r w:rsidRPr="00877DDB">
        <w:t>Submit the SC Acceptance letter – This is submitted to indicate agreement to be the SC for specified</w:t>
      </w:r>
      <w:r w:rsidR="005F24C1">
        <w:t xml:space="preserve"> WEIM </w:t>
      </w:r>
      <w:r w:rsidRPr="00877DDB">
        <w:t>participating resources.</w:t>
      </w:r>
    </w:p>
    <w:p w14:paraId="509E45CC" w14:textId="77777777" w:rsidR="00BE02D8" w:rsidRPr="00BE02D8" w:rsidRDefault="00BE02D8" w:rsidP="00BE02D8">
      <w:pPr>
        <w:pStyle w:val="ListParagraph"/>
        <w:rPr>
          <w:color w:val="1F497D"/>
        </w:rPr>
      </w:pPr>
      <w:hyperlink r:id="rId42" w:history="1">
        <w:r w:rsidRPr="009743F6">
          <w:rPr>
            <w:rStyle w:val="Hyperlink"/>
          </w:rPr>
          <w:t>http://www.caiso.com/Documents/NewSCAcceptanceLetter_Sept2014.doc</w:t>
        </w:r>
      </w:hyperlink>
    </w:p>
    <w:p w14:paraId="62E878FA" w14:textId="77777777" w:rsidR="00BE02D8" w:rsidRDefault="00BE02D8" w:rsidP="00BE02D8">
      <w:pPr>
        <w:ind w:firstLine="720"/>
        <w:rPr>
          <w:color w:val="1F497D"/>
        </w:rPr>
      </w:pPr>
    </w:p>
    <w:p w14:paraId="0B75EECF" w14:textId="77777777" w:rsidR="00BE02D8" w:rsidRPr="00877DDB" w:rsidRDefault="00BE02D8" w:rsidP="00B851D4">
      <w:pPr>
        <w:pStyle w:val="ListParagraph"/>
        <w:numPr>
          <w:ilvl w:val="0"/>
          <w:numId w:val="56"/>
        </w:numPr>
      </w:pPr>
      <w:r w:rsidRPr="00877DDB">
        <w:t>Submit the RDT (resource data template) with the SC Acceptance letter</w:t>
      </w:r>
    </w:p>
    <w:p w14:paraId="46572276" w14:textId="77777777" w:rsidR="00BE02D8" w:rsidRDefault="00BE02D8" w:rsidP="00BE02D8">
      <w:pPr>
        <w:rPr>
          <w:color w:val="1F497D"/>
        </w:rPr>
      </w:pPr>
    </w:p>
    <w:p w14:paraId="17D1E99A" w14:textId="77777777" w:rsidR="00BE02D8" w:rsidRDefault="00BE02D8" w:rsidP="00D46AE0">
      <w:pPr>
        <w:pStyle w:val="Heading2"/>
      </w:pPr>
      <w:bookmarkStart w:id="49" w:name="_Toc229054463"/>
      <w:r w:rsidRPr="00BA7F31">
        <w:t>EIM Participating Resource (PR)</w:t>
      </w:r>
      <w:bookmarkEnd w:id="49"/>
    </w:p>
    <w:p w14:paraId="6AFB7F87" w14:textId="17405D6E" w:rsidR="00BE02D8" w:rsidRPr="00E80540" w:rsidRDefault="00BE02D8" w:rsidP="00BE02D8">
      <w:r w:rsidRPr="00877DDB">
        <w:t>All of the following submittals should be sent to:</w:t>
      </w:r>
      <w:r w:rsidRPr="00877DDB">
        <w:rPr>
          <w:b/>
          <w:sz w:val="28"/>
          <w:szCs w:val="28"/>
        </w:rPr>
        <w:t xml:space="preserve"> </w:t>
      </w:r>
      <w:hyperlink r:id="rId43" w:history="1">
        <w:r w:rsidRPr="00BE02D8">
          <w:rPr>
            <w:rStyle w:val="Hyperlink"/>
          </w:rPr>
          <w:t>SCRequests@caiso.com</w:t>
        </w:r>
      </w:hyperlink>
    </w:p>
    <w:p w14:paraId="4D583BED" w14:textId="7B22C7A6" w:rsidR="00BE02D8" w:rsidRPr="00877DDB" w:rsidRDefault="00BE02D8" w:rsidP="00BE02D8">
      <w:r w:rsidRPr="00877DDB">
        <w:t>IMPORTANT: The PR needs to submit an application to the</w:t>
      </w:r>
      <w:r w:rsidR="005F24C1">
        <w:t xml:space="preserve"> WEIM </w:t>
      </w:r>
      <w:r w:rsidRPr="00877DDB">
        <w:t>entity and meet</w:t>
      </w:r>
      <w:r w:rsidR="00C82C40" w:rsidRPr="00877DDB">
        <w:t xml:space="preserve"> the requirements for that</w:t>
      </w:r>
      <w:r w:rsidR="005F24C1">
        <w:t xml:space="preserve"> WEIM </w:t>
      </w:r>
      <w:r w:rsidR="00C82C40" w:rsidRPr="00877DDB">
        <w:t>E</w:t>
      </w:r>
      <w:r w:rsidRPr="00877DDB">
        <w:t>ntity.</w:t>
      </w:r>
    </w:p>
    <w:p w14:paraId="4CFFE3DD" w14:textId="6D10D850" w:rsidR="00BE02D8" w:rsidRPr="00877DDB" w:rsidRDefault="00BE02D8" w:rsidP="00B851D4">
      <w:pPr>
        <w:pStyle w:val="ListParagraph"/>
        <w:numPr>
          <w:ilvl w:val="0"/>
          <w:numId w:val="54"/>
        </w:numPr>
      </w:pPr>
      <w:r w:rsidRPr="00877DDB">
        <w:t>The</w:t>
      </w:r>
      <w:r w:rsidR="005F24C1">
        <w:t xml:space="preserve"> WEIM </w:t>
      </w:r>
      <w:r w:rsidR="00C82C40" w:rsidRPr="00877DDB">
        <w:t>E</w:t>
      </w:r>
      <w:r w:rsidRPr="00877DDB">
        <w:t>ntity notifies the CAISO that the resource(s) have met the entities requirements and requests confirmation from the CAISO that the resource(s) have also met CAISO requirements.</w:t>
      </w:r>
    </w:p>
    <w:p w14:paraId="0FD57D4A" w14:textId="6181BC3C" w:rsidR="00BE02D8" w:rsidRPr="00877DDB" w:rsidRDefault="00BE02D8" w:rsidP="00B851D4">
      <w:pPr>
        <w:pStyle w:val="ListParagraph"/>
        <w:numPr>
          <w:ilvl w:val="0"/>
          <w:numId w:val="54"/>
        </w:numPr>
      </w:pPr>
      <w:r w:rsidRPr="00877DDB">
        <w:t>The PR needs to follow the steps below while working with the</w:t>
      </w:r>
      <w:r w:rsidR="005F24C1">
        <w:t xml:space="preserve"> WEIM </w:t>
      </w:r>
      <w:r w:rsidR="00C82C40" w:rsidRPr="00877DDB">
        <w:t>E</w:t>
      </w:r>
      <w:r w:rsidRPr="00877DDB">
        <w:t>ntity</w:t>
      </w:r>
    </w:p>
    <w:p w14:paraId="0C3437DC" w14:textId="77777777" w:rsidR="00BE02D8" w:rsidRPr="00877DDB" w:rsidRDefault="00BE02D8" w:rsidP="00BE02D8"/>
    <w:p w14:paraId="4A4F9A55" w14:textId="4DE5B083" w:rsidR="00BE02D8" w:rsidRPr="00877DDB" w:rsidRDefault="00BE02D8" w:rsidP="00B851D4">
      <w:pPr>
        <w:pStyle w:val="ListParagraph"/>
        <w:numPr>
          <w:ilvl w:val="0"/>
          <w:numId w:val="57"/>
        </w:numPr>
      </w:pPr>
      <w:r w:rsidRPr="00877DDB">
        <w:t>Submit</w:t>
      </w:r>
      <w:r w:rsidR="005F24C1">
        <w:t xml:space="preserve"> WEIM </w:t>
      </w:r>
      <w:r w:rsidRPr="00877DDB">
        <w:t>Participating Resource Agreement Information Request sheet</w:t>
      </w:r>
    </w:p>
    <w:p w14:paraId="6AE09D8C" w14:textId="77777777" w:rsidR="00BE02D8" w:rsidRDefault="00BE02D8" w:rsidP="00BE02D8">
      <w:pPr>
        <w:ind w:left="720"/>
        <w:rPr>
          <w:color w:val="1F497D"/>
        </w:rPr>
      </w:pPr>
      <w:hyperlink r:id="rId44" w:history="1">
        <w:r w:rsidRPr="00406430">
          <w:rPr>
            <w:rStyle w:val="Hyperlink"/>
          </w:rPr>
          <w:t>http://www.caiso.com/Documents/EnergyImbalanceMarketParticipatingResourceAgreementInformationRequestSheet.doc</w:t>
        </w:r>
      </w:hyperlink>
      <w:r>
        <w:rPr>
          <w:color w:val="1F497D"/>
        </w:rPr>
        <w:t xml:space="preserve"> </w:t>
      </w:r>
      <w:r>
        <w:rPr>
          <w:color w:val="1F497D"/>
        </w:rPr>
        <w:br/>
      </w:r>
    </w:p>
    <w:p w14:paraId="4608E890" w14:textId="541FD062" w:rsidR="00BE02D8" w:rsidRPr="00877DDB" w:rsidRDefault="00BE02D8" w:rsidP="00B851D4">
      <w:pPr>
        <w:pStyle w:val="ListParagraph"/>
        <w:numPr>
          <w:ilvl w:val="0"/>
          <w:numId w:val="57"/>
        </w:numPr>
      </w:pPr>
      <w:r w:rsidRPr="00877DDB">
        <w:lastRenderedPageBreak/>
        <w:t>Submit the Schedule 1 (the schedule 1 needs to match the RDT submitted by the</w:t>
      </w:r>
      <w:r w:rsidR="005F24C1">
        <w:t xml:space="preserve"> WEIM </w:t>
      </w:r>
      <w:r w:rsidRPr="00877DDB">
        <w:t>PR SC for the resource)</w:t>
      </w:r>
    </w:p>
    <w:p w14:paraId="5ECEBAF2" w14:textId="77777777" w:rsidR="00BE02D8" w:rsidRDefault="00BE02D8" w:rsidP="00BE02D8">
      <w:pPr>
        <w:ind w:left="720"/>
        <w:rPr>
          <w:color w:val="1F497D"/>
        </w:rPr>
      </w:pPr>
      <w:hyperlink r:id="rId45" w:history="1">
        <w:r w:rsidRPr="00BE02D8">
          <w:rPr>
            <w:rStyle w:val="Hyperlink"/>
          </w:rPr>
          <w:t>http://www.caiso.com/Documents/EnergyImbalanceMarketParticipatingResourceAgreementSchedule1.xls</w:t>
        </w:r>
      </w:hyperlink>
      <w:r>
        <w:rPr>
          <w:color w:val="1F497D"/>
        </w:rPr>
        <w:t xml:space="preserve"> </w:t>
      </w:r>
      <w:r>
        <w:rPr>
          <w:color w:val="1F497D"/>
        </w:rPr>
        <w:br/>
      </w:r>
    </w:p>
    <w:p w14:paraId="1E4FD580" w14:textId="449A0EBD" w:rsidR="00BE02D8" w:rsidRPr="00877DDB" w:rsidRDefault="00BE02D8" w:rsidP="00BE02D8">
      <w:r w:rsidRPr="00877DDB">
        <w:rPr>
          <w:rFonts w:eastAsia="Calibri" w:cs="Arial"/>
        </w:rPr>
        <w:t>NOTE: After all the requirements have been met by the resource for the</w:t>
      </w:r>
      <w:r w:rsidR="005F24C1">
        <w:rPr>
          <w:rFonts w:eastAsia="Calibri" w:cs="Arial"/>
        </w:rPr>
        <w:t xml:space="preserve"> WEIM </w:t>
      </w:r>
      <w:r w:rsidRPr="00877DDB">
        <w:rPr>
          <w:rFonts w:eastAsia="Calibri" w:cs="Arial"/>
        </w:rPr>
        <w:t>entity and the CAISO, agreements are issued.</w:t>
      </w:r>
    </w:p>
    <w:p w14:paraId="77BE4F56" w14:textId="7555690C" w:rsidR="00BE02D8" w:rsidRPr="00877DDB" w:rsidRDefault="00BE02D8" w:rsidP="00B851D4">
      <w:pPr>
        <w:pStyle w:val="ListParagraph"/>
        <w:numPr>
          <w:ilvl w:val="0"/>
          <w:numId w:val="58"/>
        </w:numPr>
      </w:pPr>
      <w:r w:rsidRPr="00877DDB">
        <w:t>The</w:t>
      </w:r>
      <w:r w:rsidR="005F24C1">
        <w:t xml:space="preserve"> WEIM </w:t>
      </w:r>
      <w:r w:rsidRPr="00877DDB">
        <w:t xml:space="preserve">entity officially notifies the resource and the CAISO that the resource is </w:t>
      </w:r>
      <w:r w:rsidR="00153940">
        <w:t>a WEIM</w:t>
      </w:r>
      <w:r w:rsidR="005F24C1">
        <w:t xml:space="preserve"> </w:t>
      </w:r>
      <w:r w:rsidRPr="00877DDB">
        <w:t>participating resource.</w:t>
      </w:r>
    </w:p>
    <w:p w14:paraId="5AF68D27" w14:textId="77777777" w:rsidR="00BE02D8" w:rsidRDefault="00BE02D8" w:rsidP="00BE02D8">
      <w:pPr>
        <w:ind w:firstLine="720"/>
        <w:rPr>
          <w:color w:val="1F497D"/>
        </w:rPr>
      </w:pPr>
    </w:p>
    <w:p w14:paraId="3F91F533" w14:textId="77777777" w:rsidR="00BE02D8" w:rsidRPr="00877DDB" w:rsidRDefault="00BE02D8" w:rsidP="00B851D4">
      <w:pPr>
        <w:pStyle w:val="ListParagraph"/>
        <w:numPr>
          <w:ilvl w:val="0"/>
          <w:numId w:val="57"/>
        </w:numPr>
      </w:pPr>
      <w:r w:rsidRPr="00877DDB">
        <w:t>Submit the Resource Owner SC Selection letter – This is submitted to indicate the selection of the SC that is to represent and schedule for the PR in the EIM.</w:t>
      </w:r>
    </w:p>
    <w:p w14:paraId="5D786BCF" w14:textId="77777777" w:rsidR="00BE02D8" w:rsidRDefault="00BE02D8" w:rsidP="00877DDB">
      <w:pPr>
        <w:ind w:firstLine="720"/>
        <w:rPr>
          <w:color w:val="1F497D"/>
        </w:rPr>
      </w:pPr>
      <w:hyperlink r:id="rId46" w:history="1">
        <w:r w:rsidRPr="009743F6">
          <w:rPr>
            <w:rStyle w:val="Hyperlink"/>
          </w:rPr>
          <w:t>http://www.caiso.com/Documents/ResourceOwnerLetter_Sept2014.doc</w:t>
        </w:r>
      </w:hyperlink>
      <w:r>
        <w:rPr>
          <w:color w:val="1F497D"/>
        </w:rPr>
        <w:t xml:space="preserve"> </w:t>
      </w:r>
    </w:p>
    <w:p w14:paraId="1ED0FE38" w14:textId="77777777" w:rsidR="00AE404B" w:rsidRDefault="00AE404B" w:rsidP="006B2D5F">
      <w:pPr>
        <w:spacing w:after="240" w:line="300" w:lineRule="auto"/>
      </w:pPr>
    </w:p>
    <w:p w14:paraId="52B56383" w14:textId="77777777" w:rsidR="006B2D5F" w:rsidRPr="006B2D5F" w:rsidRDefault="006B2D5F" w:rsidP="006B2D5F">
      <w:pPr>
        <w:spacing w:after="240" w:line="300" w:lineRule="auto"/>
      </w:pPr>
    </w:p>
    <w:p w14:paraId="13B78923" w14:textId="77777777" w:rsidR="002E46E9" w:rsidRDefault="002E46E9" w:rsidP="002E46E9">
      <w:pPr>
        <w:pStyle w:val="Heading1"/>
      </w:pPr>
      <w:bookmarkStart w:id="50" w:name="_Toc391969817"/>
      <w:bookmarkStart w:id="51" w:name="_Toc229054464"/>
      <w:r>
        <w:t>CREDIT MANAGEMENT</w:t>
      </w:r>
      <w:bookmarkEnd w:id="41"/>
      <w:bookmarkEnd w:id="42"/>
      <w:bookmarkEnd w:id="50"/>
      <w:bookmarkEnd w:id="51"/>
    </w:p>
    <w:p w14:paraId="0314B073" w14:textId="4C6D3C9F" w:rsidR="00590657" w:rsidRDefault="00023A66" w:rsidP="0021347B">
      <w:pPr>
        <w:spacing w:after="240" w:line="300" w:lineRule="auto"/>
      </w:pPr>
      <w:r>
        <w:t xml:space="preserve">Welcome to the </w:t>
      </w:r>
      <w:r w:rsidRPr="00590657">
        <w:rPr>
          <w:i/>
        </w:rPr>
        <w:t>Credit Management</w:t>
      </w:r>
      <w:r>
        <w:t xml:space="preserve"> </w:t>
      </w:r>
      <w:r w:rsidR="006A26A7">
        <w:t>section</w:t>
      </w:r>
      <w:r w:rsidR="00590657">
        <w:t xml:space="preserve"> of the CAISO </w:t>
      </w:r>
      <w:r w:rsidR="00590657" w:rsidRPr="00590657">
        <w:rPr>
          <w:i/>
        </w:rPr>
        <w:t xml:space="preserve">BPM for the </w:t>
      </w:r>
      <w:r w:rsidR="005F24C1">
        <w:rPr>
          <w:i/>
        </w:rPr>
        <w:t>Western Energy Imbalance Market</w:t>
      </w:r>
      <w:r w:rsidR="00590657">
        <w:t xml:space="preserve">. In this section </w:t>
      </w:r>
      <w:r w:rsidR="006A26A7">
        <w:t xml:space="preserve">you will find the </w:t>
      </w:r>
      <w:r w:rsidR="00590657">
        <w:t xml:space="preserve">following </w:t>
      </w:r>
      <w:r w:rsidR="006A26A7">
        <w:t>information</w:t>
      </w:r>
      <w:r w:rsidR="00590657">
        <w:t>:</w:t>
      </w:r>
    </w:p>
    <w:p w14:paraId="4BC1F01D" w14:textId="77777777" w:rsidR="00590657" w:rsidRDefault="00590657" w:rsidP="00B851D4">
      <w:pPr>
        <w:pStyle w:val="ListParagraph"/>
        <w:numPr>
          <w:ilvl w:val="0"/>
          <w:numId w:val="37"/>
        </w:numPr>
        <w:spacing w:after="240" w:line="300" w:lineRule="auto"/>
      </w:pPr>
      <w:r>
        <w:t>Summary of CAISO’s Credit Management policies and processes within the context of the EIM.</w:t>
      </w:r>
    </w:p>
    <w:p w14:paraId="6A255530" w14:textId="4E0B7AD1" w:rsidR="002E46E9" w:rsidRDefault="00590657" w:rsidP="00E62C48">
      <w:pPr>
        <w:spacing w:after="240" w:line="300" w:lineRule="auto"/>
      </w:pPr>
      <w:r>
        <w:t xml:space="preserve">EIM </w:t>
      </w:r>
      <w:r w:rsidR="002E46E9" w:rsidRPr="002E46E9">
        <w:t>Participants must comply wit</w:t>
      </w:r>
      <w:r w:rsidR="00577BCD">
        <w:t xml:space="preserve">h all applicable aspects of </w:t>
      </w:r>
      <w:r w:rsidR="002E46E9" w:rsidRPr="002E46E9">
        <w:t xml:space="preserve">CAISO’s Credit Management Policy. </w:t>
      </w:r>
      <w:r w:rsidR="00E26236">
        <w:t xml:space="preserve">The </w:t>
      </w:r>
      <w:hyperlink r:id="rId47" w:history="1">
        <w:r w:rsidR="00E26236" w:rsidRPr="00590657">
          <w:rPr>
            <w:rStyle w:val="Hyperlink"/>
            <w:b/>
          </w:rPr>
          <w:t>BPM for Credit Management</w:t>
        </w:r>
      </w:hyperlink>
      <w:r w:rsidR="002E46E9" w:rsidRPr="002E46E9">
        <w:t xml:space="preserve"> describes the credit-related pol</w:t>
      </w:r>
      <w:r w:rsidR="00577BCD">
        <w:t xml:space="preserve">icies and processes used at </w:t>
      </w:r>
      <w:r w:rsidR="002E46E9" w:rsidRPr="002E46E9">
        <w:t>CAISO to protect the financial integrity and effectiveness of the CAISO markets.  For</w:t>
      </w:r>
      <w:r w:rsidR="005F24C1">
        <w:t xml:space="preserve"> WEIM </w:t>
      </w:r>
      <w:r w:rsidR="002E46E9" w:rsidRPr="002E46E9">
        <w:t>participants, since Virtual Bidding, Reliability Must Run contracts</w:t>
      </w:r>
      <w:r w:rsidR="008C6B50">
        <w:t>,</w:t>
      </w:r>
      <w:r w:rsidR="002E46E9" w:rsidRPr="002E46E9">
        <w:t xml:space="preserve"> and Congestion Revenue Right</w:t>
      </w:r>
      <w:r w:rsidR="008C6B50">
        <w:t>s are not applicable to the EIM,</w:t>
      </w:r>
      <w:r w:rsidR="002E46E9" w:rsidRPr="002E46E9">
        <w:t xml:space="preserve"> these portions of the Financial Responsibilities outlined in the </w:t>
      </w:r>
      <w:hyperlink r:id="rId48" w:history="1">
        <w:r w:rsidR="00A21E2E" w:rsidRPr="00590657">
          <w:rPr>
            <w:rStyle w:val="Hyperlink"/>
            <w:b/>
          </w:rPr>
          <w:t>BPM for Credit Management</w:t>
        </w:r>
      </w:hyperlink>
      <w:r w:rsidR="00A21E2E">
        <w:t xml:space="preserve"> </w:t>
      </w:r>
      <w:r w:rsidR="002E46E9" w:rsidRPr="002E46E9">
        <w:t>are not applicable.</w:t>
      </w:r>
    </w:p>
    <w:p w14:paraId="3541FC50" w14:textId="77777777" w:rsidR="0021347B" w:rsidRPr="0021347B" w:rsidRDefault="0021347B" w:rsidP="0021347B">
      <w:pPr>
        <w:spacing w:after="240" w:line="300" w:lineRule="auto"/>
      </w:pPr>
    </w:p>
    <w:p w14:paraId="3F7955CA" w14:textId="77777777" w:rsidR="002E46E9" w:rsidRDefault="002E46E9" w:rsidP="002E46E9">
      <w:pPr>
        <w:pStyle w:val="Heading1"/>
      </w:pPr>
      <w:bookmarkStart w:id="52" w:name="_FULL_NETWORK_MODEL"/>
      <w:bookmarkStart w:id="53" w:name="_Toc389662572"/>
      <w:bookmarkStart w:id="54" w:name="_Toc390946257"/>
      <w:bookmarkStart w:id="55" w:name="_Toc391969818"/>
      <w:bookmarkStart w:id="56" w:name="_Toc229054465"/>
      <w:bookmarkEnd w:id="52"/>
      <w:r>
        <w:lastRenderedPageBreak/>
        <w:t>FULL NETWORK MODEL</w:t>
      </w:r>
      <w:bookmarkEnd w:id="53"/>
      <w:bookmarkEnd w:id="54"/>
      <w:bookmarkEnd w:id="55"/>
      <w:bookmarkEnd w:id="56"/>
    </w:p>
    <w:p w14:paraId="2CDD0039" w14:textId="521B52CD" w:rsidR="00590657" w:rsidRDefault="000B3BB4" w:rsidP="006F6DD6">
      <w:pPr>
        <w:spacing w:after="240" w:line="300" w:lineRule="auto"/>
        <w:rPr>
          <w:rFonts w:cs="Arial"/>
        </w:rPr>
      </w:pPr>
      <w:r>
        <w:rPr>
          <w:rFonts w:cs="Arial"/>
        </w:rPr>
        <w:t>W</w:t>
      </w:r>
      <w:r w:rsidR="00590657">
        <w:rPr>
          <w:rFonts w:cs="Arial"/>
        </w:rPr>
        <w:t>elcome to</w:t>
      </w:r>
      <w:r>
        <w:rPr>
          <w:rFonts w:cs="Arial"/>
        </w:rPr>
        <w:t xml:space="preserve"> the </w:t>
      </w:r>
      <w:r w:rsidRPr="00C8620C">
        <w:rPr>
          <w:rFonts w:cs="Arial"/>
          <w:i/>
        </w:rPr>
        <w:t>Full Network Model</w:t>
      </w:r>
      <w:r>
        <w:rPr>
          <w:rFonts w:cs="Arial"/>
        </w:rPr>
        <w:t xml:space="preserve"> section</w:t>
      </w:r>
      <w:r w:rsidR="00590657">
        <w:rPr>
          <w:rFonts w:cs="Arial"/>
        </w:rPr>
        <w:t xml:space="preserve"> of the CAISO </w:t>
      </w:r>
      <w:r w:rsidR="00590657" w:rsidRPr="00590657">
        <w:rPr>
          <w:rFonts w:cs="Arial"/>
          <w:i/>
        </w:rPr>
        <w:t xml:space="preserve">BPM for the </w:t>
      </w:r>
      <w:r w:rsidR="005F24C1">
        <w:rPr>
          <w:rFonts w:cs="Arial"/>
          <w:i/>
        </w:rPr>
        <w:t>Western Energy Imbalance Market</w:t>
      </w:r>
      <w:r w:rsidR="00590657">
        <w:rPr>
          <w:rFonts w:cs="Arial"/>
        </w:rPr>
        <w:t xml:space="preserve">.  In this section </w:t>
      </w:r>
      <w:r>
        <w:rPr>
          <w:rFonts w:cs="Arial"/>
        </w:rPr>
        <w:t xml:space="preserve">you will find </w:t>
      </w:r>
      <w:r w:rsidR="00590657">
        <w:rPr>
          <w:rFonts w:cs="Arial"/>
        </w:rPr>
        <w:t xml:space="preserve">the following </w:t>
      </w:r>
      <w:r>
        <w:rPr>
          <w:rFonts w:cs="Arial"/>
        </w:rPr>
        <w:t>information</w:t>
      </w:r>
      <w:r w:rsidR="00590657">
        <w:rPr>
          <w:rFonts w:cs="Arial"/>
        </w:rPr>
        <w:t>:</w:t>
      </w:r>
    </w:p>
    <w:p w14:paraId="355E5C61" w14:textId="77777777" w:rsidR="00590657" w:rsidRPr="00590657" w:rsidRDefault="00590657" w:rsidP="00B851D4">
      <w:pPr>
        <w:pStyle w:val="ListParagraph"/>
        <w:numPr>
          <w:ilvl w:val="0"/>
          <w:numId w:val="37"/>
        </w:numPr>
        <w:spacing w:after="240" w:line="300" w:lineRule="auto"/>
        <w:rPr>
          <w:rFonts w:cs="Arial"/>
        </w:rPr>
      </w:pPr>
      <w:r>
        <w:rPr>
          <w:rFonts w:cs="Arial"/>
        </w:rPr>
        <w:t>Summary of the Full Network Model in the EIM.</w:t>
      </w:r>
    </w:p>
    <w:p w14:paraId="000ACEA2" w14:textId="77777777" w:rsidR="00C8620C" w:rsidRPr="00590657" w:rsidRDefault="00590657" w:rsidP="00B851D4">
      <w:pPr>
        <w:pStyle w:val="ListParagraph"/>
        <w:numPr>
          <w:ilvl w:val="0"/>
          <w:numId w:val="37"/>
        </w:numPr>
        <w:spacing w:after="240" w:line="300" w:lineRule="auto"/>
        <w:rPr>
          <w:rFonts w:cs="Arial"/>
        </w:rPr>
      </w:pPr>
      <w:r>
        <w:rPr>
          <w:rFonts w:cs="Arial"/>
        </w:rPr>
        <w:t>Information</w:t>
      </w:r>
      <w:r w:rsidR="00775CF7">
        <w:rPr>
          <w:rFonts w:cs="Arial"/>
        </w:rPr>
        <w:t xml:space="preserve"> </w:t>
      </w:r>
      <w:r w:rsidR="000B3BB4" w:rsidRPr="00590657">
        <w:rPr>
          <w:rFonts w:cs="Arial"/>
        </w:rPr>
        <w:t>that describes the</w:t>
      </w:r>
      <w:r w:rsidR="009D507A" w:rsidRPr="00590657">
        <w:rPr>
          <w:rFonts w:cs="Arial"/>
        </w:rPr>
        <w:t xml:space="preserve"> business processes used by </w:t>
      </w:r>
      <w:r w:rsidR="000B3BB4" w:rsidRPr="00590657">
        <w:rPr>
          <w:rFonts w:cs="Arial"/>
        </w:rPr>
        <w:t>CAISO to maintain the Full Net</w:t>
      </w:r>
      <w:r w:rsidR="00C8620C" w:rsidRPr="00590657">
        <w:rPr>
          <w:rFonts w:cs="Arial"/>
        </w:rPr>
        <w:t>work Model in</w:t>
      </w:r>
      <w:r w:rsidR="000B3BB4" w:rsidRPr="00590657">
        <w:rPr>
          <w:rFonts w:cs="Arial"/>
        </w:rPr>
        <w:t xml:space="preserve"> the EIM.</w:t>
      </w:r>
    </w:p>
    <w:p w14:paraId="39A5C4B7" w14:textId="77777777" w:rsidR="00595077" w:rsidRPr="0014307A" w:rsidRDefault="00595077" w:rsidP="00FA595A">
      <w:pPr>
        <w:spacing w:after="80" w:line="300" w:lineRule="auto"/>
      </w:pPr>
      <w:r w:rsidRPr="00B06DE4">
        <w:rPr>
          <w:rFonts w:cs="Arial"/>
        </w:rPr>
        <w:t>CAISO maintains a Network Model for use by the CAISO market</w:t>
      </w:r>
      <w:r w:rsidRPr="00BB070F">
        <w:rPr>
          <w:rFonts w:cs="Arial"/>
        </w:rPr>
        <w:t>s.  The</w:t>
      </w:r>
      <w:r w:rsidRPr="003D6985">
        <w:rPr>
          <w:rFonts w:cs="Arial"/>
          <w:color w:val="0070C0"/>
        </w:rPr>
        <w:t xml:space="preserve"> </w:t>
      </w:r>
      <w:hyperlink r:id="rId49" w:history="1">
        <w:r w:rsidRPr="00480065">
          <w:rPr>
            <w:rStyle w:val="Hyperlink"/>
            <w:b/>
          </w:rPr>
          <w:t>BPM for Managing Full Network Model</w:t>
        </w:r>
      </w:hyperlink>
      <w:r w:rsidRPr="00B06DE4">
        <w:rPr>
          <w:b/>
        </w:rPr>
        <w:t xml:space="preserve"> </w:t>
      </w:r>
      <w:r w:rsidRPr="00BB070F">
        <w:rPr>
          <w:rFonts w:cs="Arial"/>
        </w:rPr>
        <w:t>explains how the Full Network Model and its associated processes are used to support market oper</w:t>
      </w:r>
      <w:r w:rsidRPr="003D6985">
        <w:rPr>
          <w:rFonts w:cs="Arial"/>
        </w:rPr>
        <w:t>ations</w:t>
      </w:r>
      <w:r w:rsidR="0014307A">
        <w:rPr>
          <w:rFonts w:cs="Arial"/>
        </w:rPr>
        <w:t xml:space="preserve">.  </w:t>
      </w:r>
      <w:hyperlink r:id="rId50" w:history="1">
        <w:r w:rsidR="0014307A" w:rsidRPr="0014307A">
          <w:rPr>
            <w:rStyle w:val="Hyperlink"/>
            <w:rFonts w:cs="Arial"/>
            <w:b/>
          </w:rPr>
          <w:t>The BPM for Managing Full Network Model</w:t>
        </w:r>
      </w:hyperlink>
      <w:r w:rsidR="0014307A">
        <w:rPr>
          <w:rFonts w:cs="Arial"/>
          <w:b/>
        </w:rPr>
        <w:t xml:space="preserve"> </w:t>
      </w:r>
      <w:r w:rsidR="0014307A">
        <w:rPr>
          <w:rFonts w:cs="Arial"/>
        </w:rPr>
        <w:t xml:space="preserve">also </w:t>
      </w:r>
      <w:r w:rsidRPr="003D6985">
        <w:rPr>
          <w:rFonts w:cs="Arial"/>
        </w:rPr>
        <w:t>describes the process Market Participants follow in providing data used to support the model and in gaining access to model data.  The CAISO Network Model contains some, but not all</w:t>
      </w:r>
      <w:r w:rsidR="00F12963" w:rsidRPr="00480065">
        <w:rPr>
          <w:rFonts w:cs="Arial"/>
        </w:rPr>
        <w:t>,</w:t>
      </w:r>
      <w:r w:rsidRPr="00480065">
        <w:rPr>
          <w:rFonts w:cs="Arial"/>
        </w:rPr>
        <w:t xml:space="preserve"> of the related information for neighboring Balancing Authority Areas within WECC.  </w:t>
      </w:r>
    </w:p>
    <w:p w14:paraId="27786C3C" w14:textId="2E8A8E0E" w:rsidR="00595077" w:rsidRPr="00480065" w:rsidRDefault="00595077" w:rsidP="00FA595A">
      <w:pPr>
        <w:spacing w:after="80" w:line="300" w:lineRule="auto"/>
        <w:rPr>
          <w:rFonts w:cs="Arial"/>
        </w:rPr>
      </w:pPr>
      <w:r w:rsidRPr="00480065">
        <w:rPr>
          <w:rFonts w:cs="Arial"/>
        </w:rPr>
        <w:t>Balancing Authority Areas participating in the</w:t>
      </w:r>
      <w:r w:rsidR="005F24C1">
        <w:rPr>
          <w:rFonts w:cs="Arial"/>
        </w:rPr>
        <w:t xml:space="preserve"> WEIM </w:t>
      </w:r>
      <w:r w:rsidRPr="00480065">
        <w:rPr>
          <w:rFonts w:cs="Arial"/>
        </w:rPr>
        <w:t>will maintain their own Network Model processes with resources within their BAA, and will</w:t>
      </w:r>
      <w:r w:rsidR="00577BCD">
        <w:rPr>
          <w:rFonts w:cs="Arial"/>
        </w:rPr>
        <w:t xml:space="preserve"> export that information to </w:t>
      </w:r>
      <w:r w:rsidRPr="00480065">
        <w:rPr>
          <w:rFonts w:cs="Arial"/>
        </w:rPr>
        <w:t>CAISO on a regul</w:t>
      </w:r>
      <w:r w:rsidR="00577BCD">
        <w:rPr>
          <w:rFonts w:cs="Arial"/>
        </w:rPr>
        <w:t xml:space="preserve">ar basis for promotion into </w:t>
      </w:r>
      <w:r w:rsidRPr="00480065">
        <w:rPr>
          <w:rFonts w:cs="Arial"/>
        </w:rPr>
        <w:t>CAISO’s Full Network Model and subsequent use by the EIM.  Any issues identif</w:t>
      </w:r>
      <w:r w:rsidR="00577BCD">
        <w:rPr>
          <w:rFonts w:cs="Arial"/>
        </w:rPr>
        <w:t xml:space="preserve">ied by </w:t>
      </w:r>
      <w:r w:rsidRPr="00480065">
        <w:rPr>
          <w:rFonts w:cs="Arial"/>
        </w:rPr>
        <w:t>CAISO in the</w:t>
      </w:r>
      <w:r w:rsidR="005F24C1">
        <w:rPr>
          <w:rFonts w:cs="Arial"/>
        </w:rPr>
        <w:t xml:space="preserve"> WEIM </w:t>
      </w:r>
      <w:r w:rsidR="005C7A4A">
        <w:rPr>
          <w:rFonts w:cs="Arial"/>
        </w:rPr>
        <w:t xml:space="preserve">Entity </w:t>
      </w:r>
      <w:r w:rsidRPr="00480065">
        <w:rPr>
          <w:rFonts w:cs="Arial"/>
        </w:rPr>
        <w:t>BAA’s model information will be resolved before promoting the information into a model used by the CAISO markets.</w:t>
      </w:r>
      <w:r w:rsidR="00074C0D">
        <w:rPr>
          <w:rFonts w:cs="Arial"/>
        </w:rPr>
        <w:t xml:space="preserve"> </w:t>
      </w:r>
      <w:r w:rsidR="005F24C1">
        <w:rPr>
          <w:rFonts w:cs="Arial"/>
        </w:rPr>
        <w:t xml:space="preserve"> WEIM </w:t>
      </w:r>
      <w:r w:rsidR="00074C0D">
        <w:rPr>
          <w:rFonts w:cs="Arial"/>
        </w:rPr>
        <w:t>Entities are responsible for coordinating their network model updates with other impacted parties, including neighboring Balancing Authorities and WECC as appropriate.</w:t>
      </w:r>
    </w:p>
    <w:p w14:paraId="51DD1369" w14:textId="48CCB268" w:rsidR="00F344FC" w:rsidRPr="00480065" w:rsidRDefault="00F344FC" w:rsidP="00F344FC">
      <w:pPr>
        <w:spacing w:after="240" w:line="300" w:lineRule="auto"/>
        <w:rPr>
          <w:rFonts w:cs="Arial"/>
        </w:rPr>
      </w:pPr>
      <w:r w:rsidRPr="00480065">
        <w:rPr>
          <w:rFonts w:cs="Arial"/>
        </w:rPr>
        <w:t xml:space="preserve">The CAISO Full Network </w:t>
      </w:r>
      <w:r w:rsidR="00AD5840">
        <w:rPr>
          <w:rFonts w:cs="Arial"/>
        </w:rPr>
        <w:t>Model timeline can be found in S</w:t>
      </w:r>
      <w:r w:rsidRPr="00480065">
        <w:rPr>
          <w:rFonts w:cs="Arial"/>
        </w:rPr>
        <w:t xml:space="preserve">ection 5.1 of the </w:t>
      </w:r>
      <w:hyperlink r:id="rId51" w:history="1">
        <w:r w:rsidRPr="00480065">
          <w:rPr>
            <w:rStyle w:val="Hyperlink"/>
            <w:b/>
          </w:rPr>
          <w:t>BPM for Managing Full Network Model</w:t>
        </w:r>
      </w:hyperlink>
      <w:r w:rsidRPr="00B06DE4">
        <w:rPr>
          <w:rFonts w:cs="Arial"/>
        </w:rPr>
        <w:t xml:space="preserve">.  Before every network model update, </w:t>
      </w:r>
      <w:r w:rsidR="00153940">
        <w:rPr>
          <w:rFonts w:cs="Arial"/>
        </w:rPr>
        <w:t>a WEIM</w:t>
      </w:r>
      <w:r w:rsidR="005F24C1">
        <w:rPr>
          <w:rFonts w:cs="Arial"/>
        </w:rPr>
        <w:t xml:space="preserve"> </w:t>
      </w:r>
      <w:r w:rsidRPr="00B06DE4">
        <w:rPr>
          <w:rFonts w:cs="Arial"/>
        </w:rPr>
        <w:t xml:space="preserve">Entity will complete and provide a </w:t>
      </w:r>
      <w:r w:rsidR="00F06893">
        <w:rPr>
          <w:rFonts w:cs="Arial"/>
        </w:rPr>
        <w:t>n</w:t>
      </w:r>
      <w:r w:rsidRPr="00B06DE4">
        <w:rPr>
          <w:rFonts w:cs="Arial"/>
        </w:rPr>
        <w:t>e</w:t>
      </w:r>
      <w:r w:rsidR="00F06893">
        <w:rPr>
          <w:rFonts w:cs="Arial"/>
        </w:rPr>
        <w:t>twork model u</w:t>
      </w:r>
      <w:r w:rsidRPr="00BB070F">
        <w:rPr>
          <w:rFonts w:cs="Arial"/>
        </w:rPr>
        <w:t>pdate template to CAISO.  The document will contain a detailed description of the updates for communication between CAISO and the</w:t>
      </w:r>
      <w:r w:rsidR="005F24C1">
        <w:rPr>
          <w:rFonts w:cs="Arial"/>
        </w:rPr>
        <w:t xml:space="preserve"> WEIM </w:t>
      </w:r>
      <w:r w:rsidRPr="00BB070F">
        <w:rPr>
          <w:rFonts w:cs="Arial"/>
        </w:rPr>
        <w:t xml:space="preserve">Entity network model teams, and to the </w:t>
      </w:r>
      <w:r w:rsidR="00FC30E3">
        <w:rPr>
          <w:rFonts w:cs="Arial"/>
        </w:rPr>
        <w:t>Real-Time</w:t>
      </w:r>
      <w:r w:rsidRPr="00BB070F">
        <w:rPr>
          <w:rFonts w:cs="Arial"/>
        </w:rPr>
        <w:t xml:space="preserve"> operators. The document is posted on the Network and Resour</w:t>
      </w:r>
      <w:r w:rsidRPr="003D6985">
        <w:rPr>
          <w:rFonts w:cs="Arial"/>
        </w:rPr>
        <w:t xml:space="preserve">ce Modeling section of the CAISO </w:t>
      </w:r>
      <w:r w:rsidR="00816DA7" w:rsidRPr="003D6985">
        <w:rPr>
          <w:rFonts w:cs="Arial"/>
        </w:rPr>
        <w:t>website and</w:t>
      </w:r>
      <w:r w:rsidRPr="003D6985">
        <w:rPr>
          <w:rFonts w:cs="Arial"/>
        </w:rPr>
        <w:t xml:space="preserve"> should contain any changes to the</w:t>
      </w:r>
      <w:r w:rsidR="005F24C1">
        <w:rPr>
          <w:rFonts w:cs="Arial"/>
        </w:rPr>
        <w:t xml:space="preserve"> WEIM </w:t>
      </w:r>
      <w:r w:rsidRPr="003D6985">
        <w:rPr>
          <w:rFonts w:cs="Arial"/>
        </w:rPr>
        <w:t>Entity’s network model including, but not limited to, new equipment, equipment commissioning/decommissioning, date/time, new system configurations, display chang</w:t>
      </w:r>
      <w:r w:rsidRPr="00480065">
        <w:rPr>
          <w:rFonts w:cs="Arial"/>
        </w:rPr>
        <w:t>es, SCADA point changes, and interconnection changes.</w:t>
      </w:r>
    </w:p>
    <w:p w14:paraId="293E8647" w14:textId="7334B0CA" w:rsidR="00F344FC" w:rsidRPr="00480065" w:rsidRDefault="00F344FC" w:rsidP="00FA595A">
      <w:pPr>
        <w:spacing w:after="80" w:line="300" w:lineRule="auto"/>
        <w:rPr>
          <w:rFonts w:cs="Arial"/>
        </w:rPr>
      </w:pPr>
      <w:r w:rsidRPr="00480065">
        <w:rPr>
          <w:rFonts w:cs="Arial"/>
        </w:rPr>
        <w:lastRenderedPageBreak/>
        <w:t>The</w:t>
      </w:r>
      <w:r w:rsidR="005F24C1">
        <w:rPr>
          <w:rFonts w:cs="Arial"/>
        </w:rPr>
        <w:t xml:space="preserve"> WEIM </w:t>
      </w:r>
      <w:r w:rsidRPr="00480065">
        <w:rPr>
          <w:rFonts w:cs="Arial"/>
        </w:rPr>
        <w:t xml:space="preserve">Entity shall make </w:t>
      </w:r>
      <w:r w:rsidR="003C2D59">
        <w:rPr>
          <w:rFonts w:cs="Arial"/>
        </w:rPr>
        <w:t>the Network Model Update</w:t>
      </w:r>
      <w:r w:rsidR="009D507A">
        <w:rPr>
          <w:rFonts w:cs="Arial"/>
        </w:rPr>
        <w:t xml:space="preserve"> document available to </w:t>
      </w:r>
      <w:r w:rsidRPr="00480065">
        <w:rPr>
          <w:rFonts w:cs="Arial"/>
        </w:rPr>
        <w:t xml:space="preserve">CAISO before </w:t>
      </w:r>
      <w:r w:rsidR="00B439D6">
        <w:rPr>
          <w:rFonts w:cs="Arial"/>
        </w:rPr>
        <w:t>the</w:t>
      </w:r>
      <w:r w:rsidRPr="00480065">
        <w:rPr>
          <w:rFonts w:cs="Arial"/>
        </w:rPr>
        <w:t xml:space="preserve"> commissioning/decommission</w:t>
      </w:r>
      <w:r w:rsidR="00B439D6">
        <w:rPr>
          <w:rFonts w:cs="Arial"/>
        </w:rPr>
        <w:t>ing</w:t>
      </w:r>
      <w:r w:rsidRPr="00480065">
        <w:rPr>
          <w:rFonts w:cs="Arial"/>
        </w:rPr>
        <w:t xml:space="preserve"> of transmission or generation equipment. This will help resolve and cross the gap between the different cycles of </w:t>
      </w:r>
      <w:r w:rsidR="005D4C7C">
        <w:rPr>
          <w:rFonts w:cs="Arial"/>
        </w:rPr>
        <w:t xml:space="preserve">network model updates among </w:t>
      </w:r>
      <w:r w:rsidRPr="00480065">
        <w:rPr>
          <w:rFonts w:cs="Arial"/>
        </w:rPr>
        <w:t>CAISO and the different</w:t>
      </w:r>
      <w:r w:rsidR="005F24C1">
        <w:rPr>
          <w:rFonts w:cs="Arial"/>
        </w:rPr>
        <w:t xml:space="preserve"> WEIM </w:t>
      </w:r>
      <w:r w:rsidRPr="00480065">
        <w:rPr>
          <w:rFonts w:cs="Arial"/>
        </w:rPr>
        <w:t xml:space="preserve">entities. The document is only used to synchronize the EMS network models between </w:t>
      </w:r>
      <w:r w:rsidR="00153940">
        <w:rPr>
          <w:rFonts w:cs="Arial"/>
        </w:rPr>
        <w:t>a WEIM</w:t>
      </w:r>
      <w:r w:rsidR="005F24C1">
        <w:rPr>
          <w:rFonts w:cs="Arial"/>
        </w:rPr>
        <w:t xml:space="preserve"> </w:t>
      </w:r>
      <w:r w:rsidRPr="00480065">
        <w:rPr>
          <w:rFonts w:cs="Arial"/>
        </w:rPr>
        <w:t>Entity and CAISO</w:t>
      </w:r>
      <w:r w:rsidR="00F2256A">
        <w:rPr>
          <w:rFonts w:cs="Arial"/>
        </w:rPr>
        <w:t xml:space="preserve">.  It </w:t>
      </w:r>
      <w:r w:rsidRPr="00480065">
        <w:rPr>
          <w:rFonts w:cs="Arial"/>
        </w:rPr>
        <w:t xml:space="preserve">does not replace the existing requirement or processes in place to register participating and non-participating resources in </w:t>
      </w:r>
      <w:r w:rsidR="00153940">
        <w:rPr>
          <w:rFonts w:cs="Arial"/>
        </w:rPr>
        <w:t>a WEIM</w:t>
      </w:r>
      <w:r w:rsidR="005F24C1">
        <w:rPr>
          <w:rFonts w:cs="Arial"/>
        </w:rPr>
        <w:t xml:space="preserve"> </w:t>
      </w:r>
      <w:r w:rsidRPr="00480065">
        <w:rPr>
          <w:rFonts w:cs="Arial"/>
        </w:rPr>
        <w:t>Entity balancing area in the CAISO Market registry system or Master</w:t>
      </w:r>
      <w:r w:rsidR="00F042BE" w:rsidRPr="00480065">
        <w:rPr>
          <w:rFonts w:cs="Arial"/>
        </w:rPr>
        <w:t xml:space="preserve"> </w:t>
      </w:r>
      <w:r w:rsidRPr="00480065">
        <w:rPr>
          <w:rFonts w:cs="Arial"/>
        </w:rPr>
        <w:t xml:space="preserve">File.  </w:t>
      </w:r>
    </w:p>
    <w:p w14:paraId="5EB2112E" w14:textId="1A77A71A" w:rsidR="00F344FC" w:rsidRPr="00480065" w:rsidRDefault="00153940" w:rsidP="00FA595A">
      <w:pPr>
        <w:spacing w:after="80" w:line="300" w:lineRule="auto"/>
        <w:rPr>
          <w:rFonts w:cs="Arial"/>
        </w:rPr>
      </w:pPr>
      <w:r>
        <w:rPr>
          <w:rFonts w:cs="Arial"/>
        </w:rPr>
        <w:t>A WEIM</w:t>
      </w:r>
      <w:r w:rsidR="005F24C1">
        <w:rPr>
          <w:rFonts w:cs="Arial"/>
        </w:rPr>
        <w:t xml:space="preserve"> </w:t>
      </w:r>
      <w:r w:rsidR="00F344FC" w:rsidRPr="00480065">
        <w:rPr>
          <w:rFonts w:cs="Arial"/>
        </w:rPr>
        <w:t>Entity will expo</w:t>
      </w:r>
      <w:r w:rsidR="005D4C7C">
        <w:rPr>
          <w:rFonts w:cs="Arial"/>
        </w:rPr>
        <w:t xml:space="preserve">rt its EMS network model to </w:t>
      </w:r>
      <w:r w:rsidR="00F344FC" w:rsidRPr="00480065">
        <w:rPr>
          <w:rFonts w:cs="Arial"/>
        </w:rPr>
        <w:t>CAISO along with an associate</w:t>
      </w:r>
      <w:r w:rsidR="005D4C7C">
        <w:rPr>
          <w:rFonts w:cs="Arial"/>
        </w:rPr>
        <w:t xml:space="preserve">d limits file. In order for </w:t>
      </w:r>
      <w:r w:rsidR="00F344FC" w:rsidRPr="00480065">
        <w:rPr>
          <w:rFonts w:cs="Arial"/>
        </w:rPr>
        <w:t>CAISO to implement</w:t>
      </w:r>
      <w:r w:rsidR="005D4C7C">
        <w:rPr>
          <w:rFonts w:cs="Arial"/>
        </w:rPr>
        <w:t xml:space="preserve"> </w:t>
      </w:r>
      <w:r>
        <w:rPr>
          <w:rFonts w:cs="Arial"/>
        </w:rPr>
        <w:t>a WEIM</w:t>
      </w:r>
      <w:r w:rsidR="005F24C1">
        <w:rPr>
          <w:rFonts w:cs="Arial"/>
        </w:rPr>
        <w:t xml:space="preserve"> </w:t>
      </w:r>
      <w:r w:rsidR="005D4C7C">
        <w:rPr>
          <w:rFonts w:cs="Arial"/>
        </w:rPr>
        <w:t xml:space="preserve">Entity’s model into </w:t>
      </w:r>
      <w:r w:rsidR="00F344FC" w:rsidRPr="00480065">
        <w:rPr>
          <w:rFonts w:cs="Arial"/>
        </w:rPr>
        <w:t>CAISO’s full network model in a timely manner, the</w:t>
      </w:r>
      <w:r w:rsidR="005F24C1">
        <w:rPr>
          <w:rFonts w:cs="Arial"/>
        </w:rPr>
        <w:t xml:space="preserve"> WEIM </w:t>
      </w:r>
      <w:r w:rsidR="00816DA7" w:rsidRPr="00480065">
        <w:rPr>
          <w:rFonts w:cs="Arial"/>
        </w:rPr>
        <w:t>Entity</w:t>
      </w:r>
      <w:r w:rsidR="00F344FC" w:rsidRPr="00480065">
        <w:rPr>
          <w:rFonts w:cs="Arial"/>
        </w:rPr>
        <w:t xml:space="preserve"> will send </w:t>
      </w:r>
      <w:r w:rsidR="005D4C7C">
        <w:rPr>
          <w:rFonts w:cs="Arial"/>
        </w:rPr>
        <w:t xml:space="preserve">the required information to </w:t>
      </w:r>
      <w:r w:rsidR="00F344FC" w:rsidRPr="00480065">
        <w:rPr>
          <w:rFonts w:cs="Arial"/>
        </w:rPr>
        <w:t xml:space="preserve">CAISO based on the </w:t>
      </w:r>
      <w:r w:rsidR="00AD5840">
        <w:rPr>
          <w:rFonts w:cs="Arial"/>
        </w:rPr>
        <w:t>full network model timeline in S</w:t>
      </w:r>
      <w:r w:rsidR="00F344FC" w:rsidRPr="00480065">
        <w:rPr>
          <w:rFonts w:cs="Arial"/>
        </w:rPr>
        <w:t xml:space="preserve">ection 5.1 of the </w:t>
      </w:r>
      <w:hyperlink r:id="rId52" w:history="1">
        <w:r w:rsidR="00F344FC" w:rsidRPr="00480065">
          <w:rPr>
            <w:rStyle w:val="Hyperlink"/>
            <w:b/>
          </w:rPr>
          <w:t>BPM for Managing Full Network Model</w:t>
        </w:r>
      </w:hyperlink>
      <w:r w:rsidR="00F344FC" w:rsidRPr="00480065">
        <w:rPr>
          <w:rFonts w:cs="Arial"/>
        </w:rPr>
        <w:t>.</w:t>
      </w:r>
    </w:p>
    <w:p w14:paraId="704A052C" w14:textId="1E71C17F" w:rsidR="00F344FC" w:rsidRPr="00480065" w:rsidRDefault="00F344FC" w:rsidP="00FA595A">
      <w:pPr>
        <w:spacing w:after="80" w:line="300" w:lineRule="auto"/>
        <w:rPr>
          <w:rFonts w:cs="Arial"/>
        </w:rPr>
      </w:pPr>
      <w:r w:rsidRPr="00480065">
        <w:rPr>
          <w:rFonts w:cs="Arial"/>
        </w:rPr>
        <w:t xml:space="preserve">While </w:t>
      </w:r>
      <w:r w:rsidR="00153940">
        <w:rPr>
          <w:rFonts w:cs="Arial"/>
        </w:rPr>
        <w:t>a WEIM</w:t>
      </w:r>
      <w:r w:rsidR="005F24C1">
        <w:rPr>
          <w:rFonts w:cs="Arial"/>
        </w:rPr>
        <w:t xml:space="preserve"> </w:t>
      </w:r>
      <w:r w:rsidRPr="00480065">
        <w:rPr>
          <w:rFonts w:cs="Arial"/>
        </w:rPr>
        <w:t>Entity’s model deplo</w:t>
      </w:r>
      <w:r w:rsidR="005D4C7C">
        <w:rPr>
          <w:rFonts w:cs="Arial"/>
        </w:rPr>
        <w:t xml:space="preserve">yment cycle may differ from </w:t>
      </w:r>
      <w:r w:rsidRPr="00480065">
        <w:rPr>
          <w:rFonts w:cs="Arial"/>
        </w:rPr>
        <w:t>CAISO’s network model update timeline, any</w:t>
      </w:r>
      <w:r w:rsidR="005F24C1">
        <w:rPr>
          <w:rFonts w:cs="Arial"/>
        </w:rPr>
        <w:t xml:space="preserve"> WEIM </w:t>
      </w:r>
      <w:r w:rsidRPr="00480065">
        <w:rPr>
          <w:rFonts w:cs="Arial"/>
        </w:rPr>
        <w:t xml:space="preserve">Entity market model changes should follow the effective timelines specified and maintained in </w:t>
      </w:r>
      <w:r w:rsidR="00AD5840">
        <w:rPr>
          <w:rFonts w:cs="Arial"/>
        </w:rPr>
        <w:t>the CAISO BPM S</w:t>
      </w:r>
      <w:r w:rsidRPr="00480065">
        <w:rPr>
          <w:rFonts w:cs="Arial"/>
        </w:rPr>
        <w:t xml:space="preserve">ection 5.1 of the </w:t>
      </w:r>
      <w:hyperlink r:id="rId53" w:history="1">
        <w:r w:rsidRPr="00480065">
          <w:rPr>
            <w:rStyle w:val="Hyperlink"/>
            <w:b/>
          </w:rPr>
          <w:t>BPM for Managing Full Network Model</w:t>
        </w:r>
      </w:hyperlink>
      <w:r w:rsidRPr="00480065">
        <w:rPr>
          <w:rFonts w:cs="Arial"/>
        </w:rPr>
        <w:t xml:space="preserve">.  New resources must complete the interconnection processes of their host Balancing Authority Area </w:t>
      </w:r>
      <w:r w:rsidR="003C2D59">
        <w:rPr>
          <w:rFonts w:cs="Arial"/>
        </w:rPr>
        <w:t>(BAA)</w:t>
      </w:r>
      <w:r w:rsidRPr="00480065">
        <w:rPr>
          <w:rFonts w:cs="Arial"/>
        </w:rPr>
        <w:t xml:space="preserve"> prior to being included in a Full Network Model build and participating in the EIM.</w:t>
      </w:r>
    </w:p>
    <w:p w14:paraId="62B565AA" w14:textId="47FC14EF" w:rsidR="00F344FC" w:rsidRPr="00480065" w:rsidRDefault="00F344FC" w:rsidP="00F344FC">
      <w:pPr>
        <w:spacing w:after="240" w:line="300" w:lineRule="auto"/>
        <w:rPr>
          <w:rFonts w:cs="Arial"/>
        </w:rPr>
      </w:pPr>
      <w:r w:rsidRPr="00480065">
        <w:rPr>
          <w:rFonts w:cs="Arial"/>
        </w:rPr>
        <w:t xml:space="preserve">All resources within </w:t>
      </w:r>
      <w:r w:rsidR="00153940">
        <w:rPr>
          <w:rFonts w:cs="Arial"/>
        </w:rPr>
        <w:t>a WEIM</w:t>
      </w:r>
      <w:r w:rsidR="005F24C1">
        <w:rPr>
          <w:rFonts w:cs="Arial"/>
        </w:rPr>
        <w:t xml:space="preserve"> </w:t>
      </w:r>
      <w:r w:rsidRPr="00480065">
        <w:rPr>
          <w:rFonts w:cs="Arial"/>
        </w:rPr>
        <w:t>Entity must be included in the CAISO’s Full Network Model.  The New Resource Implementation guide posted on the CAISO website contains requirements for esta</w:t>
      </w:r>
      <w:r w:rsidR="005D4C7C">
        <w:rPr>
          <w:rFonts w:cs="Arial"/>
        </w:rPr>
        <w:t xml:space="preserve">blishing new resources with </w:t>
      </w:r>
      <w:r w:rsidRPr="00480065">
        <w:rPr>
          <w:rFonts w:cs="Arial"/>
        </w:rPr>
        <w:t>CAISO.  Resources participating in the</w:t>
      </w:r>
      <w:r w:rsidR="005F24C1">
        <w:rPr>
          <w:rFonts w:cs="Arial"/>
        </w:rPr>
        <w:t xml:space="preserve"> WEIM </w:t>
      </w:r>
      <w:r w:rsidRPr="00480065">
        <w:rPr>
          <w:rFonts w:cs="Arial"/>
        </w:rPr>
        <w:t>will be required to subm</w:t>
      </w:r>
      <w:r w:rsidR="005D4C7C">
        <w:rPr>
          <w:rFonts w:cs="Arial"/>
        </w:rPr>
        <w:t xml:space="preserve">it requisite information to </w:t>
      </w:r>
      <w:r w:rsidRPr="00480065">
        <w:rPr>
          <w:rFonts w:cs="Arial"/>
        </w:rPr>
        <w:t>CAISO via the Resource Data Templa</w:t>
      </w:r>
      <w:r w:rsidR="00AD5840">
        <w:rPr>
          <w:rFonts w:cs="Arial"/>
        </w:rPr>
        <w:t>te (RDT) process described in S</w:t>
      </w:r>
      <w:r w:rsidRPr="00480065">
        <w:rPr>
          <w:rFonts w:cs="Arial"/>
        </w:rPr>
        <w:t xml:space="preserve">ection 5.4 of the </w:t>
      </w:r>
      <w:hyperlink r:id="rId54" w:history="1">
        <w:r w:rsidRPr="00480065">
          <w:rPr>
            <w:rStyle w:val="Hyperlink"/>
            <w:b/>
          </w:rPr>
          <w:t>BPM for Managing Full Network Model</w:t>
        </w:r>
      </w:hyperlink>
      <w:r w:rsidRPr="00480065">
        <w:rPr>
          <w:rFonts w:cs="Arial"/>
        </w:rPr>
        <w:t xml:space="preserve">.  Additional information regarding the specific information contained in the RDT can be found in Attachment B of the </w:t>
      </w:r>
      <w:hyperlink r:id="rId55" w:history="1">
        <w:r w:rsidRPr="00480065">
          <w:rPr>
            <w:rStyle w:val="Hyperlink"/>
            <w:rFonts w:cs="Arial"/>
            <w:b/>
          </w:rPr>
          <w:t>BPM for Market Instruments</w:t>
        </w:r>
      </w:hyperlink>
      <w:r w:rsidRPr="00480065">
        <w:rPr>
          <w:rFonts w:cs="Arial"/>
        </w:rPr>
        <w:t>.  All</w:t>
      </w:r>
      <w:r w:rsidR="005F24C1">
        <w:rPr>
          <w:rFonts w:cs="Arial"/>
        </w:rPr>
        <w:t xml:space="preserve"> WEIM </w:t>
      </w:r>
      <w:r w:rsidR="00816DA7" w:rsidRPr="00480065">
        <w:rPr>
          <w:rFonts w:cs="Arial"/>
        </w:rPr>
        <w:t>Participating</w:t>
      </w:r>
      <w:r w:rsidRPr="00480065">
        <w:rPr>
          <w:rFonts w:cs="Arial"/>
        </w:rPr>
        <w:t xml:space="preserve"> Resource Scheduling Coordinators must register the resources that they shall represent using the RDT process, update the information on a timely basis</w:t>
      </w:r>
      <w:r w:rsidR="004D2AB4">
        <w:rPr>
          <w:rFonts w:cs="Arial"/>
        </w:rPr>
        <w:t>,</w:t>
      </w:r>
      <w:r w:rsidRPr="00480065">
        <w:rPr>
          <w:rFonts w:cs="Arial"/>
        </w:rPr>
        <w:t xml:space="preserve"> and share that information with the</w:t>
      </w:r>
      <w:r w:rsidR="005F24C1">
        <w:rPr>
          <w:rFonts w:cs="Arial"/>
        </w:rPr>
        <w:t xml:space="preserve"> WEIM </w:t>
      </w:r>
      <w:r w:rsidRPr="00480065">
        <w:rPr>
          <w:rFonts w:cs="Arial"/>
        </w:rPr>
        <w:t>Entity Scheduling Coord</w:t>
      </w:r>
      <w:r w:rsidR="004D2AB4">
        <w:rPr>
          <w:rFonts w:cs="Arial"/>
        </w:rPr>
        <w:t xml:space="preserve">inator in coordination with </w:t>
      </w:r>
      <w:r w:rsidRPr="00480065">
        <w:rPr>
          <w:rFonts w:cs="Arial"/>
        </w:rPr>
        <w:t xml:space="preserve">CAISO’s network model update timeline.  Also, </w:t>
      </w:r>
      <w:r w:rsidR="00153940">
        <w:rPr>
          <w:rFonts w:cs="Arial"/>
        </w:rPr>
        <w:t>a WEIM</w:t>
      </w:r>
      <w:r w:rsidR="005F24C1">
        <w:rPr>
          <w:rFonts w:cs="Arial"/>
        </w:rPr>
        <w:t xml:space="preserve"> </w:t>
      </w:r>
      <w:r w:rsidRPr="00480065">
        <w:rPr>
          <w:rFonts w:cs="Arial"/>
        </w:rPr>
        <w:t xml:space="preserve">Entity Scheduling </w:t>
      </w:r>
      <w:r w:rsidR="00816DA7" w:rsidRPr="00480065">
        <w:rPr>
          <w:rFonts w:cs="Arial"/>
        </w:rPr>
        <w:t>Coordinator</w:t>
      </w:r>
      <w:r w:rsidRPr="00480065">
        <w:rPr>
          <w:rFonts w:cs="Arial"/>
        </w:rPr>
        <w:t xml:space="preserve"> must register all non-participating resources</w:t>
      </w:r>
      <w:r w:rsidR="00000035">
        <w:rPr>
          <w:rFonts w:cs="Arial"/>
        </w:rPr>
        <w:t>,</w:t>
      </w:r>
      <w:r w:rsidRPr="00480065">
        <w:rPr>
          <w:rFonts w:cs="Arial"/>
        </w:rPr>
        <w:t xml:space="preserve"> specifying the</w:t>
      </w:r>
      <w:r w:rsidR="005F24C1">
        <w:rPr>
          <w:rFonts w:cs="Arial"/>
        </w:rPr>
        <w:t xml:space="preserve"> WEIM </w:t>
      </w:r>
      <w:r w:rsidRPr="00480065">
        <w:rPr>
          <w:rFonts w:cs="Arial"/>
        </w:rPr>
        <w:t xml:space="preserve">Entity within which </w:t>
      </w:r>
      <w:r w:rsidR="00000035">
        <w:rPr>
          <w:rFonts w:cs="Arial"/>
        </w:rPr>
        <w:t>the resources exist,</w:t>
      </w:r>
      <w:r w:rsidRPr="00480065">
        <w:rPr>
          <w:rFonts w:cs="Arial"/>
        </w:rPr>
        <w:t xml:space="preserve"> using the RDT process and update that in</w:t>
      </w:r>
      <w:r w:rsidR="009D507A">
        <w:rPr>
          <w:rFonts w:cs="Arial"/>
        </w:rPr>
        <w:t>formation in accordance with</w:t>
      </w:r>
      <w:r w:rsidRPr="00480065">
        <w:rPr>
          <w:rFonts w:cs="Arial"/>
        </w:rPr>
        <w:t xml:space="preserve"> CAISO’s network model build process.  </w:t>
      </w:r>
    </w:p>
    <w:p w14:paraId="640A0E30" w14:textId="5425FA97" w:rsidR="00F344FC" w:rsidRPr="00480065" w:rsidRDefault="00153940" w:rsidP="00F344FC">
      <w:pPr>
        <w:spacing w:after="240" w:line="300" w:lineRule="auto"/>
        <w:rPr>
          <w:rFonts w:cs="Arial"/>
        </w:rPr>
      </w:pPr>
      <w:r>
        <w:t>A WEIM</w:t>
      </w:r>
      <w:r w:rsidR="005F24C1">
        <w:t xml:space="preserve"> </w:t>
      </w:r>
      <w:r w:rsidR="00F344FC" w:rsidRPr="00480065">
        <w:t>Entity shall update the</w:t>
      </w:r>
      <w:r w:rsidR="005F24C1">
        <w:t xml:space="preserve"> WEIM </w:t>
      </w:r>
      <w:r w:rsidR="00F344FC" w:rsidRPr="00480065">
        <w:t>Transmission Service Information no less frequently than the timelines for updates to the Full Network Model as outlined in</w:t>
      </w:r>
      <w:r w:rsidR="00AD5840">
        <w:rPr>
          <w:rFonts w:cs="Arial"/>
        </w:rPr>
        <w:t xml:space="preserve"> S</w:t>
      </w:r>
      <w:r w:rsidR="00F344FC" w:rsidRPr="00480065">
        <w:rPr>
          <w:rFonts w:cs="Arial"/>
        </w:rPr>
        <w:t xml:space="preserve">ection 5.1 of the </w:t>
      </w:r>
      <w:hyperlink r:id="rId56" w:history="1">
        <w:r w:rsidR="00F344FC" w:rsidRPr="00480065">
          <w:rPr>
            <w:rStyle w:val="Hyperlink"/>
            <w:b/>
          </w:rPr>
          <w:t>BPM for Managing Full Network Model</w:t>
        </w:r>
      </w:hyperlink>
      <w:r w:rsidR="00F344FC" w:rsidRPr="00480065">
        <w:rPr>
          <w:rFonts w:cs="Arial"/>
        </w:rPr>
        <w:t xml:space="preserve">.  Also, upon entering into </w:t>
      </w:r>
      <w:r>
        <w:rPr>
          <w:rFonts w:cs="Arial"/>
        </w:rPr>
        <w:t>a WEIM</w:t>
      </w:r>
      <w:r w:rsidR="005F24C1">
        <w:rPr>
          <w:rFonts w:cs="Arial"/>
        </w:rPr>
        <w:t xml:space="preserve"> </w:t>
      </w:r>
      <w:r w:rsidR="00F344FC" w:rsidRPr="00480065">
        <w:rPr>
          <w:rFonts w:cs="Arial"/>
        </w:rPr>
        <w:t xml:space="preserve">Implementation Agreement, </w:t>
      </w:r>
      <w:r>
        <w:rPr>
          <w:rFonts w:cs="Arial"/>
        </w:rPr>
        <w:t xml:space="preserve">a </w:t>
      </w:r>
      <w:r>
        <w:rPr>
          <w:rFonts w:cs="Arial"/>
        </w:rPr>
        <w:lastRenderedPageBreak/>
        <w:t>WEIM</w:t>
      </w:r>
      <w:r w:rsidR="005F24C1">
        <w:rPr>
          <w:rFonts w:cs="Arial"/>
        </w:rPr>
        <w:t xml:space="preserve"> </w:t>
      </w:r>
      <w:r w:rsidR="00F344FC" w:rsidRPr="00480065">
        <w:rPr>
          <w:rFonts w:cs="Arial"/>
        </w:rPr>
        <w:t xml:space="preserve">Entity shall establish and inform </w:t>
      </w:r>
      <w:r w:rsidR="00F344FC" w:rsidRPr="00480065">
        <w:t>CAISO of the maximum</w:t>
      </w:r>
      <w:r w:rsidR="005F24C1">
        <w:t xml:space="preserve"> WEIM </w:t>
      </w:r>
      <w:r w:rsidR="00F344FC" w:rsidRPr="00480065">
        <w:t>Transfer limit at least ninety days prior to the</w:t>
      </w:r>
      <w:r w:rsidR="005F24C1">
        <w:t xml:space="preserve"> WEIM </w:t>
      </w:r>
      <w:r w:rsidR="00F344FC" w:rsidRPr="00480065">
        <w:t>Entity Implementation Date via the Full Network Model update process.</w:t>
      </w:r>
    </w:p>
    <w:p w14:paraId="70CF22B3" w14:textId="5C63B1E4" w:rsidR="00595077" w:rsidRPr="00480065" w:rsidRDefault="00595077" w:rsidP="006F6DD6">
      <w:pPr>
        <w:spacing w:after="240" w:line="300" w:lineRule="auto"/>
        <w:rPr>
          <w:rFonts w:cs="Arial"/>
        </w:rPr>
      </w:pPr>
      <w:r w:rsidRPr="00480065">
        <w:rPr>
          <w:rFonts w:cs="Arial"/>
        </w:rPr>
        <w:t xml:space="preserve">As </w:t>
      </w:r>
      <w:r w:rsidR="00D5695C" w:rsidRPr="00480065">
        <w:rPr>
          <w:rFonts w:cs="Arial"/>
        </w:rPr>
        <w:t>previously described</w:t>
      </w:r>
      <w:r w:rsidRPr="00480065">
        <w:rPr>
          <w:rFonts w:cs="Arial"/>
        </w:rPr>
        <w:t xml:space="preserve">, the </w:t>
      </w:r>
      <w:hyperlink r:id="rId57" w:history="1">
        <w:r w:rsidR="00A21E2E" w:rsidRPr="00480065">
          <w:rPr>
            <w:rStyle w:val="Hyperlink"/>
            <w:b/>
          </w:rPr>
          <w:t>BPM for Managing Full Network Model</w:t>
        </w:r>
      </w:hyperlink>
      <w:r w:rsidR="00A21E2E" w:rsidRPr="00480065">
        <w:rPr>
          <w:b/>
        </w:rPr>
        <w:t xml:space="preserve"> </w:t>
      </w:r>
      <w:r w:rsidRPr="00480065">
        <w:rPr>
          <w:rFonts w:cs="Arial"/>
        </w:rPr>
        <w:t>explains how the Full Network Model and its associated processes are used to support market operations.  For</w:t>
      </w:r>
      <w:r w:rsidR="005F24C1">
        <w:rPr>
          <w:rFonts w:cs="Arial"/>
        </w:rPr>
        <w:t xml:space="preserve"> WEIM </w:t>
      </w:r>
      <w:r w:rsidRPr="00480065">
        <w:rPr>
          <w:rFonts w:cs="Arial"/>
        </w:rPr>
        <w:t xml:space="preserve">participants, references to the IFM, Use Limited Resources, CRR Systems, Participating Transmission Ownership, Metered Sub-Systems, Utility Distribution Companies, Trading Hubs, </w:t>
      </w:r>
      <w:r w:rsidR="00BB16D7" w:rsidRPr="00480065">
        <w:rPr>
          <w:rFonts w:cs="Arial"/>
        </w:rPr>
        <w:t>and RUC</w:t>
      </w:r>
      <w:r w:rsidRPr="00480065">
        <w:rPr>
          <w:rFonts w:cs="Arial"/>
        </w:rPr>
        <w:t xml:space="preserve"> Zones are not applicable to</w:t>
      </w:r>
      <w:r w:rsidR="004C1432">
        <w:rPr>
          <w:rFonts w:cs="Arial"/>
        </w:rPr>
        <w:t xml:space="preserve"> the</w:t>
      </w:r>
      <w:r w:rsidRPr="00480065">
        <w:rPr>
          <w:rFonts w:cs="Arial"/>
        </w:rPr>
        <w:t xml:space="preserve"> EIM.</w:t>
      </w:r>
    </w:p>
    <w:p w14:paraId="55731002" w14:textId="2AD3E721" w:rsidR="00326CC6" w:rsidRDefault="00595077" w:rsidP="00BA2E6E">
      <w:pPr>
        <w:spacing w:after="240" w:line="300" w:lineRule="auto"/>
        <w:rPr>
          <w:rFonts w:cs="Arial"/>
        </w:rPr>
      </w:pPr>
      <w:r w:rsidRPr="00480065">
        <w:rPr>
          <w:rFonts w:cs="Arial"/>
        </w:rPr>
        <w:t xml:space="preserve">The section of the </w:t>
      </w:r>
      <w:hyperlink r:id="rId58" w:history="1">
        <w:r w:rsidR="00A21E2E" w:rsidRPr="00480065">
          <w:rPr>
            <w:rStyle w:val="Hyperlink"/>
            <w:b/>
          </w:rPr>
          <w:t>BPM for Managing Full Network Model</w:t>
        </w:r>
      </w:hyperlink>
      <w:r w:rsidR="00A21E2E" w:rsidRPr="00480065">
        <w:rPr>
          <w:b/>
        </w:rPr>
        <w:t xml:space="preserve"> </w:t>
      </w:r>
      <w:r w:rsidRPr="00480065">
        <w:rPr>
          <w:rFonts w:cs="Arial"/>
        </w:rPr>
        <w:t>relating to maintenance of the Full Network Model depicts the existing process, but is currently being evaluated for revisions necessary to appropriately incorporate updates from</w:t>
      </w:r>
      <w:r w:rsidR="005F24C1">
        <w:rPr>
          <w:rFonts w:cs="Arial"/>
        </w:rPr>
        <w:t xml:space="preserve"> WEIM </w:t>
      </w:r>
      <w:r w:rsidR="00450F1E">
        <w:rPr>
          <w:rFonts w:cs="Arial"/>
        </w:rPr>
        <w:t>Entity</w:t>
      </w:r>
      <w:r w:rsidRPr="00480065">
        <w:rPr>
          <w:rFonts w:cs="Arial"/>
        </w:rPr>
        <w:t xml:space="preserve"> BAAs.</w:t>
      </w:r>
    </w:p>
    <w:p w14:paraId="3A39F49E" w14:textId="77777777" w:rsidR="003932F5" w:rsidRPr="00480065" w:rsidRDefault="00595077" w:rsidP="00BA2E6E">
      <w:pPr>
        <w:spacing w:after="240" w:line="300" w:lineRule="auto"/>
        <w:rPr>
          <w:rFonts w:cs="Arial"/>
        </w:rPr>
      </w:pPr>
      <w:r w:rsidRPr="00480065">
        <w:rPr>
          <w:rFonts w:cs="Arial"/>
        </w:rPr>
        <w:t xml:space="preserve">  </w:t>
      </w:r>
    </w:p>
    <w:p w14:paraId="5C6A2DB5" w14:textId="77777777" w:rsidR="002E46E9" w:rsidRDefault="002E46E9" w:rsidP="002E46E9">
      <w:pPr>
        <w:pStyle w:val="Heading1"/>
      </w:pPr>
      <w:bookmarkStart w:id="57" w:name="_Toc389662573"/>
      <w:bookmarkStart w:id="58" w:name="_Toc390946258"/>
      <w:bookmarkStart w:id="59" w:name="_Toc391969819"/>
      <w:bookmarkStart w:id="60" w:name="_Toc229054466"/>
      <w:r>
        <w:t>METERING</w:t>
      </w:r>
      <w:bookmarkEnd w:id="57"/>
      <w:bookmarkEnd w:id="58"/>
      <w:bookmarkEnd w:id="59"/>
      <w:bookmarkEnd w:id="60"/>
    </w:p>
    <w:p w14:paraId="70687090" w14:textId="430655B1" w:rsidR="00772AC4" w:rsidRDefault="00BD1EBB" w:rsidP="006F6DD6">
      <w:pPr>
        <w:spacing w:after="240" w:line="300" w:lineRule="auto"/>
        <w:rPr>
          <w:rFonts w:cs="Arial"/>
        </w:rPr>
      </w:pPr>
      <w:r>
        <w:rPr>
          <w:rFonts w:cs="Arial"/>
        </w:rPr>
        <w:t>W</w:t>
      </w:r>
      <w:r w:rsidR="00772AC4">
        <w:rPr>
          <w:rFonts w:cs="Arial"/>
        </w:rPr>
        <w:t>elcome to</w:t>
      </w:r>
      <w:r>
        <w:rPr>
          <w:rFonts w:cs="Arial"/>
        </w:rPr>
        <w:t xml:space="preserve"> the </w:t>
      </w:r>
      <w:r w:rsidRPr="00BD1EBB">
        <w:rPr>
          <w:rFonts w:cs="Arial"/>
          <w:i/>
        </w:rPr>
        <w:t>Metering</w:t>
      </w:r>
      <w:r>
        <w:rPr>
          <w:rFonts w:cs="Arial"/>
        </w:rPr>
        <w:t xml:space="preserve"> section of th</w:t>
      </w:r>
      <w:r w:rsidR="00772AC4">
        <w:rPr>
          <w:rFonts w:cs="Arial"/>
        </w:rPr>
        <w:t>e</w:t>
      </w:r>
      <w:r w:rsidR="00775CF7">
        <w:rPr>
          <w:rFonts w:cs="Arial"/>
        </w:rPr>
        <w:t xml:space="preserve"> </w:t>
      </w:r>
      <w:r w:rsidR="00772AC4">
        <w:rPr>
          <w:rFonts w:cs="Arial"/>
        </w:rPr>
        <w:t>CAISO</w:t>
      </w:r>
      <w:r>
        <w:rPr>
          <w:rFonts w:cs="Arial"/>
        </w:rPr>
        <w:t xml:space="preserve"> </w:t>
      </w:r>
      <w:r w:rsidRPr="00772AC4">
        <w:rPr>
          <w:rFonts w:cs="Arial"/>
          <w:i/>
        </w:rPr>
        <w:t>BPM</w:t>
      </w:r>
      <w:r w:rsidR="00772AC4" w:rsidRPr="00772AC4">
        <w:rPr>
          <w:rFonts w:cs="Arial"/>
          <w:i/>
        </w:rPr>
        <w:t xml:space="preserve"> for the </w:t>
      </w:r>
      <w:r w:rsidR="005F24C1">
        <w:rPr>
          <w:rFonts w:cs="Arial"/>
          <w:i/>
        </w:rPr>
        <w:t>Western Energy Imbalance Market</w:t>
      </w:r>
      <w:r w:rsidR="00772AC4">
        <w:rPr>
          <w:rFonts w:cs="Arial"/>
        </w:rPr>
        <w:t>. In this section</w:t>
      </w:r>
      <w:r w:rsidR="00775CF7">
        <w:rPr>
          <w:rFonts w:cs="Arial"/>
        </w:rPr>
        <w:t xml:space="preserve"> </w:t>
      </w:r>
      <w:r>
        <w:rPr>
          <w:rFonts w:cs="Arial"/>
        </w:rPr>
        <w:t>you will</w:t>
      </w:r>
      <w:r w:rsidR="006B378A">
        <w:rPr>
          <w:rFonts w:cs="Arial"/>
        </w:rPr>
        <w:t xml:space="preserve"> find </w:t>
      </w:r>
      <w:r w:rsidR="00772AC4">
        <w:rPr>
          <w:rFonts w:cs="Arial"/>
        </w:rPr>
        <w:t xml:space="preserve">the following </w:t>
      </w:r>
      <w:r w:rsidR="006B378A">
        <w:rPr>
          <w:rFonts w:cs="Arial"/>
        </w:rPr>
        <w:t>information</w:t>
      </w:r>
      <w:r w:rsidR="00772AC4">
        <w:rPr>
          <w:rFonts w:cs="Arial"/>
        </w:rPr>
        <w:t>:</w:t>
      </w:r>
    </w:p>
    <w:p w14:paraId="71B32F28" w14:textId="77777777" w:rsidR="00BD1EBB" w:rsidRPr="00772AC4" w:rsidRDefault="00772AC4" w:rsidP="00B851D4">
      <w:pPr>
        <w:pStyle w:val="ListParagraph"/>
        <w:numPr>
          <w:ilvl w:val="0"/>
          <w:numId w:val="38"/>
        </w:numPr>
        <w:ind w:left="778"/>
        <w:rPr>
          <w:rFonts w:cs="Arial"/>
        </w:rPr>
      </w:pPr>
      <w:r>
        <w:rPr>
          <w:rFonts w:cs="Arial"/>
        </w:rPr>
        <w:t>Description of</w:t>
      </w:r>
      <w:r w:rsidR="00775CF7">
        <w:rPr>
          <w:rFonts w:cs="Arial"/>
        </w:rPr>
        <w:t xml:space="preserve"> </w:t>
      </w:r>
      <w:r w:rsidR="00BD1EBB" w:rsidRPr="00772AC4">
        <w:rPr>
          <w:rFonts w:cs="Arial"/>
        </w:rPr>
        <w:t>the pro</w:t>
      </w:r>
      <w:r w:rsidR="004C1432" w:rsidRPr="00772AC4">
        <w:rPr>
          <w:rFonts w:cs="Arial"/>
        </w:rPr>
        <w:t xml:space="preserve">cess and procedures used by </w:t>
      </w:r>
      <w:r w:rsidR="00BD1EBB" w:rsidRPr="00772AC4">
        <w:rPr>
          <w:rFonts w:cs="Arial"/>
        </w:rPr>
        <w:t xml:space="preserve">CAISO, CAISO Metered Entities, and Scheduling Coordinators for </w:t>
      </w:r>
      <w:r w:rsidR="004813C9" w:rsidRPr="00772AC4">
        <w:rPr>
          <w:rFonts w:cs="Arial"/>
        </w:rPr>
        <w:t>Scheduling</w:t>
      </w:r>
      <w:r w:rsidR="00AB79A0" w:rsidRPr="00772AC4">
        <w:rPr>
          <w:rFonts w:cs="Arial"/>
        </w:rPr>
        <w:t xml:space="preserve"> Coordinator Metered E</w:t>
      </w:r>
      <w:r w:rsidR="00BD1EBB" w:rsidRPr="00772AC4">
        <w:rPr>
          <w:rFonts w:cs="Arial"/>
        </w:rPr>
        <w:t>ntities to obtain</w:t>
      </w:r>
      <w:r w:rsidR="004C1432" w:rsidRPr="00772AC4">
        <w:rPr>
          <w:rFonts w:cs="Arial"/>
        </w:rPr>
        <w:t xml:space="preserve"> Settlement Quality Meter Data</w:t>
      </w:r>
      <w:r w:rsidR="00BD1EBB" w:rsidRPr="00772AC4">
        <w:rPr>
          <w:rFonts w:cs="Arial"/>
        </w:rPr>
        <w:t xml:space="preserve"> </w:t>
      </w:r>
      <w:r w:rsidR="004C1432" w:rsidRPr="00772AC4">
        <w:rPr>
          <w:rFonts w:cs="Arial"/>
        </w:rPr>
        <w:t>(</w:t>
      </w:r>
      <w:r w:rsidR="00BD1EBB" w:rsidRPr="00772AC4">
        <w:rPr>
          <w:rFonts w:cs="Arial"/>
        </w:rPr>
        <w:t>SQMD</w:t>
      </w:r>
      <w:r w:rsidR="004C1432" w:rsidRPr="00772AC4">
        <w:rPr>
          <w:rFonts w:cs="Arial"/>
        </w:rPr>
        <w:t>)</w:t>
      </w:r>
      <w:r w:rsidR="00BD1EBB" w:rsidRPr="00772AC4">
        <w:rPr>
          <w:rFonts w:cs="Arial"/>
        </w:rPr>
        <w:t xml:space="preserve"> used f</w:t>
      </w:r>
      <w:r w:rsidR="00FC30E3" w:rsidRPr="00772AC4">
        <w:rPr>
          <w:rFonts w:cs="Arial"/>
        </w:rPr>
        <w:t>or the Settlement of the CAISO m</w:t>
      </w:r>
      <w:r w:rsidR="00BD1EBB" w:rsidRPr="00772AC4">
        <w:rPr>
          <w:rFonts w:cs="Arial"/>
        </w:rPr>
        <w:t>arkets</w:t>
      </w:r>
      <w:r w:rsidR="006B378A" w:rsidRPr="00772AC4">
        <w:rPr>
          <w:rFonts w:cs="Arial"/>
        </w:rPr>
        <w:t xml:space="preserve"> within the EIM</w:t>
      </w:r>
      <w:r w:rsidR="00BD1EBB" w:rsidRPr="00772AC4">
        <w:rPr>
          <w:rFonts w:cs="Arial"/>
        </w:rPr>
        <w:t xml:space="preserve">.  </w:t>
      </w:r>
    </w:p>
    <w:p w14:paraId="022512A3" w14:textId="77777777" w:rsidR="00772AC4" w:rsidRDefault="00BD1EBB" w:rsidP="006F6DD6">
      <w:pPr>
        <w:spacing w:after="240" w:line="300" w:lineRule="auto"/>
        <w:rPr>
          <w:rFonts w:cs="Arial"/>
        </w:rPr>
      </w:pPr>
      <w:r>
        <w:rPr>
          <w:rFonts w:cs="Arial"/>
        </w:rPr>
        <w:t xml:space="preserve"> </w:t>
      </w:r>
      <w:r w:rsidR="00697F70" w:rsidRPr="009C0623">
        <w:rPr>
          <w:rFonts w:cs="Arial"/>
        </w:rPr>
        <w:t xml:space="preserve">The </w:t>
      </w:r>
      <w:hyperlink r:id="rId59" w:history="1">
        <w:r w:rsidR="00697F70" w:rsidRPr="009C0623">
          <w:rPr>
            <w:rStyle w:val="Hyperlink"/>
            <w:rFonts w:cs="Arial"/>
            <w:b/>
            <w:bCs/>
          </w:rPr>
          <w:t>BPM for Metering</w:t>
        </w:r>
      </w:hyperlink>
      <w:r w:rsidR="00697F70" w:rsidRPr="009C0623">
        <w:rPr>
          <w:rFonts w:cs="Arial"/>
        </w:rPr>
        <w:t xml:space="preserve"> covers the me</w:t>
      </w:r>
      <w:r w:rsidR="004C1432">
        <w:rPr>
          <w:rFonts w:cs="Arial"/>
        </w:rPr>
        <w:t xml:space="preserve">tering responsibilities for </w:t>
      </w:r>
      <w:r w:rsidR="00697F70" w:rsidRPr="009C0623">
        <w:rPr>
          <w:rFonts w:cs="Arial"/>
        </w:rPr>
        <w:t>CAISO, CAISO Metered Entities, Scheduling Coordinator (SC) Metered Entities, and Scheduling Coordinators representing Metered Entities for the meter installation, certification</w:t>
      </w:r>
      <w:r w:rsidR="00AE5C0A">
        <w:rPr>
          <w:rFonts w:cs="Arial"/>
        </w:rPr>
        <w:t>,</w:t>
      </w:r>
      <w:r w:rsidR="00697F70" w:rsidRPr="009C0623">
        <w:rPr>
          <w:rFonts w:cs="Arial"/>
        </w:rPr>
        <w:t xml:space="preserve"> and maintenance in addition to th</w:t>
      </w:r>
      <w:r w:rsidR="004C1432">
        <w:rPr>
          <w:rFonts w:cs="Arial"/>
        </w:rPr>
        <w:t>e creation of SQMD</w:t>
      </w:r>
      <w:r w:rsidR="00AE5C0A" w:rsidRPr="00BB16D7">
        <w:rPr>
          <w:rFonts w:cs="Arial"/>
        </w:rPr>
        <w:t xml:space="preserve">.  </w:t>
      </w:r>
      <w:r w:rsidR="00471DB7">
        <w:rPr>
          <w:rFonts w:cs="Arial"/>
        </w:rPr>
        <w:t>T</w:t>
      </w:r>
      <w:r w:rsidR="00697F70" w:rsidRPr="009C0623">
        <w:rPr>
          <w:rFonts w:cs="Arial"/>
        </w:rPr>
        <w:t xml:space="preserve">he </w:t>
      </w:r>
      <w:hyperlink r:id="rId60" w:history="1">
        <w:r w:rsidR="00A21E2E" w:rsidRPr="009C0623">
          <w:rPr>
            <w:rStyle w:val="Hyperlink"/>
            <w:rFonts w:cs="Arial"/>
            <w:b/>
            <w:bCs/>
          </w:rPr>
          <w:t>BPM for Metering</w:t>
        </w:r>
      </w:hyperlink>
      <w:r w:rsidR="00A21E2E">
        <w:rPr>
          <w:rFonts w:cs="Arial"/>
          <w:b/>
          <w:bCs/>
        </w:rPr>
        <w:t xml:space="preserve"> </w:t>
      </w:r>
      <w:r w:rsidR="00471DB7">
        <w:rPr>
          <w:rFonts w:cs="Arial"/>
          <w:bCs/>
        </w:rPr>
        <w:t xml:space="preserve">also </w:t>
      </w:r>
      <w:r w:rsidR="00697F70" w:rsidRPr="009C0623">
        <w:rPr>
          <w:rFonts w:cs="Arial"/>
        </w:rPr>
        <w:t>describes the process a</w:t>
      </w:r>
      <w:r w:rsidR="00471DB7">
        <w:rPr>
          <w:rFonts w:cs="Arial"/>
        </w:rPr>
        <w:t xml:space="preserve">nd procedures used by </w:t>
      </w:r>
      <w:r w:rsidR="00697F70" w:rsidRPr="009C0623">
        <w:rPr>
          <w:rFonts w:cs="Arial"/>
        </w:rPr>
        <w:t>CAISO, CAISO Metered Entities, and Scheduling Coordinators for Scheduling Coordinator Metered Entities to obtain SQMD used f</w:t>
      </w:r>
      <w:r w:rsidR="004538FE">
        <w:rPr>
          <w:rFonts w:cs="Arial"/>
        </w:rPr>
        <w:t>or the settlement of the CAISO m</w:t>
      </w:r>
      <w:r w:rsidR="00697F70" w:rsidRPr="009C0623">
        <w:rPr>
          <w:rFonts w:cs="Arial"/>
        </w:rPr>
        <w:t>arkets.  SQMD is used for billab</w:t>
      </w:r>
      <w:r w:rsidR="00AE5C0A" w:rsidRPr="00BB16D7">
        <w:rPr>
          <w:rFonts w:cs="Arial"/>
        </w:rPr>
        <w:t xml:space="preserve">le quantities to represent the </w:t>
      </w:r>
      <w:r w:rsidR="00AE5C0A">
        <w:rPr>
          <w:rFonts w:cs="Arial"/>
        </w:rPr>
        <w:t>e</w:t>
      </w:r>
      <w:r w:rsidR="00697F70" w:rsidRPr="009C0623">
        <w:rPr>
          <w:rFonts w:cs="Arial"/>
        </w:rPr>
        <w:t xml:space="preserve">nergy generated or consumed during a Settlement Interval.  </w:t>
      </w:r>
    </w:p>
    <w:p w14:paraId="6348A97D" w14:textId="77777777" w:rsidR="00772AC4" w:rsidRDefault="00697F70" w:rsidP="006F6DD6">
      <w:pPr>
        <w:spacing w:after="240" w:line="300" w:lineRule="auto"/>
        <w:rPr>
          <w:rFonts w:cs="Arial"/>
        </w:rPr>
      </w:pPr>
      <w:r w:rsidRPr="009C0623">
        <w:rPr>
          <w:rFonts w:cs="Arial"/>
        </w:rPr>
        <w:t xml:space="preserve">SQMD is obtained from two different sources: </w:t>
      </w:r>
    </w:p>
    <w:p w14:paraId="759B1C0B" w14:textId="77777777" w:rsidR="00772AC4" w:rsidRDefault="00697F70" w:rsidP="00B851D4">
      <w:pPr>
        <w:pStyle w:val="ListParagraph"/>
        <w:numPr>
          <w:ilvl w:val="0"/>
          <w:numId w:val="39"/>
        </w:numPr>
        <w:spacing w:after="240" w:line="300" w:lineRule="auto"/>
        <w:rPr>
          <w:rFonts w:cs="Arial"/>
        </w:rPr>
      </w:pPr>
      <w:r w:rsidRPr="00772AC4">
        <w:rPr>
          <w:rFonts w:cs="Arial"/>
          <w:b/>
        </w:rPr>
        <w:lastRenderedPageBreak/>
        <w:t>CAISO Metered Entities</w:t>
      </w:r>
      <w:r w:rsidR="00772AC4" w:rsidRPr="00772AC4">
        <w:rPr>
          <w:rFonts w:cs="Arial"/>
          <w:b/>
        </w:rPr>
        <w:t>:</w:t>
      </w:r>
      <w:r w:rsidRPr="00772AC4">
        <w:rPr>
          <w:rFonts w:cs="Arial"/>
        </w:rPr>
        <w:t xml:space="preserve"> Meter Data directly polled by CAISO </w:t>
      </w:r>
    </w:p>
    <w:p w14:paraId="5A8FB799" w14:textId="77777777" w:rsidR="00697F70" w:rsidRPr="00772AC4" w:rsidRDefault="00697F70" w:rsidP="00B851D4">
      <w:pPr>
        <w:pStyle w:val="ListParagraph"/>
        <w:numPr>
          <w:ilvl w:val="0"/>
          <w:numId w:val="39"/>
        </w:numPr>
        <w:rPr>
          <w:rFonts w:cs="Arial"/>
        </w:rPr>
      </w:pPr>
      <w:r w:rsidRPr="00772AC4">
        <w:rPr>
          <w:rFonts w:cs="Arial"/>
          <w:b/>
        </w:rPr>
        <w:t>Scheduling Coordinator Metered Entities</w:t>
      </w:r>
      <w:r w:rsidR="00772AC4" w:rsidRPr="00772AC4">
        <w:rPr>
          <w:rFonts w:cs="Arial"/>
          <w:b/>
        </w:rPr>
        <w:t>:</w:t>
      </w:r>
      <w:r w:rsidRPr="00772AC4">
        <w:rPr>
          <w:rFonts w:cs="Arial"/>
        </w:rPr>
        <w:t xml:space="preserve"> Meter Data submitted to CAISO by Scheduling Coordinators  </w:t>
      </w:r>
    </w:p>
    <w:p w14:paraId="56834E1C" w14:textId="0A319E90" w:rsidR="00697F70" w:rsidRDefault="00697F70" w:rsidP="006F6DD6">
      <w:pPr>
        <w:spacing w:after="240" w:line="300" w:lineRule="auto"/>
        <w:rPr>
          <w:rFonts w:cs="Arial"/>
        </w:rPr>
      </w:pPr>
      <w:r w:rsidRPr="009C0623">
        <w:rPr>
          <w:rFonts w:cs="Arial"/>
        </w:rPr>
        <w:t>Entities participating in the</w:t>
      </w:r>
      <w:r w:rsidR="005F24C1">
        <w:rPr>
          <w:rFonts w:cs="Arial"/>
        </w:rPr>
        <w:t xml:space="preserve"> WEIM </w:t>
      </w:r>
      <w:r w:rsidRPr="009C0623">
        <w:rPr>
          <w:rFonts w:cs="Arial"/>
        </w:rPr>
        <w:t xml:space="preserve">may opt to be CAISO Metered Entities or Scheduling Coordinator Metered Entities.  A determination must be made for each resource in </w:t>
      </w:r>
      <w:r w:rsidR="00153940">
        <w:rPr>
          <w:rFonts w:cs="Arial"/>
        </w:rPr>
        <w:t>a WEIM</w:t>
      </w:r>
      <w:r w:rsidR="005F24C1">
        <w:rPr>
          <w:rFonts w:cs="Arial"/>
        </w:rPr>
        <w:t xml:space="preserve"> </w:t>
      </w:r>
      <w:r w:rsidR="005C7A4A">
        <w:rPr>
          <w:rFonts w:cs="Arial"/>
        </w:rPr>
        <w:t xml:space="preserve">Entity </w:t>
      </w:r>
      <w:r w:rsidRPr="009C0623">
        <w:rPr>
          <w:rFonts w:cs="Arial"/>
        </w:rPr>
        <w:t xml:space="preserve">BAA, and the requisite requirements </w:t>
      </w:r>
      <w:r w:rsidR="00AD5840">
        <w:rPr>
          <w:rFonts w:cs="Arial"/>
        </w:rPr>
        <w:t>of S</w:t>
      </w:r>
      <w:r w:rsidR="000822F4">
        <w:rPr>
          <w:rFonts w:cs="Arial"/>
        </w:rPr>
        <w:t xml:space="preserve">ection </w:t>
      </w:r>
      <w:r w:rsidR="006D124E">
        <w:rPr>
          <w:rFonts w:cs="Arial"/>
        </w:rPr>
        <w:t xml:space="preserve">29.10 of the </w:t>
      </w:r>
      <w:r w:rsidR="00E16431">
        <w:rPr>
          <w:rFonts w:cs="Arial"/>
        </w:rPr>
        <w:t>CAISO T</w:t>
      </w:r>
      <w:r w:rsidR="006D124E">
        <w:rPr>
          <w:rFonts w:cs="Arial"/>
        </w:rPr>
        <w:t xml:space="preserve">ariff </w:t>
      </w:r>
      <w:r w:rsidRPr="009C0623">
        <w:rPr>
          <w:rFonts w:cs="Arial"/>
        </w:rPr>
        <w:t>met, prior to that BAA participating in</w:t>
      </w:r>
      <w:r w:rsidR="00D5695C">
        <w:rPr>
          <w:rFonts w:cs="Arial"/>
        </w:rPr>
        <w:t xml:space="preserve"> the</w:t>
      </w:r>
      <w:r w:rsidR="00C148A5">
        <w:rPr>
          <w:rFonts w:cs="Arial"/>
        </w:rPr>
        <w:t xml:space="preserve"> EIM.  If </w:t>
      </w:r>
      <w:r w:rsidR="00153940">
        <w:rPr>
          <w:rFonts w:cs="Arial"/>
        </w:rPr>
        <w:t>a WEIM</w:t>
      </w:r>
      <w:r w:rsidR="005F24C1">
        <w:rPr>
          <w:rFonts w:cs="Arial"/>
        </w:rPr>
        <w:t xml:space="preserve"> </w:t>
      </w:r>
      <w:r w:rsidR="00C148A5">
        <w:rPr>
          <w:rFonts w:cs="Arial"/>
        </w:rPr>
        <w:t>Participating R</w:t>
      </w:r>
      <w:r w:rsidRPr="009C0623">
        <w:rPr>
          <w:rFonts w:cs="Arial"/>
        </w:rPr>
        <w:t>esource chooses to switch from one type t</w:t>
      </w:r>
      <w:r w:rsidR="009D507A">
        <w:rPr>
          <w:rFonts w:cs="Arial"/>
        </w:rPr>
        <w:t xml:space="preserve">o another, they must notify </w:t>
      </w:r>
      <w:r w:rsidRPr="009C0623">
        <w:rPr>
          <w:rFonts w:cs="Arial"/>
        </w:rPr>
        <w:t>CAISO and complete the associated pieces of</w:t>
      </w:r>
      <w:r w:rsidR="00C52AC7">
        <w:rPr>
          <w:rFonts w:cs="Arial"/>
        </w:rPr>
        <w:t xml:space="preserve"> the</w:t>
      </w:r>
      <w:r w:rsidRPr="009C0623">
        <w:rPr>
          <w:rFonts w:cs="Arial"/>
        </w:rPr>
        <w:t xml:space="preserve"> </w:t>
      </w:r>
      <w:r w:rsidRPr="00C52AC7">
        <w:rPr>
          <w:rFonts w:cs="Arial"/>
          <w:i/>
        </w:rPr>
        <w:t>New Resource Interconnection Process</w:t>
      </w:r>
      <w:r w:rsidRPr="009C0623">
        <w:rPr>
          <w:rFonts w:cs="Arial"/>
        </w:rPr>
        <w:t>.</w:t>
      </w:r>
      <w:r w:rsidR="00D211BF">
        <w:rPr>
          <w:rFonts w:cs="Arial"/>
        </w:rPr>
        <w:t xml:space="preserve"> </w:t>
      </w:r>
    </w:p>
    <w:p w14:paraId="0E1EA80B" w14:textId="734496E3" w:rsidR="00D211BF" w:rsidRPr="00CC2A05" w:rsidRDefault="00D211BF" w:rsidP="00D211BF">
      <w:pPr>
        <w:spacing w:line="480" w:lineRule="auto"/>
        <w:rPr>
          <w:rFonts w:cs="Arial"/>
        </w:rPr>
      </w:pPr>
      <w:r w:rsidRPr="00CC2A05">
        <w:rPr>
          <w:rFonts w:cs="Arial"/>
        </w:rPr>
        <w:t xml:space="preserve">For Scheduling Coordinator Metered Entities that were not participating as such before </w:t>
      </w:r>
      <w:r w:rsidR="00D1116E">
        <w:rPr>
          <w:rFonts w:cs="Arial"/>
        </w:rPr>
        <w:t>April 10, 2017</w:t>
      </w:r>
      <w:r w:rsidRPr="00CC2A05">
        <w:rPr>
          <w:rFonts w:cs="Arial"/>
        </w:rPr>
        <w:t xml:space="preserve">, or that repower, modify their Meter Data interval, or add generating capacity after </w:t>
      </w:r>
      <w:r w:rsidR="00D1116E">
        <w:rPr>
          <w:rFonts w:cs="Arial"/>
        </w:rPr>
        <w:t>April 10</w:t>
      </w:r>
      <w:r w:rsidR="00D1116E" w:rsidRPr="00D1116E">
        <w:rPr>
          <w:rFonts w:cs="Arial"/>
          <w:color w:val="000000" w:themeColor="text1"/>
        </w:rPr>
        <w:t>, 2017,</w:t>
      </w:r>
      <w:r w:rsidRPr="00D1116E">
        <w:rPr>
          <w:rFonts w:cs="Arial"/>
          <w:color w:val="000000" w:themeColor="text1"/>
        </w:rPr>
        <w:t xml:space="preserve"> </w:t>
      </w:r>
      <w:r w:rsidRPr="00CC2A05">
        <w:rPr>
          <w:rFonts w:cs="Arial"/>
        </w:rPr>
        <w:t>Scheduling Coordinators must submit an SQMD Plan to ensure that the Scheduling Coordinator will submit and maintain the integrity of Meter Data submitted to the CAISO for that Scheduling Coordinator Metered Entity.  The SQMD Plan will describe how the Scheduling Coordinator will collect, maintain, aggregate, and submit Settlement Quality Meter Data in accordance with CAISO Tariff and, where applicable, Local Regulatory Authority metering and settlement standards.  SQMD Plans will include detailed descriptions of the following, as applicable, for each Scheduling Coordinator Metered Entity or Scheduling Coordinator Metered Entity aggregation or calculation:</w:t>
      </w:r>
    </w:p>
    <w:p w14:paraId="49216033"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The type, programming, and configuration of all associated metering devices;</w:t>
      </w:r>
    </w:p>
    <w:p w14:paraId="207452D4"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How the Scheduling Coordinator or its agent will collect, validate, aggregate, and submit associated Meter Data;</w:t>
      </w:r>
    </w:p>
    <w:p w14:paraId="299A61BD" w14:textId="77777777" w:rsidR="00D211BF" w:rsidRPr="00CC2A05" w:rsidRDefault="00D211BF" w:rsidP="00B851D4">
      <w:pPr>
        <w:pStyle w:val="ListParagraph"/>
        <w:numPr>
          <w:ilvl w:val="0"/>
          <w:numId w:val="74"/>
        </w:numPr>
        <w:spacing w:after="0" w:line="480" w:lineRule="auto"/>
        <w:rPr>
          <w:rFonts w:cs="Arial"/>
        </w:rPr>
      </w:pPr>
      <w:r w:rsidRPr="00CC2A05">
        <w:rPr>
          <w:rFonts w:cs="Arial"/>
        </w:rPr>
        <w:lastRenderedPageBreak/>
        <w:t>Single-line diagrams with professional engineer stamps (or equivalent) depicting the physical elements and relationships among the metering device(s);</w:t>
      </w:r>
    </w:p>
    <w:p w14:paraId="22A45785"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 xml:space="preserve">Any calculation or algorithm to derive Settlement Quality Meter Data from the metering device(s); </w:t>
      </w:r>
    </w:p>
    <w:p w14:paraId="15BE4437"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Processes for aggregating individual Scheduling Coordinator Metered Entities and Resource IDs; and</w:t>
      </w:r>
    </w:p>
    <w:p w14:paraId="3F4B9C9D" w14:textId="77777777" w:rsidR="00D211BF" w:rsidRPr="00CC2A05" w:rsidRDefault="00D211BF" w:rsidP="00B851D4">
      <w:pPr>
        <w:pStyle w:val="ListParagraph"/>
        <w:numPr>
          <w:ilvl w:val="0"/>
          <w:numId w:val="74"/>
        </w:numPr>
        <w:spacing w:after="0" w:line="480" w:lineRule="auto"/>
        <w:rPr>
          <w:rFonts w:cs="Arial"/>
        </w:rPr>
      </w:pPr>
      <w:r w:rsidRPr="00CC2A05">
        <w:rPr>
          <w:rFonts w:cs="Arial"/>
        </w:rPr>
        <w:t>Plans and schedules to perform regular tests of the metering devices and audit the associated Meter Data pursuant to CAISO Tariff requirements.</w:t>
      </w:r>
    </w:p>
    <w:p w14:paraId="52C41A6F" w14:textId="77777777" w:rsidR="00D211BF" w:rsidRDefault="00D211BF" w:rsidP="00D211BF">
      <w:pPr>
        <w:spacing w:line="480" w:lineRule="auto"/>
        <w:rPr>
          <w:rFonts w:cs="Arial"/>
        </w:rPr>
      </w:pPr>
      <w:r w:rsidRPr="00CC2A05">
        <w:rPr>
          <w:rFonts w:cs="Arial"/>
        </w:rPr>
        <w:t>Proxy Demand Resources and Reliability Demand Response Resources may satisfy their SQMD Plan requirements through the demand response registration process.</w:t>
      </w:r>
    </w:p>
    <w:p w14:paraId="065866BC" w14:textId="37286C77" w:rsidR="00AE5C0A" w:rsidRDefault="00697F70" w:rsidP="00B8115B">
      <w:pPr>
        <w:spacing w:after="240" w:line="300" w:lineRule="auto"/>
        <w:rPr>
          <w:rFonts w:cs="Arial"/>
        </w:rPr>
      </w:pPr>
      <w:r w:rsidRPr="009C0623">
        <w:rPr>
          <w:rFonts w:cs="Arial"/>
        </w:rPr>
        <w:t xml:space="preserve">With the exception of </w:t>
      </w:r>
      <w:r w:rsidR="00AD5840">
        <w:rPr>
          <w:rFonts w:cs="Arial"/>
        </w:rPr>
        <w:t>S</w:t>
      </w:r>
      <w:r w:rsidRPr="009C0623">
        <w:rPr>
          <w:rFonts w:cs="Arial"/>
        </w:rPr>
        <w:t xml:space="preserve">ection 9.2, no other portion of the metering configurations listed in </w:t>
      </w:r>
      <w:r w:rsidR="00011A8A">
        <w:rPr>
          <w:rFonts w:cs="Arial"/>
        </w:rPr>
        <w:t>S</w:t>
      </w:r>
      <w:r w:rsidRPr="009C0623">
        <w:rPr>
          <w:rFonts w:cs="Arial"/>
        </w:rPr>
        <w:t>ections 9, 10,</w:t>
      </w:r>
      <w:r w:rsidR="0081599F">
        <w:rPr>
          <w:rFonts w:cs="Arial"/>
        </w:rPr>
        <w:t xml:space="preserve"> or</w:t>
      </w:r>
      <w:r w:rsidRPr="009C0623">
        <w:rPr>
          <w:rFonts w:cs="Arial"/>
        </w:rPr>
        <w:t xml:space="preserve"> 11</w:t>
      </w:r>
      <w:r w:rsidR="00F07A6B">
        <w:rPr>
          <w:rFonts w:cs="Arial"/>
        </w:rPr>
        <w:t>,</w:t>
      </w:r>
      <w:r w:rsidRPr="009C0623">
        <w:rPr>
          <w:rFonts w:cs="Arial"/>
        </w:rPr>
        <w:t xml:space="preserve"> of the </w:t>
      </w:r>
      <w:hyperlink r:id="rId61" w:history="1">
        <w:r w:rsidR="00A21E2E" w:rsidRPr="009C0623">
          <w:rPr>
            <w:rStyle w:val="Hyperlink"/>
            <w:rFonts w:cs="Arial"/>
            <w:b/>
            <w:bCs/>
          </w:rPr>
          <w:t>BPM for Metering</w:t>
        </w:r>
      </w:hyperlink>
      <w:r w:rsidR="00A21E2E">
        <w:rPr>
          <w:rFonts w:cs="Arial"/>
          <w:b/>
          <w:bCs/>
        </w:rPr>
        <w:t xml:space="preserve"> </w:t>
      </w:r>
      <w:r w:rsidRPr="009C0623">
        <w:rPr>
          <w:rFonts w:cs="Arial"/>
        </w:rPr>
        <w:t>is currently available to</w:t>
      </w:r>
      <w:r w:rsidR="005F24C1">
        <w:rPr>
          <w:rFonts w:cs="Arial"/>
        </w:rPr>
        <w:t xml:space="preserve"> WEIM </w:t>
      </w:r>
      <w:r w:rsidRPr="009C0623">
        <w:rPr>
          <w:rFonts w:cs="Arial"/>
        </w:rPr>
        <w:t>participants.</w:t>
      </w:r>
    </w:p>
    <w:p w14:paraId="0869F69E" w14:textId="3C910FC2" w:rsidR="003124A9" w:rsidRPr="00877DDB" w:rsidRDefault="003124A9" w:rsidP="003124A9">
      <w:pPr>
        <w:pStyle w:val="Default"/>
        <w:spacing w:after="240" w:line="300" w:lineRule="auto"/>
        <w:jc w:val="both"/>
        <w:rPr>
          <w:rFonts w:asciiTheme="minorHAnsi" w:eastAsiaTheme="minorHAnsi" w:hAnsiTheme="minorHAnsi"/>
          <w:color w:val="auto"/>
          <w:sz w:val="22"/>
          <w:szCs w:val="22"/>
        </w:rPr>
      </w:pPr>
      <w:r w:rsidRPr="00877DDB">
        <w:rPr>
          <w:rFonts w:asciiTheme="minorHAnsi" w:eastAsiaTheme="minorHAnsi" w:hAnsiTheme="minorHAnsi"/>
          <w:color w:val="auto"/>
          <w:sz w:val="22"/>
          <w:szCs w:val="22"/>
        </w:rPr>
        <w:t>All Scheduling Coordinators and other entities submitting meter data related to</w:t>
      </w:r>
      <w:r w:rsidR="005F24C1">
        <w:rPr>
          <w:rFonts w:asciiTheme="minorHAnsi" w:eastAsiaTheme="minorHAnsi" w:hAnsiTheme="minorHAnsi"/>
          <w:color w:val="auto"/>
          <w:sz w:val="22"/>
          <w:szCs w:val="22"/>
        </w:rPr>
        <w:t xml:space="preserve"> WEIM </w:t>
      </w:r>
      <w:r w:rsidRPr="00877DDB">
        <w:rPr>
          <w:rFonts w:asciiTheme="minorHAnsi" w:eastAsiaTheme="minorHAnsi" w:hAnsiTheme="minorHAnsi"/>
          <w:color w:val="auto"/>
          <w:sz w:val="22"/>
          <w:szCs w:val="22"/>
        </w:rPr>
        <w:t>resources for either generation not associated with Ancillary Services, interties, or load, m</w:t>
      </w:r>
      <w:r w:rsidR="00D211BF">
        <w:rPr>
          <w:rFonts w:asciiTheme="minorHAnsi" w:eastAsiaTheme="minorHAnsi" w:hAnsiTheme="minorHAnsi"/>
          <w:color w:val="auto"/>
          <w:sz w:val="22"/>
          <w:szCs w:val="22"/>
        </w:rPr>
        <w:t>ust</w:t>
      </w:r>
      <w:r w:rsidRPr="00877DDB">
        <w:rPr>
          <w:rFonts w:asciiTheme="minorHAnsi" w:eastAsiaTheme="minorHAnsi" w:hAnsiTheme="minorHAnsi"/>
          <w:color w:val="auto"/>
          <w:sz w:val="22"/>
          <w:szCs w:val="22"/>
        </w:rPr>
        <w:t xml:space="preserve"> submit meter data in the following granularity levels </w:t>
      </w:r>
      <w:r w:rsidR="00D211BF">
        <w:rPr>
          <w:rFonts w:asciiTheme="minorHAnsi" w:eastAsiaTheme="minorHAnsi" w:hAnsiTheme="minorHAnsi"/>
          <w:color w:val="auto"/>
          <w:sz w:val="22"/>
          <w:szCs w:val="22"/>
        </w:rPr>
        <w:t>as</w:t>
      </w:r>
      <w:r w:rsidRPr="00877DDB">
        <w:rPr>
          <w:rFonts w:asciiTheme="minorHAnsi" w:eastAsiaTheme="minorHAnsi" w:hAnsiTheme="minorHAnsi"/>
          <w:color w:val="auto"/>
          <w:sz w:val="22"/>
          <w:szCs w:val="22"/>
        </w:rPr>
        <w:t xml:space="preserve"> stated in section 10.3.2.2 of the CAISO Tariff: </w:t>
      </w:r>
    </w:p>
    <w:p w14:paraId="6426C757" w14:textId="147047A9" w:rsidR="003124A9" w:rsidRPr="00877DDB" w:rsidRDefault="003124A9" w:rsidP="00B851D4">
      <w:pPr>
        <w:pStyle w:val="Default"/>
        <w:numPr>
          <w:ilvl w:val="0"/>
          <w:numId w:val="52"/>
        </w:numPr>
        <w:spacing w:after="240" w:line="300" w:lineRule="auto"/>
        <w:jc w:val="both"/>
        <w:rPr>
          <w:rFonts w:asciiTheme="minorHAnsi" w:eastAsiaTheme="minorHAnsi" w:hAnsiTheme="minorHAnsi"/>
          <w:color w:val="auto"/>
          <w:sz w:val="22"/>
          <w:szCs w:val="22"/>
        </w:rPr>
      </w:pPr>
      <w:r w:rsidRPr="00877DDB">
        <w:rPr>
          <w:rFonts w:asciiTheme="minorHAnsi" w:eastAsiaTheme="minorHAnsi" w:hAnsiTheme="minorHAnsi"/>
          <w:color w:val="auto"/>
          <w:sz w:val="22"/>
          <w:szCs w:val="22"/>
        </w:rPr>
        <w:t>Generation for participating generators at 5</w:t>
      </w:r>
      <w:r w:rsidR="00AE23C6">
        <w:rPr>
          <w:rFonts w:asciiTheme="minorHAnsi" w:eastAsiaTheme="minorHAnsi" w:hAnsiTheme="minorHAnsi"/>
          <w:color w:val="auto"/>
          <w:sz w:val="22"/>
          <w:szCs w:val="22"/>
        </w:rPr>
        <w:t xml:space="preserve"> or 15</w:t>
      </w:r>
      <w:r w:rsidRPr="00877DDB">
        <w:rPr>
          <w:rFonts w:asciiTheme="minorHAnsi" w:eastAsiaTheme="minorHAnsi" w:hAnsiTheme="minorHAnsi"/>
          <w:color w:val="auto"/>
          <w:sz w:val="22"/>
          <w:szCs w:val="22"/>
        </w:rPr>
        <w:t xml:space="preserve">-minute intervals; non-participating generators at 5, 15 or 60-minute intervals. </w:t>
      </w:r>
    </w:p>
    <w:p w14:paraId="3EBA3A6F" w14:textId="77777777" w:rsidR="003124A9" w:rsidRPr="00877DDB" w:rsidRDefault="003124A9" w:rsidP="00B851D4">
      <w:pPr>
        <w:pStyle w:val="Default"/>
        <w:numPr>
          <w:ilvl w:val="0"/>
          <w:numId w:val="52"/>
        </w:numPr>
        <w:spacing w:after="240" w:line="300" w:lineRule="auto"/>
        <w:jc w:val="both"/>
        <w:rPr>
          <w:rFonts w:asciiTheme="minorHAnsi" w:eastAsiaTheme="minorHAnsi" w:hAnsiTheme="minorHAnsi"/>
          <w:color w:val="auto"/>
          <w:sz w:val="22"/>
          <w:szCs w:val="22"/>
        </w:rPr>
      </w:pPr>
      <w:r w:rsidRPr="00877DDB">
        <w:rPr>
          <w:rFonts w:asciiTheme="minorHAnsi" w:eastAsiaTheme="minorHAnsi" w:hAnsiTheme="minorHAnsi"/>
          <w:color w:val="auto"/>
          <w:sz w:val="22"/>
          <w:szCs w:val="22"/>
        </w:rPr>
        <w:t>Interties at 5-minute intervals.</w:t>
      </w:r>
    </w:p>
    <w:p w14:paraId="09608866" w14:textId="77777777" w:rsidR="003124A9" w:rsidRDefault="003124A9" w:rsidP="00B851D4">
      <w:pPr>
        <w:pStyle w:val="Default"/>
        <w:numPr>
          <w:ilvl w:val="0"/>
          <w:numId w:val="52"/>
        </w:numPr>
        <w:spacing w:after="240" w:line="300" w:lineRule="auto"/>
        <w:jc w:val="both"/>
        <w:rPr>
          <w:color w:val="000000" w:themeColor="text1"/>
          <w:sz w:val="22"/>
          <w:szCs w:val="22"/>
        </w:rPr>
      </w:pPr>
      <w:r w:rsidRPr="00877DDB">
        <w:rPr>
          <w:rFonts w:asciiTheme="minorHAnsi" w:eastAsiaTheme="minorHAnsi" w:hAnsiTheme="minorHAnsi"/>
          <w:color w:val="auto"/>
          <w:sz w:val="22"/>
          <w:szCs w:val="22"/>
        </w:rPr>
        <w:t xml:space="preserve">Load at 5, 15 or 60-minute intervals. </w:t>
      </w:r>
      <w:r>
        <w:rPr>
          <w:color w:val="000000" w:themeColor="text1"/>
          <w:sz w:val="22"/>
          <w:szCs w:val="22"/>
        </w:rPr>
        <w:t xml:space="preserve"> </w:t>
      </w:r>
    </w:p>
    <w:p w14:paraId="575D5CE3" w14:textId="77777777" w:rsidR="00326CC6" w:rsidRPr="00B8115B" w:rsidRDefault="00326CC6" w:rsidP="00B8115B">
      <w:pPr>
        <w:spacing w:after="240" w:line="300" w:lineRule="auto"/>
        <w:rPr>
          <w:rFonts w:cs="Arial"/>
        </w:rPr>
      </w:pPr>
    </w:p>
    <w:p w14:paraId="33C15445" w14:textId="77777777" w:rsidR="002E46E9" w:rsidRDefault="002E46E9" w:rsidP="002E46E9">
      <w:pPr>
        <w:pStyle w:val="Heading1"/>
      </w:pPr>
      <w:bookmarkStart w:id="61" w:name="_Toc388005948"/>
      <w:bookmarkStart w:id="62" w:name="_Toc388006295"/>
      <w:bookmarkStart w:id="63" w:name="_Toc388019347"/>
      <w:bookmarkStart w:id="64" w:name="_Toc388019838"/>
      <w:bookmarkStart w:id="65" w:name="_Toc389662574"/>
      <w:bookmarkStart w:id="66" w:name="_Toc390946259"/>
      <w:bookmarkStart w:id="67" w:name="_Toc391969820"/>
      <w:bookmarkStart w:id="68" w:name="_Toc229054467"/>
      <w:bookmarkEnd w:id="61"/>
      <w:bookmarkEnd w:id="62"/>
      <w:bookmarkEnd w:id="63"/>
      <w:bookmarkEnd w:id="64"/>
      <w:r>
        <w:lastRenderedPageBreak/>
        <w:t>TELEMETRY</w:t>
      </w:r>
      <w:bookmarkEnd w:id="65"/>
      <w:bookmarkEnd w:id="66"/>
      <w:bookmarkEnd w:id="67"/>
      <w:bookmarkEnd w:id="68"/>
    </w:p>
    <w:p w14:paraId="1ACAB2CF" w14:textId="0734A0F2" w:rsidR="003124A9" w:rsidRDefault="003124A9" w:rsidP="003124A9">
      <w:pPr>
        <w:spacing w:after="240" w:line="300" w:lineRule="auto"/>
      </w:pPr>
      <w:r>
        <w:t xml:space="preserve">Welcome to the </w:t>
      </w:r>
      <w:r w:rsidRPr="00080EC0">
        <w:rPr>
          <w:i/>
        </w:rPr>
        <w:t>Telemetry</w:t>
      </w:r>
      <w:r>
        <w:t xml:space="preserve"> section of the CAISO </w:t>
      </w:r>
      <w:r w:rsidRPr="00FA595A">
        <w:rPr>
          <w:i/>
        </w:rPr>
        <w:t xml:space="preserve">BPM for the </w:t>
      </w:r>
      <w:r w:rsidR="005F24C1">
        <w:rPr>
          <w:i/>
        </w:rPr>
        <w:t>Western Energy Imbalance Market</w:t>
      </w:r>
      <w:r w:rsidRPr="00FA595A">
        <w:rPr>
          <w:i/>
        </w:rPr>
        <w:t>.</w:t>
      </w:r>
      <w:r>
        <w:t xml:space="preserve"> In this section you will find the following information:</w:t>
      </w:r>
    </w:p>
    <w:p w14:paraId="6D3A7D92" w14:textId="77777777" w:rsidR="003124A9" w:rsidRDefault="003124A9" w:rsidP="00B851D4">
      <w:pPr>
        <w:pStyle w:val="ListParagraph"/>
        <w:numPr>
          <w:ilvl w:val="0"/>
          <w:numId w:val="38"/>
        </w:numPr>
        <w:ind w:left="778"/>
      </w:pPr>
      <w:r>
        <w:t xml:space="preserve">Summary of telemetry requirements and the transfer of telemetry information for the CAISO markets as it relates to the EIM.  </w:t>
      </w:r>
    </w:p>
    <w:p w14:paraId="77F04A17" w14:textId="798472BE" w:rsidR="003124A9" w:rsidRDefault="003124A9" w:rsidP="003124A9">
      <w:pPr>
        <w:spacing w:after="240" w:line="300" w:lineRule="auto"/>
      </w:pPr>
      <w:r>
        <w:t>CAISO has specific requirements regarding the transfer of telemetry information for the CAISO markets.</w:t>
      </w:r>
      <w:r w:rsidR="005F24C1">
        <w:t xml:space="preserve"> WEIM </w:t>
      </w:r>
      <w:r>
        <w:t xml:space="preserve">entity is required to send </w:t>
      </w:r>
      <w:r w:rsidR="00BE02D8">
        <w:t>CA</w:t>
      </w:r>
      <w:r>
        <w:t xml:space="preserve">ISO </w:t>
      </w:r>
      <w:r w:rsidR="004716B4">
        <w:rPr>
          <w:rFonts w:eastAsia="Calibri"/>
        </w:rPr>
        <w:t>Common Information Model (CIM)</w:t>
      </w:r>
      <w:r>
        <w:t xml:space="preserve"> 15 compliant full network model with associated SCADA measurements.</w:t>
      </w:r>
      <w:r w:rsidR="005F24C1">
        <w:t xml:space="preserve"> WEIM </w:t>
      </w:r>
      <w:r>
        <w:t>entity will send real time telemetry using ICCP (</w:t>
      </w:r>
      <w:r w:rsidRPr="00B06DE4">
        <w:t xml:space="preserve">Inter-Control Center Communications </w:t>
      </w:r>
      <w:r>
        <w:t xml:space="preserve">Protocol) to run power flow, state estimation and market applications. </w:t>
      </w:r>
      <w:r w:rsidR="00BE02D8">
        <w:t>CA</w:t>
      </w:r>
      <w:r>
        <w:t>ISO may require other SCADA measurements that are not related to network model using ICCP such as flow gate limits or aggregate generation.</w:t>
      </w:r>
    </w:p>
    <w:p w14:paraId="58573E87" w14:textId="77777777" w:rsidR="003124A9" w:rsidRDefault="003124A9" w:rsidP="003124A9">
      <w:pPr>
        <w:spacing w:after="240" w:line="300" w:lineRule="auto"/>
      </w:pPr>
      <w:r>
        <w:t xml:space="preserve">ICCP is </w:t>
      </w:r>
      <w:r w:rsidRPr="00B06DE4">
        <w:t>industry standardized communication protocol but does not eliminate the need for a direct Energy Communication Network</w:t>
      </w:r>
      <w:r w:rsidRPr="00D80D9E">
        <w:t xml:space="preserve"> (</w:t>
      </w:r>
      <w:r w:rsidRPr="00B06DE4">
        <w:t>ECN) connectivity</w:t>
      </w:r>
      <w:r>
        <w:t>.</w:t>
      </w:r>
    </w:p>
    <w:p w14:paraId="2606A9B8" w14:textId="77777777" w:rsidR="003124A9" w:rsidRDefault="003124A9" w:rsidP="003124A9">
      <w:pPr>
        <w:spacing w:after="240" w:line="300" w:lineRule="auto"/>
      </w:pPr>
      <w:r w:rsidRPr="00B06DE4">
        <w:t xml:space="preserve">All other information security requirements remain effective as set forth in </w:t>
      </w:r>
      <w:r w:rsidRPr="00A30810">
        <w:rPr>
          <w:i/>
        </w:rPr>
        <w:t>CAISO Information Security Requirements for the ECN</w:t>
      </w:r>
    </w:p>
    <w:p w14:paraId="68A9C82A" w14:textId="15086A6C" w:rsidR="003124A9" w:rsidRDefault="003124A9" w:rsidP="003124A9">
      <w:pPr>
        <w:spacing w:after="80" w:line="300" w:lineRule="auto"/>
      </w:pPr>
      <w:r>
        <w:t xml:space="preserve">If additional requirements are required and agreed to between CAISO and </w:t>
      </w:r>
      <w:r w:rsidR="00153940">
        <w:t>a WEIM</w:t>
      </w:r>
      <w:r w:rsidR="005F24C1">
        <w:t xml:space="preserve"> </w:t>
      </w:r>
      <w:r>
        <w:t xml:space="preserve">Entity, a schedule of implementation of the additional requirements will be agreed to as well.  </w:t>
      </w:r>
    </w:p>
    <w:p w14:paraId="5470E8AB" w14:textId="77777777" w:rsidR="00326CC6" w:rsidRPr="00D915AB" w:rsidRDefault="00326CC6" w:rsidP="00B46B90">
      <w:pPr>
        <w:spacing w:after="240" w:line="300" w:lineRule="auto"/>
        <w:rPr>
          <w:rFonts w:cs="Arial"/>
        </w:rPr>
      </w:pPr>
    </w:p>
    <w:p w14:paraId="0A9ADA2A" w14:textId="77777777" w:rsidR="002E46E9" w:rsidRDefault="002E46E9" w:rsidP="002E46E9">
      <w:pPr>
        <w:pStyle w:val="Heading1"/>
      </w:pPr>
      <w:bookmarkStart w:id="69" w:name="_Toc389662575"/>
      <w:bookmarkStart w:id="70" w:name="_Toc390946261"/>
      <w:bookmarkStart w:id="71" w:name="_Toc391969822"/>
      <w:bookmarkStart w:id="72" w:name="_Toc229054468"/>
      <w:r>
        <w:t>OUTAGE MANAGEMENT</w:t>
      </w:r>
      <w:bookmarkEnd w:id="69"/>
      <w:bookmarkEnd w:id="70"/>
      <w:bookmarkEnd w:id="71"/>
      <w:bookmarkEnd w:id="72"/>
    </w:p>
    <w:p w14:paraId="71B04244" w14:textId="22B0ACA0" w:rsidR="00A14EC4" w:rsidRDefault="00A14EC4" w:rsidP="009044EA">
      <w:pPr>
        <w:pStyle w:val="ParaText"/>
      </w:pPr>
      <w:r>
        <w:t xml:space="preserve">Welcome to </w:t>
      </w:r>
      <w:r w:rsidR="00904B33">
        <w:t>t</w:t>
      </w:r>
      <w:r w:rsidR="0034497A">
        <w:t xml:space="preserve">he </w:t>
      </w:r>
      <w:r w:rsidR="0034497A" w:rsidRPr="00644ACB">
        <w:rPr>
          <w:i/>
        </w:rPr>
        <w:t>Outage Management</w:t>
      </w:r>
      <w:r w:rsidR="0034497A">
        <w:t xml:space="preserve"> section</w:t>
      </w:r>
      <w:r w:rsidR="00904B33">
        <w:t xml:space="preserve"> of th</w:t>
      </w:r>
      <w:r>
        <w:t>e CAISO</w:t>
      </w:r>
      <w:r w:rsidR="00904B33">
        <w:t xml:space="preserve"> BPM</w:t>
      </w:r>
      <w:r>
        <w:t xml:space="preserve"> for the </w:t>
      </w:r>
      <w:r w:rsidR="005F24C1">
        <w:t>Western Energy Imbalance Market</w:t>
      </w:r>
      <w:r>
        <w:t>.</w:t>
      </w:r>
      <w:r w:rsidR="00904B33">
        <w:t xml:space="preserve"> </w:t>
      </w:r>
      <w:r>
        <w:t xml:space="preserve">In this section </w:t>
      </w:r>
      <w:r w:rsidR="00904B33">
        <w:t xml:space="preserve">you will find </w:t>
      </w:r>
      <w:r>
        <w:t xml:space="preserve">the following </w:t>
      </w:r>
      <w:r w:rsidR="00904B33">
        <w:t>information</w:t>
      </w:r>
      <w:r>
        <w:t>:</w:t>
      </w:r>
    </w:p>
    <w:p w14:paraId="11EB0FB6" w14:textId="68D20AE0" w:rsidR="0034497A" w:rsidRDefault="00A14EC4" w:rsidP="00B851D4">
      <w:pPr>
        <w:pStyle w:val="ParaText"/>
        <w:numPr>
          <w:ilvl w:val="0"/>
          <w:numId w:val="38"/>
        </w:numPr>
        <w:spacing w:after="160" w:line="259" w:lineRule="auto"/>
        <w:ind w:left="778"/>
      </w:pPr>
      <w:r>
        <w:t>Summary</w:t>
      </w:r>
      <w:r w:rsidR="009A0DB0">
        <w:t xml:space="preserve"> of </w:t>
      </w:r>
      <w:r w:rsidR="00904B33">
        <w:t>the</w:t>
      </w:r>
      <w:r w:rsidR="00644ACB">
        <w:t xml:space="preserve"> Outage Management</w:t>
      </w:r>
      <w:r w:rsidR="00904B33">
        <w:t xml:space="preserve"> process</w:t>
      </w:r>
      <w:r w:rsidR="00172436">
        <w:t xml:space="preserve"> within the framework of the </w:t>
      </w:r>
      <w:r w:rsidR="005F24C1">
        <w:t>Western Energy Imbalance Market</w:t>
      </w:r>
      <w:r w:rsidR="00644ACB">
        <w:t xml:space="preserve">.  </w:t>
      </w:r>
    </w:p>
    <w:p w14:paraId="01C666E7" w14:textId="0C686C96" w:rsidR="009044EA" w:rsidRDefault="00705653" w:rsidP="00FA595A">
      <w:pPr>
        <w:pStyle w:val="ParaText"/>
        <w:spacing w:after="80"/>
      </w:pPr>
      <w:r>
        <w:t xml:space="preserve"> </w:t>
      </w:r>
      <w:r w:rsidR="0034497A">
        <w:t>CAISO will implement transmission and Generation Outages approved by the</w:t>
      </w:r>
      <w:r w:rsidR="005F24C1">
        <w:t xml:space="preserve"> WEIM </w:t>
      </w:r>
      <w:r w:rsidR="0034497A">
        <w:t>Entity through the Day-Ahead Market process</w:t>
      </w:r>
      <w:r w:rsidR="009A0DB0">
        <w:t xml:space="preserve">. </w:t>
      </w:r>
      <w:r w:rsidR="0034497A">
        <w:t xml:space="preserve"> </w:t>
      </w:r>
      <w:r w:rsidR="009A0DB0">
        <w:t>CAISO</w:t>
      </w:r>
      <w:r w:rsidR="0034497A">
        <w:t xml:space="preserve"> will </w:t>
      </w:r>
      <w:r w:rsidR="009A0DB0">
        <w:t xml:space="preserve">also </w:t>
      </w:r>
      <w:r w:rsidR="0034497A">
        <w:t>inform the</w:t>
      </w:r>
      <w:r w:rsidR="005F24C1">
        <w:t xml:space="preserve"> WEIM </w:t>
      </w:r>
      <w:r w:rsidR="0034497A">
        <w:t>Entity Scheduling Coordinator of any anticipated overloads.  The</w:t>
      </w:r>
      <w:r w:rsidR="005F24C1">
        <w:t xml:space="preserve"> WEIM </w:t>
      </w:r>
      <w:r w:rsidR="0034497A">
        <w:t xml:space="preserve">Entity shall be responsible for performing engineering studies, modeling, and approving Outages on transmission and generation facilities </w:t>
      </w:r>
      <w:r w:rsidR="0034497A">
        <w:lastRenderedPageBreak/>
        <w:t>within the</w:t>
      </w:r>
      <w:r w:rsidR="005F24C1">
        <w:t xml:space="preserve"> WEIM </w:t>
      </w:r>
      <w:r w:rsidR="0034497A">
        <w:t>Entity Balancing Authority Area.  The</w:t>
      </w:r>
      <w:r w:rsidR="005F24C1">
        <w:t xml:space="preserve"> WEIM </w:t>
      </w:r>
      <w:r w:rsidR="0034497A">
        <w:t xml:space="preserve">Entity will then submit the approved outages into the CAISO </w:t>
      </w:r>
      <w:r w:rsidR="00B722C6">
        <w:t>o</w:t>
      </w:r>
      <w:r w:rsidR="0034497A">
        <w:t xml:space="preserve">utage </w:t>
      </w:r>
      <w:r w:rsidR="00B722C6">
        <w:t>m</w:t>
      </w:r>
      <w:r w:rsidR="0034497A">
        <w:t xml:space="preserve">anagement </w:t>
      </w:r>
      <w:r w:rsidR="00B722C6">
        <w:t>s</w:t>
      </w:r>
      <w:r w:rsidR="0034497A">
        <w:t xml:space="preserve">ystem. </w:t>
      </w:r>
      <w:r w:rsidR="00FB45EB">
        <w:t xml:space="preserve"> </w:t>
      </w:r>
      <w:r w:rsidR="007A5EFD">
        <w:t>CAISO will not evaluate or approve any outages submitted by the</w:t>
      </w:r>
      <w:r w:rsidR="005F24C1">
        <w:t xml:space="preserve"> WEIM </w:t>
      </w:r>
      <w:r w:rsidR="007A5EFD">
        <w:t>Entity.</w:t>
      </w:r>
      <w:r w:rsidR="0034497A">
        <w:t xml:space="preserve"> </w:t>
      </w:r>
    </w:p>
    <w:p w14:paraId="33665EB8" w14:textId="77777777" w:rsidR="005869D0" w:rsidRPr="009044EA" w:rsidRDefault="005869D0" w:rsidP="00FA595A">
      <w:pPr>
        <w:pStyle w:val="ParaText"/>
        <w:spacing w:after="80"/>
      </w:pPr>
    </w:p>
    <w:p w14:paraId="794C9887" w14:textId="77777777" w:rsidR="0090317F" w:rsidRPr="0090317F" w:rsidRDefault="0090317F" w:rsidP="00FA595A">
      <w:pPr>
        <w:pStyle w:val="Heading2"/>
        <w:spacing w:after="80" w:line="300" w:lineRule="auto"/>
      </w:pPr>
      <w:bookmarkStart w:id="73" w:name="_Toc389662576"/>
      <w:bookmarkStart w:id="74" w:name="_Toc390946262"/>
      <w:bookmarkStart w:id="75" w:name="_Toc391969823"/>
      <w:bookmarkStart w:id="76" w:name="_Toc229054469"/>
      <w:r>
        <w:t>Objectives, Roles, Scope, and Participants</w:t>
      </w:r>
      <w:bookmarkEnd w:id="73"/>
      <w:bookmarkEnd w:id="74"/>
      <w:bookmarkEnd w:id="75"/>
      <w:bookmarkEnd w:id="76"/>
    </w:p>
    <w:p w14:paraId="0A84622A" w14:textId="77777777" w:rsidR="006C077D" w:rsidRPr="006C077D" w:rsidRDefault="006C077D" w:rsidP="00FA595A">
      <w:pPr>
        <w:pStyle w:val="Heading3"/>
        <w:spacing w:after="80" w:line="300" w:lineRule="auto"/>
      </w:pPr>
      <w:bookmarkStart w:id="77" w:name="_Toc389662577"/>
      <w:bookmarkStart w:id="78" w:name="_Toc390946263"/>
      <w:bookmarkStart w:id="79" w:name="_Toc391969824"/>
      <w:bookmarkStart w:id="80" w:name="_Toc229054470"/>
      <w:r>
        <w:t>Outage Management Objective</w:t>
      </w:r>
      <w:bookmarkEnd w:id="77"/>
      <w:bookmarkEnd w:id="78"/>
      <w:bookmarkEnd w:id="79"/>
      <w:bookmarkEnd w:id="80"/>
    </w:p>
    <w:p w14:paraId="13B6A71F" w14:textId="6A57CC6D" w:rsidR="006C077D" w:rsidRDefault="006C077D" w:rsidP="00FA595A">
      <w:pPr>
        <w:spacing w:after="80" w:line="300" w:lineRule="auto"/>
      </w:pPr>
      <w:r>
        <w:t>The objective of the CAISO business processes related to Outage Management for</w:t>
      </w:r>
      <w:r w:rsidR="005F24C1">
        <w:t xml:space="preserve"> WEIM </w:t>
      </w:r>
      <w:r w:rsidR="00450F1E">
        <w:t>E</w:t>
      </w:r>
      <w:r>
        <w:t xml:space="preserve">ntities is to reflect outage information in the CAISO </w:t>
      </w:r>
      <w:r w:rsidR="00881292">
        <w:t>m</w:t>
      </w:r>
      <w:r>
        <w:t>arkets as soon as possible</w:t>
      </w:r>
      <w:r w:rsidR="00D5695C">
        <w:t xml:space="preserve"> in order</w:t>
      </w:r>
      <w:r>
        <w:t xml:space="preserve"> to allow </w:t>
      </w:r>
      <w:r w:rsidR="00D5695C">
        <w:t>the</w:t>
      </w:r>
      <w:r w:rsidR="005F24C1">
        <w:t xml:space="preserve"> WEIM </w:t>
      </w:r>
      <w:r>
        <w:t xml:space="preserve">to </w:t>
      </w:r>
      <w:r w:rsidR="00450F1E">
        <w:t>accurately reflect their operations in</w:t>
      </w:r>
      <w:r>
        <w:t xml:space="preserve"> the market results. </w:t>
      </w:r>
      <w:r w:rsidR="005F24C1">
        <w:t xml:space="preserve"> WEIM </w:t>
      </w:r>
      <w:r w:rsidR="000127CC">
        <w:t>E</w:t>
      </w:r>
      <w:r w:rsidR="002D59D5">
        <w:t>ntity approved O</w:t>
      </w:r>
      <w:r w:rsidR="00D50B78">
        <w:t xml:space="preserve">utages must be consistent with the Full Network Model. </w:t>
      </w:r>
    </w:p>
    <w:p w14:paraId="61361D23" w14:textId="77777777" w:rsidR="005869D0" w:rsidRDefault="005869D0" w:rsidP="00FA595A">
      <w:pPr>
        <w:spacing w:after="80" w:line="300" w:lineRule="auto"/>
      </w:pPr>
    </w:p>
    <w:p w14:paraId="7408AF7D" w14:textId="77777777" w:rsidR="00793BA2" w:rsidRDefault="006C077D" w:rsidP="00FA595A">
      <w:pPr>
        <w:pStyle w:val="Heading3"/>
        <w:spacing w:after="80" w:line="300" w:lineRule="auto"/>
      </w:pPr>
      <w:bookmarkStart w:id="81" w:name="_Toc389662578"/>
      <w:bookmarkStart w:id="82" w:name="_Toc390946264"/>
      <w:bookmarkStart w:id="83" w:name="_Toc391969825"/>
      <w:bookmarkStart w:id="84" w:name="_Toc229054471"/>
      <w:r>
        <w:t>CAISO Role</w:t>
      </w:r>
      <w:bookmarkEnd w:id="81"/>
      <w:bookmarkEnd w:id="82"/>
      <w:bookmarkEnd w:id="83"/>
      <w:bookmarkEnd w:id="84"/>
      <w:r>
        <w:t xml:space="preserve">  </w:t>
      </w:r>
    </w:p>
    <w:p w14:paraId="0C413E35" w14:textId="0CAEF775" w:rsidR="006566B0" w:rsidRDefault="006C077D" w:rsidP="00FA595A">
      <w:pPr>
        <w:spacing w:after="80" w:line="300" w:lineRule="auto"/>
      </w:pPr>
      <w:r>
        <w:t>CAISO’s role in the Outage Management business pr</w:t>
      </w:r>
      <w:r w:rsidR="008B53E8">
        <w:t>ocess for</w:t>
      </w:r>
      <w:r w:rsidR="005F24C1">
        <w:t xml:space="preserve"> WEIM </w:t>
      </w:r>
      <w:r w:rsidR="008B53E8">
        <w:t xml:space="preserve">is to provide an </w:t>
      </w:r>
      <w:r w:rsidR="00B722C6">
        <w:t>o</w:t>
      </w:r>
      <w:r w:rsidR="008B53E8">
        <w:t xml:space="preserve">utage </w:t>
      </w:r>
      <w:r w:rsidR="00B722C6">
        <w:t>m</w:t>
      </w:r>
      <w:r w:rsidR="008B53E8">
        <w:t xml:space="preserve">anagement </w:t>
      </w:r>
      <w:r w:rsidR="00B722C6">
        <w:t>s</w:t>
      </w:r>
      <w:r>
        <w:t xml:space="preserve">ystem to allow </w:t>
      </w:r>
      <w:r w:rsidR="00A2065D">
        <w:t>t</w:t>
      </w:r>
      <w:r w:rsidR="00A2065D" w:rsidRPr="00DD49CC">
        <w:t>he</w:t>
      </w:r>
      <w:r w:rsidR="005F24C1">
        <w:t xml:space="preserve"> WEIM </w:t>
      </w:r>
      <w:r w:rsidR="00A2065D" w:rsidRPr="00DD49CC">
        <w:t xml:space="preserve">Entity Scheduling Coordinator </w:t>
      </w:r>
      <w:r w:rsidR="00A2065D">
        <w:t>to</w:t>
      </w:r>
      <w:r w:rsidR="00A2065D" w:rsidRPr="00DD49CC">
        <w:t xml:space="preserve"> submit notice of</w:t>
      </w:r>
      <w:r w:rsidR="005F24C1">
        <w:t xml:space="preserve"> WEIM </w:t>
      </w:r>
      <w:r w:rsidR="007A5EFD">
        <w:t>Entity</w:t>
      </w:r>
      <w:r w:rsidR="00A2065D">
        <w:t xml:space="preserve"> approved</w:t>
      </w:r>
      <w:r w:rsidR="00A2065D" w:rsidRPr="00DD49CC">
        <w:t xml:space="preserve"> transmission</w:t>
      </w:r>
      <w:r w:rsidR="00A2065D">
        <w:t xml:space="preserve"> and generation</w:t>
      </w:r>
      <w:r w:rsidR="00A2065D" w:rsidRPr="00DD49CC">
        <w:t xml:space="preserve"> </w:t>
      </w:r>
      <w:r w:rsidR="008B53E8">
        <w:t>O</w:t>
      </w:r>
      <w:r w:rsidR="00A2065D" w:rsidRPr="00DD49CC">
        <w:t>utages</w:t>
      </w:r>
      <w:r w:rsidR="00A2065D">
        <w:t xml:space="preserve"> for </w:t>
      </w:r>
      <w:r w:rsidR="00450F1E">
        <w:t>the</w:t>
      </w:r>
      <w:r w:rsidR="005F24C1">
        <w:t xml:space="preserve"> WEIM </w:t>
      </w:r>
      <w:r w:rsidR="00563036">
        <w:t>E</w:t>
      </w:r>
      <w:r>
        <w:t xml:space="preserve">ntity </w:t>
      </w:r>
      <w:r w:rsidR="00450F1E">
        <w:t>BAA</w:t>
      </w:r>
      <w:r>
        <w:t>.  This section describes the processes CAISO uses to perform this role.</w:t>
      </w:r>
    </w:p>
    <w:p w14:paraId="3DFC2B08" w14:textId="77777777" w:rsidR="005869D0" w:rsidRDefault="005869D0" w:rsidP="00FA595A">
      <w:pPr>
        <w:spacing w:after="80" w:line="300" w:lineRule="auto"/>
      </w:pPr>
    </w:p>
    <w:p w14:paraId="0E0B9917" w14:textId="77777777" w:rsidR="006C077D" w:rsidRDefault="006C077D" w:rsidP="00FA595A">
      <w:pPr>
        <w:pStyle w:val="Heading3"/>
        <w:spacing w:after="80" w:line="300" w:lineRule="auto"/>
      </w:pPr>
      <w:bookmarkStart w:id="85" w:name="_Toc389662579"/>
      <w:bookmarkStart w:id="86" w:name="_Toc390946265"/>
      <w:bookmarkStart w:id="87" w:name="_Toc391969826"/>
      <w:bookmarkStart w:id="88" w:name="_Toc229054472"/>
      <w:r>
        <w:t>Facility Owner Role</w:t>
      </w:r>
      <w:bookmarkEnd w:id="85"/>
      <w:bookmarkEnd w:id="86"/>
      <w:bookmarkEnd w:id="87"/>
      <w:bookmarkEnd w:id="88"/>
    </w:p>
    <w:p w14:paraId="6DFCD042" w14:textId="2CEE7315" w:rsidR="00D008FF" w:rsidRPr="00480065" w:rsidRDefault="006B1168" w:rsidP="00FA595A">
      <w:pPr>
        <w:pStyle w:val="ParaText"/>
        <w:spacing w:after="80"/>
      </w:pPr>
      <w:r>
        <w:t>The</w:t>
      </w:r>
      <w:r w:rsidR="005F24C1">
        <w:t xml:space="preserve"> WEIM </w:t>
      </w:r>
      <w:r>
        <w:t>Entity,</w:t>
      </w:r>
      <w:r w:rsidR="005F24C1">
        <w:t xml:space="preserve"> WEIM </w:t>
      </w:r>
      <w:r w:rsidR="00450F1E">
        <w:t>P</w:t>
      </w:r>
      <w:r w:rsidR="006C077D" w:rsidRPr="00480065">
        <w:t xml:space="preserve">articipating </w:t>
      </w:r>
      <w:r w:rsidR="00450F1E">
        <w:t>Resources</w:t>
      </w:r>
      <w:r>
        <w:t>,</w:t>
      </w:r>
      <w:r w:rsidR="00450F1E">
        <w:t xml:space="preserve"> and</w:t>
      </w:r>
      <w:r w:rsidR="005F24C1">
        <w:t xml:space="preserve"> WEIM </w:t>
      </w:r>
      <w:r>
        <w:t xml:space="preserve">Transmission Service Providers </w:t>
      </w:r>
      <w:r w:rsidR="006C077D" w:rsidRPr="00480065">
        <w:t xml:space="preserve">remain </w:t>
      </w:r>
      <w:r w:rsidR="00C33986" w:rsidRPr="00480065">
        <w:t>solely</w:t>
      </w:r>
      <w:r w:rsidR="006C077D" w:rsidRPr="00480065">
        <w:t xml:space="preserve"> and directly responsible for the performance of all maintenance work, whether on energized or de-energized facilities, including all activities related to providing a safe working environment</w:t>
      </w:r>
      <w:r>
        <w:t xml:space="preserve"> in coordination with the</w:t>
      </w:r>
      <w:r w:rsidR="005F24C1">
        <w:t xml:space="preserve"> WEIM </w:t>
      </w:r>
      <w:r>
        <w:t>Entity</w:t>
      </w:r>
      <w:r w:rsidR="006C077D" w:rsidRPr="00480065">
        <w:t>.  The</w:t>
      </w:r>
      <w:r w:rsidR="005F24C1">
        <w:t xml:space="preserve"> WEIM </w:t>
      </w:r>
      <w:r w:rsidR="006C077D" w:rsidRPr="00480065">
        <w:t xml:space="preserve">Entity </w:t>
      </w:r>
      <w:r w:rsidR="001D642A" w:rsidRPr="00480065">
        <w:t xml:space="preserve">is responsible for ensuring </w:t>
      </w:r>
      <w:r>
        <w:t>O</w:t>
      </w:r>
      <w:r w:rsidR="001D642A" w:rsidRPr="00480065">
        <w:t>utages have been studied</w:t>
      </w:r>
      <w:r w:rsidR="00A2065D" w:rsidRPr="00480065">
        <w:t>, modeled</w:t>
      </w:r>
      <w:r w:rsidR="00A30810">
        <w:t>,</w:t>
      </w:r>
      <w:r w:rsidR="001D642A" w:rsidRPr="00480065">
        <w:t xml:space="preserve"> and approved </w:t>
      </w:r>
      <w:r w:rsidR="00450F1E">
        <w:t xml:space="preserve">prior to submission </w:t>
      </w:r>
      <w:r w:rsidR="001D642A" w:rsidRPr="00480065">
        <w:t>to</w:t>
      </w:r>
      <w:r w:rsidR="00FB45EB">
        <w:t xml:space="preserve"> </w:t>
      </w:r>
      <w:r w:rsidR="001D642A" w:rsidRPr="00480065">
        <w:t xml:space="preserve">CAISO.  </w:t>
      </w:r>
    </w:p>
    <w:p w14:paraId="16CE6A11" w14:textId="6F961EA8" w:rsidR="00977CC3" w:rsidRPr="009C0623" w:rsidRDefault="006B1168" w:rsidP="00FA595A">
      <w:pPr>
        <w:pStyle w:val="ParaText"/>
        <w:spacing w:after="80"/>
      </w:pPr>
      <w:r>
        <w:t>The</w:t>
      </w:r>
      <w:r w:rsidR="005F24C1">
        <w:t xml:space="preserve"> WEIM </w:t>
      </w:r>
      <w:r>
        <w:t>Entity,</w:t>
      </w:r>
      <w:r w:rsidR="005F24C1">
        <w:t xml:space="preserve"> WEIM </w:t>
      </w:r>
      <w:r>
        <w:t>P</w:t>
      </w:r>
      <w:r w:rsidRPr="00480065">
        <w:t xml:space="preserve">articipating </w:t>
      </w:r>
      <w:r>
        <w:t>Resources, and</w:t>
      </w:r>
      <w:r w:rsidR="005F24C1">
        <w:t xml:space="preserve"> WEIM </w:t>
      </w:r>
      <w:r>
        <w:t>Transmission Service Providers</w:t>
      </w:r>
      <w:r w:rsidR="00977CC3">
        <w:t xml:space="preserve"> may elect to have an agent perform some or all of the activities required to meet their responsibilities related to Outage Management; however, the</w:t>
      </w:r>
      <w:r w:rsidR="005F24C1">
        <w:t xml:space="preserve"> WEIM </w:t>
      </w:r>
      <w:r>
        <w:t xml:space="preserve">Entity </w:t>
      </w:r>
      <w:r w:rsidR="00977CC3">
        <w:t>remains responsible for the successful completion of these activities.  See Section 6</w:t>
      </w:r>
      <w:r w:rsidR="00046CCB">
        <w:t>,</w:t>
      </w:r>
      <w:r w:rsidR="00977CC3">
        <w:rPr>
          <w:color w:val="FF0000"/>
        </w:rPr>
        <w:t xml:space="preserve"> </w:t>
      </w:r>
      <w:r w:rsidR="00977CC3" w:rsidRPr="009C0623">
        <w:rPr>
          <w:i/>
        </w:rPr>
        <w:t xml:space="preserve">Communication of Outage Maintenance Information, </w:t>
      </w:r>
      <w:r w:rsidR="00977CC3" w:rsidRPr="009C0623">
        <w:t xml:space="preserve">of </w:t>
      </w:r>
      <w:r w:rsidR="00E96A39" w:rsidRPr="009C0623">
        <w:t xml:space="preserve">the </w:t>
      </w:r>
      <w:hyperlink r:id="rId62" w:history="1">
        <w:r w:rsidR="00046CCB" w:rsidRPr="00D67EB8">
          <w:rPr>
            <w:rStyle w:val="Hyperlink"/>
            <w:b/>
          </w:rPr>
          <w:t>BPM for Outage Management</w:t>
        </w:r>
      </w:hyperlink>
      <w:r w:rsidR="00046CCB" w:rsidRPr="009C0623">
        <w:t xml:space="preserve"> </w:t>
      </w:r>
      <w:r w:rsidR="00977CC3" w:rsidRPr="009C0623">
        <w:t>for a discussion of the requirement for</w:t>
      </w:r>
      <w:r>
        <w:t xml:space="preserve"> </w:t>
      </w:r>
      <w:r w:rsidR="00153940">
        <w:t>a WEIM</w:t>
      </w:r>
      <w:r w:rsidR="005F24C1">
        <w:t xml:space="preserve"> </w:t>
      </w:r>
      <w:r>
        <w:t xml:space="preserve">Entity </w:t>
      </w:r>
      <w:r w:rsidR="00977CC3" w:rsidRPr="009C0623">
        <w:t>to establish a single point of contact</w:t>
      </w:r>
      <w:r w:rsidR="003E35A5">
        <w:t xml:space="preserve">, </w:t>
      </w:r>
      <w:r w:rsidR="003E35A5" w:rsidRPr="00B06DE4">
        <w:t>such as</w:t>
      </w:r>
      <w:r w:rsidR="00757A4E" w:rsidRPr="00B46B90">
        <w:t xml:space="preserve"> </w:t>
      </w:r>
      <w:r w:rsidR="00153940">
        <w:t>a WEIM</w:t>
      </w:r>
      <w:r w:rsidR="005F24C1">
        <w:t xml:space="preserve"> </w:t>
      </w:r>
      <w:r w:rsidR="003E35A5" w:rsidRPr="00B06DE4">
        <w:t>Entity SC</w:t>
      </w:r>
      <w:r w:rsidR="00977CC3" w:rsidRPr="00BB070F">
        <w:t>.</w:t>
      </w:r>
      <w:r w:rsidR="00977CC3" w:rsidRPr="009C0623">
        <w:t xml:space="preserve">  </w:t>
      </w:r>
    </w:p>
    <w:p w14:paraId="07C7CBD8" w14:textId="77777777" w:rsidR="00D96C46" w:rsidRPr="005D4C62" w:rsidRDefault="00D96C46" w:rsidP="00E62C48">
      <w:pPr>
        <w:pStyle w:val="Heading3"/>
      </w:pPr>
      <w:bookmarkStart w:id="89" w:name="_Toc389662581"/>
      <w:bookmarkStart w:id="90" w:name="_Toc390946266"/>
      <w:bookmarkStart w:id="91" w:name="_Toc391969827"/>
      <w:bookmarkStart w:id="92" w:name="_Toc229054473"/>
      <w:r w:rsidRPr="005D4C62">
        <w:lastRenderedPageBreak/>
        <w:t>Application to Parties</w:t>
      </w:r>
      <w:bookmarkEnd w:id="89"/>
      <w:bookmarkEnd w:id="90"/>
      <w:bookmarkEnd w:id="91"/>
      <w:bookmarkEnd w:id="92"/>
    </w:p>
    <w:p w14:paraId="16E3E3C1" w14:textId="3543D357" w:rsidR="00D96C46" w:rsidRDefault="00D96C46" w:rsidP="003673A0">
      <w:pPr>
        <w:spacing w:line="300" w:lineRule="auto"/>
      </w:pPr>
      <w:r>
        <w:t xml:space="preserve">The </w:t>
      </w:r>
      <w:r w:rsidRPr="00D96C46">
        <w:rPr>
          <w:i/>
        </w:rPr>
        <w:t>BPM for Outage Management</w:t>
      </w:r>
      <w:r>
        <w:rPr>
          <w:i/>
        </w:rPr>
        <w:t xml:space="preserve"> </w:t>
      </w:r>
      <w:r>
        <w:t>applies to CAISO and the following</w:t>
      </w:r>
      <w:r w:rsidR="005F24C1">
        <w:t xml:space="preserve"> WEIM </w:t>
      </w:r>
      <w:r>
        <w:t>parties:</w:t>
      </w:r>
    </w:p>
    <w:p w14:paraId="3FA52520" w14:textId="1B258146" w:rsidR="00D96C46" w:rsidRDefault="00D96C46" w:rsidP="00B851D4">
      <w:pPr>
        <w:numPr>
          <w:ilvl w:val="0"/>
          <w:numId w:val="16"/>
        </w:numPr>
      </w:pPr>
      <w:r>
        <w:t>All  associated with the</w:t>
      </w:r>
      <w:r w:rsidR="005F24C1">
        <w:t xml:space="preserve"> WEIM </w:t>
      </w:r>
      <w:r>
        <w:t>Entity</w:t>
      </w:r>
    </w:p>
    <w:p w14:paraId="3D8E1770" w14:textId="77777777" w:rsidR="00D96C46" w:rsidRDefault="00D96C46" w:rsidP="00B851D4">
      <w:pPr>
        <w:numPr>
          <w:ilvl w:val="0"/>
          <w:numId w:val="16"/>
        </w:numPr>
      </w:pPr>
      <w:r>
        <w:t>Connected Entities, to the extent</w:t>
      </w:r>
      <w:r w:rsidR="00E720E1">
        <w:t xml:space="preserve"> that</w:t>
      </w:r>
      <w:r>
        <w:t xml:space="preserve"> the agreement between the Connected Entity and</w:t>
      </w:r>
      <w:r w:rsidR="000B5108">
        <w:t xml:space="preserve"> </w:t>
      </w:r>
      <w:r>
        <w:t>CAISO so provides</w:t>
      </w:r>
    </w:p>
    <w:p w14:paraId="40566BE3" w14:textId="23DB69E9" w:rsidR="005869D0" w:rsidRPr="00B468C1" w:rsidRDefault="00D96C46" w:rsidP="00B851D4">
      <w:pPr>
        <w:numPr>
          <w:ilvl w:val="0"/>
          <w:numId w:val="16"/>
        </w:numPr>
      </w:pPr>
      <w:r>
        <w:t xml:space="preserve">EIM </w:t>
      </w:r>
      <w:r w:rsidR="002556CA">
        <w:t xml:space="preserve">Entity </w:t>
      </w:r>
      <w:r>
        <w:t xml:space="preserve">Scheduling </w:t>
      </w:r>
      <w:r w:rsidRPr="00B468C1">
        <w:t>Coordinators for</w:t>
      </w:r>
      <w:r w:rsidR="005F24C1">
        <w:t xml:space="preserve"> WEIM </w:t>
      </w:r>
      <w:r w:rsidRPr="00B468C1">
        <w:t xml:space="preserve">Participating </w:t>
      </w:r>
      <w:r w:rsidR="00DE0D6C">
        <w:t>Resources</w:t>
      </w:r>
    </w:p>
    <w:p w14:paraId="4E75B68F" w14:textId="0C33F90B" w:rsidR="00D96C46" w:rsidRPr="00B468C1" w:rsidRDefault="009B5EA4" w:rsidP="00B851D4">
      <w:pPr>
        <w:numPr>
          <w:ilvl w:val="1"/>
          <w:numId w:val="16"/>
        </w:numPr>
      </w:pPr>
      <w:r>
        <w:t>Notification of approved</w:t>
      </w:r>
      <w:r w:rsidR="005F24C1">
        <w:t xml:space="preserve"> WEIM </w:t>
      </w:r>
      <w:r w:rsidR="00D96C46" w:rsidRPr="00B468C1">
        <w:t xml:space="preserve">Outages via the CAISO </w:t>
      </w:r>
      <w:r w:rsidR="00B722C6">
        <w:t>o</w:t>
      </w:r>
      <w:r w:rsidR="00D96C46" w:rsidRPr="00B468C1">
        <w:t xml:space="preserve">utage </w:t>
      </w:r>
      <w:r w:rsidR="00B722C6">
        <w:t>m</w:t>
      </w:r>
      <w:r w:rsidR="00D96C46" w:rsidRPr="00B468C1">
        <w:t xml:space="preserve">anagement </w:t>
      </w:r>
      <w:r w:rsidR="00B722C6">
        <w:t>s</w:t>
      </w:r>
      <w:r w:rsidR="00D96C46" w:rsidRPr="00B468C1">
        <w:t xml:space="preserve">ystem UI/API if the CAISO </w:t>
      </w:r>
      <w:r w:rsidR="00B722C6">
        <w:t>o</w:t>
      </w:r>
      <w:r w:rsidR="00D96C46" w:rsidRPr="00B468C1">
        <w:t xml:space="preserve">utage </w:t>
      </w:r>
      <w:r w:rsidR="00B722C6">
        <w:t>m</w:t>
      </w:r>
      <w:r w:rsidR="00D96C46" w:rsidRPr="00B468C1">
        <w:t xml:space="preserve">anagement </w:t>
      </w:r>
      <w:r w:rsidR="00B722C6">
        <w:t>s</w:t>
      </w:r>
      <w:r w:rsidR="00D96C46" w:rsidRPr="00B468C1">
        <w:t xml:space="preserve">ystem is unavailable </w:t>
      </w:r>
    </w:p>
    <w:p w14:paraId="14E976A6" w14:textId="4B7C6623" w:rsidR="00D96C46" w:rsidRPr="00B468C1" w:rsidRDefault="00D96C46" w:rsidP="00B851D4">
      <w:pPr>
        <w:numPr>
          <w:ilvl w:val="0"/>
          <w:numId w:val="17"/>
        </w:numPr>
      </w:pPr>
      <w:r w:rsidRPr="00B468C1">
        <w:t>EIM Entity for Transmission and</w:t>
      </w:r>
      <w:r w:rsidR="005F24C1">
        <w:t xml:space="preserve"> WEIM </w:t>
      </w:r>
      <w:r w:rsidRPr="00B468C1">
        <w:t xml:space="preserve">Non-Participating </w:t>
      </w:r>
      <w:r w:rsidR="00DE0D6C">
        <w:t>Resources</w:t>
      </w:r>
    </w:p>
    <w:p w14:paraId="5B798AF4" w14:textId="56C04170" w:rsidR="003673A0" w:rsidRDefault="009B5EA4" w:rsidP="00B851D4">
      <w:pPr>
        <w:numPr>
          <w:ilvl w:val="1"/>
          <w:numId w:val="17"/>
        </w:numPr>
      </w:pPr>
      <w:r>
        <w:t>Notification of approved</w:t>
      </w:r>
      <w:r w:rsidR="005F24C1">
        <w:t xml:space="preserve"> WEIM </w:t>
      </w:r>
      <w:r w:rsidR="00D96C46" w:rsidRPr="00B468C1">
        <w:t>Outages via the CAISO</w:t>
      </w:r>
      <w:r w:rsidR="00D96C46">
        <w:t xml:space="preserve"> </w:t>
      </w:r>
      <w:r w:rsidR="00B722C6">
        <w:t>o</w:t>
      </w:r>
      <w:r w:rsidR="00D96C46">
        <w:t xml:space="preserve">utage </w:t>
      </w:r>
      <w:r w:rsidR="00B722C6">
        <w:t>m</w:t>
      </w:r>
      <w:r w:rsidR="00D96C46">
        <w:t xml:space="preserve">anagement </w:t>
      </w:r>
      <w:r w:rsidR="00B722C6">
        <w:t>s</w:t>
      </w:r>
      <w:r w:rsidR="00D96C46">
        <w:t xml:space="preserve">ystem UI/API if the CAISO </w:t>
      </w:r>
      <w:r w:rsidR="00B722C6">
        <w:t>o</w:t>
      </w:r>
      <w:r w:rsidR="00D96C46">
        <w:t xml:space="preserve">utage </w:t>
      </w:r>
      <w:r w:rsidR="00B722C6">
        <w:t>m</w:t>
      </w:r>
      <w:r w:rsidR="00D96C46">
        <w:t xml:space="preserve">anagement </w:t>
      </w:r>
      <w:r w:rsidR="00B722C6">
        <w:t>s</w:t>
      </w:r>
      <w:r w:rsidR="00D96C46">
        <w:t>ystem is unavailable</w:t>
      </w:r>
    </w:p>
    <w:p w14:paraId="60D4ABDF" w14:textId="77777777" w:rsidR="00D96C46" w:rsidRDefault="00D96C46" w:rsidP="003673A0">
      <w:pPr>
        <w:spacing w:line="300" w:lineRule="auto"/>
        <w:ind w:left="1440"/>
      </w:pPr>
      <w:r>
        <w:t xml:space="preserve">  </w:t>
      </w:r>
    </w:p>
    <w:p w14:paraId="59D2862B" w14:textId="77777777" w:rsidR="005E1887" w:rsidRDefault="005E1887" w:rsidP="006F6DD6">
      <w:pPr>
        <w:pStyle w:val="Heading3"/>
        <w:spacing w:line="300" w:lineRule="auto"/>
      </w:pPr>
      <w:bookmarkStart w:id="93" w:name="_Toc389662582"/>
      <w:bookmarkStart w:id="94" w:name="_Toc390946267"/>
      <w:bookmarkStart w:id="95" w:name="_Toc391969828"/>
      <w:bookmarkStart w:id="96" w:name="_Toc229054474"/>
      <w:r>
        <w:t>CAISO Outage Coordination Office</w:t>
      </w:r>
      <w:bookmarkEnd w:id="93"/>
      <w:bookmarkEnd w:id="94"/>
      <w:bookmarkEnd w:id="95"/>
      <w:bookmarkEnd w:id="96"/>
    </w:p>
    <w:p w14:paraId="7C71F8A2" w14:textId="77777777" w:rsidR="005E1887" w:rsidRDefault="005E1887" w:rsidP="003673A0">
      <w:pPr>
        <w:pStyle w:val="ParaText"/>
      </w:pPr>
      <w:r>
        <w:t xml:space="preserve">The CAISO </w:t>
      </w:r>
      <w:r w:rsidR="00D008FF">
        <w:t>Outage Coordination Office (</w:t>
      </w:r>
      <w:r>
        <w:t>OCO</w:t>
      </w:r>
      <w:r w:rsidR="00D008FF">
        <w:t>)</w:t>
      </w:r>
      <w:r>
        <w:t xml:space="preserve"> operates Monday through Friday, except holidays.  OCO personnel are located in Folsom, California. The location, contact information, and areas of responsibility for this office are detailed in the most recent version of the applicable </w:t>
      </w:r>
      <w:r w:rsidRPr="000B5108">
        <w:t xml:space="preserve">CAISO </w:t>
      </w:r>
      <w:r w:rsidRPr="000B5108">
        <w:rPr>
          <w:i/>
        </w:rPr>
        <w:t>Operating Procedures</w:t>
      </w:r>
      <w:r w:rsidR="003B2A26">
        <w:t xml:space="preserve"> </w:t>
      </w:r>
      <w:r w:rsidRPr="00B46B90">
        <w:t>(Section 1.5, References</w:t>
      </w:r>
      <w:r w:rsidR="00465302" w:rsidRPr="00B46B90">
        <w:t>-3210F</w:t>
      </w:r>
      <w:r w:rsidRPr="00B46B90">
        <w:t>)</w:t>
      </w:r>
      <w:r w:rsidRPr="00B06DE4">
        <w:t>,</w:t>
      </w:r>
      <w:r w:rsidR="00F82281">
        <w:t xml:space="preserve"> </w:t>
      </w:r>
      <w:r>
        <w:t xml:space="preserve">available through the CAISO </w:t>
      </w:r>
      <w:r w:rsidR="00F73DA7">
        <w:t>website</w:t>
      </w:r>
      <w:r>
        <w:t>.</w:t>
      </w:r>
    </w:p>
    <w:p w14:paraId="3B5C56F6" w14:textId="22F50176" w:rsidR="005E1887" w:rsidRDefault="005E1887" w:rsidP="006F6DD6">
      <w:pPr>
        <w:pStyle w:val="ParaText"/>
      </w:pPr>
      <w:r>
        <w:t>The OCO uses an electronic</w:t>
      </w:r>
      <w:r w:rsidR="001E6C27">
        <w:t xml:space="preserve"> </w:t>
      </w:r>
      <w:r w:rsidR="00B53E8D">
        <w:t xml:space="preserve">CAISO </w:t>
      </w:r>
      <w:r w:rsidR="00B53E8D" w:rsidRPr="00F51FA9">
        <w:t>outage management system</w:t>
      </w:r>
      <w:r w:rsidR="00B53E8D">
        <w:t xml:space="preserve"> </w:t>
      </w:r>
      <w:r>
        <w:t>app</w:t>
      </w:r>
      <w:r w:rsidR="000B5108">
        <w:t>lication to support the receipt and</w:t>
      </w:r>
      <w:r>
        <w:t xml:space="preserve"> processing</w:t>
      </w:r>
      <w:r w:rsidR="00E720E1">
        <w:t xml:space="preserve"> </w:t>
      </w:r>
      <w:r>
        <w:t>for new</w:t>
      </w:r>
      <w:r w:rsidR="005F24C1">
        <w:t xml:space="preserve"> WEIM </w:t>
      </w:r>
      <w:r w:rsidR="009B5EA4">
        <w:t>approved</w:t>
      </w:r>
      <w:r>
        <w:t xml:space="preserve"> Outages</w:t>
      </w:r>
      <w:r w:rsidR="000B5108">
        <w:t>,</w:t>
      </w:r>
      <w:r>
        <w:t xml:space="preserve"> </w:t>
      </w:r>
      <w:r w:rsidR="008B53E8">
        <w:t>as well as updates to existing O</w:t>
      </w:r>
      <w:r>
        <w:t>utages. The ele</w:t>
      </w:r>
      <w:r w:rsidR="005A7A13">
        <w:t xml:space="preserve">ctronic application used by </w:t>
      </w:r>
      <w:r>
        <w:t>CAISO for Outage Management is referenced throughout this section of the BPM.</w:t>
      </w:r>
      <w:r w:rsidR="00AC21ED">
        <w:t xml:space="preserve"> CAISO does not approve outages in the</w:t>
      </w:r>
      <w:r w:rsidR="005F24C1">
        <w:t xml:space="preserve"> WEIM </w:t>
      </w:r>
      <w:r w:rsidR="00AC21ED">
        <w:t>Entity areas as they retain the BAA functions for reliability.</w:t>
      </w:r>
    </w:p>
    <w:p w14:paraId="6080FBCC" w14:textId="0C73D181" w:rsidR="00F82281" w:rsidRDefault="005E1887" w:rsidP="00B46B90">
      <w:pPr>
        <w:pStyle w:val="ParaText"/>
      </w:pPr>
      <w:r>
        <w:t>The type</w:t>
      </w:r>
      <w:r w:rsidR="00725D1A">
        <w:t>s</w:t>
      </w:r>
      <w:r>
        <w:t xml:space="preserve"> of scheduled</w:t>
      </w:r>
      <w:r w:rsidR="005F24C1">
        <w:t xml:space="preserve"> WEIM </w:t>
      </w:r>
      <w:r w:rsidR="002D59D5">
        <w:t>E</w:t>
      </w:r>
      <w:r w:rsidR="00F73DA7">
        <w:t>ntity</w:t>
      </w:r>
      <w:r w:rsidR="00C80B72">
        <w:t xml:space="preserve"> approved</w:t>
      </w:r>
      <w:r w:rsidR="00E720E1">
        <w:t xml:space="preserve"> </w:t>
      </w:r>
      <w:r w:rsidR="00B722C6">
        <w:t>o</w:t>
      </w:r>
      <w:r>
        <w:t>utages</w:t>
      </w:r>
      <w:r w:rsidR="00E720E1">
        <w:t xml:space="preserve"> that</w:t>
      </w:r>
      <w:r w:rsidR="00C80B72" w:rsidRPr="00B46B90">
        <w:t xml:space="preserve"> </w:t>
      </w:r>
      <w:r w:rsidR="00C80B72">
        <w:t>are</w:t>
      </w:r>
      <w:r w:rsidR="00725D1A">
        <w:t xml:space="preserve"> accepted and </w:t>
      </w:r>
      <w:r w:rsidR="00C80B72">
        <w:t>processed</w:t>
      </w:r>
      <w:r w:rsidR="00725D1A">
        <w:t xml:space="preserve"> by</w:t>
      </w:r>
      <w:r w:rsidR="002D59D5">
        <w:t xml:space="preserve"> the OCO </w:t>
      </w:r>
      <w:r w:rsidR="00B722C6">
        <w:t>o</w:t>
      </w:r>
      <w:r w:rsidR="002D59D5">
        <w:t xml:space="preserve">utage </w:t>
      </w:r>
      <w:r w:rsidR="00B722C6">
        <w:t>m</w:t>
      </w:r>
      <w:r w:rsidR="002D59D5">
        <w:t xml:space="preserve">anagement </w:t>
      </w:r>
      <w:r w:rsidR="00B722C6">
        <w:t>s</w:t>
      </w:r>
      <w:r>
        <w:t>ystem</w:t>
      </w:r>
      <w:r w:rsidR="00725D1A">
        <w:t xml:space="preserve"> are as follows</w:t>
      </w:r>
      <w:r w:rsidR="00E720E1">
        <w:t xml:space="preserve"> (not an exhaustive list):</w:t>
      </w:r>
      <w:r w:rsidR="00121D83">
        <w:t xml:space="preserve">  </w:t>
      </w:r>
    </w:p>
    <w:p w14:paraId="4F48B88B" w14:textId="77777777" w:rsidR="005E1887" w:rsidRPr="005E1887" w:rsidRDefault="005E1887" w:rsidP="00B851D4">
      <w:pPr>
        <w:pStyle w:val="ParaText"/>
        <w:numPr>
          <w:ilvl w:val="0"/>
          <w:numId w:val="17"/>
        </w:numPr>
        <w:spacing w:after="160" w:line="259" w:lineRule="auto"/>
      </w:pPr>
      <w:r w:rsidRPr="005E1887">
        <w:t>Balancing A</w:t>
      </w:r>
      <w:r>
        <w:t>uthority Area Interconnections w</w:t>
      </w:r>
      <w:r w:rsidRPr="005E1887">
        <w:t>ork</w:t>
      </w:r>
      <w:r>
        <w:t>:</w:t>
      </w:r>
    </w:p>
    <w:p w14:paraId="33DC9ADE" w14:textId="77777777" w:rsidR="005E1887" w:rsidRPr="005E1887" w:rsidRDefault="002D59D5" w:rsidP="00B851D4">
      <w:pPr>
        <w:pStyle w:val="ParaText"/>
        <w:numPr>
          <w:ilvl w:val="1"/>
          <w:numId w:val="17"/>
        </w:numPr>
        <w:spacing w:after="160" w:line="259" w:lineRule="auto"/>
        <w:rPr>
          <w:b/>
        </w:rPr>
      </w:pPr>
      <w:r>
        <w:t>All O</w:t>
      </w:r>
      <w:r w:rsidR="005E1887">
        <w:t>utages that affect interconnected systems will be coordinated between Interconnected Transmission Operators</w:t>
      </w:r>
      <w:r w:rsidR="00E720E1">
        <w:t>.</w:t>
      </w:r>
      <w:r w:rsidR="005E1887">
        <w:t xml:space="preserve">  </w:t>
      </w:r>
    </w:p>
    <w:p w14:paraId="312DFF7B" w14:textId="6EAD1653" w:rsidR="005E1887" w:rsidRPr="005E1887" w:rsidRDefault="005E1887" w:rsidP="00B851D4">
      <w:pPr>
        <w:pStyle w:val="ParaText"/>
        <w:numPr>
          <w:ilvl w:val="0"/>
          <w:numId w:val="17"/>
        </w:numPr>
        <w:spacing w:after="160" w:line="259" w:lineRule="auto"/>
        <w:rPr>
          <w:b/>
        </w:rPr>
      </w:pPr>
      <w:r>
        <w:lastRenderedPageBreak/>
        <w:t>All work on facilities forming the</w:t>
      </w:r>
      <w:r w:rsidR="005F24C1">
        <w:t xml:space="preserve"> WEIM </w:t>
      </w:r>
      <w:r>
        <w:t xml:space="preserve">Entity Controlled Grid, including associated </w:t>
      </w:r>
      <w:r w:rsidR="000D2E43">
        <w:t>control or protective equipment:</w:t>
      </w:r>
    </w:p>
    <w:p w14:paraId="4CAEDA70" w14:textId="7189A5E0" w:rsidR="005E1887" w:rsidRPr="000D2E43" w:rsidRDefault="002D59D5" w:rsidP="00B851D4">
      <w:pPr>
        <w:pStyle w:val="ParaText"/>
        <w:numPr>
          <w:ilvl w:val="1"/>
          <w:numId w:val="17"/>
        </w:numPr>
        <w:spacing w:after="160" w:line="259" w:lineRule="auto"/>
        <w:rPr>
          <w:b/>
        </w:rPr>
      </w:pPr>
      <w:r>
        <w:t>This refers to all O</w:t>
      </w:r>
      <w:r w:rsidR="005E1887">
        <w:t>utages affecting</w:t>
      </w:r>
      <w:r w:rsidR="005F24C1">
        <w:t xml:space="preserve"> WEIM </w:t>
      </w:r>
      <w:r w:rsidR="005E1887">
        <w:t xml:space="preserve">Entity equipment and Generators with </w:t>
      </w:r>
      <w:r w:rsidR="00153940">
        <w:t>a WEIM</w:t>
      </w:r>
      <w:r w:rsidR="005F24C1">
        <w:t xml:space="preserve"> </w:t>
      </w:r>
      <w:r w:rsidR="00220498">
        <w:t>P</w:t>
      </w:r>
      <w:r w:rsidR="005E1887">
        <w:t xml:space="preserve">articipating </w:t>
      </w:r>
      <w:r w:rsidR="00220498">
        <w:t>R</w:t>
      </w:r>
      <w:r w:rsidR="00DE0D6C">
        <w:t>esource</w:t>
      </w:r>
      <w:r w:rsidR="005E1887">
        <w:t xml:space="preserve"> agreement.  </w:t>
      </w:r>
    </w:p>
    <w:p w14:paraId="6AFEE2D6" w14:textId="734AFDA2" w:rsidR="000D2E43" w:rsidRPr="000D2E43" w:rsidRDefault="000D2E43" w:rsidP="00B851D4">
      <w:pPr>
        <w:pStyle w:val="ParaText"/>
        <w:numPr>
          <w:ilvl w:val="0"/>
          <w:numId w:val="17"/>
        </w:numPr>
        <w:spacing w:after="160" w:line="259" w:lineRule="auto"/>
        <w:rPr>
          <w:b/>
        </w:rPr>
      </w:pPr>
      <w:r>
        <w:t>All reportable Outages or partial curtailments of</w:t>
      </w:r>
      <w:r w:rsidR="005F24C1">
        <w:t xml:space="preserve"> WEIM </w:t>
      </w:r>
      <w:r w:rsidR="00220498">
        <w:t>P</w:t>
      </w:r>
      <w:r>
        <w:t xml:space="preserve">articipating </w:t>
      </w:r>
      <w:r w:rsidR="00755251">
        <w:t>Resources and</w:t>
      </w:r>
      <w:r w:rsidR="00312035">
        <w:t xml:space="preserve"> non-participating resources approved by and </w:t>
      </w:r>
      <w:r w:rsidR="006A101C">
        <w:t>consistent with the outage management procedures of the</w:t>
      </w:r>
      <w:r w:rsidR="005F24C1">
        <w:t xml:space="preserve"> WEIM </w:t>
      </w:r>
      <w:r w:rsidR="006A101C">
        <w:t>Entity.</w:t>
      </w:r>
    </w:p>
    <w:p w14:paraId="4F511803" w14:textId="24A82807" w:rsidR="000D2E43" w:rsidRPr="000D2E43" w:rsidRDefault="000D2E43" w:rsidP="00B851D4">
      <w:pPr>
        <w:pStyle w:val="ParaText"/>
        <w:numPr>
          <w:ilvl w:val="0"/>
          <w:numId w:val="17"/>
        </w:numPr>
        <w:spacing w:after="160" w:line="259" w:lineRule="auto"/>
        <w:rPr>
          <w:b/>
        </w:rPr>
      </w:pPr>
      <w:r>
        <w:t>EMS work that disables any portion of the</w:t>
      </w:r>
      <w:r w:rsidR="005F24C1">
        <w:t xml:space="preserve"> WEIM </w:t>
      </w:r>
      <w:r>
        <w:t>Entity Grid monitoring, control, or protective equipment, including EMS equipment and communication circuits</w:t>
      </w:r>
    </w:p>
    <w:p w14:paraId="7513170F" w14:textId="77777777" w:rsidR="000D2E43" w:rsidRPr="000D2E43" w:rsidRDefault="000D2E43" w:rsidP="00B851D4">
      <w:pPr>
        <w:pStyle w:val="ParaText"/>
        <w:numPr>
          <w:ilvl w:val="0"/>
          <w:numId w:val="17"/>
        </w:numPr>
        <w:spacing w:after="160" w:line="259" w:lineRule="auto"/>
        <w:rPr>
          <w:b/>
        </w:rPr>
      </w:pPr>
      <w:r>
        <w:t>EMS work that affects Generator AGC or RIG equipment or communication circuits</w:t>
      </w:r>
    </w:p>
    <w:p w14:paraId="786890D5" w14:textId="3FD69115" w:rsidR="000D2E43" w:rsidRPr="00B46B90" w:rsidRDefault="000D2E43" w:rsidP="00B851D4">
      <w:pPr>
        <w:pStyle w:val="ParaText"/>
        <w:numPr>
          <w:ilvl w:val="0"/>
          <w:numId w:val="17"/>
        </w:numPr>
        <w:spacing w:after="160" w:line="259" w:lineRule="auto"/>
        <w:rPr>
          <w:b/>
        </w:rPr>
      </w:pPr>
      <w:r>
        <w:t>Interconnections with responsible entities outside the</w:t>
      </w:r>
      <w:r w:rsidR="005F24C1">
        <w:t xml:space="preserve"> WEIM </w:t>
      </w:r>
      <w:r>
        <w:t>Entity Balancing Authority Area</w:t>
      </w:r>
    </w:p>
    <w:p w14:paraId="5E893B48" w14:textId="77777777" w:rsidR="005E1887" w:rsidRPr="002C27BC" w:rsidRDefault="003A573C" w:rsidP="00B46B90">
      <w:pPr>
        <w:pStyle w:val="Heading2"/>
      </w:pPr>
      <w:bookmarkStart w:id="97" w:name="_Toc390946268"/>
      <w:bookmarkStart w:id="98" w:name="_Toc391969829"/>
      <w:bookmarkStart w:id="99" w:name="_Toc229054475"/>
      <w:r>
        <w:t>Requesting Maintenance Outages</w:t>
      </w:r>
      <w:bookmarkStart w:id="100" w:name="_Toc390267983"/>
      <w:bookmarkStart w:id="101" w:name="_Toc390268114"/>
      <w:bookmarkStart w:id="102" w:name="_Toc390352472"/>
      <w:bookmarkStart w:id="103" w:name="_Toc390353449"/>
      <w:bookmarkEnd w:id="97"/>
      <w:bookmarkEnd w:id="98"/>
      <w:bookmarkEnd w:id="100"/>
      <w:bookmarkEnd w:id="101"/>
      <w:bookmarkEnd w:id="102"/>
      <w:bookmarkEnd w:id="103"/>
      <w:bookmarkEnd w:id="99"/>
    </w:p>
    <w:p w14:paraId="51B41564" w14:textId="77777777" w:rsidR="00246BB9" w:rsidRPr="00F1046E" w:rsidRDefault="002C27BC" w:rsidP="00E84217">
      <w:pPr>
        <w:pStyle w:val="ParaText"/>
      </w:pPr>
      <w:r>
        <w:t xml:space="preserve">For additional information, see </w:t>
      </w:r>
      <w:hyperlink r:id="rId63" w:history="1">
        <w:r w:rsidRPr="00F1046E">
          <w:rPr>
            <w:rStyle w:val="Hyperlink"/>
          </w:rPr>
          <w:t xml:space="preserve">Tariff Section </w:t>
        </w:r>
        <w:r w:rsidR="00C16580" w:rsidRPr="00F1046E">
          <w:rPr>
            <w:rStyle w:val="Hyperlink"/>
          </w:rPr>
          <w:t>29.9</w:t>
        </w:r>
        <w:r w:rsidRPr="00F1046E">
          <w:rPr>
            <w:rStyle w:val="Hyperlink"/>
          </w:rPr>
          <w:t xml:space="preserve"> </w:t>
        </w:r>
        <w:r w:rsidR="00246BB9" w:rsidRPr="00F1046E">
          <w:rPr>
            <w:rStyle w:val="Hyperlink"/>
            <w:i/>
          </w:rPr>
          <w:t>Coordination of Outages and Maintenance</w:t>
        </w:r>
      </w:hyperlink>
      <w:r w:rsidRPr="00F1046E">
        <w:rPr>
          <w:i/>
        </w:rPr>
        <w:t>.</w:t>
      </w:r>
      <w:r w:rsidR="00246BB9" w:rsidRPr="00F1046E">
        <w:t xml:space="preserve"> </w:t>
      </w:r>
    </w:p>
    <w:p w14:paraId="04A58E2D" w14:textId="0755E8E2" w:rsidR="00F21F40" w:rsidRDefault="00F21F40" w:rsidP="00F21F40">
      <w:pPr>
        <w:pStyle w:val="Heading3"/>
        <w:spacing w:line="300" w:lineRule="auto"/>
      </w:pPr>
      <w:bookmarkStart w:id="104" w:name="_Toc390267988"/>
      <w:bookmarkStart w:id="105" w:name="_Toc390268119"/>
      <w:bookmarkStart w:id="106" w:name="_Toc390352477"/>
      <w:bookmarkStart w:id="107" w:name="_Toc390353454"/>
      <w:bookmarkStart w:id="108" w:name="_Toc390355404"/>
      <w:bookmarkStart w:id="109" w:name="_Toc390436068"/>
      <w:bookmarkStart w:id="110" w:name="_Toc390673359"/>
      <w:bookmarkStart w:id="111" w:name="_Toc390689635"/>
      <w:bookmarkStart w:id="112" w:name="_Toc390696639"/>
      <w:bookmarkStart w:id="113" w:name="_Toc390759653"/>
      <w:bookmarkStart w:id="114" w:name="_Toc390764409"/>
      <w:bookmarkStart w:id="115" w:name="_Toc390765934"/>
      <w:bookmarkStart w:id="116" w:name="_Toc390778403"/>
      <w:bookmarkStart w:id="117" w:name="_Toc390779381"/>
      <w:bookmarkStart w:id="118" w:name="_Toc390782194"/>
      <w:bookmarkStart w:id="119" w:name="_Toc390871666"/>
      <w:bookmarkStart w:id="120" w:name="_Toc390871723"/>
      <w:bookmarkStart w:id="121" w:name="_Toc390871780"/>
      <w:bookmarkStart w:id="122" w:name="_Toc390946269"/>
      <w:bookmarkStart w:id="123" w:name="_Toc391969830"/>
      <w:bookmarkStart w:id="124" w:name="_Toc22905447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t xml:space="preserve">EIM Entity </w:t>
      </w:r>
      <w:r w:rsidRPr="00F21F40">
        <w:t>and</w:t>
      </w:r>
      <w:r w:rsidR="005F24C1">
        <w:t xml:space="preserve"> WEIM </w:t>
      </w:r>
      <w:r w:rsidR="00304DFF">
        <w:t xml:space="preserve">Entity </w:t>
      </w:r>
      <w:r>
        <w:t>Scheduling Coordinator</w:t>
      </w:r>
      <w:r w:rsidRPr="00F21F40">
        <w:t xml:space="preserve"> Outage Request Process</w:t>
      </w:r>
      <w:bookmarkEnd w:id="122"/>
      <w:bookmarkEnd w:id="123"/>
      <w:bookmarkEnd w:id="124"/>
    </w:p>
    <w:p w14:paraId="5E4BF697" w14:textId="708E6204" w:rsidR="00246BB9" w:rsidRDefault="00246BB9" w:rsidP="00877DDB">
      <w:pPr>
        <w:spacing w:after="240" w:line="300" w:lineRule="auto"/>
      </w:pPr>
      <w:r w:rsidRPr="00807FB3">
        <w:t>T</w:t>
      </w:r>
      <w:r w:rsidR="00C16580" w:rsidRPr="00807FB3">
        <w:t>he</w:t>
      </w:r>
      <w:r w:rsidR="005F24C1">
        <w:t xml:space="preserve"> WEIM </w:t>
      </w:r>
      <w:r w:rsidR="00C16580" w:rsidRPr="00807FB3">
        <w:t>Entity Scheduling Coordinator shall submit notice of</w:t>
      </w:r>
      <w:r w:rsidR="0032275C" w:rsidRPr="00807FB3">
        <w:t xml:space="preserve"> approved</w:t>
      </w:r>
      <w:r w:rsidR="00C16580" w:rsidRPr="00807FB3">
        <w:t xml:space="preserve"> transmission and generation </w:t>
      </w:r>
      <w:r w:rsidR="002D59D5">
        <w:t>O</w:t>
      </w:r>
      <w:r w:rsidR="00C16580" w:rsidRPr="00807FB3">
        <w:t>utages</w:t>
      </w:r>
      <w:r w:rsidR="0032275C" w:rsidRPr="00807FB3">
        <w:t xml:space="preserve"> or rev</w:t>
      </w:r>
      <w:r w:rsidR="002D59D5">
        <w:t>isions to approved maintenance O</w:t>
      </w:r>
      <w:r w:rsidR="0032275C" w:rsidRPr="00807FB3">
        <w:t>utages</w:t>
      </w:r>
      <w:r w:rsidR="00AB3A96">
        <w:t xml:space="preserve"> to </w:t>
      </w:r>
      <w:r w:rsidR="00C16580" w:rsidRPr="00021E09">
        <w:t>CAISO</w:t>
      </w:r>
      <w:r w:rsidR="00C16580">
        <w:t>.</w:t>
      </w:r>
    </w:p>
    <w:p w14:paraId="233FD912" w14:textId="77777777" w:rsidR="00376ED9" w:rsidRDefault="00376ED9" w:rsidP="00A51421"/>
    <w:p w14:paraId="637755B0" w14:textId="77777777" w:rsidR="00246BB9" w:rsidRDefault="00F73DA7" w:rsidP="006F6DD6">
      <w:pPr>
        <w:pStyle w:val="Heading4"/>
        <w:spacing w:line="300" w:lineRule="auto"/>
      </w:pPr>
      <w:bookmarkStart w:id="125" w:name="_Toc386182103"/>
      <w:r>
        <w:t>Outage Scheduling</w:t>
      </w:r>
      <w:r w:rsidR="00246BB9">
        <w:t xml:space="preserve"> Requirements</w:t>
      </w:r>
      <w:bookmarkEnd w:id="125"/>
    </w:p>
    <w:p w14:paraId="741F2C15" w14:textId="77777777" w:rsidR="00246BB9" w:rsidRPr="00727CB3" w:rsidRDefault="00246BB9" w:rsidP="008C1485">
      <w:pPr>
        <w:rPr>
          <w:b/>
        </w:rPr>
      </w:pPr>
      <w:r w:rsidRPr="00727CB3">
        <w:rPr>
          <w:b/>
        </w:rPr>
        <w:t>Transmission Outage Scheduling</w:t>
      </w:r>
    </w:p>
    <w:p w14:paraId="6AEB1817" w14:textId="0EFD30D9" w:rsidR="001D0D39" w:rsidRDefault="00246BB9" w:rsidP="006F6DD6">
      <w:pPr>
        <w:pStyle w:val="ParaText"/>
      </w:pPr>
      <w:r>
        <w:t>The</w:t>
      </w:r>
      <w:r w:rsidR="005F24C1">
        <w:t xml:space="preserve"> WEIM </w:t>
      </w:r>
      <w:r>
        <w:t>Entity must submit a new</w:t>
      </w:r>
      <w:r w:rsidR="004B4ED2">
        <w:t xml:space="preserve"> a</w:t>
      </w:r>
      <w:r w:rsidR="00C16580">
        <w:t>pproved</w:t>
      </w:r>
      <w:r>
        <w:t xml:space="preserve"> Maintena</w:t>
      </w:r>
      <w:r w:rsidR="004B4ED2">
        <w:t>nce Outage or a revision to an a</w:t>
      </w:r>
      <w:r>
        <w:t>pproved Maintenance Outage to CA</w:t>
      </w:r>
      <w:r w:rsidR="002D59D5">
        <w:t xml:space="preserve">ISO via the </w:t>
      </w:r>
      <w:r w:rsidR="00B53E8D">
        <w:t xml:space="preserve">CAISO </w:t>
      </w:r>
      <w:r w:rsidR="00B53E8D" w:rsidRPr="00F51FA9">
        <w:t>outage management system</w:t>
      </w:r>
      <w:r>
        <w:t xml:space="preserve"> no later </w:t>
      </w:r>
      <w:r w:rsidR="006930FE">
        <w:t>than seven d</w:t>
      </w:r>
      <w:r>
        <w:t xml:space="preserve">ays prior to the start date of the proposed Outage for Transmission facilities, as specified in </w:t>
      </w:r>
      <w:r w:rsidR="00FB45EB">
        <w:t xml:space="preserve">the </w:t>
      </w:r>
      <w:r>
        <w:t>CAISO Tariff Section 9.3.6.3.1</w:t>
      </w:r>
      <w:r w:rsidR="00807FB3">
        <w:t>,</w:t>
      </w:r>
      <w:r w:rsidR="002D59D5">
        <w:t xml:space="preserve"> for the O</w:t>
      </w:r>
      <w:r>
        <w:t>uta</w:t>
      </w:r>
      <w:r w:rsidR="002D59D5">
        <w:t>ge to be a planned maintenance O</w:t>
      </w:r>
      <w:r>
        <w:t xml:space="preserve">utage. </w:t>
      </w:r>
    </w:p>
    <w:p w14:paraId="58080AF0" w14:textId="77777777" w:rsidR="00246BB9" w:rsidRDefault="00246BB9" w:rsidP="006F6DD6">
      <w:pPr>
        <w:pStyle w:val="ParaText"/>
      </w:pPr>
      <w:r w:rsidRPr="001D0D39">
        <w:rPr>
          <w:rFonts w:cs="Arial"/>
          <w:b/>
        </w:rPr>
        <w:lastRenderedPageBreak/>
        <w:t>Note:</w:t>
      </w:r>
      <w:r>
        <w:rPr>
          <w:rFonts w:cs="Arial"/>
        </w:rPr>
        <w:t xml:space="preserve"> The </w:t>
      </w:r>
      <w:r w:rsidR="006930FE">
        <w:rPr>
          <w:rFonts w:cs="Arial"/>
        </w:rPr>
        <w:t xml:space="preserve">determination of </w:t>
      </w:r>
      <w:r w:rsidR="00FB45EB">
        <w:rPr>
          <w:rFonts w:cs="Arial"/>
        </w:rPr>
        <w:t xml:space="preserve">a </w:t>
      </w:r>
      <w:r w:rsidR="006930FE">
        <w:rPr>
          <w:rFonts w:cs="Arial"/>
        </w:rPr>
        <w:t>seven</w:t>
      </w:r>
      <w:r w:rsidR="00807FB3">
        <w:rPr>
          <w:rFonts w:cs="Arial"/>
        </w:rPr>
        <w:t>-</w:t>
      </w:r>
      <w:r>
        <w:rPr>
          <w:rFonts w:cs="Arial"/>
        </w:rPr>
        <w:t xml:space="preserve">day prior notice excludes the date of submission and the date of the </w:t>
      </w:r>
      <w:r w:rsidR="00807FB3">
        <w:rPr>
          <w:rFonts w:cs="Arial"/>
        </w:rPr>
        <w:t>O</w:t>
      </w:r>
      <w:r w:rsidR="009C0EE3">
        <w:rPr>
          <w:rFonts w:cs="Arial"/>
        </w:rPr>
        <w:t>u</w:t>
      </w:r>
      <w:r w:rsidR="005F0022">
        <w:rPr>
          <w:rFonts w:cs="Arial"/>
        </w:rPr>
        <w:t>t</w:t>
      </w:r>
      <w:r w:rsidR="009C0EE3">
        <w:rPr>
          <w:rFonts w:cs="Arial"/>
        </w:rPr>
        <w:t>age</w:t>
      </w:r>
      <w:r>
        <w:rPr>
          <w:rFonts w:cs="Arial"/>
        </w:rPr>
        <w:t xml:space="preserve">. </w:t>
      </w:r>
      <w:r>
        <w:t xml:space="preserve"> </w:t>
      </w:r>
    </w:p>
    <w:p w14:paraId="47987845" w14:textId="34D6B06E" w:rsidR="00246BB9" w:rsidRDefault="00C26CE0" w:rsidP="006F6DD6">
      <w:pPr>
        <w:pStyle w:val="ParaText"/>
      </w:pPr>
      <w:r>
        <w:t xml:space="preserve">Notification by </w:t>
      </w:r>
      <w:r w:rsidR="00807FB3">
        <w:t>the</w:t>
      </w:r>
      <w:r w:rsidR="005F24C1">
        <w:t xml:space="preserve"> WEIM </w:t>
      </w:r>
      <w:r w:rsidR="00F73DA7">
        <w:t>Entity</w:t>
      </w:r>
      <w:r w:rsidR="004B4ED2">
        <w:t xml:space="preserve"> Scheduling Coordinator of a</w:t>
      </w:r>
      <w:r>
        <w:t>pproved Transmission Outage</w:t>
      </w:r>
      <w:r w:rsidR="00246BB9">
        <w:t xml:space="preserve"> must specify the following:</w:t>
      </w:r>
    </w:p>
    <w:p w14:paraId="3F4ADC2A" w14:textId="77777777" w:rsidR="00246BB9" w:rsidRDefault="00246BB9" w:rsidP="00B851D4">
      <w:pPr>
        <w:pStyle w:val="ParaText"/>
        <w:numPr>
          <w:ilvl w:val="0"/>
          <w:numId w:val="18"/>
        </w:numPr>
        <w:spacing w:after="160" w:line="259" w:lineRule="auto"/>
      </w:pPr>
      <w:r>
        <w:t>Identification and location of the transmission system element(s) to be maintained</w:t>
      </w:r>
    </w:p>
    <w:p w14:paraId="35ECFCB8" w14:textId="77777777" w:rsidR="00246BB9" w:rsidRDefault="00246BB9" w:rsidP="00B851D4">
      <w:pPr>
        <w:pStyle w:val="ParaText"/>
        <w:numPr>
          <w:ilvl w:val="0"/>
          <w:numId w:val="18"/>
        </w:numPr>
        <w:spacing w:after="160" w:line="259" w:lineRule="auto"/>
      </w:pPr>
      <w:r>
        <w:t>Nature of the maintenance to be performed</w:t>
      </w:r>
    </w:p>
    <w:p w14:paraId="5FA7E0EE" w14:textId="77777777" w:rsidR="00246BB9" w:rsidRPr="006930FE" w:rsidRDefault="0008639E" w:rsidP="00B851D4">
      <w:pPr>
        <w:pStyle w:val="ParaText"/>
        <w:numPr>
          <w:ilvl w:val="0"/>
          <w:numId w:val="18"/>
        </w:numPr>
        <w:spacing w:after="160" w:line="259" w:lineRule="auto"/>
      </w:pPr>
      <w:r>
        <w:rPr>
          <w:rFonts w:cs="Arial"/>
        </w:rPr>
        <w:t>Modeled</w:t>
      </w:r>
      <w:r w:rsidR="008B53E8">
        <w:rPr>
          <w:rFonts w:cs="Arial"/>
        </w:rPr>
        <w:t xml:space="preserve"> system O</w:t>
      </w:r>
      <w:r w:rsidR="00246BB9">
        <w:rPr>
          <w:rFonts w:cs="Arial"/>
        </w:rPr>
        <w:t xml:space="preserve">utage boundaries to </w:t>
      </w:r>
      <w:r w:rsidR="008B53E8">
        <w:rPr>
          <w:rFonts w:cs="Arial"/>
        </w:rPr>
        <w:t>facilitate the equipment O</w:t>
      </w:r>
      <w:r w:rsidR="006930FE">
        <w:rPr>
          <w:rFonts w:cs="Arial"/>
        </w:rPr>
        <w:t>utage</w:t>
      </w:r>
    </w:p>
    <w:p w14:paraId="466CEC3E" w14:textId="77777777" w:rsidR="00246BB9" w:rsidRDefault="00246BB9" w:rsidP="00B851D4">
      <w:pPr>
        <w:pStyle w:val="ParaText"/>
        <w:numPr>
          <w:ilvl w:val="0"/>
          <w:numId w:val="18"/>
        </w:numPr>
        <w:spacing w:after="160" w:line="259" w:lineRule="auto"/>
      </w:pPr>
      <w:r>
        <w:t>Date and time the Maintenance Outage is to begin</w:t>
      </w:r>
    </w:p>
    <w:p w14:paraId="5BAFE1EF" w14:textId="77777777" w:rsidR="00246BB9" w:rsidRDefault="00246BB9" w:rsidP="00B851D4">
      <w:pPr>
        <w:pStyle w:val="ParaText"/>
        <w:numPr>
          <w:ilvl w:val="0"/>
          <w:numId w:val="18"/>
        </w:numPr>
        <w:spacing w:after="160" w:line="259" w:lineRule="auto"/>
      </w:pPr>
      <w:r>
        <w:t>Date and time the Maintenance Outage is to be completed</w:t>
      </w:r>
    </w:p>
    <w:p w14:paraId="057B7EBF" w14:textId="77777777" w:rsidR="00246BB9" w:rsidRPr="00BA2E6E" w:rsidRDefault="00D06F42" w:rsidP="00B851D4">
      <w:pPr>
        <w:pStyle w:val="ParaText"/>
        <w:numPr>
          <w:ilvl w:val="0"/>
          <w:numId w:val="18"/>
        </w:numPr>
        <w:spacing w:after="160" w:line="259" w:lineRule="auto"/>
      </w:pPr>
      <w:r>
        <w:t xml:space="preserve">Emergency Return Time – </w:t>
      </w:r>
      <w:r w:rsidR="00807FB3">
        <w:t>T</w:t>
      </w:r>
      <w:r>
        <w:t xml:space="preserve">he </w:t>
      </w:r>
      <w:r w:rsidR="009C0EE3">
        <w:t>time</w:t>
      </w:r>
      <w:r w:rsidR="00246BB9">
        <w:t xml:space="preserve"> required to terminate the maintenance and restore the transmission system to normal operation</w:t>
      </w:r>
      <w:r w:rsidR="00725D1A">
        <w:t>, if necessary</w:t>
      </w:r>
    </w:p>
    <w:p w14:paraId="6DBA0E98" w14:textId="77777777" w:rsidR="00246BB9" w:rsidRPr="005F0022" w:rsidRDefault="00246BB9" w:rsidP="005F0022">
      <w:pPr>
        <w:rPr>
          <w:b/>
        </w:rPr>
      </w:pPr>
      <w:r w:rsidRPr="005F0022">
        <w:rPr>
          <w:b/>
        </w:rPr>
        <w:t>Generation Outage S</w:t>
      </w:r>
      <w:r w:rsidR="004E5E7A">
        <w:rPr>
          <w:b/>
        </w:rPr>
        <w:t>ubmission</w:t>
      </w:r>
    </w:p>
    <w:p w14:paraId="15CED9AD" w14:textId="08A95809" w:rsidR="00376ED9" w:rsidRDefault="00246BB9" w:rsidP="00480065">
      <w:pPr>
        <w:pStyle w:val="ParaText"/>
      </w:pPr>
      <w:r>
        <w:t>The</w:t>
      </w:r>
      <w:r w:rsidR="005F24C1">
        <w:t xml:space="preserve"> WEIM </w:t>
      </w:r>
      <w:r>
        <w:t>Entity or</w:t>
      </w:r>
      <w:r w:rsidR="005F24C1">
        <w:t xml:space="preserve"> WEIM </w:t>
      </w:r>
      <w:r w:rsidR="002556CA">
        <w:t xml:space="preserve">Entity </w:t>
      </w:r>
      <w:r>
        <w:t>Scheduling Coordinator must submit a new</w:t>
      </w:r>
      <w:r w:rsidR="004B4ED2">
        <w:t xml:space="preserve"> a</w:t>
      </w:r>
      <w:r w:rsidR="0008639E">
        <w:t>pproved</w:t>
      </w:r>
      <w:r>
        <w:t xml:space="preserve"> Maintena</w:t>
      </w:r>
      <w:r w:rsidR="004B4ED2">
        <w:t>nce Outage or a revision to an a</w:t>
      </w:r>
      <w:r>
        <w:t>pproved Maint</w:t>
      </w:r>
      <w:r w:rsidR="008B53E8">
        <w:t xml:space="preserve">enance Outage to CAISO via the </w:t>
      </w:r>
      <w:r w:rsidR="00B53E8D">
        <w:t xml:space="preserve">CAISO </w:t>
      </w:r>
      <w:r w:rsidR="00B53E8D" w:rsidRPr="00F51FA9">
        <w:t>outage management system</w:t>
      </w:r>
      <w:r w:rsidR="006930FE">
        <w:t xml:space="preserve"> no later than seven d</w:t>
      </w:r>
      <w:r>
        <w:t>ays prior to the start date of the proposed Outage as sp</w:t>
      </w:r>
      <w:r w:rsidR="00AB3A96">
        <w:t xml:space="preserve">ecified in CAISO Tariff Section </w:t>
      </w:r>
      <w:r>
        <w:t>9.3.6.3.1</w:t>
      </w:r>
      <w:r w:rsidR="00807FB3">
        <w:t xml:space="preserve"> in order</w:t>
      </w:r>
      <w:r w:rsidR="008B53E8">
        <w:t xml:space="preserve"> for the O</w:t>
      </w:r>
      <w:r>
        <w:t>uta</w:t>
      </w:r>
      <w:r w:rsidR="000D1AA1">
        <w:t>ge to be a planned M</w:t>
      </w:r>
      <w:r w:rsidR="008B53E8">
        <w:t>aintenance O</w:t>
      </w:r>
      <w:r>
        <w:t xml:space="preserve">utage. </w:t>
      </w:r>
    </w:p>
    <w:p w14:paraId="3B819073" w14:textId="77777777" w:rsidR="00BA2E6E" w:rsidRPr="00BA2E6E" w:rsidRDefault="00246BB9" w:rsidP="00480065">
      <w:pPr>
        <w:pStyle w:val="ParaText"/>
      </w:pPr>
      <w:r w:rsidRPr="00376ED9">
        <w:rPr>
          <w:rFonts w:cs="Arial"/>
          <w:b/>
        </w:rPr>
        <w:t>Note:</w:t>
      </w:r>
      <w:r>
        <w:rPr>
          <w:rFonts w:cs="Arial"/>
        </w:rPr>
        <w:t xml:space="preserve"> The determination of seven</w:t>
      </w:r>
      <w:r w:rsidR="00807FB3">
        <w:rPr>
          <w:rFonts w:cs="Arial"/>
        </w:rPr>
        <w:t>-</w:t>
      </w:r>
      <w:r>
        <w:rPr>
          <w:rFonts w:cs="Arial"/>
        </w:rPr>
        <w:t xml:space="preserve">day prior notice excludes the date of </w:t>
      </w:r>
      <w:r w:rsidR="008B53E8">
        <w:rPr>
          <w:rFonts w:cs="Arial"/>
        </w:rPr>
        <w:t>submission and the date of the O</w:t>
      </w:r>
      <w:r>
        <w:rPr>
          <w:rFonts w:cs="Arial"/>
        </w:rPr>
        <w:t xml:space="preserve">utage. </w:t>
      </w:r>
      <w:r>
        <w:t xml:space="preserve"> </w:t>
      </w:r>
    </w:p>
    <w:p w14:paraId="748F5401" w14:textId="77777777" w:rsidR="00246BB9" w:rsidRDefault="00246BB9" w:rsidP="006F6DD6">
      <w:pPr>
        <w:pStyle w:val="ParaText"/>
      </w:pPr>
      <w:r>
        <w:t>For Generators</w:t>
      </w:r>
      <w:r w:rsidR="002C27BC">
        <w:t>,</w:t>
      </w:r>
      <w:r>
        <w:t xml:space="preserve"> </w:t>
      </w:r>
      <w:r w:rsidR="00BD4BC7">
        <w:t xml:space="preserve">a </w:t>
      </w:r>
      <w:r>
        <w:t xml:space="preserve">request for an Outage must specify the following: </w:t>
      </w:r>
    </w:p>
    <w:p w14:paraId="3996AE76" w14:textId="77777777" w:rsidR="00246BB9" w:rsidRDefault="00246BB9" w:rsidP="00E80005">
      <w:pPr>
        <w:pStyle w:val="ParaText"/>
        <w:numPr>
          <w:ilvl w:val="0"/>
          <w:numId w:val="19"/>
        </w:numPr>
        <w:spacing w:after="160" w:line="259" w:lineRule="auto"/>
      </w:pPr>
      <w:r>
        <w:t>Generating Unit or System Unit name and Location Code</w:t>
      </w:r>
    </w:p>
    <w:p w14:paraId="64AFC7B2" w14:textId="77777777" w:rsidR="00246BB9" w:rsidRDefault="00246BB9" w:rsidP="00E80005">
      <w:pPr>
        <w:pStyle w:val="ParaText"/>
        <w:numPr>
          <w:ilvl w:val="0"/>
          <w:numId w:val="19"/>
        </w:numPr>
        <w:spacing w:after="160" w:line="259" w:lineRule="auto"/>
      </w:pPr>
      <w:r>
        <w:t>Nature of the maintenance to be performed</w:t>
      </w:r>
    </w:p>
    <w:p w14:paraId="468CE7E8" w14:textId="77777777" w:rsidR="00246BB9" w:rsidRDefault="00246BB9" w:rsidP="00E80005">
      <w:pPr>
        <w:pStyle w:val="ParaText"/>
        <w:numPr>
          <w:ilvl w:val="0"/>
          <w:numId w:val="19"/>
        </w:numPr>
        <w:spacing w:after="160" w:line="259" w:lineRule="auto"/>
      </w:pPr>
      <w:r>
        <w:t>Date and time the Outage is to begin</w:t>
      </w:r>
    </w:p>
    <w:p w14:paraId="26A98CDE" w14:textId="77777777" w:rsidR="00246BB9" w:rsidRDefault="00246BB9" w:rsidP="00E80005">
      <w:pPr>
        <w:pStyle w:val="ParaText"/>
        <w:numPr>
          <w:ilvl w:val="0"/>
          <w:numId w:val="19"/>
        </w:numPr>
        <w:spacing w:after="160" w:line="259" w:lineRule="auto"/>
      </w:pPr>
      <w:r>
        <w:t>Date and time the Outage is to be completed</w:t>
      </w:r>
    </w:p>
    <w:p w14:paraId="518DF577" w14:textId="77777777" w:rsidR="00246BB9" w:rsidRDefault="00D06F42" w:rsidP="00E80005">
      <w:pPr>
        <w:pStyle w:val="ParaText"/>
        <w:numPr>
          <w:ilvl w:val="0"/>
          <w:numId w:val="19"/>
        </w:numPr>
        <w:spacing w:after="160" w:line="259" w:lineRule="auto"/>
      </w:pPr>
      <w:r>
        <w:t xml:space="preserve">Emergency Return Time – </w:t>
      </w:r>
      <w:r w:rsidR="00807FB3">
        <w:t>T</w:t>
      </w:r>
      <w:r>
        <w:t>he t</w:t>
      </w:r>
      <w:r w:rsidR="00246BB9">
        <w:t xml:space="preserve">ime required to terminate the </w:t>
      </w:r>
      <w:r w:rsidR="00AB3A96">
        <w:t>O</w:t>
      </w:r>
      <w:r w:rsidR="00246BB9">
        <w:t>utage and restore the Generating Unit to normal capacity</w:t>
      </w:r>
      <w:r w:rsidR="00BD4BC7">
        <w:t>, if necessary</w:t>
      </w:r>
    </w:p>
    <w:p w14:paraId="4E0EC7BF" w14:textId="77777777" w:rsidR="00246BB9" w:rsidRDefault="00246BB9" w:rsidP="006F6DD6">
      <w:pPr>
        <w:pStyle w:val="Heading3"/>
        <w:spacing w:line="300" w:lineRule="auto"/>
      </w:pPr>
      <w:bookmarkStart w:id="126" w:name="_Toc386180504"/>
      <w:bookmarkStart w:id="127" w:name="_Toc386181197"/>
      <w:bookmarkStart w:id="128" w:name="_Toc386180505"/>
      <w:bookmarkStart w:id="129" w:name="_Toc386181198"/>
      <w:bookmarkStart w:id="130" w:name="_Toc386182105"/>
      <w:bookmarkStart w:id="131" w:name="_Toc389662586"/>
      <w:bookmarkStart w:id="132" w:name="_Toc390946270"/>
      <w:bookmarkStart w:id="133" w:name="_Toc391969831"/>
      <w:bookmarkStart w:id="134" w:name="_Toc229054477"/>
      <w:bookmarkEnd w:id="126"/>
      <w:bookmarkEnd w:id="127"/>
      <w:bookmarkEnd w:id="128"/>
      <w:bookmarkEnd w:id="129"/>
      <w:r>
        <w:lastRenderedPageBreak/>
        <w:t>Generation Resource Start</w:t>
      </w:r>
      <w:r w:rsidR="00807FB3">
        <w:t>-</w:t>
      </w:r>
      <w:r>
        <w:t>Up Time</w:t>
      </w:r>
      <w:bookmarkEnd w:id="130"/>
      <w:bookmarkEnd w:id="131"/>
      <w:bookmarkEnd w:id="132"/>
      <w:bookmarkEnd w:id="133"/>
      <w:bookmarkEnd w:id="134"/>
    </w:p>
    <w:p w14:paraId="2811CB59" w14:textId="016414C5" w:rsidR="00246BB9" w:rsidRPr="002C27BC" w:rsidRDefault="00246BB9" w:rsidP="00B06DE4">
      <w:pPr>
        <w:pStyle w:val="ParaText"/>
      </w:pPr>
      <w:r>
        <w:t>Generation Maintenance Outages should not include start</w:t>
      </w:r>
      <w:r w:rsidR="00807FB3">
        <w:t>-</w:t>
      </w:r>
      <w:r>
        <w:t>up time. Each generator’s start</w:t>
      </w:r>
      <w:r w:rsidR="00807FB3">
        <w:t>-</w:t>
      </w:r>
      <w:r>
        <w:t>up time is documented in the Master File and is considered to begin once the generator has been called on by the</w:t>
      </w:r>
      <w:r w:rsidR="005F24C1">
        <w:t xml:space="preserve"> WEIM </w:t>
      </w:r>
      <w:r w:rsidR="00F73DA7">
        <w:t>Entity</w:t>
      </w:r>
      <w:r>
        <w:t xml:space="preserve"> or for a scheduled start up. </w:t>
      </w:r>
    </w:p>
    <w:p w14:paraId="4DB2CA75" w14:textId="77777777" w:rsidR="00246BB9" w:rsidRDefault="00246BB9" w:rsidP="006F6DD6">
      <w:pPr>
        <w:pStyle w:val="Heading3"/>
        <w:spacing w:line="300" w:lineRule="auto"/>
      </w:pPr>
      <w:bookmarkStart w:id="135" w:name="_Toc386182106"/>
      <w:bookmarkStart w:id="136" w:name="_Toc389662587"/>
      <w:bookmarkStart w:id="137" w:name="_Toc390946271"/>
      <w:bookmarkStart w:id="138" w:name="_Toc391969832"/>
      <w:bookmarkStart w:id="139" w:name="_Toc229054478"/>
      <w:r>
        <w:t xml:space="preserve">Confirmation </w:t>
      </w:r>
      <w:r w:rsidR="003C4D17">
        <w:t xml:space="preserve">and Acknowledgement </w:t>
      </w:r>
      <w:r>
        <w:t>of Receipt of Outage Request</w:t>
      </w:r>
      <w:bookmarkEnd w:id="135"/>
      <w:bookmarkEnd w:id="136"/>
      <w:bookmarkEnd w:id="137"/>
      <w:bookmarkEnd w:id="138"/>
      <w:bookmarkEnd w:id="139"/>
      <w:r>
        <w:t xml:space="preserve"> </w:t>
      </w:r>
    </w:p>
    <w:p w14:paraId="5F0DBC06" w14:textId="38E5DD9D" w:rsidR="00246BB9" w:rsidRPr="002D59D5" w:rsidRDefault="00B53E8D" w:rsidP="002D59D5">
      <w:pPr>
        <w:spacing w:after="240" w:line="300" w:lineRule="auto"/>
      </w:pPr>
      <w:bookmarkStart w:id="140" w:name="_Toc386180508"/>
      <w:bookmarkStart w:id="141" w:name="_Toc386181201"/>
      <w:bookmarkStart w:id="142" w:name="_Toc386180509"/>
      <w:bookmarkStart w:id="143" w:name="_Toc386181202"/>
      <w:bookmarkStart w:id="144" w:name="_Toc386180510"/>
      <w:bookmarkStart w:id="145" w:name="_Toc386181203"/>
      <w:bookmarkStart w:id="146" w:name="_Toc386180511"/>
      <w:bookmarkStart w:id="147" w:name="_Toc386181204"/>
      <w:bookmarkStart w:id="148" w:name="_Toc386180512"/>
      <w:bookmarkStart w:id="149" w:name="_Toc386181205"/>
      <w:bookmarkStart w:id="150" w:name="_Toc386180513"/>
      <w:bookmarkStart w:id="151" w:name="_Toc386181206"/>
      <w:bookmarkStart w:id="152" w:name="_Toc386180514"/>
      <w:bookmarkStart w:id="153" w:name="_Toc386181207"/>
      <w:bookmarkStart w:id="154" w:name="_Toc386180515"/>
      <w:bookmarkStart w:id="155" w:name="_Toc386181208"/>
      <w:bookmarkStart w:id="156" w:name="_Toc386180516"/>
      <w:bookmarkStart w:id="157" w:name="_Toc386181209"/>
      <w:bookmarkStart w:id="158" w:name="_Toc386180517"/>
      <w:bookmarkStart w:id="159" w:name="_Toc386181210"/>
      <w:bookmarkStart w:id="160" w:name="_Toc386180518"/>
      <w:bookmarkStart w:id="161" w:name="_Toc386181211"/>
      <w:bookmarkStart w:id="162" w:name="_Toc386180519"/>
      <w:bookmarkStart w:id="163" w:name="_Toc386181212"/>
      <w:bookmarkStart w:id="164" w:name="_Toc386180520"/>
      <w:bookmarkStart w:id="165" w:name="_Toc386181213"/>
      <w:bookmarkStart w:id="166" w:name="_Toc386180521"/>
      <w:bookmarkStart w:id="167" w:name="_Toc386181214"/>
      <w:bookmarkStart w:id="168" w:name="_Toc386180522"/>
      <w:bookmarkStart w:id="169" w:name="_Toc386181215"/>
      <w:bookmarkStart w:id="170" w:name="_Toc386180523"/>
      <w:bookmarkStart w:id="171" w:name="_Toc386181216"/>
      <w:bookmarkStart w:id="172" w:name="_Toc386180524"/>
      <w:bookmarkStart w:id="173" w:name="_Toc38618121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t xml:space="preserve">CAISO </w:t>
      </w:r>
      <w:r w:rsidRPr="00F51FA9">
        <w:t>outage management system</w:t>
      </w:r>
      <w:r w:rsidR="002D59D5">
        <w:t xml:space="preserve"> acknowledges receipt of each new</w:t>
      </w:r>
      <w:r w:rsidR="005F24C1">
        <w:t xml:space="preserve"> WEIM </w:t>
      </w:r>
      <w:r w:rsidR="002D59D5">
        <w:t xml:space="preserve">Entity approved Outage request. </w:t>
      </w:r>
      <w:r w:rsidR="005F24C1">
        <w:t xml:space="preserve"> WEIM </w:t>
      </w:r>
      <w:r w:rsidR="00563036">
        <w:t>E</w:t>
      </w:r>
      <w:r w:rsidR="00246BB9">
        <w:t>ntity and</w:t>
      </w:r>
      <w:r w:rsidR="005F24C1">
        <w:t xml:space="preserve"> WEIM </w:t>
      </w:r>
      <w:r w:rsidR="002556CA">
        <w:t xml:space="preserve">Entity </w:t>
      </w:r>
      <w:r w:rsidR="00246BB9">
        <w:t xml:space="preserve">Scheduling Coordinator </w:t>
      </w:r>
      <w:r w:rsidR="0008639E">
        <w:t>approved</w:t>
      </w:r>
      <w:r w:rsidR="0008639E" w:rsidRPr="005F0022">
        <w:t xml:space="preserve"> </w:t>
      </w:r>
      <w:r w:rsidR="008B53E8">
        <w:t>O</w:t>
      </w:r>
      <w:r w:rsidR="00246BB9">
        <w:t>utage requests and revisions must meet the minimum data requirements of th</w:t>
      </w:r>
      <w:r w:rsidR="00AB3A96">
        <w:t xml:space="preserve">e </w:t>
      </w:r>
      <w:r>
        <w:t xml:space="preserve">CAISO </w:t>
      </w:r>
      <w:r w:rsidRPr="00F51FA9">
        <w:t>outage management system</w:t>
      </w:r>
      <w:r w:rsidR="002D59D5">
        <w:t>.  If an O</w:t>
      </w:r>
      <w:r w:rsidR="00246BB9">
        <w:t>utage request or revisi</w:t>
      </w:r>
      <w:r w:rsidR="00AB3A96">
        <w:t>on passes that validation, the O</w:t>
      </w:r>
      <w:r w:rsidR="00246BB9">
        <w:t>utage will automatically</w:t>
      </w:r>
      <w:r w:rsidR="00C83D09">
        <w:t xml:space="preserve"> be</w:t>
      </w:r>
      <w:r w:rsidR="00246BB9">
        <w:t xml:space="preserve"> processed and passed to the market systems without </w:t>
      </w:r>
      <w:r w:rsidR="00807FB3">
        <w:t xml:space="preserve">the </w:t>
      </w:r>
      <w:r w:rsidR="00246BB9">
        <w:t xml:space="preserve">CAISO OCO review or revision.  </w:t>
      </w:r>
    </w:p>
    <w:p w14:paraId="2CF323FF" w14:textId="77777777" w:rsidR="00246BB9" w:rsidRDefault="00246BB9" w:rsidP="006F6DD6">
      <w:pPr>
        <w:pStyle w:val="Heading3"/>
        <w:spacing w:line="300" w:lineRule="auto"/>
      </w:pPr>
      <w:bookmarkStart w:id="174" w:name="_Toc386180526"/>
      <w:bookmarkStart w:id="175" w:name="_Toc386181219"/>
      <w:bookmarkStart w:id="176" w:name="_Toc386180527"/>
      <w:bookmarkStart w:id="177" w:name="_Toc386181220"/>
      <w:bookmarkStart w:id="178" w:name="_Toc386180528"/>
      <w:bookmarkStart w:id="179" w:name="_Toc386181221"/>
      <w:bookmarkStart w:id="180" w:name="_Toc386180529"/>
      <w:bookmarkStart w:id="181" w:name="_Toc386181222"/>
      <w:bookmarkStart w:id="182" w:name="_Toc386180530"/>
      <w:bookmarkStart w:id="183" w:name="_Toc386181223"/>
      <w:bookmarkStart w:id="184" w:name="_Toc386180531"/>
      <w:bookmarkStart w:id="185" w:name="_Toc386181224"/>
      <w:bookmarkStart w:id="186" w:name="_Toc386180532"/>
      <w:bookmarkStart w:id="187" w:name="_Toc386181225"/>
      <w:bookmarkStart w:id="188" w:name="_Toc386182113"/>
      <w:bookmarkStart w:id="189" w:name="_Toc389662589"/>
      <w:bookmarkStart w:id="190" w:name="_Toc390946272"/>
      <w:bookmarkStart w:id="191" w:name="_Toc391969833"/>
      <w:bookmarkStart w:id="192" w:name="_Toc22905447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Withdrawal or Modification of Request</w:t>
      </w:r>
      <w:bookmarkEnd w:id="188"/>
      <w:bookmarkEnd w:id="189"/>
      <w:bookmarkEnd w:id="190"/>
      <w:bookmarkEnd w:id="191"/>
      <w:bookmarkEnd w:id="192"/>
    </w:p>
    <w:p w14:paraId="06B8C41C" w14:textId="12624C18" w:rsidR="00246BB9" w:rsidRDefault="00246BB9" w:rsidP="006F6DD6">
      <w:pPr>
        <w:pStyle w:val="ParaText"/>
      </w:pPr>
      <w:r>
        <w:t>Th</w:t>
      </w:r>
      <w:r w:rsidR="00563036">
        <w:t>e</w:t>
      </w:r>
      <w:r w:rsidR="005F24C1">
        <w:t xml:space="preserve"> WEIM </w:t>
      </w:r>
      <w:r w:rsidR="00563036">
        <w:t>E</w:t>
      </w:r>
      <w:r>
        <w:t>ntity and</w:t>
      </w:r>
      <w:r w:rsidR="005F24C1">
        <w:t xml:space="preserve"> WEIM </w:t>
      </w:r>
      <w:r w:rsidR="002556CA">
        <w:t xml:space="preserve">Entity </w:t>
      </w:r>
      <w:r>
        <w:t>Scheduling Coordinator may withdraw an Outage at any time prior to actual commencement of the Outage.  Outage modifications can be made via th</w:t>
      </w:r>
      <w:r w:rsidR="00AB3A96">
        <w:t xml:space="preserve">e CAISO </w:t>
      </w:r>
      <w:r w:rsidR="00B722C6">
        <w:t>o</w:t>
      </w:r>
      <w:r w:rsidR="000D1AA1">
        <w:t xml:space="preserve">utage </w:t>
      </w:r>
      <w:r w:rsidR="00B722C6">
        <w:t>m</w:t>
      </w:r>
      <w:r w:rsidR="000D1AA1">
        <w:t xml:space="preserve">anagement </w:t>
      </w:r>
      <w:r w:rsidR="00B722C6">
        <w:t>s</w:t>
      </w:r>
      <w:r w:rsidR="000D1AA1">
        <w:t>ystem</w:t>
      </w:r>
      <w:r>
        <w:t xml:space="preserve"> and will automatically</w:t>
      </w:r>
      <w:r w:rsidR="00C83D09">
        <w:t xml:space="preserve"> be</w:t>
      </w:r>
      <w:r>
        <w:t xml:space="preserve"> processed if all data entries are valid.  </w:t>
      </w:r>
    </w:p>
    <w:p w14:paraId="79480ACF" w14:textId="77777777" w:rsidR="00246BB9" w:rsidRDefault="00246BB9" w:rsidP="006F6DD6">
      <w:pPr>
        <w:pStyle w:val="Heading3"/>
        <w:spacing w:line="300" w:lineRule="auto"/>
      </w:pPr>
      <w:bookmarkStart w:id="193" w:name="_Toc386180534"/>
      <w:bookmarkStart w:id="194" w:name="_Toc386181227"/>
      <w:bookmarkStart w:id="195" w:name="_Toc386180535"/>
      <w:bookmarkStart w:id="196" w:name="_Toc386181228"/>
      <w:bookmarkStart w:id="197" w:name="_Toc386180536"/>
      <w:bookmarkStart w:id="198" w:name="_Toc386181229"/>
      <w:bookmarkStart w:id="199" w:name="_Toc386180537"/>
      <w:bookmarkStart w:id="200" w:name="_Toc386181230"/>
      <w:bookmarkStart w:id="201" w:name="_Toc386180538"/>
      <w:bookmarkStart w:id="202" w:name="_Toc386181231"/>
      <w:bookmarkStart w:id="203" w:name="_Toc386180539"/>
      <w:bookmarkStart w:id="204" w:name="_Toc386181232"/>
      <w:bookmarkStart w:id="205" w:name="_Toc386182116"/>
      <w:bookmarkStart w:id="206" w:name="_Toc389662590"/>
      <w:bookmarkStart w:id="207" w:name="_Toc390946273"/>
      <w:bookmarkStart w:id="208" w:name="_Toc391969834"/>
      <w:bookmarkStart w:id="209" w:name="_Toc229054480"/>
      <w:bookmarkEnd w:id="193"/>
      <w:bookmarkEnd w:id="194"/>
      <w:bookmarkEnd w:id="195"/>
      <w:bookmarkEnd w:id="196"/>
      <w:bookmarkEnd w:id="197"/>
      <w:bookmarkEnd w:id="198"/>
      <w:bookmarkEnd w:id="199"/>
      <w:bookmarkEnd w:id="200"/>
      <w:bookmarkEnd w:id="201"/>
      <w:bookmarkEnd w:id="202"/>
      <w:bookmarkEnd w:id="203"/>
      <w:bookmarkEnd w:id="204"/>
      <w:r>
        <w:t>Changes to Planned Maintenance Outages</w:t>
      </w:r>
      <w:bookmarkEnd w:id="205"/>
      <w:bookmarkEnd w:id="206"/>
      <w:bookmarkEnd w:id="207"/>
      <w:bookmarkEnd w:id="208"/>
      <w:bookmarkEnd w:id="209"/>
    </w:p>
    <w:p w14:paraId="5BD3A095" w14:textId="2655AEEC" w:rsidR="007C3DB7" w:rsidRPr="007C3DB7" w:rsidRDefault="00246BB9" w:rsidP="00121D83">
      <w:pPr>
        <w:pStyle w:val="ParaText"/>
      </w:pPr>
      <w:r w:rsidRPr="00CA517E">
        <w:t>The</w:t>
      </w:r>
      <w:r w:rsidR="005F24C1">
        <w:t xml:space="preserve"> WEIM </w:t>
      </w:r>
      <w:r w:rsidR="00563036" w:rsidRPr="00CA517E">
        <w:t>E</w:t>
      </w:r>
      <w:r w:rsidRPr="00CA517E">
        <w:t>ntity or</w:t>
      </w:r>
      <w:r w:rsidR="005F24C1">
        <w:t xml:space="preserve"> WEIM </w:t>
      </w:r>
      <w:r w:rsidR="00304DFF">
        <w:t xml:space="preserve">Entity </w:t>
      </w:r>
      <w:r w:rsidRPr="00CA517E">
        <w:t xml:space="preserve">Scheduling Coordinator may cancel a previously approved planned Maintenance Outage or submit a request to change a previously approved planned Maintenance Outage at any time prior to the </w:t>
      </w:r>
      <w:r w:rsidR="00807FB3" w:rsidRPr="00CA517E">
        <w:t>O</w:t>
      </w:r>
      <w:r w:rsidRPr="00CA517E">
        <w:t xml:space="preserve">utage start. Requests for such changes must include the information required and be in accordance with </w:t>
      </w:r>
      <w:r w:rsidR="00807FB3" w:rsidRPr="00CA517E">
        <w:t>the</w:t>
      </w:r>
      <w:r w:rsidR="005F24C1">
        <w:t xml:space="preserve"> WEIM </w:t>
      </w:r>
      <w:r w:rsidR="008B53E8">
        <w:t>O</w:t>
      </w:r>
      <w:r w:rsidR="003470BD" w:rsidRPr="00CA517E">
        <w:t>utage request</w:t>
      </w:r>
      <w:r w:rsidR="00021E09" w:rsidRPr="00CA517E">
        <w:t xml:space="preserve"> </w:t>
      </w:r>
      <w:r w:rsidRPr="00CA517E">
        <w:t>timing requirements</w:t>
      </w:r>
      <w:r w:rsidR="002D2099">
        <w:t xml:space="preserve"> which are consistent with the CAISO </w:t>
      </w:r>
      <w:hyperlink r:id="rId64" w:history="1">
        <w:r w:rsidR="002D2099" w:rsidRPr="0028240E">
          <w:rPr>
            <w:rStyle w:val="Hyperlink"/>
            <w:b/>
          </w:rPr>
          <w:t>BPM for Outage Management</w:t>
        </w:r>
      </w:hyperlink>
      <w:r w:rsidR="003470BD" w:rsidRPr="00CA517E">
        <w:t>.</w:t>
      </w:r>
      <w:r w:rsidR="008B53E8">
        <w:t xml:space="preserve"> Requests to cancel an Outage after the O</w:t>
      </w:r>
      <w:r w:rsidRPr="00CA517E">
        <w:t>utage start date and time have passed are not al</w:t>
      </w:r>
      <w:r w:rsidR="008B53E8">
        <w:t>lowed.  In that situation, the O</w:t>
      </w:r>
      <w:r w:rsidRPr="00CA517E">
        <w:t>utage must be returned to</w:t>
      </w:r>
      <w:r w:rsidR="008B53E8">
        <w:t xml:space="preserve"> service even if no O</w:t>
      </w:r>
      <w:r w:rsidRPr="00CA517E">
        <w:t xml:space="preserve">utage activity actually occurred.  </w:t>
      </w:r>
    </w:p>
    <w:p w14:paraId="60C457DB" w14:textId="77777777" w:rsidR="00944D06" w:rsidRDefault="00944D06" w:rsidP="006F6DD6">
      <w:pPr>
        <w:pStyle w:val="Heading2"/>
        <w:spacing w:line="300" w:lineRule="auto"/>
      </w:pPr>
      <w:bookmarkStart w:id="210" w:name="_Toc389662591"/>
      <w:bookmarkStart w:id="211" w:name="_Toc390946274"/>
      <w:bookmarkStart w:id="212" w:name="_Toc391969835"/>
      <w:bookmarkStart w:id="213" w:name="_Toc229054481"/>
      <w:r>
        <w:t>Management of Forced Outages</w:t>
      </w:r>
      <w:bookmarkEnd w:id="210"/>
      <w:bookmarkEnd w:id="211"/>
      <w:bookmarkEnd w:id="212"/>
      <w:bookmarkEnd w:id="213"/>
    </w:p>
    <w:p w14:paraId="676B63B1" w14:textId="77777777" w:rsidR="00944D06" w:rsidRPr="00586DE0" w:rsidRDefault="00944D06" w:rsidP="006F6DD6">
      <w:pPr>
        <w:pStyle w:val="ParaText"/>
      </w:pPr>
      <w:r w:rsidRPr="00586DE0">
        <w:t xml:space="preserve">In the </w:t>
      </w:r>
      <w:r w:rsidRPr="00586DE0">
        <w:rPr>
          <w:i/>
        </w:rPr>
        <w:t xml:space="preserve">Management of Forced Outages </w:t>
      </w:r>
      <w:r w:rsidR="00021E09" w:rsidRPr="00586DE0">
        <w:t>S</w:t>
      </w:r>
      <w:r w:rsidRPr="00586DE0">
        <w:t>ection you will find the following information:</w:t>
      </w:r>
    </w:p>
    <w:p w14:paraId="1DDC762A" w14:textId="4CFA5B33" w:rsidR="000C542A" w:rsidRPr="00A222A7" w:rsidRDefault="00944D06" w:rsidP="00E80005">
      <w:pPr>
        <w:pStyle w:val="Bullet1HRt"/>
        <w:numPr>
          <w:ilvl w:val="0"/>
          <w:numId w:val="20"/>
        </w:numPr>
        <w:spacing w:after="160" w:line="259" w:lineRule="auto"/>
      </w:pPr>
      <w:r w:rsidRPr="00586DE0">
        <w:lastRenderedPageBreak/>
        <w:t>A description of how</w:t>
      </w:r>
      <w:r w:rsidR="005F24C1">
        <w:t xml:space="preserve"> WEIM </w:t>
      </w:r>
      <w:r w:rsidR="004B4ED2">
        <w:t>a</w:t>
      </w:r>
      <w:r w:rsidR="00FB30B2" w:rsidRPr="00586DE0">
        <w:t>pproved</w:t>
      </w:r>
      <w:r w:rsidRPr="00586DE0">
        <w:t xml:space="preserve"> Forced Outages</w:t>
      </w:r>
      <w:r w:rsidR="00FB30B2" w:rsidRPr="00586DE0">
        <w:t xml:space="preserve"> or an </w:t>
      </w:r>
      <w:r w:rsidR="00F73DA7" w:rsidRPr="00586DE0">
        <w:t>extension</w:t>
      </w:r>
      <w:r w:rsidR="004B4ED2">
        <w:t xml:space="preserve"> of an a</w:t>
      </w:r>
      <w:r w:rsidR="00FB30B2" w:rsidRPr="00586DE0">
        <w:t>pproved Maintenance Outage</w:t>
      </w:r>
      <w:r w:rsidRPr="00586DE0">
        <w:t xml:space="preserve"> </w:t>
      </w:r>
      <w:r w:rsidR="00FB30B2" w:rsidRPr="00586DE0">
        <w:t>is</w:t>
      </w:r>
      <w:r w:rsidR="00586DE0" w:rsidRPr="00586DE0">
        <w:t xml:space="preserve"> </w:t>
      </w:r>
      <w:r w:rsidRPr="00586DE0">
        <w:t xml:space="preserve">processed in the </w:t>
      </w:r>
      <w:r w:rsidR="00B53E8D">
        <w:t xml:space="preserve">CAISO </w:t>
      </w:r>
      <w:r w:rsidR="00B53E8D" w:rsidRPr="00F51FA9">
        <w:t>outage management system</w:t>
      </w:r>
      <w:r w:rsidRPr="00586DE0">
        <w:t>.</w:t>
      </w:r>
    </w:p>
    <w:p w14:paraId="2DADDC36" w14:textId="77777777" w:rsidR="00BF79A2" w:rsidRPr="00BF79A2" w:rsidRDefault="00BF79A2" w:rsidP="006F6DD6">
      <w:pPr>
        <w:pStyle w:val="Heading3"/>
        <w:spacing w:line="300" w:lineRule="auto"/>
      </w:pPr>
      <w:bookmarkStart w:id="214" w:name="_Toc390267999"/>
      <w:bookmarkStart w:id="215" w:name="_Toc390268130"/>
      <w:bookmarkStart w:id="216" w:name="_Toc390352488"/>
      <w:bookmarkStart w:id="217" w:name="_Toc390353465"/>
      <w:bookmarkStart w:id="218" w:name="_Toc390355415"/>
      <w:bookmarkStart w:id="219" w:name="_Toc390436079"/>
      <w:bookmarkStart w:id="220" w:name="_Toc390673370"/>
      <w:bookmarkStart w:id="221" w:name="_Toc390689644"/>
      <w:bookmarkStart w:id="222" w:name="_Toc390696648"/>
      <w:bookmarkStart w:id="223" w:name="_Toc390759662"/>
      <w:bookmarkStart w:id="224" w:name="_Toc390764418"/>
      <w:bookmarkStart w:id="225" w:name="_Toc390765943"/>
      <w:bookmarkStart w:id="226" w:name="_Toc390778412"/>
      <w:bookmarkStart w:id="227" w:name="_Toc390779390"/>
      <w:bookmarkStart w:id="228" w:name="_Toc390782203"/>
      <w:bookmarkStart w:id="229" w:name="_Toc390871675"/>
      <w:bookmarkStart w:id="230" w:name="_Toc390871732"/>
      <w:bookmarkStart w:id="231" w:name="_Toc390871789"/>
      <w:bookmarkStart w:id="232" w:name="_Toc389662592"/>
      <w:bookmarkStart w:id="233" w:name="_Toc390946275"/>
      <w:bookmarkStart w:id="234" w:name="_Toc391969836"/>
      <w:bookmarkStart w:id="235" w:name="_Toc229054482"/>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Forced Outages</w:t>
      </w:r>
      <w:bookmarkEnd w:id="232"/>
      <w:bookmarkEnd w:id="233"/>
      <w:bookmarkEnd w:id="234"/>
      <w:bookmarkEnd w:id="235"/>
    </w:p>
    <w:p w14:paraId="01E5CAE1" w14:textId="77777777" w:rsidR="000C542A" w:rsidRDefault="00BF79A2" w:rsidP="00BA2E6E">
      <w:pPr>
        <w:rPr>
          <w:b/>
        </w:rPr>
      </w:pPr>
      <w:r w:rsidRPr="00BA2E6E">
        <w:rPr>
          <w:b/>
        </w:rPr>
        <w:t>Outage Scheduling</w:t>
      </w:r>
    </w:p>
    <w:p w14:paraId="67A4C33F" w14:textId="71C4B9EA" w:rsidR="00586DE0" w:rsidRDefault="00BF79A2" w:rsidP="003C15E3">
      <w:pPr>
        <w:pStyle w:val="ParaText"/>
      </w:pPr>
      <w:r>
        <w:t>If the</w:t>
      </w:r>
      <w:r w:rsidR="005F24C1">
        <w:t xml:space="preserve"> WEIM </w:t>
      </w:r>
      <w:r>
        <w:t>Entity or the</w:t>
      </w:r>
      <w:r w:rsidR="005F24C1">
        <w:t xml:space="preserve"> WEIM </w:t>
      </w:r>
      <w:r w:rsidR="002556CA">
        <w:t xml:space="preserve">Entity </w:t>
      </w:r>
      <w:r>
        <w:t xml:space="preserve">Scheduling Coordinator submits a new </w:t>
      </w:r>
      <w:r w:rsidR="004B4ED2">
        <w:t>a</w:t>
      </w:r>
      <w:r w:rsidR="00FB30B2">
        <w:t xml:space="preserve">pproved </w:t>
      </w:r>
      <w:r>
        <w:t>Maintena</w:t>
      </w:r>
      <w:r w:rsidR="004B4ED2">
        <w:t>nce Outage or a revision to an a</w:t>
      </w:r>
      <w:r>
        <w:t>pp</w:t>
      </w:r>
      <w:r w:rsidR="009D507A">
        <w:t xml:space="preserve">roved Maintenance Outage to </w:t>
      </w:r>
      <w:r w:rsidR="008B53E8">
        <w:t xml:space="preserve">CAISO via the </w:t>
      </w:r>
      <w:r w:rsidR="00B722C6">
        <w:t>o</w:t>
      </w:r>
      <w:r w:rsidR="006D77FD">
        <w:t xml:space="preserve">utage </w:t>
      </w:r>
      <w:r w:rsidR="00B722C6">
        <w:t>m</w:t>
      </w:r>
      <w:r w:rsidR="006D77FD">
        <w:t xml:space="preserve">anagement </w:t>
      </w:r>
      <w:r w:rsidR="00B722C6">
        <w:t>s</w:t>
      </w:r>
      <w:r w:rsidR="00A15299">
        <w:t>ystem less than</w:t>
      </w:r>
      <w:r w:rsidR="00FA72A3">
        <w:t xml:space="preserve"> seven d</w:t>
      </w:r>
      <w:r>
        <w:t>ays prior to the start date of the proposed Outage</w:t>
      </w:r>
      <w:r w:rsidR="00FA72A3">
        <w:t>,</w:t>
      </w:r>
      <w:r>
        <w:t xml:space="preserve"> the </w:t>
      </w:r>
      <w:r w:rsidR="00021E09">
        <w:t>O</w:t>
      </w:r>
      <w:r>
        <w:t xml:space="preserve">utage will be a Forced </w:t>
      </w:r>
      <w:r w:rsidR="00021E09">
        <w:t>O</w:t>
      </w:r>
      <w:r>
        <w:t xml:space="preserve">utage. </w:t>
      </w:r>
      <w:r w:rsidR="003648B6">
        <w:t xml:space="preserve">The timely submission of </w:t>
      </w:r>
      <w:r w:rsidR="007C4B4F">
        <w:t>outages directly</w:t>
      </w:r>
      <w:r w:rsidR="003648B6">
        <w:t xml:space="preserve"> impact</w:t>
      </w:r>
      <w:r w:rsidR="007C7018">
        <w:t>s</w:t>
      </w:r>
      <w:r w:rsidR="003648B6">
        <w:t xml:space="preserve"> the network topology configuration, availability of the electrically connected resources, and/or the MW dispatch range of the available resources. Delays in submission of the forced outage information may result inaccurate real-time imbalance calculation for the look–ahead market intervals, and as a result price signals that may not represent the actual system conditions. Therefore, the timing requirements for submission of forced outages in the</w:t>
      </w:r>
      <w:r w:rsidR="005F24C1">
        <w:t xml:space="preserve"> WEIM </w:t>
      </w:r>
      <w:r w:rsidR="003648B6">
        <w:t xml:space="preserve">entity BAA is set </w:t>
      </w:r>
      <w:r w:rsidR="003648B6" w:rsidRPr="00CA517E">
        <w:t xml:space="preserve">in accordance with the </w:t>
      </w:r>
      <w:r w:rsidR="00345B05">
        <w:t xml:space="preserve">timing required for CAISO as described by the </w:t>
      </w:r>
      <w:hyperlink r:id="rId65" w:history="1">
        <w:r w:rsidR="00345B05" w:rsidRPr="00345B05">
          <w:rPr>
            <w:rStyle w:val="Hyperlink"/>
            <w:b/>
          </w:rPr>
          <w:t>BPM for Outage Management</w:t>
        </w:r>
      </w:hyperlink>
      <w:r w:rsidR="00345B05">
        <w:t xml:space="preserve">, which is currently set at 60 minutes after the </w:t>
      </w:r>
      <w:r w:rsidR="001A5070">
        <w:t>occurrence</w:t>
      </w:r>
      <w:r w:rsidR="00345B05">
        <w:t xml:space="preserve"> of the outage.</w:t>
      </w:r>
    </w:p>
    <w:p w14:paraId="36E339DB" w14:textId="77777777" w:rsidR="00BF79A2" w:rsidRDefault="00BF79A2" w:rsidP="003C15E3">
      <w:pPr>
        <w:pStyle w:val="ParaText"/>
      </w:pPr>
      <w:r w:rsidRPr="00304DFF">
        <w:rPr>
          <w:rFonts w:cs="Arial"/>
          <w:b/>
        </w:rPr>
        <w:t>Note:</w:t>
      </w:r>
      <w:r>
        <w:rPr>
          <w:rFonts w:cs="Arial"/>
        </w:rPr>
        <w:t xml:space="preserve"> The determination of seven</w:t>
      </w:r>
      <w:r w:rsidR="00021E09">
        <w:rPr>
          <w:rFonts w:cs="Arial"/>
        </w:rPr>
        <w:t>-</w:t>
      </w:r>
      <w:r>
        <w:rPr>
          <w:rFonts w:cs="Arial"/>
        </w:rPr>
        <w:t xml:space="preserve">day prior notice excludes the date of submission and the date of the </w:t>
      </w:r>
      <w:r w:rsidR="00021E09">
        <w:rPr>
          <w:rFonts w:cs="Arial"/>
        </w:rPr>
        <w:t>O</w:t>
      </w:r>
      <w:r>
        <w:rPr>
          <w:rFonts w:cs="Arial"/>
        </w:rPr>
        <w:t xml:space="preserve">utage. </w:t>
      </w:r>
      <w:r>
        <w:t xml:space="preserve"> </w:t>
      </w:r>
      <w:bookmarkStart w:id="236" w:name="_Toc386180544"/>
      <w:bookmarkStart w:id="237" w:name="_Toc386181237"/>
      <w:bookmarkStart w:id="238" w:name="_Toc386180545"/>
      <w:bookmarkStart w:id="239" w:name="_Toc386181238"/>
      <w:bookmarkStart w:id="240" w:name="_Toc138120529"/>
      <w:bookmarkStart w:id="241" w:name="_Toc138491748"/>
      <w:bookmarkStart w:id="242" w:name="_Toc386180546"/>
      <w:bookmarkStart w:id="243" w:name="_Toc386181239"/>
      <w:bookmarkStart w:id="244" w:name="_Toc386180547"/>
      <w:bookmarkStart w:id="245" w:name="_Toc386181240"/>
      <w:bookmarkEnd w:id="236"/>
      <w:bookmarkEnd w:id="237"/>
      <w:bookmarkEnd w:id="238"/>
      <w:bookmarkEnd w:id="239"/>
      <w:bookmarkEnd w:id="240"/>
      <w:bookmarkEnd w:id="241"/>
      <w:bookmarkEnd w:id="242"/>
      <w:bookmarkEnd w:id="243"/>
      <w:bookmarkEnd w:id="244"/>
      <w:bookmarkEnd w:id="245"/>
    </w:p>
    <w:p w14:paraId="462F5B9A" w14:textId="77777777" w:rsidR="00BF79A2" w:rsidRDefault="00BF79A2" w:rsidP="006F6DD6">
      <w:pPr>
        <w:pStyle w:val="Heading3"/>
        <w:spacing w:line="300" w:lineRule="auto"/>
      </w:pPr>
      <w:bookmarkStart w:id="246" w:name="_Toc386182123"/>
      <w:bookmarkStart w:id="247" w:name="_Toc389662594"/>
      <w:bookmarkStart w:id="248" w:name="_Toc390946276"/>
      <w:bookmarkStart w:id="249" w:name="_Toc391969837"/>
      <w:bookmarkStart w:id="250" w:name="_Toc229054483"/>
      <w:r>
        <w:t>Extended Scheduled Outage</w:t>
      </w:r>
      <w:bookmarkEnd w:id="246"/>
      <w:bookmarkEnd w:id="247"/>
      <w:bookmarkEnd w:id="248"/>
      <w:bookmarkEnd w:id="249"/>
      <w:bookmarkEnd w:id="250"/>
    </w:p>
    <w:p w14:paraId="21DA0301" w14:textId="0749499A" w:rsidR="00BF79A2" w:rsidRDefault="00563036" w:rsidP="006F6DD6">
      <w:pPr>
        <w:pStyle w:val="ParaText"/>
      </w:pPr>
      <w:r>
        <w:t>If the</w:t>
      </w:r>
      <w:r w:rsidR="005F24C1">
        <w:t xml:space="preserve"> WEIM </w:t>
      </w:r>
      <w:r>
        <w:t>E</w:t>
      </w:r>
      <w:r w:rsidR="00BF79A2">
        <w:t>ntity or the</w:t>
      </w:r>
      <w:r w:rsidR="005F24C1">
        <w:t xml:space="preserve"> WEIM </w:t>
      </w:r>
      <w:r w:rsidR="002556CA">
        <w:t xml:space="preserve">Entity </w:t>
      </w:r>
      <w:r w:rsidR="00BF79A2">
        <w:t>Scheduling Coordinator wishes to continue to perform maintenance work beyond the date and time</w:t>
      </w:r>
      <w:r w:rsidR="004B4ED2">
        <w:t xml:space="preserve"> specified in an a</w:t>
      </w:r>
      <w:r w:rsidR="00BF79A2">
        <w:t>pproved Maintenance Outage, the Owner may submit a</w:t>
      </w:r>
      <w:r w:rsidR="00FB30B2">
        <w:t xml:space="preserve">n approved revision </w:t>
      </w:r>
      <w:r w:rsidR="004B4ED2">
        <w:t>to extend the a</w:t>
      </w:r>
      <w:r w:rsidR="00BF79A2">
        <w:t xml:space="preserve">pproved Maintenance Outage. </w:t>
      </w:r>
    </w:p>
    <w:p w14:paraId="43B211F5" w14:textId="77777777" w:rsidR="00BF79A2" w:rsidRDefault="00BF79A2" w:rsidP="006F6DD6">
      <w:pPr>
        <w:pStyle w:val="Heading2"/>
        <w:spacing w:line="300" w:lineRule="auto"/>
      </w:pPr>
      <w:bookmarkStart w:id="251" w:name="_Toc386182124"/>
      <w:bookmarkStart w:id="252" w:name="_Toc389662595"/>
      <w:bookmarkStart w:id="253" w:name="_Toc390946277"/>
      <w:bookmarkStart w:id="254" w:name="_Toc391969838"/>
      <w:bookmarkStart w:id="255" w:name="_Toc229054484"/>
      <w:r>
        <w:t>Communication of Maintenance Outage Information</w:t>
      </w:r>
      <w:bookmarkEnd w:id="251"/>
      <w:bookmarkEnd w:id="252"/>
      <w:bookmarkEnd w:id="253"/>
      <w:bookmarkEnd w:id="254"/>
      <w:bookmarkEnd w:id="255"/>
    </w:p>
    <w:p w14:paraId="2167C09E" w14:textId="77777777" w:rsidR="00BF79A2" w:rsidRDefault="00BF79A2" w:rsidP="006F6DD6">
      <w:pPr>
        <w:pStyle w:val="ParaText"/>
      </w:pPr>
      <w:r>
        <w:t xml:space="preserve">In the </w:t>
      </w:r>
      <w:r>
        <w:rPr>
          <w:i/>
        </w:rPr>
        <w:t>Communication of Maintenance Outage Information</w:t>
      </w:r>
      <w:r>
        <w:t xml:space="preserve"> </w:t>
      </w:r>
      <w:r w:rsidR="00021E09">
        <w:t>S</w:t>
      </w:r>
      <w:r>
        <w:t>ection you will find the following information:</w:t>
      </w:r>
    </w:p>
    <w:p w14:paraId="2455345C" w14:textId="77777777" w:rsidR="00BF79A2" w:rsidRDefault="00BF79A2" w:rsidP="00E80005">
      <w:pPr>
        <w:pStyle w:val="Bullet1HRt"/>
        <w:numPr>
          <w:ilvl w:val="0"/>
          <w:numId w:val="21"/>
        </w:numPr>
        <w:spacing w:after="160" w:line="259" w:lineRule="auto"/>
      </w:pPr>
      <w:r>
        <w:t>A description of the need for a single point of contact for communication purposes</w:t>
      </w:r>
      <w:r w:rsidR="00AA3392">
        <w:t>.</w:t>
      </w:r>
    </w:p>
    <w:p w14:paraId="73C6616B" w14:textId="77777777" w:rsidR="00BF79A2" w:rsidRDefault="00BF79A2" w:rsidP="00E80005">
      <w:pPr>
        <w:pStyle w:val="Bullet1HRt"/>
        <w:numPr>
          <w:ilvl w:val="0"/>
          <w:numId w:val="21"/>
        </w:numPr>
        <w:spacing w:after="160" w:line="259" w:lineRule="auto"/>
      </w:pPr>
      <w:r>
        <w:t>A description of methods of communication to be used as a part of the Outage Management business processes</w:t>
      </w:r>
      <w:r w:rsidR="00AA3392">
        <w:t>.</w:t>
      </w:r>
    </w:p>
    <w:p w14:paraId="1C944853" w14:textId="006E6741" w:rsidR="00BF79A2" w:rsidRDefault="00BF79A2" w:rsidP="00E80005">
      <w:pPr>
        <w:pStyle w:val="Bullet1HRt"/>
        <w:numPr>
          <w:ilvl w:val="0"/>
          <w:numId w:val="21"/>
        </w:numPr>
        <w:spacing w:after="160" w:line="259" w:lineRule="auto"/>
      </w:pPr>
      <w:r>
        <w:lastRenderedPageBreak/>
        <w:t xml:space="preserve">A brief description of the </w:t>
      </w:r>
      <w:r w:rsidR="00C70DF4">
        <w:t>o</w:t>
      </w:r>
      <w:r w:rsidR="008B53E8">
        <w:t xml:space="preserve">utage </w:t>
      </w:r>
      <w:r w:rsidR="00C70DF4">
        <w:t>m</w:t>
      </w:r>
      <w:r w:rsidR="008B53E8">
        <w:t xml:space="preserve">anagement </w:t>
      </w:r>
      <w:r w:rsidR="00C70DF4">
        <w:t>s</w:t>
      </w:r>
      <w:r>
        <w:t>ystem</w:t>
      </w:r>
      <w:r w:rsidR="00AA3392">
        <w:t>.</w:t>
      </w:r>
    </w:p>
    <w:p w14:paraId="7FA754C4" w14:textId="77777777" w:rsidR="005D71B5" w:rsidRDefault="00FA72A3" w:rsidP="006F6DD6">
      <w:pPr>
        <w:pStyle w:val="ParaText"/>
      </w:pPr>
      <w:r>
        <w:t xml:space="preserve">Refer </w:t>
      </w:r>
      <w:r w:rsidR="00C33986">
        <w:t>to Tariff</w:t>
      </w:r>
      <w:r w:rsidR="00BF79A2">
        <w:t xml:space="preserve"> Sections 9.3.4</w:t>
      </w:r>
      <w:r w:rsidR="00C83D09">
        <w:t>:</w:t>
      </w:r>
      <w:r w:rsidR="00BF79A2">
        <w:t xml:space="preserve"> </w:t>
      </w:r>
      <w:r w:rsidR="00BF79A2" w:rsidRPr="00304DFF">
        <w:rPr>
          <w:i/>
        </w:rPr>
        <w:t>Single Point of Contact</w:t>
      </w:r>
      <w:r w:rsidR="00BF79A2">
        <w:t xml:space="preserve"> and 9.3.5</w:t>
      </w:r>
      <w:r w:rsidR="00C83D09">
        <w:t>:</w:t>
      </w:r>
      <w:r w:rsidR="00BF79A2">
        <w:t xml:space="preserve"> </w:t>
      </w:r>
      <w:r w:rsidR="00BF79A2" w:rsidRPr="00D468F4">
        <w:rPr>
          <w:i/>
        </w:rPr>
        <w:t>Method of Communication</w:t>
      </w:r>
      <w:r>
        <w:t>.</w:t>
      </w:r>
    </w:p>
    <w:p w14:paraId="516BE162" w14:textId="77777777" w:rsidR="00BF79A2" w:rsidRDefault="00BF79A2" w:rsidP="006F6DD6">
      <w:pPr>
        <w:pStyle w:val="Heading3"/>
        <w:spacing w:line="300" w:lineRule="auto"/>
      </w:pPr>
      <w:bookmarkStart w:id="256" w:name="_Toc386182125"/>
      <w:bookmarkStart w:id="257" w:name="_Toc389662596"/>
      <w:bookmarkStart w:id="258" w:name="_Toc390946278"/>
      <w:bookmarkStart w:id="259" w:name="_Toc391969839"/>
      <w:bookmarkStart w:id="260" w:name="_Toc229054485"/>
      <w:r>
        <w:t>Single Point of Contact</w:t>
      </w:r>
      <w:bookmarkEnd w:id="256"/>
      <w:bookmarkEnd w:id="257"/>
      <w:bookmarkEnd w:id="258"/>
      <w:bookmarkEnd w:id="259"/>
      <w:bookmarkEnd w:id="260"/>
    </w:p>
    <w:p w14:paraId="32B241F2" w14:textId="6FEB712B" w:rsidR="00BF79A2" w:rsidRDefault="00BF79A2" w:rsidP="008C1485">
      <w:pPr>
        <w:pStyle w:val="ParaText"/>
      </w:pPr>
      <w:r>
        <w:t>All</w:t>
      </w:r>
      <w:r w:rsidR="005F24C1">
        <w:t xml:space="preserve"> WEIM </w:t>
      </w:r>
      <w:r w:rsidR="00D103BB" w:rsidRPr="00DD49CC">
        <w:t>Entity Scheduling Coordinator</w:t>
      </w:r>
      <w:r w:rsidR="00D103BB">
        <w:t xml:space="preserve"> </w:t>
      </w:r>
      <w:r>
        <w:t xml:space="preserve">communications concerning </w:t>
      </w:r>
      <w:r w:rsidR="00D103BB">
        <w:t>the</w:t>
      </w:r>
      <w:r w:rsidR="00D103BB" w:rsidRPr="00DD49CC">
        <w:t xml:space="preserve"> notice of</w:t>
      </w:r>
      <w:r w:rsidR="00D103BB">
        <w:t xml:space="preserve"> an approved</w:t>
      </w:r>
      <w:r w:rsidR="00D103BB" w:rsidRPr="00DD49CC">
        <w:t xml:space="preserve"> transmission</w:t>
      </w:r>
      <w:r w:rsidR="00D103BB">
        <w:t xml:space="preserve"> and generation </w:t>
      </w:r>
      <w:r w:rsidR="008B53E8">
        <w:t>O</w:t>
      </w:r>
      <w:r w:rsidR="00D103BB">
        <w:t xml:space="preserve">utage </w:t>
      </w:r>
      <w:r w:rsidR="004B4ED2">
        <w:t>or to confirm or change an a</w:t>
      </w:r>
      <w:r>
        <w:t>pproved Maintenance Outage must occur between CAISO and the designated single point of contact for each</w:t>
      </w:r>
      <w:r w:rsidR="005F24C1">
        <w:t xml:space="preserve"> WEIM </w:t>
      </w:r>
      <w:r w:rsidR="00F73DA7">
        <w:t>Entity</w:t>
      </w:r>
      <w:r>
        <w:t>. The</w:t>
      </w:r>
      <w:r w:rsidR="005F24C1">
        <w:t xml:space="preserve"> WEIM </w:t>
      </w:r>
      <w:r w:rsidR="00F73DA7">
        <w:t>Entity</w:t>
      </w:r>
      <w:r>
        <w:t xml:space="preserve"> must provide in its initial </w:t>
      </w:r>
      <w:r w:rsidR="008B53E8">
        <w:t>O</w:t>
      </w:r>
      <w:r w:rsidR="00D103BB">
        <w:t xml:space="preserve">utage notification </w:t>
      </w:r>
      <w:r>
        <w:t xml:space="preserve">and any subsequent changes to its Master File, the identification of the single point of contact who is responsible for all Outage Management related activities. This identification is confirmed in all communications with CAISO in relation to Outage </w:t>
      </w:r>
      <w:r w:rsidR="00D103BB">
        <w:t>notification</w:t>
      </w:r>
      <w:r>
        <w:t xml:space="preserve">, including any request to CAISO for confirmation, </w:t>
      </w:r>
      <w:r w:rsidR="00D103BB">
        <w:t>notific</w:t>
      </w:r>
      <w:r w:rsidR="008B53E8">
        <w:t>ation</w:t>
      </w:r>
      <w:r w:rsidR="00A15299">
        <w:t>,</w:t>
      </w:r>
      <w:r w:rsidR="008B53E8">
        <w:t xml:space="preserve"> and revision of approved O</w:t>
      </w:r>
      <w:r w:rsidR="00D103BB">
        <w:t>utages.</w:t>
      </w:r>
      <w:r w:rsidR="00D103BB" w:rsidDel="00D103BB">
        <w:t xml:space="preserve"> </w:t>
      </w:r>
    </w:p>
    <w:p w14:paraId="7B98B67B" w14:textId="77777777" w:rsidR="00BF79A2" w:rsidRDefault="00BF79A2" w:rsidP="006F6DD6">
      <w:pPr>
        <w:pStyle w:val="ParaText"/>
      </w:pPr>
      <w:r>
        <w:t>This section includes a discussion of the primary and backup mechanisms to communicate Outage Management information, a discussion of the need for some communications to be conducted with Control Center personnel</w:t>
      </w:r>
      <w:r w:rsidR="00A15299">
        <w:t>,</w:t>
      </w:r>
      <w:r>
        <w:t xml:space="preserve"> and a brief description of th</w:t>
      </w:r>
      <w:r w:rsidR="008B53E8">
        <w:t xml:space="preserve">e </w:t>
      </w:r>
      <w:r w:rsidR="00B53E8D">
        <w:t xml:space="preserve">CAISO </w:t>
      </w:r>
      <w:r w:rsidR="00B53E8D" w:rsidRPr="00F51FA9">
        <w:t>outage management system</w:t>
      </w:r>
      <w:r>
        <w:t xml:space="preserve">. </w:t>
      </w:r>
    </w:p>
    <w:p w14:paraId="2C9D7729" w14:textId="77777777" w:rsidR="00BF79A2" w:rsidRDefault="00BF79A2" w:rsidP="006F6DD6">
      <w:pPr>
        <w:pStyle w:val="Heading4"/>
        <w:spacing w:line="300" w:lineRule="auto"/>
      </w:pPr>
      <w:bookmarkStart w:id="261" w:name="_Toc386182127"/>
      <w:r>
        <w:t>Primary Mechanism</w:t>
      </w:r>
      <w:bookmarkEnd w:id="261"/>
      <w:r>
        <w:t xml:space="preserve"> </w:t>
      </w:r>
    </w:p>
    <w:p w14:paraId="2FF117B8" w14:textId="3DF12774" w:rsidR="00BF79A2" w:rsidRDefault="008B53E8" w:rsidP="006F6DD6">
      <w:pPr>
        <w:pStyle w:val="ParaText"/>
      </w:pPr>
      <w:r>
        <w:t xml:space="preserve">The CAISO </w:t>
      </w:r>
      <w:r w:rsidR="00B722C6">
        <w:t>o</w:t>
      </w:r>
      <w:r w:rsidR="00A15299">
        <w:t xml:space="preserve">utage </w:t>
      </w:r>
      <w:r w:rsidR="00B722C6">
        <w:t>m</w:t>
      </w:r>
      <w:r w:rsidR="00A15299">
        <w:t xml:space="preserve">anagement </w:t>
      </w:r>
      <w:r w:rsidR="00B722C6">
        <w:t>s</w:t>
      </w:r>
      <w:r w:rsidR="00BF79A2">
        <w:t>ystem is the primary method of communicating Outage Manag</w:t>
      </w:r>
      <w:r>
        <w:t xml:space="preserve">ement related information. The </w:t>
      </w:r>
      <w:r w:rsidR="00B722C6">
        <w:t>o</w:t>
      </w:r>
      <w:r>
        <w:t xml:space="preserve">utage </w:t>
      </w:r>
      <w:r w:rsidR="00B722C6">
        <w:t>m</w:t>
      </w:r>
      <w:r>
        <w:t xml:space="preserve">anagement </w:t>
      </w:r>
      <w:r w:rsidR="00B722C6">
        <w:t>s</w:t>
      </w:r>
      <w:r w:rsidR="00BF79A2">
        <w:t xml:space="preserve">ystem, which is described in more detail in Section </w:t>
      </w:r>
      <w:r w:rsidR="00196895">
        <w:t>6</w:t>
      </w:r>
      <w:r w:rsidR="001E6C27">
        <w:t>.2.1</w:t>
      </w:r>
      <w:r w:rsidR="00BF79A2">
        <w:t xml:space="preserve"> of th</w:t>
      </w:r>
      <w:r w:rsidR="00DF2C32">
        <w:t>e</w:t>
      </w:r>
      <w:r w:rsidR="00BF79A2">
        <w:t xml:space="preserve"> </w:t>
      </w:r>
      <w:hyperlink r:id="rId66" w:history="1">
        <w:r w:rsidR="00BF79A2" w:rsidRPr="00A21E2E">
          <w:rPr>
            <w:rStyle w:val="Hyperlink"/>
            <w:b/>
          </w:rPr>
          <w:t>BPM</w:t>
        </w:r>
        <w:r w:rsidR="00DF2C32" w:rsidRPr="00A21E2E">
          <w:rPr>
            <w:rStyle w:val="Hyperlink"/>
            <w:b/>
          </w:rPr>
          <w:t xml:space="preserve"> for Outage Management</w:t>
        </w:r>
      </w:hyperlink>
      <w:r w:rsidR="00BF79A2">
        <w:t>, provides an automated mechanism for parties and CAISO to communicate the information required for all aspects of Outage Manageme</w:t>
      </w:r>
      <w:r>
        <w:t xml:space="preserve">nt. The </w:t>
      </w:r>
      <w:r w:rsidR="00B53E8D">
        <w:t xml:space="preserve">CAISO </w:t>
      </w:r>
      <w:r w:rsidR="00B53E8D" w:rsidRPr="00F51FA9">
        <w:t>outage management system</w:t>
      </w:r>
      <w:r w:rsidR="00BF79A2">
        <w:t xml:space="preserve"> provides both a mechanism to communicate as well as a mechanism to confirm the receipt of information from users and from CAISO either by using the system user interface or by using an</w:t>
      </w:r>
      <w:r w:rsidR="00C83D09">
        <w:t xml:space="preserve"> Application Program Interface</w:t>
      </w:r>
      <w:r w:rsidR="00BF79A2">
        <w:t xml:space="preserve"> </w:t>
      </w:r>
      <w:r w:rsidR="00C83D09">
        <w:t>(</w:t>
      </w:r>
      <w:r w:rsidR="00BF79A2">
        <w:t>API</w:t>
      </w:r>
      <w:r w:rsidR="00C83D09">
        <w:t>)</w:t>
      </w:r>
      <w:r w:rsidR="00BF79A2">
        <w:t>.</w:t>
      </w:r>
    </w:p>
    <w:p w14:paraId="4F27ADAF" w14:textId="77777777" w:rsidR="00BF79A2" w:rsidRDefault="00FA72A3" w:rsidP="006F6DD6">
      <w:pPr>
        <w:pStyle w:val="Heading4"/>
        <w:spacing w:line="300" w:lineRule="auto"/>
      </w:pPr>
      <w:bookmarkStart w:id="262" w:name="_Toc386182128"/>
      <w:r>
        <w:t xml:space="preserve"> </w:t>
      </w:r>
      <w:r w:rsidR="00BF79A2">
        <w:t>Backup Mechanism</w:t>
      </w:r>
      <w:bookmarkEnd w:id="262"/>
    </w:p>
    <w:p w14:paraId="403EE31F" w14:textId="77777777" w:rsidR="00BF79A2" w:rsidRPr="00B468C1" w:rsidRDefault="00BF79A2" w:rsidP="006F6DD6">
      <w:pPr>
        <w:pStyle w:val="ParaText"/>
      </w:pPr>
      <w:r w:rsidRPr="00B468C1">
        <w:t>In the event that th</w:t>
      </w:r>
      <w:r w:rsidR="008B53E8">
        <w:t xml:space="preserve">e </w:t>
      </w:r>
      <w:r w:rsidR="00B53E8D">
        <w:t xml:space="preserve">CAISO </w:t>
      </w:r>
      <w:r w:rsidR="00B53E8D" w:rsidRPr="00F51FA9">
        <w:t>outage management system</w:t>
      </w:r>
      <w:r w:rsidRPr="00B468C1">
        <w:t xml:space="preserve"> is not operational, emergency capabilities are used to communicate with CAISO. The emergency capabilities that can be used as a back-up if the </w:t>
      </w:r>
      <w:r w:rsidR="00B53E8D">
        <w:t xml:space="preserve">CAISO </w:t>
      </w:r>
      <w:r w:rsidR="00B53E8D" w:rsidRPr="00F51FA9">
        <w:t>outage management system</w:t>
      </w:r>
      <w:r w:rsidR="00196895" w:rsidRPr="00B468C1">
        <w:t xml:space="preserve"> </w:t>
      </w:r>
      <w:r w:rsidRPr="00B468C1">
        <w:t>application is unavailable include:</w:t>
      </w:r>
    </w:p>
    <w:p w14:paraId="479C0037" w14:textId="77777777" w:rsidR="00BF79A2" w:rsidRPr="00B468C1" w:rsidRDefault="00706D03" w:rsidP="00E80005">
      <w:pPr>
        <w:pStyle w:val="ParaText"/>
        <w:numPr>
          <w:ilvl w:val="0"/>
          <w:numId w:val="33"/>
        </w:numPr>
        <w:spacing w:after="160" w:line="259" w:lineRule="auto"/>
      </w:pPr>
      <w:r>
        <w:lastRenderedPageBreak/>
        <w:t>Electronic format (such as e</w:t>
      </w:r>
      <w:r w:rsidR="00BF79A2" w:rsidRPr="00B468C1">
        <w:t>-mail)</w:t>
      </w:r>
    </w:p>
    <w:p w14:paraId="46C123A8" w14:textId="77777777" w:rsidR="00BF79A2" w:rsidRPr="00B468C1" w:rsidRDefault="00BF79A2" w:rsidP="00E80005">
      <w:pPr>
        <w:pStyle w:val="ParaText"/>
        <w:numPr>
          <w:ilvl w:val="0"/>
          <w:numId w:val="33"/>
        </w:numPr>
        <w:spacing w:after="160" w:line="259" w:lineRule="auto"/>
      </w:pPr>
      <w:r w:rsidRPr="00B468C1">
        <w:t>Voice communication</w:t>
      </w:r>
      <w:r w:rsidR="000358D8">
        <w:t xml:space="preserve"> with Control Center Personnel</w:t>
      </w:r>
    </w:p>
    <w:p w14:paraId="7A81D086" w14:textId="349FD90D" w:rsidR="00BF79A2" w:rsidRDefault="00BF79A2" w:rsidP="006F6DD6">
      <w:pPr>
        <w:pStyle w:val="ParaText"/>
      </w:pPr>
      <w:r>
        <w:t xml:space="preserve">As discussed in this BPM, some </w:t>
      </w:r>
      <w:r w:rsidR="00C70DF4">
        <w:t>o</w:t>
      </w:r>
      <w:r>
        <w:t xml:space="preserve">utage </w:t>
      </w:r>
      <w:r w:rsidR="00C70DF4">
        <w:t>m</w:t>
      </w:r>
      <w:r>
        <w:t>anagement re</w:t>
      </w:r>
      <w:r w:rsidR="00AA3392">
        <w:t xml:space="preserve">lated communications by or with </w:t>
      </w:r>
      <w:r>
        <w:t>CAISO Control Center personnel are conducted on the telephone. These communications are described in detail in CAISO Operating Procedures (</w:t>
      </w:r>
      <w:r w:rsidR="00C83D09">
        <w:t xml:space="preserve">see </w:t>
      </w:r>
      <w:r>
        <w:t>Section 1.</w:t>
      </w:r>
      <w:r w:rsidR="00196895">
        <w:t>3</w:t>
      </w:r>
      <w:r>
        <w:t xml:space="preserve">, </w:t>
      </w:r>
      <w:r w:rsidRPr="00FA595A">
        <w:rPr>
          <w:i/>
        </w:rPr>
        <w:t>References</w:t>
      </w:r>
      <w:r>
        <w:t xml:space="preserve">). </w:t>
      </w:r>
    </w:p>
    <w:p w14:paraId="6129A57B" w14:textId="40F2F853" w:rsidR="00BF79A2" w:rsidRDefault="00BF79A2" w:rsidP="006F6DD6">
      <w:pPr>
        <w:pStyle w:val="Heading4"/>
        <w:spacing w:line="300" w:lineRule="auto"/>
      </w:pPr>
      <w:bookmarkStart w:id="263" w:name="_Toc386182130"/>
      <w:r>
        <w:t xml:space="preserve">Use of the CAISO </w:t>
      </w:r>
      <w:r w:rsidR="00C70DF4">
        <w:t>o</w:t>
      </w:r>
      <w:r>
        <w:t xml:space="preserve">utage </w:t>
      </w:r>
      <w:r w:rsidR="00C70DF4">
        <w:t>m</w:t>
      </w:r>
      <w:r>
        <w:t xml:space="preserve">anagement </w:t>
      </w:r>
      <w:r w:rsidR="00C70DF4">
        <w:t>s</w:t>
      </w:r>
      <w:r>
        <w:t>ystem</w:t>
      </w:r>
      <w:bookmarkEnd w:id="263"/>
      <w:r>
        <w:t xml:space="preserve"> </w:t>
      </w:r>
    </w:p>
    <w:p w14:paraId="15BE42D1" w14:textId="40861B65" w:rsidR="00BF79A2" w:rsidRDefault="008B53E8" w:rsidP="006F6DD6">
      <w:pPr>
        <w:pStyle w:val="ParaText"/>
      </w:pPr>
      <w:r>
        <w:t xml:space="preserve">The CAISO </w:t>
      </w:r>
      <w:r w:rsidR="00C70DF4">
        <w:t>o</w:t>
      </w:r>
      <w:r>
        <w:t xml:space="preserve">utage </w:t>
      </w:r>
      <w:r w:rsidR="00C70DF4">
        <w:t>m</w:t>
      </w:r>
      <w:r>
        <w:t xml:space="preserve">anagement </w:t>
      </w:r>
      <w:r w:rsidR="00C70DF4">
        <w:t>s</w:t>
      </w:r>
      <w:r w:rsidR="00BF79A2">
        <w:t xml:space="preserve">ystem is a secure software system that enables parties to interact with CAISO to complete the various transactions included in the </w:t>
      </w:r>
      <w:r w:rsidR="00C70DF4">
        <w:t>o</w:t>
      </w:r>
      <w:r w:rsidR="00BF79A2">
        <w:t xml:space="preserve">utage </w:t>
      </w:r>
      <w:r w:rsidR="00C70DF4">
        <w:t>m</w:t>
      </w:r>
      <w:r w:rsidR="00BF79A2">
        <w:t>anagement business process</w:t>
      </w:r>
      <w:r>
        <w:t xml:space="preserve">es. The </w:t>
      </w:r>
      <w:r w:rsidR="00B53E8D">
        <w:t xml:space="preserve">CAISO </w:t>
      </w:r>
      <w:r w:rsidR="00B53E8D" w:rsidRPr="00F51FA9">
        <w:t>outage management system</w:t>
      </w:r>
      <w:r w:rsidR="00BF79A2">
        <w:t xml:space="preserve"> includes a web client version for use by an individual and an Application Program Interface (API) version for use in computer-to-computer data transfers. Us</w:t>
      </w:r>
      <w:r>
        <w:t xml:space="preserve">ing the </w:t>
      </w:r>
      <w:r w:rsidR="00C70DF4">
        <w:t>o</w:t>
      </w:r>
      <w:r w:rsidR="006D77FD">
        <w:t xml:space="preserve">utage </w:t>
      </w:r>
      <w:r w:rsidR="00C70DF4">
        <w:t>m</w:t>
      </w:r>
      <w:r w:rsidR="006D77FD">
        <w:t xml:space="preserve">anagement </w:t>
      </w:r>
      <w:r w:rsidR="00C70DF4">
        <w:t>s</w:t>
      </w:r>
      <w:r w:rsidR="00BF79A2">
        <w:t xml:space="preserve">ystem, </w:t>
      </w:r>
      <w:r w:rsidR="00153940">
        <w:t>a WEIM</w:t>
      </w:r>
      <w:r w:rsidR="005F24C1">
        <w:t xml:space="preserve"> </w:t>
      </w:r>
      <w:r w:rsidR="00563036">
        <w:t>E</w:t>
      </w:r>
      <w:r w:rsidR="00BF79A2">
        <w:t>ntity or</w:t>
      </w:r>
      <w:r w:rsidR="005F24C1">
        <w:t xml:space="preserve"> WEIM </w:t>
      </w:r>
      <w:r w:rsidR="002556CA">
        <w:t xml:space="preserve">Entity </w:t>
      </w:r>
      <w:r w:rsidR="00BF79A2">
        <w:t>Scheduling Coordinator can perform the following functions:</w:t>
      </w:r>
    </w:p>
    <w:p w14:paraId="3F160B51" w14:textId="7432C4EB" w:rsidR="00BF79A2" w:rsidRDefault="00AA3392" w:rsidP="00E80005">
      <w:pPr>
        <w:pStyle w:val="ParaText"/>
        <w:numPr>
          <w:ilvl w:val="0"/>
          <w:numId w:val="22"/>
        </w:numPr>
        <w:spacing w:after="160" w:line="259" w:lineRule="auto"/>
      </w:pPr>
      <w:r>
        <w:t xml:space="preserve">Submit </w:t>
      </w:r>
      <w:r w:rsidR="00FD7318">
        <w:t xml:space="preserve">notification </w:t>
      </w:r>
      <w:r w:rsidR="00E96A39">
        <w:t>of new</w:t>
      </w:r>
      <w:r w:rsidR="00FD7318">
        <w:t xml:space="preserve"> approved</w:t>
      </w:r>
      <w:r w:rsidR="005F24C1">
        <w:t xml:space="preserve"> WEIM </w:t>
      </w:r>
      <w:r w:rsidR="00BF79A2">
        <w:t>Outage</w:t>
      </w:r>
      <w:r w:rsidR="00A64E95">
        <w:t>.</w:t>
      </w:r>
    </w:p>
    <w:p w14:paraId="4BBCEF87" w14:textId="77777777" w:rsidR="00BF79A2" w:rsidRDefault="00BF79A2" w:rsidP="00E80005">
      <w:pPr>
        <w:pStyle w:val="ParaText"/>
        <w:numPr>
          <w:ilvl w:val="0"/>
          <w:numId w:val="22"/>
        </w:numPr>
        <w:spacing w:after="160" w:line="259" w:lineRule="auto"/>
      </w:pPr>
      <w:r>
        <w:t xml:space="preserve">Receive confirmation of </w:t>
      </w:r>
      <w:r w:rsidR="00FD7318">
        <w:t>notification</w:t>
      </w:r>
      <w:r>
        <w:t xml:space="preserve"> from CAISO</w:t>
      </w:r>
      <w:r w:rsidR="00A64E95">
        <w:t>.</w:t>
      </w:r>
      <w:r>
        <w:t xml:space="preserve"> </w:t>
      </w:r>
    </w:p>
    <w:p w14:paraId="2A3DE45D" w14:textId="77777777" w:rsidR="00BF79A2" w:rsidRDefault="00BF79A2" w:rsidP="00E80005">
      <w:pPr>
        <w:pStyle w:val="ParaText"/>
        <w:numPr>
          <w:ilvl w:val="0"/>
          <w:numId w:val="22"/>
        </w:numPr>
        <w:spacing w:after="160" w:line="259" w:lineRule="auto"/>
      </w:pPr>
      <w:r>
        <w:t>Obtain status of an Outage</w:t>
      </w:r>
      <w:r w:rsidR="00A64E95">
        <w:t>.</w:t>
      </w:r>
    </w:p>
    <w:p w14:paraId="236E80DB" w14:textId="77777777" w:rsidR="00BF79A2" w:rsidRDefault="00BF79A2" w:rsidP="00E80005">
      <w:pPr>
        <w:pStyle w:val="ParaText"/>
        <w:numPr>
          <w:ilvl w:val="0"/>
          <w:numId w:val="22"/>
        </w:numPr>
        <w:spacing w:after="160" w:line="259" w:lineRule="auto"/>
      </w:pPr>
      <w:r>
        <w:t>Enter Outage Cause Codes (NERC GADS, reason for Outage)</w:t>
      </w:r>
      <w:r w:rsidR="00A64E95">
        <w:t>.</w:t>
      </w:r>
    </w:p>
    <w:p w14:paraId="61520675" w14:textId="77777777" w:rsidR="00BF79A2" w:rsidRDefault="00BF79A2" w:rsidP="00E80005">
      <w:pPr>
        <w:pStyle w:val="ParaText"/>
        <w:numPr>
          <w:ilvl w:val="0"/>
          <w:numId w:val="22"/>
        </w:numPr>
        <w:spacing w:after="160" w:line="259" w:lineRule="auto"/>
      </w:pPr>
      <w:r>
        <w:t>Update an Outage</w:t>
      </w:r>
      <w:r w:rsidR="00A64E95">
        <w:t>.</w:t>
      </w:r>
    </w:p>
    <w:p w14:paraId="22CE997C" w14:textId="6DBCBD41" w:rsidR="00BF79A2" w:rsidRDefault="00BF79A2" w:rsidP="00E80005">
      <w:pPr>
        <w:pStyle w:val="ParaText"/>
        <w:numPr>
          <w:ilvl w:val="0"/>
          <w:numId w:val="22"/>
        </w:numPr>
        <w:spacing w:after="160" w:line="259" w:lineRule="auto"/>
      </w:pPr>
      <w:r>
        <w:t>Search the database of completed, scheduled</w:t>
      </w:r>
      <w:r w:rsidR="00C26D8B">
        <w:t>,</w:t>
      </w:r>
      <w:r>
        <w:t xml:space="preserve"> or active Outages. This function allows </w:t>
      </w:r>
      <w:r w:rsidR="00153940">
        <w:t>a WEIM</w:t>
      </w:r>
      <w:r w:rsidR="005F24C1">
        <w:t xml:space="preserve"> </w:t>
      </w:r>
      <w:r w:rsidR="00F73DA7">
        <w:t>Entity</w:t>
      </w:r>
      <w:r w:rsidR="00FD7318">
        <w:t xml:space="preserve"> Scheduling Coordinator</w:t>
      </w:r>
      <w:r>
        <w:t xml:space="preserve"> to review only their data and not the data of other owners.  </w:t>
      </w:r>
    </w:p>
    <w:p w14:paraId="6AE301DC" w14:textId="77777777" w:rsidR="00BF79A2" w:rsidRDefault="00BF79A2" w:rsidP="00E80005">
      <w:pPr>
        <w:pStyle w:val="ParaText"/>
        <w:numPr>
          <w:ilvl w:val="0"/>
          <w:numId w:val="22"/>
        </w:numPr>
        <w:spacing w:after="160" w:line="259" w:lineRule="auto"/>
      </w:pPr>
      <w:r>
        <w:t xml:space="preserve">User instructions are available on the CAISO </w:t>
      </w:r>
      <w:r w:rsidR="00C26D8B">
        <w:t>w</w:t>
      </w:r>
      <w:r>
        <w:t>ebsite.</w:t>
      </w:r>
    </w:p>
    <w:p w14:paraId="21CB50A1" w14:textId="77777777" w:rsidR="00FC7FCD" w:rsidRPr="00D64F8E" w:rsidRDefault="00BF79A2" w:rsidP="006F6DD6">
      <w:pPr>
        <w:pStyle w:val="ParaText"/>
      </w:pPr>
      <w:r>
        <w:t xml:space="preserve">Other functions provided for in </w:t>
      </w:r>
      <w:r w:rsidR="00C26D8B">
        <w:t xml:space="preserve">the </w:t>
      </w:r>
      <w:r w:rsidR="00B53E8D">
        <w:t xml:space="preserve">CAISO </w:t>
      </w:r>
      <w:r w:rsidR="00B53E8D" w:rsidRPr="00F51FA9">
        <w:t>outage management system</w:t>
      </w:r>
      <w:r w:rsidR="00B53E8D">
        <w:t xml:space="preserve">  </w:t>
      </w:r>
      <w:r>
        <w:t xml:space="preserve">are listed in the </w:t>
      </w:r>
      <w:r w:rsidR="00B53E8D">
        <w:t xml:space="preserve">CAISO </w:t>
      </w:r>
      <w:r w:rsidR="00B53E8D" w:rsidRPr="00F51FA9">
        <w:t>outage management system</w:t>
      </w:r>
      <w:r w:rsidR="00196895">
        <w:t xml:space="preserve"> </w:t>
      </w:r>
      <w:r>
        <w:t xml:space="preserve">materials shown in </w:t>
      </w:r>
      <w:r w:rsidRPr="00BB16D7">
        <w:t>Section 1.</w:t>
      </w:r>
      <w:r w:rsidR="00196895">
        <w:t>3</w:t>
      </w:r>
      <w:r w:rsidRPr="00BB16D7">
        <w:t xml:space="preserve">, </w:t>
      </w:r>
      <w:r w:rsidRPr="00304DFF">
        <w:rPr>
          <w:i/>
        </w:rPr>
        <w:t>References</w:t>
      </w:r>
      <w:r w:rsidRPr="00BB16D7">
        <w:t>, of th</w:t>
      </w:r>
      <w:r w:rsidR="00DF2C32" w:rsidRPr="00834183">
        <w:t xml:space="preserve">e </w:t>
      </w:r>
      <w:hyperlink r:id="rId67" w:history="1">
        <w:r w:rsidR="00BB16D7" w:rsidRPr="00FC7FCD">
          <w:rPr>
            <w:rStyle w:val="Hyperlink"/>
            <w:b/>
          </w:rPr>
          <w:t>BPM for Outage Management</w:t>
        </w:r>
      </w:hyperlink>
      <w:r w:rsidR="00D64F8E">
        <w:t>.</w:t>
      </w:r>
    </w:p>
    <w:p w14:paraId="0FE10622" w14:textId="77777777" w:rsidR="006F1342" w:rsidRDefault="006F1342" w:rsidP="006F6DD6">
      <w:pPr>
        <w:pStyle w:val="Heading2"/>
        <w:spacing w:line="300" w:lineRule="auto"/>
      </w:pPr>
      <w:bookmarkStart w:id="264" w:name="_Toc386182131"/>
      <w:bookmarkStart w:id="265" w:name="_Toc389662598"/>
      <w:bookmarkStart w:id="266" w:name="_Toc390946279"/>
      <w:bookmarkStart w:id="267" w:name="_Toc391969840"/>
      <w:bookmarkStart w:id="268" w:name="_Toc229054486"/>
      <w:r>
        <w:t xml:space="preserve">Records </w:t>
      </w:r>
      <w:r w:rsidR="00C26D8B">
        <w:t>and</w:t>
      </w:r>
      <w:r>
        <w:t xml:space="preserve"> Reports</w:t>
      </w:r>
      <w:bookmarkEnd w:id="264"/>
      <w:bookmarkEnd w:id="265"/>
      <w:bookmarkEnd w:id="266"/>
      <w:bookmarkEnd w:id="267"/>
      <w:bookmarkEnd w:id="268"/>
    </w:p>
    <w:p w14:paraId="46B5116E" w14:textId="77777777" w:rsidR="006F1342" w:rsidRDefault="006F1342" w:rsidP="006F6DD6">
      <w:pPr>
        <w:pStyle w:val="ParaText"/>
      </w:pPr>
      <w:bookmarkStart w:id="269" w:name="_Toc386180557"/>
      <w:bookmarkStart w:id="270" w:name="_Toc386180558"/>
      <w:bookmarkStart w:id="271" w:name="_Toc386180559"/>
      <w:bookmarkStart w:id="272" w:name="_Toc386180560"/>
      <w:bookmarkStart w:id="273" w:name="_Toc386180561"/>
      <w:bookmarkStart w:id="274" w:name="_Toc386180562"/>
      <w:bookmarkStart w:id="275" w:name="_Toc386180563"/>
      <w:bookmarkStart w:id="276" w:name="_Toc386180564"/>
      <w:bookmarkEnd w:id="269"/>
      <w:bookmarkEnd w:id="270"/>
      <w:bookmarkEnd w:id="271"/>
      <w:bookmarkEnd w:id="272"/>
      <w:bookmarkEnd w:id="273"/>
      <w:bookmarkEnd w:id="274"/>
      <w:bookmarkEnd w:id="275"/>
      <w:bookmarkEnd w:id="276"/>
      <w:r>
        <w:t>In this section you will find the following information:</w:t>
      </w:r>
    </w:p>
    <w:p w14:paraId="2B6A82F4" w14:textId="77777777" w:rsidR="006F1342" w:rsidRDefault="00F73DA7" w:rsidP="00E80005">
      <w:pPr>
        <w:pStyle w:val="Bullet1HRt"/>
        <w:numPr>
          <w:ilvl w:val="0"/>
          <w:numId w:val="23"/>
        </w:numPr>
        <w:spacing w:after="160" w:line="259" w:lineRule="auto"/>
      </w:pPr>
      <w:r>
        <w:lastRenderedPageBreak/>
        <w:t>Availability</w:t>
      </w:r>
      <w:r w:rsidR="00C83D09">
        <w:t xml:space="preserve"> of and access to</w:t>
      </w:r>
      <w:r w:rsidR="006F1342">
        <w:t xml:space="preserve"> Outage records retention provided for by CAISO and the access provided to those records.</w:t>
      </w:r>
    </w:p>
    <w:p w14:paraId="302E83E3" w14:textId="77777777" w:rsidR="006F1342" w:rsidRDefault="006F1342" w:rsidP="00E80005">
      <w:pPr>
        <w:pStyle w:val="Bullet1HRt"/>
        <w:numPr>
          <w:ilvl w:val="0"/>
          <w:numId w:val="23"/>
        </w:numPr>
        <w:spacing w:after="160" w:line="259" w:lineRule="auto"/>
      </w:pPr>
      <w:r>
        <w:t>A description of the various reports re</w:t>
      </w:r>
      <w:r w:rsidR="009D507A">
        <w:t xml:space="preserve">lated to Outage Management that </w:t>
      </w:r>
      <w:r>
        <w:t>CAISO produces.</w:t>
      </w:r>
    </w:p>
    <w:p w14:paraId="03866C9E" w14:textId="77777777" w:rsidR="006F1342" w:rsidRDefault="00C83D09" w:rsidP="00E80005">
      <w:pPr>
        <w:pStyle w:val="Bullet1HRt"/>
        <w:numPr>
          <w:ilvl w:val="0"/>
          <w:numId w:val="23"/>
        </w:numPr>
        <w:spacing w:after="160" w:line="259" w:lineRule="auto"/>
      </w:pPr>
      <w:r>
        <w:t>Also r</w:t>
      </w:r>
      <w:r w:rsidR="006F1342">
        <w:t xml:space="preserve">efer to Tariff Sections 9.3, </w:t>
      </w:r>
      <w:r w:rsidR="006F1342" w:rsidRPr="00304DFF">
        <w:rPr>
          <w:i/>
        </w:rPr>
        <w:t>Coordination of Outages and Maintenance</w:t>
      </w:r>
      <w:r w:rsidR="00C26D8B">
        <w:t>;</w:t>
      </w:r>
      <w:r w:rsidR="006F1342">
        <w:t xml:space="preserve"> and 9.5, </w:t>
      </w:r>
      <w:r w:rsidR="006F1342" w:rsidRPr="00304DFF">
        <w:rPr>
          <w:i/>
        </w:rPr>
        <w:t>Records</w:t>
      </w:r>
      <w:r w:rsidR="006F1342">
        <w:t>.</w:t>
      </w:r>
    </w:p>
    <w:p w14:paraId="57019202" w14:textId="77777777" w:rsidR="006F1342" w:rsidRPr="006F1342" w:rsidRDefault="004B4ED2" w:rsidP="006F6DD6">
      <w:pPr>
        <w:pStyle w:val="Heading3"/>
        <w:spacing w:line="300" w:lineRule="auto"/>
      </w:pPr>
      <w:bookmarkStart w:id="277" w:name="_Toc386182133"/>
      <w:bookmarkStart w:id="278" w:name="_Toc389662599"/>
      <w:bookmarkStart w:id="279" w:name="_Toc390946280"/>
      <w:bookmarkStart w:id="280" w:name="_Toc391969841"/>
      <w:bookmarkStart w:id="281" w:name="_Toc229054487"/>
      <w:r>
        <w:t>Records of A</w:t>
      </w:r>
      <w:r w:rsidR="006F1342" w:rsidRPr="006F1342">
        <w:t>pproved Maintenance Outages</w:t>
      </w:r>
      <w:bookmarkEnd w:id="277"/>
      <w:bookmarkEnd w:id="278"/>
      <w:bookmarkEnd w:id="279"/>
      <w:bookmarkEnd w:id="280"/>
      <w:bookmarkEnd w:id="281"/>
      <w:r w:rsidR="006F1342" w:rsidRPr="006F1342">
        <w:t xml:space="preserve"> </w:t>
      </w:r>
    </w:p>
    <w:p w14:paraId="724B41CC" w14:textId="47B58063" w:rsidR="00BA2E6E" w:rsidRDefault="00C26D8B" w:rsidP="006774F5">
      <w:pPr>
        <w:pStyle w:val="ParaText"/>
      </w:pPr>
      <w:r>
        <w:t xml:space="preserve">The </w:t>
      </w:r>
      <w:r w:rsidR="006F1342">
        <w:t xml:space="preserve">CAISO </w:t>
      </w:r>
      <w:r w:rsidR="004B4ED2">
        <w:t>OCO maintains a record of each a</w:t>
      </w:r>
      <w:r w:rsidR="006F1342">
        <w:t xml:space="preserve">pproved Maintenance Outage as it is implemented. Such records are available for inspection at </w:t>
      </w:r>
      <w:r>
        <w:t xml:space="preserve">the </w:t>
      </w:r>
      <w:r w:rsidR="006F1342">
        <w:t>CAISO OCO by</w:t>
      </w:r>
      <w:r w:rsidR="005F24C1">
        <w:t xml:space="preserve"> WEIM </w:t>
      </w:r>
      <w:r w:rsidR="00FD7318">
        <w:t>En</w:t>
      </w:r>
      <w:r w:rsidR="00F73DA7">
        <w:t>t</w:t>
      </w:r>
      <w:r w:rsidR="00FD7318">
        <w:t>it</w:t>
      </w:r>
      <w:r w:rsidR="00F73DA7">
        <w:t>i</w:t>
      </w:r>
      <w:r w:rsidR="00FD7318">
        <w:t xml:space="preserve">es </w:t>
      </w:r>
      <w:r w:rsidR="006F1342">
        <w:t xml:space="preserve">or their designated representatives. Only those records pertaining to the equipment or facilities owned by the </w:t>
      </w:r>
      <w:r w:rsidR="00A423DD">
        <w:t>f</w:t>
      </w:r>
      <w:r w:rsidR="006F1342">
        <w:t xml:space="preserve">acility </w:t>
      </w:r>
      <w:r w:rsidR="00A423DD">
        <w:t>o</w:t>
      </w:r>
      <w:r w:rsidR="006F1342">
        <w:t xml:space="preserve">wner are made available for inspection at </w:t>
      </w:r>
      <w:r>
        <w:t xml:space="preserve">the </w:t>
      </w:r>
      <w:r w:rsidR="006F1342">
        <w:t>CAISO OCO</w:t>
      </w:r>
      <w:r w:rsidR="0017604F">
        <w:t xml:space="preserve"> </w:t>
      </w:r>
      <w:r w:rsidR="00C83D09">
        <w:t xml:space="preserve">with </w:t>
      </w:r>
      <w:r w:rsidR="006F1342">
        <w:t>notice at least 15 days in advance of the requested inspection date.</w:t>
      </w:r>
    </w:p>
    <w:p w14:paraId="4C281E9A" w14:textId="77777777" w:rsidR="00427F97" w:rsidRPr="00427F97" w:rsidRDefault="00427F97" w:rsidP="006774F5">
      <w:pPr>
        <w:pStyle w:val="ParaText"/>
      </w:pPr>
    </w:p>
    <w:p w14:paraId="3A2ADE93" w14:textId="77777777" w:rsidR="007A0CF0" w:rsidRPr="007A0CF0" w:rsidRDefault="002E46E9" w:rsidP="002748DA">
      <w:pPr>
        <w:pStyle w:val="Heading1"/>
      </w:pPr>
      <w:bookmarkStart w:id="282" w:name="_Toc390765950"/>
      <w:bookmarkStart w:id="283" w:name="_Toc390778419"/>
      <w:bookmarkStart w:id="284" w:name="_Toc390779397"/>
      <w:bookmarkStart w:id="285" w:name="_Toc390782210"/>
      <w:bookmarkStart w:id="286" w:name="_Toc390871682"/>
      <w:bookmarkStart w:id="287" w:name="_Toc390871739"/>
      <w:bookmarkStart w:id="288" w:name="_Toc390871796"/>
      <w:bookmarkStart w:id="289" w:name="_Toc390765953"/>
      <w:bookmarkStart w:id="290" w:name="_Toc390778422"/>
      <w:bookmarkStart w:id="291" w:name="_Toc390779400"/>
      <w:bookmarkStart w:id="292" w:name="_Toc390782213"/>
      <w:bookmarkStart w:id="293" w:name="_Toc390871685"/>
      <w:bookmarkStart w:id="294" w:name="_Toc390871742"/>
      <w:bookmarkStart w:id="295" w:name="_Toc390871799"/>
      <w:bookmarkStart w:id="296" w:name="_Toc389662601"/>
      <w:bookmarkStart w:id="297" w:name="_Toc391969842"/>
      <w:bookmarkStart w:id="298" w:name="_Toc229054488"/>
      <w:bookmarkStart w:id="299" w:name="_Toc390946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CC3ADB">
        <w:t>MARKET OPERATIONS</w:t>
      </w:r>
      <w:bookmarkEnd w:id="296"/>
      <w:bookmarkEnd w:id="297"/>
      <w:bookmarkEnd w:id="298"/>
    </w:p>
    <w:p w14:paraId="19A98512" w14:textId="344ABB34" w:rsidR="00304DFF" w:rsidRDefault="00503DF8" w:rsidP="00A14044">
      <w:pPr>
        <w:pStyle w:val="ParaText"/>
      </w:pPr>
      <w:r w:rsidRPr="007A0CF0">
        <w:t xml:space="preserve"> </w:t>
      </w:r>
      <w:bookmarkEnd w:id="299"/>
      <w:r w:rsidR="00A14044">
        <w:t xml:space="preserve">Welcome to the </w:t>
      </w:r>
      <w:r w:rsidR="00A14044" w:rsidRPr="00172436">
        <w:rPr>
          <w:i/>
        </w:rPr>
        <w:t>Market Operations</w:t>
      </w:r>
      <w:r w:rsidR="00A14044">
        <w:t xml:space="preserve"> section of the BPM </w:t>
      </w:r>
      <w:r w:rsidR="004813C9" w:rsidRPr="00A14044">
        <w:t>for the</w:t>
      </w:r>
      <w:r w:rsidR="00A14044">
        <w:t xml:space="preserve"> </w:t>
      </w:r>
      <w:r w:rsidR="005F24C1">
        <w:t>Western Energy Imbalance Market</w:t>
      </w:r>
      <w:r w:rsidR="00A14044">
        <w:t xml:space="preserve">.  </w:t>
      </w:r>
      <w:r w:rsidR="00304DFF">
        <w:t>In t</w:t>
      </w:r>
      <w:r w:rsidR="00A14044">
        <w:t>his section</w:t>
      </w:r>
      <w:r w:rsidR="00A14044" w:rsidRPr="00A14044">
        <w:t xml:space="preserve"> </w:t>
      </w:r>
      <w:r w:rsidR="00304DFF">
        <w:t>you will find the following information:</w:t>
      </w:r>
    </w:p>
    <w:p w14:paraId="1762CAF3" w14:textId="77777777" w:rsidR="00C0019A" w:rsidRDefault="00C0019A" w:rsidP="00E80005">
      <w:pPr>
        <w:pStyle w:val="ParaText"/>
        <w:numPr>
          <w:ilvl w:val="0"/>
          <w:numId w:val="38"/>
        </w:numPr>
        <w:spacing w:after="160" w:line="259" w:lineRule="auto"/>
        <w:ind w:left="778"/>
      </w:pPr>
      <w:r>
        <w:t xml:space="preserve">Summary of </w:t>
      </w:r>
      <w:r w:rsidR="00A14044" w:rsidRPr="00A14044">
        <w:t xml:space="preserve">the </w:t>
      </w:r>
      <w:r w:rsidR="00A14044">
        <w:t>EIM-</w:t>
      </w:r>
      <w:r w:rsidR="004813C9">
        <w:t>specific</w:t>
      </w:r>
      <w:r w:rsidR="00A14044">
        <w:t xml:space="preserve"> </w:t>
      </w:r>
      <w:r w:rsidR="00A14044" w:rsidRPr="00A14044">
        <w:t>rules, design, operational el</w:t>
      </w:r>
      <w:r w:rsidR="00A14044">
        <w:t>ements</w:t>
      </w:r>
      <w:r w:rsidR="00F31E60">
        <w:t>, and separation procedures</w:t>
      </w:r>
      <w:r w:rsidR="004538FE">
        <w:t xml:space="preserve"> of the CAISO m</w:t>
      </w:r>
      <w:r w:rsidR="00A14044">
        <w:t xml:space="preserve">arkets. </w:t>
      </w:r>
    </w:p>
    <w:p w14:paraId="441083B9" w14:textId="77777777" w:rsidR="00A14044" w:rsidRPr="00A14044" w:rsidRDefault="00C0019A" w:rsidP="00E80005">
      <w:pPr>
        <w:pStyle w:val="ParaText"/>
        <w:numPr>
          <w:ilvl w:val="0"/>
          <w:numId w:val="38"/>
        </w:numPr>
        <w:spacing w:after="160" w:line="259" w:lineRule="auto"/>
        <w:ind w:left="778"/>
      </w:pPr>
      <w:r>
        <w:t xml:space="preserve">Operations information </w:t>
      </w:r>
      <w:r w:rsidR="00A14044" w:rsidRPr="00A14044">
        <w:t xml:space="preserve">for those entities that expect to participate in the </w:t>
      </w:r>
      <w:r w:rsidR="00A14044">
        <w:t>EIM</w:t>
      </w:r>
      <w:r w:rsidR="00A14044" w:rsidRPr="00A14044">
        <w:t xml:space="preserve">, as well as those entities that </w:t>
      </w:r>
      <w:r w:rsidR="005E21D3">
        <w:t>interface with the EIM</w:t>
      </w:r>
      <w:r w:rsidR="00A14044" w:rsidRPr="00A14044">
        <w:t xml:space="preserve">. </w:t>
      </w:r>
    </w:p>
    <w:p w14:paraId="489A39EE" w14:textId="5BEB3261" w:rsidR="007B4B61" w:rsidRPr="007A0CF0" w:rsidRDefault="005E21D3" w:rsidP="00A14044">
      <w:pPr>
        <w:pStyle w:val="ParaText"/>
      </w:pPr>
      <w:r>
        <w:t>The operation of the</w:t>
      </w:r>
      <w:r w:rsidR="005F24C1">
        <w:t xml:space="preserve"> WEIM </w:t>
      </w:r>
      <w:r>
        <w:t>and the regular CAISO market are similar in many ways.  Rather than repeat the description of those portions which are the same between markets, this section describes only the EIM-</w:t>
      </w:r>
      <w:r w:rsidR="00386114">
        <w:t>s</w:t>
      </w:r>
      <w:r>
        <w:t>pecific implementation details and the differences from the regular CAISO market.  Therefore, it is recommended that the reader review the</w:t>
      </w:r>
      <w:r w:rsidR="00AC2E40">
        <w:t xml:space="preserve"> </w:t>
      </w:r>
      <w:hyperlink r:id="rId68" w:history="1">
        <w:r w:rsidRPr="00E41853">
          <w:rPr>
            <w:rStyle w:val="Hyperlink"/>
            <w:b/>
          </w:rPr>
          <w:t>BPM for Market Instruments</w:t>
        </w:r>
      </w:hyperlink>
      <w:r>
        <w:t xml:space="preserve"> and the </w:t>
      </w:r>
      <w:hyperlink r:id="rId69" w:history="1">
        <w:r w:rsidRPr="00E41853">
          <w:rPr>
            <w:rStyle w:val="Hyperlink"/>
            <w:b/>
          </w:rPr>
          <w:t>BPM for Market Operations</w:t>
        </w:r>
      </w:hyperlink>
      <w:r>
        <w:t xml:space="preserve"> prior to reading this section.</w:t>
      </w:r>
    </w:p>
    <w:p w14:paraId="5FAD449D" w14:textId="77777777" w:rsidR="007A0CF0" w:rsidRPr="007A0CF0" w:rsidRDefault="008817D0" w:rsidP="001A6FA0">
      <w:pPr>
        <w:pStyle w:val="Heading2"/>
      </w:pPr>
      <w:bookmarkStart w:id="300" w:name="_Toc388005977"/>
      <w:bookmarkStart w:id="301" w:name="_Toc388006324"/>
      <w:bookmarkStart w:id="302" w:name="_Toc388019376"/>
      <w:bookmarkStart w:id="303" w:name="_Toc388019867"/>
      <w:bookmarkStart w:id="304" w:name="_Toc389662602"/>
      <w:bookmarkStart w:id="305" w:name="_Toc391969843"/>
      <w:bookmarkStart w:id="306" w:name="_Toc229054489"/>
      <w:bookmarkStart w:id="307" w:name="_Toc390946282"/>
      <w:bookmarkEnd w:id="300"/>
      <w:bookmarkEnd w:id="301"/>
      <w:bookmarkEnd w:id="302"/>
      <w:bookmarkEnd w:id="303"/>
      <w:r w:rsidRPr="002748DA">
        <w:t>About the Market</w:t>
      </w:r>
      <w:bookmarkEnd w:id="304"/>
      <w:bookmarkEnd w:id="305"/>
      <w:bookmarkEnd w:id="306"/>
    </w:p>
    <w:p w14:paraId="40B2229B" w14:textId="195E909A" w:rsidR="00312277" w:rsidRDefault="007A0CF0" w:rsidP="007A0CF0">
      <w:pPr>
        <w:pStyle w:val="ParaText"/>
      </w:pPr>
      <w:bookmarkStart w:id="308" w:name="_Toc389662603"/>
      <w:bookmarkEnd w:id="307"/>
      <w:r w:rsidRPr="007A0CF0">
        <w:t xml:space="preserve">This </w:t>
      </w:r>
      <w:r>
        <w:t xml:space="preserve">section is intended to describe </w:t>
      </w:r>
      <w:r w:rsidR="00A14044">
        <w:t>the</w:t>
      </w:r>
      <w:r>
        <w:t xml:space="preserve"> features of the EIM</w:t>
      </w:r>
      <w:r w:rsidR="00312277">
        <w:t>.</w:t>
      </w:r>
    </w:p>
    <w:p w14:paraId="152E1D1F" w14:textId="5BDE3611" w:rsidR="007A0CF0" w:rsidRPr="007A0CF0" w:rsidRDefault="00312277" w:rsidP="00877DDB">
      <w:pPr>
        <w:pStyle w:val="ParaText"/>
        <w:tabs>
          <w:tab w:val="right" w:pos="9360"/>
        </w:tabs>
      </w:pPr>
      <w:r>
        <w:lastRenderedPageBreak/>
        <w:tab/>
      </w:r>
    </w:p>
    <w:p w14:paraId="251FD8D3" w14:textId="77777777" w:rsidR="007445EB" w:rsidRPr="008817D0" w:rsidRDefault="007445EB" w:rsidP="007445EB">
      <w:pPr>
        <w:pStyle w:val="Heading3"/>
        <w:rPr>
          <w:rFonts w:eastAsia="Calibri"/>
        </w:rPr>
      </w:pPr>
      <w:bookmarkStart w:id="309" w:name="_Toc391969844"/>
      <w:bookmarkStart w:id="310" w:name="_Toc229054490"/>
      <w:r w:rsidRPr="008817D0">
        <w:rPr>
          <w:rFonts w:eastAsia="Calibri"/>
        </w:rPr>
        <w:t>Ancillary Services</w:t>
      </w:r>
      <w:bookmarkEnd w:id="309"/>
      <w:bookmarkEnd w:id="310"/>
      <w:r w:rsidRPr="008817D0">
        <w:rPr>
          <w:rFonts w:eastAsia="Calibri"/>
        </w:rPr>
        <w:tab/>
      </w:r>
      <w:r w:rsidRPr="008817D0">
        <w:rPr>
          <w:rFonts w:eastAsia="Calibri"/>
        </w:rPr>
        <w:tab/>
      </w:r>
    </w:p>
    <w:p w14:paraId="51CDD0B9" w14:textId="4C1177D4" w:rsidR="003F65BA" w:rsidRDefault="00CF1AB9" w:rsidP="003F65BA">
      <w:pPr>
        <w:pStyle w:val="ParaText"/>
      </w:pPr>
      <w:bookmarkStart w:id="311" w:name="_Toc390352501"/>
      <w:bookmarkStart w:id="312" w:name="_Toc390353478"/>
      <w:bookmarkStart w:id="313" w:name="_Toc390355428"/>
      <w:bookmarkStart w:id="314" w:name="_Toc390436092"/>
      <w:bookmarkStart w:id="315" w:name="_Toc390673383"/>
      <w:bookmarkStart w:id="316" w:name="_Toc390689657"/>
      <w:bookmarkStart w:id="317" w:name="_Toc390696662"/>
      <w:bookmarkStart w:id="318" w:name="_Toc390759676"/>
      <w:bookmarkStart w:id="319" w:name="_Toc390764432"/>
      <w:bookmarkStart w:id="320" w:name="_Toc390765961"/>
      <w:bookmarkStart w:id="321" w:name="_Toc390778430"/>
      <w:bookmarkStart w:id="322" w:name="_Toc390779408"/>
      <w:bookmarkStart w:id="323" w:name="_Toc390782221"/>
      <w:bookmarkStart w:id="324" w:name="_Toc390352502"/>
      <w:bookmarkStart w:id="325" w:name="_Toc390353479"/>
      <w:bookmarkStart w:id="326" w:name="_Toc390355429"/>
      <w:bookmarkStart w:id="327" w:name="_Toc390436093"/>
      <w:bookmarkStart w:id="328" w:name="_Toc390673384"/>
      <w:bookmarkStart w:id="329" w:name="_Toc390689658"/>
      <w:bookmarkStart w:id="330" w:name="_Toc390696663"/>
      <w:bookmarkStart w:id="331" w:name="_Toc390759677"/>
      <w:bookmarkStart w:id="332" w:name="_Toc390764433"/>
      <w:bookmarkStart w:id="333" w:name="_Toc390765962"/>
      <w:bookmarkStart w:id="334" w:name="_Toc390778431"/>
      <w:bookmarkStart w:id="335" w:name="_Toc390779409"/>
      <w:bookmarkStart w:id="336" w:name="_Toc390782222"/>
      <w:bookmarkStart w:id="337" w:name="_Toc390352503"/>
      <w:bookmarkStart w:id="338" w:name="_Toc390353480"/>
      <w:bookmarkStart w:id="339" w:name="_Toc390355430"/>
      <w:bookmarkStart w:id="340" w:name="_Toc390436094"/>
      <w:bookmarkStart w:id="341" w:name="_Toc390673385"/>
      <w:bookmarkStart w:id="342" w:name="_Toc390689659"/>
      <w:bookmarkStart w:id="343" w:name="_Toc390696664"/>
      <w:bookmarkStart w:id="344" w:name="_Toc390759678"/>
      <w:bookmarkStart w:id="345" w:name="_Toc390764434"/>
      <w:bookmarkStart w:id="346" w:name="_Toc390765963"/>
      <w:bookmarkStart w:id="347" w:name="_Toc390778432"/>
      <w:bookmarkStart w:id="348" w:name="_Toc390779410"/>
      <w:bookmarkStart w:id="349" w:name="_Toc390782223"/>
      <w:bookmarkStart w:id="350" w:name="_Toc390352505"/>
      <w:bookmarkStart w:id="351" w:name="_Toc390353482"/>
      <w:bookmarkStart w:id="352" w:name="_Toc390355432"/>
      <w:bookmarkStart w:id="353" w:name="_Toc390436096"/>
      <w:bookmarkStart w:id="354" w:name="_Toc390673387"/>
      <w:bookmarkStart w:id="355" w:name="_Toc390689661"/>
      <w:bookmarkStart w:id="356" w:name="_Toc390696666"/>
      <w:bookmarkStart w:id="357" w:name="_Toc390759680"/>
      <w:bookmarkStart w:id="358" w:name="_Toc390764436"/>
      <w:bookmarkStart w:id="359" w:name="_Toc390765965"/>
      <w:bookmarkStart w:id="360" w:name="_Toc390778434"/>
      <w:bookmarkStart w:id="361" w:name="_Toc390779412"/>
      <w:bookmarkStart w:id="362" w:name="_Toc390782225"/>
      <w:bookmarkStart w:id="363" w:name="_Toc390352533"/>
      <w:bookmarkStart w:id="364" w:name="_Toc390353510"/>
      <w:bookmarkStart w:id="365" w:name="_Toc390355460"/>
      <w:bookmarkStart w:id="366" w:name="_Toc390436124"/>
      <w:bookmarkStart w:id="367" w:name="_Toc390673415"/>
      <w:bookmarkStart w:id="368" w:name="_Toc390689689"/>
      <w:bookmarkStart w:id="369" w:name="_Toc390696694"/>
      <w:bookmarkStart w:id="370" w:name="_Toc390759708"/>
      <w:bookmarkStart w:id="371" w:name="_Toc390764464"/>
      <w:bookmarkStart w:id="372" w:name="_Toc390765993"/>
      <w:bookmarkStart w:id="373" w:name="_Toc390778462"/>
      <w:bookmarkStart w:id="374" w:name="_Toc390779440"/>
      <w:bookmarkStart w:id="375" w:name="_Toc390782253"/>
      <w:bookmarkStart w:id="376" w:name="_Toc390352554"/>
      <w:bookmarkStart w:id="377" w:name="_Toc390353531"/>
      <w:bookmarkStart w:id="378" w:name="_Toc390355481"/>
      <w:bookmarkStart w:id="379" w:name="_Toc390436145"/>
      <w:bookmarkStart w:id="380" w:name="_Toc390673436"/>
      <w:bookmarkStart w:id="381" w:name="_Toc390689710"/>
      <w:bookmarkStart w:id="382" w:name="_Toc390696715"/>
      <w:bookmarkStart w:id="383" w:name="_Toc390759729"/>
      <w:bookmarkStart w:id="384" w:name="_Toc390764485"/>
      <w:bookmarkStart w:id="385" w:name="_Toc390766014"/>
      <w:bookmarkStart w:id="386" w:name="_Toc390778483"/>
      <w:bookmarkStart w:id="387" w:name="_Toc390779461"/>
      <w:bookmarkStart w:id="388" w:name="_Toc390782274"/>
      <w:bookmarkStart w:id="389" w:name="_Toc390352572"/>
      <w:bookmarkStart w:id="390" w:name="_Toc390353549"/>
      <w:bookmarkStart w:id="391" w:name="_Toc390355499"/>
      <w:bookmarkStart w:id="392" w:name="_Toc390436163"/>
      <w:bookmarkStart w:id="393" w:name="_Toc390673454"/>
      <w:bookmarkStart w:id="394" w:name="_Toc390689728"/>
      <w:bookmarkStart w:id="395" w:name="_Toc390696733"/>
      <w:bookmarkStart w:id="396" w:name="_Toc390759747"/>
      <w:bookmarkStart w:id="397" w:name="_Toc390764503"/>
      <w:bookmarkStart w:id="398" w:name="_Toc390766032"/>
      <w:bookmarkStart w:id="399" w:name="_Toc390778501"/>
      <w:bookmarkStart w:id="400" w:name="_Toc390779479"/>
      <w:bookmarkStart w:id="401" w:name="_Toc390782292"/>
      <w:bookmarkStart w:id="402" w:name="_Toc390352600"/>
      <w:bookmarkStart w:id="403" w:name="_Toc390353577"/>
      <w:bookmarkStart w:id="404" w:name="_Toc390355527"/>
      <w:bookmarkStart w:id="405" w:name="_Toc390436191"/>
      <w:bookmarkStart w:id="406" w:name="_Toc390673482"/>
      <w:bookmarkStart w:id="407" w:name="_Toc390689756"/>
      <w:bookmarkStart w:id="408" w:name="_Toc390696761"/>
      <w:bookmarkStart w:id="409" w:name="_Toc390759775"/>
      <w:bookmarkStart w:id="410" w:name="_Toc390764531"/>
      <w:bookmarkStart w:id="411" w:name="_Toc390766060"/>
      <w:bookmarkStart w:id="412" w:name="_Toc390778529"/>
      <w:bookmarkStart w:id="413" w:name="_Toc390779507"/>
      <w:bookmarkStart w:id="414" w:name="_Toc390782320"/>
      <w:bookmarkStart w:id="415" w:name="_Toc390352602"/>
      <w:bookmarkStart w:id="416" w:name="_Toc390353579"/>
      <w:bookmarkStart w:id="417" w:name="_Toc390355529"/>
      <w:bookmarkStart w:id="418" w:name="_Toc390436193"/>
      <w:bookmarkStart w:id="419" w:name="_Toc390673484"/>
      <w:bookmarkStart w:id="420" w:name="_Toc390689758"/>
      <w:bookmarkStart w:id="421" w:name="_Toc390696763"/>
      <w:bookmarkStart w:id="422" w:name="_Toc390759777"/>
      <w:bookmarkStart w:id="423" w:name="_Toc390764533"/>
      <w:bookmarkStart w:id="424" w:name="_Toc390766062"/>
      <w:bookmarkStart w:id="425" w:name="_Toc390778531"/>
      <w:bookmarkStart w:id="426" w:name="_Toc390779509"/>
      <w:bookmarkStart w:id="427" w:name="_Toc390782322"/>
      <w:bookmarkStart w:id="428" w:name="_Toc390352603"/>
      <w:bookmarkStart w:id="429" w:name="_Toc390353580"/>
      <w:bookmarkStart w:id="430" w:name="_Toc390355530"/>
      <w:bookmarkStart w:id="431" w:name="_Toc390436194"/>
      <w:bookmarkStart w:id="432" w:name="_Toc390673485"/>
      <w:bookmarkStart w:id="433" w:name="_Toc390689759"/>
      <w:bookmarkStart w:id="434" w:name="_Toc390696764"/>
      <w:bookmarkStart w:id="435" w:name="_Toc390759778"/>
      <w:bookmarkStart w:id="436" w:name="_Toc390764534"/>
      <w:bookmarkStart w:id="437" w:name="_Toc390766063"/>
      <w:bookmarkStart w:id="438" w:name="_Toc390778532"/>
      <w:bookmarkStart w:id="439" w:name="_Toc390779510"/>
      <w:bookmarkStart w:id="440" w:name="_Toc390782323"/>
      <w:bookmarkStart w:id="441" w:name="_Toc390352604"/>
      <w:bookmarkStart w:id="442" w:name="_Toc390353581"/>
      <w:bookmarkStart w:id="443" w:name="_Toc390355531"/>
      <w:bookmarkStart w:id="444" w:name="_Toc390436195"/>
      <w:bookmarkStart w:id="445" w:name="_Toc390673486"/>
      <w:bookmarkStart w:id="446" w:name="_Toc390689760"/>
      <w:bookmarkStart w:id="447" w:name="_Toc390696765"/>
      <w:bookmarkStart w:id="448" w:name="_Toc390759779"/>
      <w:bookmarkStart w:id="449" w:name="_Toc390764535"/>
      <w:bookmarkStart w:id="450" w:name="_Toc390766064"/>
      <w:bookmarkStart w:id="451" w:name="_Toc390778533"/>
      <w:bookmarkStart w:id="452" w:name="_Toc390779511"/>
      <w:bookmarkStart w:id="453" w:name="_Toc390782324"/>
      <w:bookmarkStart w:id="454" w:name="_Toc390352617"/>
      <w:bookmarkStart w:id="455" w:name="_Toc390353594"/>
      <w:bookmarkStart w:id="456" w:name="_Toc390355544"/>
      <w:bookmarkStart w:id="457" w:name="_Toc390436208"/>
      <w:bookmarkStart w:id="458" w:name="_Toc390673499"/>
      <w:bookmarkStart w:id="459" w:name="_Toc390689773"/>
      <w:bookmarkStart w:id="460" w:name="_Toc390696778"/>
      <w:bookmarkStart w:id="461" w:name="_Toc390759792"/>
      <w:bookmarkStart w:id="462" w:name="_Toc390764548"/>
      <w:bookmarkStart w:id="463" w:name="_Toc390766077"/>
      <w:bookmarkStart w:id="464" w:name="_Toc390778546"/>
      <w:bookmarkStart w:id="465" w:name="_Toc390779524"/>
      <w:bookmarkStart w:id="466" w:name="_Toc390782337"/>
      <w:bookmarkStart w:id="467" w:name="_Toc390352660"/>
      <w:bookmarkStart w:id="468" w:name="_Toc390353637"/>
      <w:bookmarkStart w:id="469" w:name="_Toc390355587"/>
      <w:bookmarkStart w:id="470" w:name="_Toc390436251"/>
      <w:bookmarkStart w:id="471" w:name="_Toc390673542"/>
      <w:bookmarkStart w:id="472" w:name="_Toc390689816"/>
      <w:bookmarkStart w:id="473" w:name="_Toc390696821"/>
      <w:bookmarkStart w:id="474" w:name="_Toc390759835"/>
      <w:bookmarkStart w:id="475" w:name="_Toc390764591"/>
      <w:bookmarkStart w:id="476" w:name="_Toc390766120"/>
      <w:bookmarkStart w:id="477" w:name="_Toc390778589"/>
      <w:bookmarkStart w:id="478" w:name="_Toc390779567"/>
      <w:bookmarkStart w:id="479" w:name="_Toc390782380"/>
      <w:bookmarkStart w:id="480" w:name="_Toc390352679"/>
      <w:bookmarkStart w:id="481" w:name="_Toc390353656"/>
      <w:bookmarkStart w:id="482" w:name="_Toc390355606"/>
      <w:bookmarkStart w:id="483" w:name="_Toc390436270"/>
      <w:bookmarkStart w:id="484" w:name="_Toc390673561"/>
      <w:bookmarkStart w:id="485" w:name="_Toc390689835"/>
      <w:bookmarkStart w:id="486" w:name="_Toc390696840"/>
      <w:bookmarkStart w:id="487" w:name="_Toc390759854"/>
      <w:bookmarkStart w:id="488" w:name="_Toc390764610"/>
      <w:bookmarkStart w:id="489" w:name="_Toc390766139"/>
      <w:bookmarkStart w:id="490" w:name="_Toc390778608"/>
      <w:bookmarkStart w:id="491" w:name="_Toc390779586"/>
      <w:bookmarkStart w:id="492" w:name="_Toc390782399"/>
      <w:bookmarkStart w:id="493" w:name="_Toc390352688"/>
      <w:bookmarkStart w:id="494" w:name="_Toc390353665"/>
      <w:bookmarkStart w:id="495" w:name="_Toc390355615"/>
      <w:bookmarkStart w:id="496" w:name="_Toc390436279"/>
      <w:bookmarkStart w:id="497" w:name="_Toc390673570"/>
      <w:bookmarkStart w:id="498" w:name="_Toc390689844"/>
      <w:bookmarkStart w:id="499" w:name="_Toc390696849"/>
      <w:bookmarkStart w:id="500" w:name="_Toc390759863"/>
      <w:bookmarkStart w:id="501" w:name="_Toc390764619"/>
      <w:bookmarkStart w:id="502" w:name="_Toc390766148"/>
      <w:bookmarkStart w:id="503" w:name="_Toc390778617"/>
      <w:bookmarkStart w:id="504" w:name="_Toc390779595"/>
      <w:bookmarkStart w:id="505" w:name="_Toc390782408"/>
      <w:bookmarkStart w:id="506" w:name="_Toc390352697"/>
      <w:bookmarkStart w:id="507" w:name="_Toc390353674"/>
      <w:bookmarkStart w:id="508" w:name="_Toc390355624"/>
      <w:bookmarkStart w:id="509" w:name="_Toc390436288"/>
      <w:bookmarkStart w:id="510" w:name="_Toc390673579"/>
      <w:bookmarkStart w:id="511" w:name="_Toc390689853"/>
      <w:bookmarkStart w:id="512" w:name="_Toc390696858"/>
      <w:bookmarkStart w:id="513" w:name="_Toc390759872"/>
      <w:bookmarkStart w:id="514" w:name="_Toc390764628"/>
      <w:bookmarkStart w:id="515" w:name="_Toc390766157"/>
      <w:bookmarkStart w:id="516" w:name="_Toc390778626"/>
      <w:bookmarkStart w:id="517" w:name="_Toc390779604"/>
      <w:bookmarkStart w:id="518" w:name="_Toc390782417"/>
      <w:bookmarkStart w:id="519" w:name="_Toc390352706"/>
      <w:bookmarkStart w:id="520" w:name="_Toc390353683"/>
      <w:bookmarkStart w:id="521" w:name="_Toc390355633"/>
      <w:bookmarkStart w:id="522" w:name="_Toc390436297"/>
      <w:bookmarkStart w:id="523" w:name="_Toc390673588"/>
      <w:bookmarkStart w:id="524" w:name="_Toc390689862"/>
      <w:bookmarkStart w:id="525" w:name="_Toc390696867"/>
      <w:bookmarkStart w:id="526" w:name="_Toc390759881"/>
      <w:bookmarkStart w:id="527" w:name="_Toc390764637"/>
      <w:bookmarkStart w:id="528" w:name="_Toc390766166"/>
      <w:bookmarkStart w:id="529" w:name="_Toc390778635"/>
      <w:bookmarkStart w:id="530" w:name="_Toc390779613"/>
      <w:bookmarkStart w:id="531" w:name="_Toc390782426"/>
      <w:bookmarkStart w:id="532" w:name="_Toc390352724"/>
      <w:bookmarkStart w:id="533" w:name="_Toc390353701"/>
      <w:bookmarkStart w:id="534" w:name="_Toc390355651"/>
      <w:bookmarkStart w:id="535" w:name="_Toc390436315"/>
      <w:bookmarkStart w:id="536" w:name="_Toc390673606"/>
      <w:bookmarkStart w:id="537" w:name="_Toc390689880"/>
      <w:bookmarkStart w:id="538" w:name="_Toc390696885"/>
      <w:bookmarkStart w:id="539" w:name="_Toc390759899"/>
      <w:bookmarkStart w:id="540" w:name="_Toc390764655"/>
      <w:bookmarkStart w:id="541" w:name="_Toc390766184"/>
      <w:bookmarkStart w:id="542" w:name="_Toc390778653"/>
      <w:bookmarkStart w:id="543" w:name="_Toc390779631"/>
      <w:bookmarkStart w:id="544" w:name="_Toc390782444"/>
      <w:bookmarkStart w:id="545" w:name="_Toc390352733"/>
      <w:bookmarkStart w:id="546" w:name="_Toc390353710"/>
      <w:bookmarkStart w:id="547" w:name="_Toc390355660"/>
      <w:bookmarkStart w:id="548" w:name="_Toc390436324"/>
      <w:bookmarkStart w:id="549" w:name="_Toc390673615"/>
      <w:bookmarkStart w:id="550" w:name="_Toc390689889"/>
      <w:bookmarkStart w:id="551" w:name="_Toc390696894"/>
      <w:bookmarkStart w:id="552" w:name="_Toc390759908"/>
      <w:bookmarkStart w:id="553" w:name="_Toc390764664"/>
      <w:bookmarkStart w:id="554" w:name="_Toc390766193"/>
      <w:bookmarkStart w:id="555" w:name="_Toc390778662"/>
      <w:bookmarkStart w:id="556" w:name="_Toc390779640"/>
      <w:bookmarkStart w:id="557" w:name="_Toc390782453"/>
      <w:bookmarkStart w:id="558" w:name="_Toc390352742"/>
      <w:bookmarkStart w:id="559" w:name="_Toc390353719"/>
      <w:bookmarkStart w:id="560" w:name="_Toc390355669"/>
      <w:bookmarkStart w:id="561" w:name="_Toc390436333"/>
      <w:bookmarkStart w:id="562" w:name="_Toc390673624"/>
      <w:bookmarkStart w:id="563" w:name="_Toc390689898"/>
      <w:bookmarkStart w:id="564" w:name="_Toc390696903"/>
      <w:bookmarkStart w:id="565" w:name="_Toc390759917"/>
      <w:bookmarkStart w:id="566" w:name="_Toc390764673"/>
      <w:bookmarkStart w:id="567" w:name="_Toc390766202"/>
      <w:bookmarkStart w:id="568" w:name="_Toc390778671"/>
      <w:bookmarkStart w:id="569" w:name="_Toc390779649"/>
      <w:bookmarkStart w:id="570" w:name="_Toc390782462"/>
      <w:bookmarkStart w:id="571" w:name="_Toc390330919"/>
      <w:bookmarkStart w:id="572" w:name="_Toc390352757"/>
      <w:bookmarkStart w:id="573" w:name="_Toc390353734"/>
      <w:bookmarkStart w:id="574" w:name="_Toc390355684"/>
      <w:bookmarkStart w:id="575" w:name="_Toc390436348"/>
      <w:bookmarkStart w:id="576" w:name="_Toc390673639"/>
      <w:bookmarkStart w:id="577" w:name="_Toc390689913"/>
      <w:bookmarkStart w:id="578" w:name="_Toc390696918"/>
      <w:bookmarkStart w:id="579" w:name="_Toc390759932"/>
      <w:bookmarkStart w:id="580" w:name="_Toc390764688"/>
      <w:bookmarkStart w:id="581" w:name="_Toc390766217"/>
      <w:bookmarkStart w:id="582" w:name="_Toc390778686"/>
      <w:bookmarkStart w:id="583" w:name="_Toc390779664"/>
      <w:bookmarkStart w:id="584" w:name="_Toc390782477"/>
      <w:bookmarkStart w:id="585" w:name="_Toc390330923"/>
      <w:bookmarkStart w:id="586" w:name="_Toc390352761"/>
      <w:bookmarkStart w:id="587" w:name="_Toc390353738"/>
      <w:bookmarkStart w:id="588" w:name="_Toc390355688"/>
      <w:bookmarkStart w:id="589" w:name="_Toc390436352"/>
      <w:bookmarkStart w:id="590" w:name="_Toc390673643"/>
      <w:bookmarkStart w:id="591" w:name="_Toc390689917"/>
      <w:bookmarkStart w:id="592" w:name="_Toc390696922"/>
      <w:bookmarkStart w:id="593" w:name="_Toc390759936"/>
      <w:bookmarkStart w:id="594" w:name="_Toc390764692"/>
      <w:bookmarkStart w:id="595" w:name="_Toc390766221"/>
      <w:bookmarkStart w:id="596" w:name="_Toc390778690"/>
      <w:bookmarkStart w:id="597" w:name="_Toc390779668"/>
      <w:bookmarkStart w:id="598" w:name="_Toc390782481"/>
      <w:bookmarkStart w:id="599" w:name="_Toc390330932"/>
      <w:bookmarkStart w:id="600" w:name="_Toc390352770"/>
      <w:bookmarkStart w:id="601" w:name="_Toc390353747"/>
      <w:bookmarkStart w:id="602" w:name="_Toc390355697"/>
      <w:bookmarkStart w:id="603" w:name="_Toc390436361"/>
      <w:bookmarkStart w:id="604" w:name="_Toc390673652"/>
      <w:bookmarkStart w:id="605" w:name="_Toc390689926"/>
      <w:bookmarkStart w:id="606" w:name="_Toc390696931"/>
      <w:bookmarkStart w:id="607" w:name="_Toc390759945"/>
      <w:bookmarkStart w:id="608" w:name="_Toc390764701"/>
      <w:bookmarkStart w:id="609" w:name="_Toc390766230"/>
      <w:bookmarkStart w:id="610" w:name="_Toc390778699"/>
      <w:bookmarkStart w:id="611" w:name="_Toc390779677"/>
      <w:bookmarkStart w:id="612" w:name="_Toc390782490"/>
      <w:bookmarkStart w:id="613" w:name="_Toc390352781"/>
      <w:bookmarkStart w:id="614" w:name="_Toc390353758"/>
      <w:bookmarkStart w:id="615" w:name="_Toc390355708"/>
      <w:bookmarkStart w:id="616" w:name="_Toc390436372"/>
      <w:bookmarkStart w:id="617" w:name="_Toc390673663"/>
      <w:bookmarkStart w:id="618" w:name="_Toc390689937"/>
      <w:bookmarkStart w:id="619" w:name="_Toc390696942"/>
      <w:bookmarkStart w:id="620" w:name="_Toc390759955"/>
      <w:bookmarkStart w:id="621" w:name="_Toc390764711"/>
      <w:bookmarkStart w:id="622" w:name="_Toc390766240"/>
      <w:bookmarkStart w:id="623" w:name="_Toc390778709"/>
      <w:bookmarkStart w:id="624" w:name="_Toc390779687"/>
      <w:bookmarkStart w:id="625" w:name="_Toc390782500"/>
      <w:bookmarkStart w:id="626" w:name="_Toc390352782"/>
      <w:bookmarkStart w:id="627" w:name="_Toc390353759"/>
      <w:bookmarkStart w:id="628" w:name="_Toc390355709"/>
      <w:bookmarkStart w:id="629" w:name="_Toc390436373"/>
      <w:bookmarkStart w:id="630" w:name="_Toc390673664"/>
      <w:bookmarkStart w:id="631" w:name="_Toc390689938"/>
      <w:bookmarkStart w:id="632" w:name="_Toc390696943"/>
      <w:bookmarkStart w:id="633" w:name="_Toc390759956"/>
      <w:bookmarkStart w:id="634" w:name="_Toc390764712"/>
      <w:bookmarkStart w:id="635" w:name="_Toc390766241"/>
      <w:bookmarkStart w:id="636" w:name="_Toc390778710"/>
      <w:bookmarkStart w:id="637" w:name="_Toc390779688"/>
      <w:bookmarkStart w:id="638" w:name="_Toc390782501"/>
      <w:bookmarkStart w:id="639" w:name="_Toc390352788"/>
      <w:bookmarkStart w:id="640" w:name="_Toc390353765"/>
      <w:bookmarkStart w:id="641" w:name="_Toc390355715"/>
      <w:bookmarkStart w:id="642" w:name="_Toc390436379"/>
      <w:bookmarkStart w:id="643" w:name="_Toc390673670"/>
      <w:bookmarkStart w:id="644" w:name="_Toc390689944"/>
      <w:bookmarkStart w:id="645" w:name="_Toc390696949"/>
      <w:bookmarkStart w:id="646" w:name="_Toc390759962"/>
      <w:bookmarkStart w:id="647" w:name="_Toc390764718"/>
      <w:bookmarkStart w:id="648" w:name="_Toc390766247"/>
      <w:bookmarkStart w:id="649" w:name="_Toc390778716"/>
      <w:bookmarkStart w:id="650" w:name="_Toc390779694"/>
      <w:bookmarkStart w:id="651" w:name="_Toc390782507"/>
      <w:bookmarkStart w:id="652" w:name="_Toc390352793"/>
      <w:bookmarkStart w:id="653" w:name="_Toc390353770"/>
      <w:bookmarkStart w:id="654" w:name="_Toc390355720"/>
      <w:bookmarkStart w:id="655" w:name="_Toc390436384"/>
      <w:bookmarkStart w:id="656" w:name="_Toc390673675"/>
      <w:bookmarkStart w:id="657" w:name="_Toc390689949"/>
      <w:bookmarkStart w:id="658" w:name="_Toc390696954"/>
      <w:bookmarkStart w:id="659" w:name="_Toc390759967"/>
      <w:bookmarkStart w:id="660" w:name="_Toc390764723"/>
      <w:bookmarkStart w:id="661" w:name="_Toc390766252"/>
      <w:bookmarkStart w:id="662" w:name="_Toc390778721"/>
      <w:bookmarkStart w:id="663" w:name="_Toc390779699"/>
      <w:bookmarkStart w:id="664" w:name="_Toc390782512"/>
      <w:bookmarkStart w:id="665" w:name="_Toc388343191"/>
      <w:bookmarkStart w:id="666" w:name="_Toc390268016"/>
      <w:bookmarkStart w:id="667" w:name="_Toc390268147"/>
      <w:bookmarkStart w:id="668" w:name="_Toc390352798"/>
      <w:bookmarkStart w:id="669" w:name="_Toc390353775"/>
      <w:bookmarkStart w:id="670" w:name="_Toc390355725"/>
      <w:bookmarkStart w:id="671" w:name="_Toc390436389"/>
      <w:bookmarkStart w:id="672" w:name="_Toc390673680"/>
      <w:bookmarkStart w:id="673" w:name="_Toc390689954"/>
      <w:bookmarkStart w:id="674" w:name="_Toc390696959"/>
      <w:bookmarkStart w:id="675" w:name="_Toc390759972"/>
      <w:bookmarkStart w:id="676" w:name="_Toc390764728"/>
      <w:bookmarkStart w:id="677" w:name="_Toc390766257"/>
      <w:bookmarkStart w:id="678" w:name="_Toc390778726"/>
      <w:bookmarkStart w:id="679" w:name="_Toc390779704"/>
      <w:bookmarkStart w:id="680" w:name="_Toc390782517"/>
      <w:bookmarkStart w:id="681" w:name="_Toc390268017"/>
      <w:bookmarkStart w:id="682" w:name="_Toc390268148"/>
      <w:bookmarkStart w:id="683" w:name="_Toc390352799"/>
      <w:bookmarkStart w:id="684" w:name="_Toc390353776"/>
      <w:bookmarkStart w:id="685" w:name="_Toc390355726"/>
      <w:bookmarkStart w:id="686" w:name="_Toc390436390"/>
      <w:bookmarkStart w:id="687" w:name="_Toc390673681"/>
      <w:bookmarkStart w:id="688" w:name="_Toc390689955"/>
      <w:bookmarkStart w:id="689" w:name="_Toc390696960"/>
      <w:bookmarkStart w:id="690" w:name="_Toc390759973"/>
      <w:bookmarkStart w:id="691" w:name="_Toc390764729"/>
      <w:bookmarkStart w:id="692" w:name="_Toc390766258"/>
      <w:bookmarkStart w:id="693" w:name="_Toc390778727"/>
      <w:bookmarkStart w:id="694" w:name="_Toc390779705"/>
      <w:bookmarkStart w:id="695" w:name="_Toc390782518"/>
      <w:bookmarkStart w:id="696" w:name="_Toc390268018"/>
      <w:bookmarkStart w:id="697" w:name="_Toc390268149"/>
      <w:bookmarkStart w:id="698" w:name="_Toc390352800"/>
      <w:bookmarkStart w:id="699" w:name="_Toc390353777"/>
      <w:bookmarkStart w:id="700" w:name="_Toc390355727"/>
      <w:bookmarkStart w:id="701" w:name="_Toc390436391"/>
      <w:bookmarkStart w:id="702" w:name="_Toc390673682"/>
      <w:bookmarkStart w:id="703" w:name="_Toc390689956"/>
      <w:bookmarkStart w:id="704" w:name="_Toc390696961"/>
      <w:bookmarkStart w:id="705" w:name="_Toc390759974"/>
      <w:bookmarkStart w:id="706" w:name="_Toc390764730"/>
      <w:bookmarkStart w:id="707" w:name="_Toc390766259"/>
      <w:bookmarkStart w:id="708" w:name="_Toc390778728"/>
      <w:bookmarkStart w:id="709" w:name="_Toc390779706"/>
      <w:bookmarkStart w:id="710" w:name="_Toc390782519"/>
      <w:bookmarkStart w:id="711" w:name="_Toc390268021"/>
      <w:bookmarkStart w:id="712" w:name="_Toc390268152"/>
      <w:bookmarkStart w:id="713" w:name="_Toc390352803"/>
      <w:bookmarkStart w:id="714" w:name="_Toc390353780"/>
      <w:bookmarkStart w:id="715" w:name="_Toc390355730"/>
      <w:bookmarkStart w:id="716" w:name="_Toc390436394"/>
      <w:bookmarkStart w:id="717" w:name="_Toc390673685"/>
      <w:bookmarkStart w:id="718" w:name="_Toc390689959"/>
      <w:bookmarkStart w:id="719" w:name="_Toc390696964"/>
      <w:bookmarkStart w:id="720" w:name="_Toc390759977"/>
      <w:bookmarkStart w:id="721" w:name="_Toc390764733"/>
      <w:bookmarkStart w:id="722" w:name="_Toc390766262"/>
      <w:bookmarkStart w:id="723" w:name="_Toc390778731"/>
      <w:bookmarkStart w:id="724" w:name="_Toc390779709"/>
      <w:bookmarkStart w:id="725" w:name="_Toc390782522"/>
      <w:bookmarkStart w:id="726" w:name="_Toc390268023"/>
      <w:bookmarkStart w:id="727" w:name="_Toc390268154"/>
      <w:bookmarkStart w:id="728" w:name="_Toc390352805"/>
      <w:bookmarkStart w:id="729" w:name="_Toc390353782"/>
      <w:bookmarkStart w:id="730" w:name="_Toc390355732"/>
      <w:bookmarkStart w:id="731" w:name="_Toc390436396"/>
      <w:bookmarkStart w:id="732" w:name="_Toc390673687"/>
      <w:bookmarkStart w:id="733" w:name="_Toc390689961"/>
      <w:bookmarkStart w:id="734" w:name="_Toc390696966"/>
      <w:bookmarkStart w:id="735" w:name="_Toc390759979"/>
      <w:bookmarkStart w:id="736" w:name="_Toc390764735"/>
      <w:bookmarkStart w:id="737" w:name="_Toc390766264"/>
      <w:bookmarkStart w:id="738" w:name="_Toc390778733"/>
      <w:bookmarkStart w:id="739" w:name="_Toc390779711"/>
      <w:bookmarkStart w:id="740" w:name="_Toc390782524"/>
      <w:bookmarkStart w:id="741" w:name="_Toc390268024"/>
      <w:bookmarkStart w:id="742" w:name="_Toc390268155"/>
      <w:bookmarkStart w:id="743" w:name="_Toc390352806"/>
      <w:bookmarkStart w:id="744" w:name="_Toc390353783"/>
      <w:bookmarkStart w:id="745" w:name="_Toc390355733"/>
      <w:bookmarkStart w:id="746" w:name="_Toc390436397"/>
      <w:bookmarkStart w:id="747" w:name="_Toc390673688"/>
      <w:bookmarkStart w:id="748" w:name="_Toc390689962"/>
      <w:bookmarkStart w:id="749" w:name="_Toc390696967"/>
      <w:bookmarkStart w:id="750" w:name="_Toc390759980"/>
      <w:bookmarkStart w:id="751" w:name="_Toc390764736"/>
      <w:bookmarkStart w:id="752" w:name="_Toc390766265"/>
      <w:bookmarkStart w:id="753" w:name="_Toc390778734"/>
      <w:bookmarkStart w:id="754" w:name="_Toc390779712"/>
      <w:bookmarkStart w:id="755" w:name="_Toc390782525"/>
      <w:bookmarkStart w:id="756" w:name="_Toc390268025"/>
      <w:bookmarkStart w:id="757" w:name="_Toc390268156"/>
      <w:bookmarkStart w:id="758" w:name="_Toc390352807"/>
      <w:bookmarkStart w:id="759" w:name="_Toc390353784"/>
      <w:bookmarkStart w:id="760" w:name="_Toc390355734"/>
      <w:bookmarkStart w:id="761" w:name="_Toc390436398"/>
      <w:bookmarkStart w:id="762" w:name="_Toc390673689"/>
      <w:bookmarkStart w:id="763" w:name="_Toc390689963"/>
      <w:bookmarkStart w:id="764" w:name="_Toc390696968"/>
      <w:bookmarkStart w:id="765" w:name="_Toc390759981"/>
      <w:bookmarkStart w:id="766" w:name="_Toc390764737"/>
      <w:bookmarkStart w:id="767" w:name="_Toc390766266"/>
      <w:bookmarkStart w:id="768" w:name="_Toc390778735"/>
      <w:bookmarkStart w:id="769" w:name="_Toc390779713"/>
      <w:bookmarkStart w:id="770" w:name="_Toc390782526"/>
      <w:bookmarkStart w:id="771" w:name="_Toc390268027"/>
      <w:bookmarkStart w:id="772" w:name="_Toc390268158"/>
      <w:bookmarkStart w:id="773" w:name="_Toc390352809"/>
      <w:bookmarkStart w:id="774" w:name="_Toc390353786"/>
      <w:bookmarkStart w:id="775" w:name="_Toc390355736"/>
      <w:bookmarkStart w:id="776" w:name="_Toc390436400"/>
      <w:bookmarkStart w:id="777" w:name="_Toc390673691"/>
      <w:bookmarkStart w:id="778" w:name="_Toc390689965"/>
      <w:bookmarkStart w:id="779" w:name="_Toc390696970"/>
      <w:bookmarkStart w:id="780" w:name="_Toc390759983"/>
      <w:bookmarkStart w:id="781" w:name="_Toc390764739"/>
      <w:bookmarkStart w:id="782" w:name="_Toc390766268"/>
      <w:bookmarkStart w:id="783" w:name="_Toc390778737"/>
      <w:bookmarkStart w:id="784" w:name="_Toc390779715"/>
      <w:bookmarkStart w:id="785" w:name="_Toc390782528"/>
      <w:bookmarkStart w:id="786" w:name="_Toc390268028"/>
      <w:bookmarkStart w:id="787" w:name="_Toc390268159"/>
      <w:bookmarkStart w:id="788" w:name="_Toc390352810"/>
      <w:bookmarkStart w:id="789" w:name="_Toc390353787"/>
      <w:bookmarkStart w:id="790" w:name="_Toc390355737"/>
      <w:bookmarkStart w:id="791" w:name="_Toc390436401"/>
      <w:bookmarkStart w:id="792" w:name="_Toc390673692"/>
      <w:bookmarkStart w:id="793" w:name="_Toc390689966"/>
      <w:bookmarkStart w:id="794" w:name="_Toc390696971"/>
      <w:bookmarkStart w:id="795" w:name="_Toc390759984"/>
      <w:bookmarkStart w:id="796" w:name="_Toc390764740"/>
      <w:bookmarkStart w:id="797" w:name="_Toc390766269"/>
      <w:bookmarkStart w:id="798" w:name="_Toc390778738"/>
      <w:bookmarkStart w:id="799" w:name="_Toc390779716"/>
      <w:bookmarkStart w:id="800" w:name="_Toc390782529"/>
      <w:bookmarkStart w:id="801" w:name="_Toc390268029"/>
      <w:bookmarkStart w:id="802" w:name="_Toc390268160"/>
      <w:bookmarkStart w:id="803" w:name="_Toc390352811"/>
      <w:bookmarkStart w:id="804" w:name="_Toc390353788"/>
      <w:bookmarkStart w:id="805" w:name="_Toc390355738"/>
      <w:bookmarkStart w:id="806" w:name="_Toc390436402"/>
      <w:bookmarkStart w:id="807" w:name="_Toc390673693"/>
      <w:bookmarkStart w:id="808" w:name="_Toc390689967"/>
      <w:bookmarkStart w:id="809" w:name="_Toc390696972"/>
      <w:bookmarkStart w:id="810" w:name="_Toc390759985"/>
      <w:bookmarkStart w:id="811" w:name="_Toc390764741"/>
      <w:bookmarkStart w:id="812" w:name="_Toc390766270"/>
      <w:bookmarkStart w:id="813" w:name="_Toc390778739"/>
      <w:bookmarkStart w:id="814" w:name="_Toc390779717"/>
      <w:bookmarkStart w:id="815" w:name="_Toc390782530"/>
      <w:bookmarkStart w:id="816" w:name="_Toc390268030"/>
      <w:bookmarkStart w:id="817" w:name="_Toc390268161"/>
      <w:bookmarkStart w:id="818" w:name="_Toc390352812"/>
      <w:bookmarkStart w:id="819" w:name="_Toc390353789"/>
      <w:bookmarkStart w:id="820" w:name="_Toc390355739"/>
      <w:bookmarkStart w:id="821" w:name="_Toc390436403"/>
      <w:bookmarkStart w:id="822" w:name="_Toc390673694"/>
      <w:bookmarkStart w:id="823" w:name="_Toc390689968"/>
      <w:bookmarkStart w:id="824" w:name="_Toc390696973"/>
      <w:bookmarkStart w:id="825" w:name="_Toc390759986"/>
      <w:bookmarkStart w:id="826" w:name="_Toc390764742"/>
      <w:bookmarkStart w:id="827" w:name="_Toc390766271"/>
      <w:bookmarkStart w:id="828" w:name="_Toc390778740"/>
      <w:bookmarkStart w:id="829" w:name="_Toc390779718"/>
      <w:bookmarkStart w:id="830" w:name="_Toc390782531"/>
      <w:bookmarkStart w:id="831" w:name="_Toc390268031"/>
      <w:bookmarkStart w:id="832" w:name="_Toc390268162"/>
      <w:bookmarkStart w:id="833" w:name="_Toc390352813"/>
      <w:bookmarkStart w:id="834" w:name="_Toc390353790"/>
      <w:bookmarkStart w:id="835" w:name="_Toc390355740"/>
      <w:bookmarkStart w:id="836" w:name="_Toc390436404"/>
      <w:bookmarkStart w:id="837" w:name="_Toc390673695"/>
      <w:bookmarkStart w:id="838" w:name="_Toc390689969"/>
      <w:bookmarkStart w:id="839" w:name="_Toc390696974"/>
      <w:bookmarkStart w:id="840" w:name="_Toc390759987"/>
      <w:bookmarkStart w:id="841" w:name="_Toc390764743"/>
      <w:bookmarkStart w:id="842" w:name="_Toc390766272"/>
      <w:bookmarkStart w:id="843" w:name="_Toc390778741"/>
      <w:bookmarkStart w:id="844" w:name="_Toc390779719"/>
      <w:bookmarkStart w:id="845" w:name="_Toc390782532"/>
      <w:bookmarkStart w:id="846" w:name="_Toc390268032"/>
      <w:bookmarkStart w:id="847" w:name="_Toc390268163"/>
      <w:bookmarkStart w:id="848" w:name="_Toc390352814"/>
      <w:bookmarkStart w:id="849" w:name="_Toc390353791"/>
      <w:bookmarkStart w:id="850" w:name="_Toc390355741"/>
      <w:bookmarkStart w:id="851" w:name="_Toc390436405"/>
      <w:bookmarkStart w:id="852" w:name="_Toc390673696"/>
      <w:bookmarkStart w:id="853" w:name="_Toc390689970"/>
      <w:bookmarkStart w:id="854" w:name="_Toc390696975"/>
      <w:bookmarkStart w:id="855" w:name="_Toc390759988"/>
      <w:bookmarkStart w:id="856" w:name="_Toc390764744"/>
      <w:bookmarkStart w:id="857" w:name="_Toc390766273"/>
      <w:bookmarkStart w:id="858" w:name="_Toc390778742"/>
      <w:bookmarkStart w:id="859" w:name="_Toc390779720"/>
      <w:bookmarkStart w:id="860" w:name="_Toc390782533"/>
      <w:bookmarkStart w:id="861" w:name="_Toc390268034"/>
      <w:bookmarkStart w:id="862" w:name="_Toc390268165"/>
      <w:bookmarkStart w:id="863" w:name="_Toc390352816"/>
      <w:bookmarkStart w:id="864" w:name="_Toc390353793"/>
      <w:bookmarkStart w:id="865" w:name="_Toc390355743"/>
      <w:bookmarkStart w:id="866" w:name="_Toc390436407"/>
      <w:bookmarkStart w:id="867" w:name="_Toc390673698"/>
      <w:bookmarkStart w:id="868" w:name="_Toc390689972"/>
      <w:bookmarkStart w:id="869" w:name="_Toc390696977"/>
      <w:bookmarkStart w:id="870" w:name="_Toc390759990"/>
      <w:bookmarkStart w:id="871" w:name="_Toc390764746"/>
      <w:bookmarkStart w:id="872" w:name="_Toc390766275"/>
      <w:bookmarkStart w:id="873" w:name="_Toc390778744"/>
      <w:bookmarkStart w:id="874" w:name="_Toc390779722"/>
      <w:bookmarkStart w:id="875" w:name="_Toc390782535"/>
      <w:bookmarkStart w:id="876" w:name="_Toc390268035"/>
      <w:bookmarkStart w:id="877" w:name="_Toc390268166"/>
      <w:bookmarkStart w:id="878" w:name="_Toc390352817"/>
      <w:bookmarkStart w:id="879" w:name="_Toc390353794"/>
      <w:bookmarkStart w:id="880" w:name="_Toc390355744"/>
      <w:bookmarkStart w:id="881" w:name="_Toc390436408"/>
      <w:bookmarkStart w:id="882" w:name="_Toc390673699"/>
      <w:bookmarkStart w:id="883" w:name="_Toc390689973"/>
      <w:bookmarkStart w:id="884" w:name="_Toc390696978"/>
      <w:bookmarkStart w:id="885" w:name="_Toc390759991"/>
      <w:bookmarkStart w:id="886" w:name="_Toc390764747"/>
      <w:bookmarkStart w:id="887" w:name="_Toc390766276"/>
      <w:bookmarkStart w:id="888" w:name="_Toc390778745"/>
      <w:bookmarkStart w:id="889" w:name="_Toc390779723"/>
      <w:bookmarkStart w:id="890" w:name="_Toc390782536"/>
      <w:bookmarkStart w:id="891" w:name="_Toc390268036"/>
      <w:bookmarkStart w:id="892" w:name="_Toc390268167"/>
      <w:bookmarkStart w:id="893" w:name="_Toc390352818"/>
      <w:bookmarkStart w:id="894" w:name="_Toc390353795"/>
      <w:bookmarkStart w:id="895" w:name="_Toc390355745"/>
      <w:bookmarkStart w:id="896" w:name="_Toc390436409"/>
      <w:bookmarkStart w:id="897" w:name="_Toc390673700"/>
      <w:bookmarkStart w:id="898" w:name="_Toc390689974"/>
      <w:bookmarkStart w:id="899" w:name="_Toc390696979"/>
      <w:bookmarkStart w:id="900" w:name="_Toc390759992"/>
      <w:bookmarkStart w:id="901" w:name="_Toc390764748"/>
      <w:bookmarkStart w:id="902" w:name="_Toc390766277"/>
      <w:bookmarkStart w:id="903" w:name="_Toc390778746"/>
      <w:bookmarkStart w:id="904" w:name="_Toc390779724"/>
      <w:bookmarkStart w:id="905" w:name="_Toc390782537"/>
      <w:bookmarkStart w:id="906" w:name="_Toc390268039"/>
      <w:bookmarkStart w:id="907" w:name="_Toc390268170"/>
      <w:bookmarkStart w:id="908" w:name="_Toc390352821"/>
      <w:bookmarkStart w:id="909" w:name="_Toc390353798"/>
      <w:bookmarkStart w:id="910" w:name="_Toc390355748"/>
      <w:bookmarkStart w:id="911" w:name="_Toc390436412"/>
      <w:bookmarkStart w:id="912" w:name="_Toc390673703"/>
      <w:bookmarkStart w:id="913" w:name="_Toc390689977"/>
      <w:bookmarkStart w:id="914" w:name="_Toc390696982"/>
      <w:bookmarkStart w:id="915" w:name="_Toc390759995"/>
      <w:bookmarkStart w:id="916" w:name="_Toc390764751"/>
      <w:bookmarkStart w:id="917" w:name="_Toc390766280"/>
      <w:bookmarkStart w:id="918" w:name="_Toc390778749"/>
      <w:bookmarkStart w:id="919" w:name="_Toc390779727"/>
      <w:bookmarkStart w:id="920" w:name="_Toc390782540"/>
      <w:bookmarkStart w:id="921" w:name="_Toc390268040"/>
      <w:bookmarkStart w:id="922" w:name="_Toc390268171"/>
      <w:bookmarkStart w:id="923" w:name="_Toc390352822"/>
      <w:bookmarkStart w:id="924" w:name="_Toc390353799"/>
      <w:bookmarkStart w:id="925" w:name="_Toc390355749"/>
      <w:bookmarkStart w:id="926" w:name="_Toc390436413"/>
      <w:bookmarkStart w:id="927" w:name="_Toc390673704"/>
      <w:bookmarkStart w:id="928" w:name="_Toc390689978"/>
      <w:bookmarkStart w:id="929" w:name="_Toc390696983"/>
      <w:bookmarkStart w:id="930" w:name="_Toc390759996"/>
      <w:bookmarkStart w:id="931" w:name="_Toc390764752"/>
      <w:bookmarkStart w:id="932" w:name="_Toc390766281"/>
      <w:bookmarkStart w:id="933" w:name="_Toc390778750"/>
      <w:bookmarkStart w:id="934" w:name="_Toc390779728"/>
      <w:bookmarkStart w:id="935" w:name="_Toc390782541"/>
      <w:bookmarkStart w:id="936" w:name="_Toc390268041"/>
      <w:bookmarkStart w:id="937" w:name="_Toc390268172"/>
      <w:bookmarkStart w:id="938" w:name="_Toc390352823"/>
      <w:bookmarkStart w:id="939" w:name="_Toc390353800"/>
      <w:bookmarkStart w:id="940" w:name="_Toc390355750"/>
      <w:bookmarkStart w:id="941" w:name="_Toc390436414"/>
      <w:bookmarkStart w:id="942" w:name="_Toc390673705"/>
      <w:bookmarkStart w:id="943" w:name="_Toc390689979"/>
      <w:bookmarkStart w:id="944" w:name="_Toc390696984"/>
      <w:bookmarkStart w:id="945" w:name="_Toc390759997"/>
      <w:bookmarkStart w:id="946" w:name="_Toc390764753"/>
      <w:bookmarkStart w:id="947" w:name="_Toc390766282"/>
      <w:bookmarkStart w:id="948" w:name="_Toc390778751"/>
      <w:bookmarkStart w:id="949" w:name="_Toc390779729"/>
      <w:bookmarkStart w:id="950" w:name="_Toc390782542"/>
      <w:bookmarkStart w:id="951" w:name="_Toc390268042"/>
      <w:bookmarkStart w:id="952" w:name="_Toc390268173"/>
      <w:bookmarkStart w:id="953" w:name="_Toc390352824"/>
      <w:bookmarkStart w:id="954" w:name="_Toc390353801"/>
      <w:bookmarkStart w:id="955" w:name="_Toc390355751"/>
      <w:bookmarkStart w:id="956" w:name="_Toc390436415"/>
      <w:bookmarkStart w:id="957" w:name="_Toc390673706"/>
      <w:bookmarkStart w:id="958" w:name="_Toc390689980"/>
      <w:bookmarkStart w:id="959" w:name="_Toc390696985"/>
      <w:bookmarkStart w:id="960" w:name="_Toc390759998"/>
      <w:bookmarkStart w:id="961" w:name="_Toc390764754"/>
      <w:bookmarkStart w:id="962" w:name="_Toc390766283"/>
      <w:bookmarkStart w:id="963" w:name="_Toc390778752"/>
      <w:bookmarkStart w:id="964" w:name="_Toc390779730"/>
      <w:bookmarkStart w:id="965" w:name="_Toc390782543"/>
      <w:bookmarkStart w:id="966" w:name="_Toc390268043"/>
      <w:bookmarkStart w:id="967" w:name="_Toc390268174"/>
      <w:bookmarkStart w:id="968" w:name="_Toc390352825"/>
      <w:bookmarkStart w:id="969" w:name="_Toc390353802"/>
      <w:bookmarkStart w:id="970" w:name="_Toc390355752"/>
      <w:bookmarkStart w:id="971" w:name="_Toc390436416"/>
      <w:bookmarkStart w:id="972" w:name="_Toc390673707"/>
      <w:bookmarkStart w:id="973" w:name="_Toc390689981"/>
      <w:bookmarkStart w:id="974" w:name="_Toc390696986"/>
      <w:bookmarkStart w:id="975" w:name="_Toc390759999"/>
      <w:bookmarkStart w:id="976" w:name="_Toc390764755"/>
      <w:bookmarkStart w:id="977" w:name="_Toc390766284"/>
      <w:bookmarkStart w:id="978" w:name="_Toc390778753"/>
      <w:bookmarkStart w:id="979" w:name="_Toc390779731"/>
      <w:bookmarkStart w:id="980" w:name="_Toc390782544"/>
      <w:bookmarkStart w:id="981" w:name="_Toc390268044"/>
      <w:bookmarkStart w:id="982" w:name="_Toc390268175"/>
      <w:bookmarkStart w:id="983" w:name="_Toc390352826"/>
      <w:bookmarkStart w:id="984" w:name="_Toc390353803"/>
      <w:bookmarkStart w:id="985" w:name="_Toc390355753"/>
      <w:bookmarkStart w:id="986" w:name="_Toc390436417"/>
      <w:bookmarkStart w:id="987" w:name="_Toc390673708"/>
      <w:bookmarkStart w:id="988" w:name="_Toc390689982"/>
      <w:bookmarkStart w:id="989" w:name="_Toc390696987"/>
      <w:bookmarkStart w:id="990" w:name="_Toc390760000"/>
      <w:bookmarkStart w:id="991" w:name="_Toc390764756"/>
      <w:bookmarkStart w:id="992" w:name="_Toc390766285"/>
      <w:bookmarkStart w:id="993" w:name="_Toc390778754"/>
      <w:bookmarkStart w:id="994" w:name="_Toc390779732"/>
      <w:bookmarkStart w:id="995" w:name="_Toc390782545"/>
      <w:bookmarkStart w:id="996" w:name="_Toc390268045"/>
      <w:bookmarkStart w:id="997" w:name="_Toc390268176"/>
      <w:bookmarkStart w:id="998" w:name="_Toc390352827"/>
      <w:bookmarkStart w:id="999" w:name="_Toc390353804"/>
      <w:bookmarkStart w:id="1000" w:name="_Toc390355754"/>
      <w:bookmarkStart w:id="1001" w:name="_Toc390436418"/>
      <w:bookmarkStart w:id="1002" w:name="_Toc390673709"/>
      <w:bookmarkStart w:id="1003" w:name="_Toc390689983"/>
      <w:bookmarkStart w:id="1004" w:name="_Toc390696988"/>
      <w:bookmarkStart w:id="1005" w:name="_Toc390760001"/>
      <w:bookmarkStart w:id="1006" w:name="_Toc390764757"/>
      <w:bookmarkStart w:id="1007" w:name="_Toc390766286"/>
      <w:bookmarkStart w:id="1008" w:name="_Toc390778755"/>
      <w:bookmarkStart w:id="1009" w:name="_Toc390779733"/>
      <w:bookmarkStart w:id="1010" w:name="_Toc390782546"/>
      <w:bookmarkStart w:id="1011" w:name="_Toc390268046"/>
      <w:bookmarkStart w:id="1012" w:name="_Toc390268177"/>
      <w:bookmarkStart w:id="1013" w:name="_Toc390352828"/>
      <w:bookmarkStart w:id="1014" w:name="_Toc390353805"/>
      <w:bookmarkStart w:id="1015" w:name="_Toc390355755"/>
      <w:bookmarkStart w:id="1016" w:name="_Toc390436419"/>
      <w:bookmarkStart w:id="1017" w:name="_Toc390673710"/>
      <w:bookmarkStart w:id="1018" w:name="_Toc390689984"/>
      <w:bookmarkStart w:id="1019" w:name="_Toc390696989"/>
      <w:bookmarkStart w:id="1020" w:name="_Toc390760002"/>
      <w:bookmarkStart w:id="1021" w:name="_Toc390764758"/>
      <w:bookmarkStart w:id="1022" w:name="_Toc390766287"/>
      <w:bookmarkStart w:id="1023" w:name="_Toc390778756"/>
      <w:bookmarkStart w:id="1024" w:name="_Toc390779734"/>
      <w:bookmarkStart w:id="1025" w:name="_Toc390782547"/>
      <w:bookmarkStart w:id="1026" w:name="_Toc390268050"/>
      <w:bookmarkStart w:id="1027" w:name="_Toc390268181"/>
      <w:bookmarkStart w:id="1028" w:name="_Toc390352832"/>
      <w:bookmarkStart w:id="1029" w:name="_Toc390353809"/>
      <w:bookmarkStart w:id="1030" w:name="_Toc390355759"/>
      <w:bookmarkStart w:id="1031" w:name="_Toc390436423"/>
      <w:bookmarkStart w:id="1032" w:name="_Toc390673714"/>
      <w:bookmarkStart w:id="1033" w:name="_Toc390689988"/>
      <w:bookmarkStart w:id="1034" w:name="_Toc390696993"/>
      <w:bookmarkStart w:id="1035" w:name="_Toc390760006"/>
      <w:bookmarkStart w:id="1036" w:name="_Toc390764762"/>
      <w:bookmarkStart w:id="1037" w:name="_Toc390766291"/>
      <w:bookmarkStart w:id="1038" w:name="_Toc390778760"/>
      <w:bookmarkStart w:id="1039" w:name="_Toc390779738"/>
      <w:bookmarkStart w:id="1040" w:name="_Toc390782551"/>
      <w:bookmarkStart w:id="1041" w:name="_Toc390268054"/>
      <w:bookmarkStart w:id="1042" w:name="_Toc390268185"/>
      <w:bookmarkStart w:id="1043" w:name="_Toc390352836"/>
      <w:bookmarkStart w:id="1044" w:name="_Toc390353813"/>
      <w:bookmarkStart w:id="1045" w:name="_Toc390355763"/>
      <w:bookmarkStart w:id="1046" w:name="_Toc390436427"/>
      <w:bookmarkStart w:id="1047" w:name="_Toc390673718"/>
      <w:bookmarkStart w:id="1048" w:name="_Toc390689992"/>
      <w:bookmarkStart w:id="1049" w:name="_Toc390696997"/>
      <w:bookmarkStart w:id="1050" w:name="_Toc390760010"/>
      <w:bookmarkStart w:id="1051" w:name="_Toc390764766"/>
      <w:bookmarkStart w:id="1052" w:name="_Toc390766295"/>
      <w:bookmarkStart w:id="1053" w:name="_Toc390778764"/>
      <w:bookmarkStart w:id="1054" w:name="_Toc390779742"/>
      <w:bookmarkStart w:id="1055" w:name="_Toc390782555"/>
      <w:bookmarkStart w:id="1056" w:name="_Toc390268055"/>
      <w:bookmarkStart w:id="1057" w:name="_Toc390268186"/>
      <w:bookmarkStart w:id="1058" w:name="_Toc390352837"/>
      <w:bookmarkStart w:id="1059" w:name="_Toc390353814"/>
      <w:bookmarkStart w:id="1060" w:name="_Toc390355764"/>
      <w:bookmarkStart w:id="1061" w:name="_Toc390436428"/>
      <w:bookmarkStart w:id="1062" w:name="_Toc390673719"/>
      <w:bookmarkStart w:id="1063" w:name="_Toc390689993"/>
      <w:bookmarkStart w:id="1064" w:name="_Toc390696998"/>
      <w:bookmarkStart w:id="1065" w:name="_Toc390760011"/>
      <w:bookmarkStart w:id="1066" w:name="_Toc390764767"/>
      <w:bookmarkStart w:id="1067" w:name="_Toc390766296"/>
      <w:bookmarkStart w:id="1068" w:name="_Toc390778765"/>
      <w:bookmarkStart w:id="1069" w:name="_Toc390779743"/>
      <w:bookmarkStart w:id="1070" w:name="_Toc390782556"/>
      <w:bookmarkStart w:id="1071" w:name="_Toc390268056"/>
      <w:bookmarkStart w:id="1072" w:name="_Toc390268187"/>
      <w:bookmarkStart w:id="1073" w:name="_Toc390352838"/>
      <w:bookmarkStart w:id="1074" w:name="_Toc390353815"/>
      <w:bookmarkStart w:id="1075" w:name="_Toc390355765"/>
      <w:bookmarkStart w:id="1076" w:name="_Toc390436429"/>
      <w:bookmarkStart w:id="1077" w:name="_Toc390673720"/>
      <w:bookmarkStart w:id="1078" w:name="_Toc390689994"/>
      <w:bookmarkStart w:id="1079" w:name="_Toc390696999"/>
      <w:bookmarkStart w:id="1080" w:name="_Toc390760012"/>
      <w:bookmarkStart w:id="1081" w:name="_Toc390764768"/>
      <w:bookmarkStart w:id="1082" w:name="_Toc390766297"/>
      <w:bookmarkStart w:id="1083" w:name="_Toc390778766"/>
      <w:bookmarkStart w:id="1084" w:name="_Toc390779744"/>
      <w:bookmarkStart w:id="1085" w:name="_Toc390782557"/>
      <w:bookmarkStart w:id="1086" w:name="_Toc390268057"/>
      <w:bookmarkStart w:id="1087" w:name="_Toc390268188"/>
      <w:bookmarkStart w:id="1088" w:name="_Toc390352839"/>
      <w:bookmarkStart w:id="1089" w:name="_Toc390353816"/>
      <w:bookmarkStart w:id="1090" w:name="_Toc390355766"/>
      <w:bookmarkStart w:id="1091" w:name="_Toc390436430"/>
      <w:bookmarkStart w:id="1092" w:name="_Toc390673721"/>
      <w:bookmarkStart w:id="1093" w:name="_Toc390689995"/>
      <w:bookmarkStart w:id="1094" w:name="_Toc390697000"/>
      <w:bookmarkStart w:id="1095" w:name="_Toc390760013"/>
      <w:bookmarkStart w:id="1096" w:name="_Toc390764769"/>
      <w:bookmarkStart w:id="1097" w:name="_Toc390766298"/>
      <w:bookmarkStart w:id="1098" w:name="_Toc390778767"/>
      <w:bookmarkStart w:id="1099" w:name="_Toc390779745"/>
      <w:bookmarkStart w:id="1100" w:name="_Toc390782558"/>
      <w:bookmarkStart w:id="1101" w:name="_Toc390268061"/>
      <w:bookmarkStart w:id="1102" w:name="_Toc390268192"/>
      <w:bookmarkStart w:id="1103" w:name="_Toc390352843"/>
      <w:bookmarkStart w:id="1104" w:name="_Toc390353820"/>
      <w:bookmarkStart w:id="1105" w:name="_Toc390355770"/>
      <w:bookmarkStart w:id="1106" w:name="_Toc390436434"/>
      <w:bookmarkStart w:id="1107" w:name="_Toc390673725"/>
      <w:bookmarkStart w:id="1108" w:name="_Toc390689999"/>
      <w:bookmarkStart w:id="1109" w:name="_Toc390697004"/>
      <w:bookmarkStart w:id="1110" w:name="_Toc390760017"/>
      <w:bookmarkStart w:id="1111" w:name="_Toc390764773"/>
      <w:bookmarkStart w:id="1112" w:name="_Toc390766302"/>
      <w:bookmarkStart w:id="1113" w:name="_Toc390778771"/>
      <w:bookmarkStart w:id="1114" w:name="_Toc390779749"/>
      <w:bookmarkStart w:id="1115" w:name="_Toc390782562"/>
      <w:bookmarkStart w:id="1116" w:name="_Toc390268064"/>
      <w:bookmarkStart w:id="1117" w:name="_Toc390268195"/>
      <w:bookmarkStart w:id="1118" w:name="_Toc390352846"/>
      <w:bookmarkStart w:id="1119" w:name="_Toc390353823"/>
      <w:bookmarkStart w:id="1120" w:name="_Toc390355773"/>
      <w:bookmarkStart w:id="1121" w:name="_Toc390436437"/>
      <w:bookmarkStart w:id="1122" w:name="_Toc390673728"/>
      <w:bookmarkStart w:id="1123" w:name="_Toc390690002"/>
      <w:bookmarkStart w:id="1124" w:name="_Toc390697007"/>
      <w:bookmarkStart w:id="1125" w:name="_Toc390760020"/>
      <w:bookmarkStart w:id="1126" w:name="_Toc390764776"/>
      <w:bookmarkStart w:id="1127" w:name="_Toc390766305"/>
      <w:bookmarkStart w:id="1128" w:name="_Toc390778774"/>
      <w:bookmarkStart w:id="1129" w:name="_Toc390779752"/>
      <w:bookmarkStart w:id="1130" w:name="_Toc390782565"/>
      <w:bookmarkStart w:id="1131" w:name="_Toc390268065"/>
      <w:bookmarkStart w:id="1132" w:name="_Toc390268196"/>
      <w:bookmarkStart w:id="1133" w:name="_Toc390352847"/>
      <w:bookmarkStart w:id="1134" w:name="_Toc390353824"/>
      <w:bookmarkStart w:id="1135" w:name="_Toc390355774"/>
      <w:bookmarkStart w:id="1136" w:name="_Toc390436438"/>
      <w:bookmarkStart w:id="1137" w:name="_Toc390673729"/>
      <w:bookmarkStart w:id="1138" w:name="_Toc390690003"/>
      <w:bookmarkStart w:id="1139" w:name="_Toc390697008"/>
      <w:bookmarkStart w:id="1140" w:name="_Toc390760021"/>
      <w:bookmarkStart w:id="1141" w:name="_Toc390764777"/>
      <w:bookmarkStart w:id="1142" w:name="_Toc390766306"/>
      <w:bookmarkStart w:id="1143" w:name="_Toc390778775"/>
      <w:bookmarkStart w:id="1144" w:name="_Toc390779753"/>
      <w:bookmarkStart w:id="1145" w:name="_Toc390782566"/>
      <w:bookmarkStart w:id="1146" w:name="_Toc390268067"/>
      <w:bookmarkStart w:id="1147" w:name="_Toc390268198"/>
      <w:bookmarkStart w:id="1148" w:name="_Toc390352849"/>
      <w:bookmarkStart w:id="1149" w:name="_Toc390353826"/>
      <w:bookmarkStart w:id="1150" w:name="_Toc390355776"/>
      <w:bookmarkStart w:id="1151" w:name="_Toc390436440"/>
      <w:bookmarkStart w:id="1152" w:name="_Toc390673731"/>
      <w:bookmarkStart w:id="1153" w:name="_Toc390690005"/>
      <w:bookmarkStart w:id="1154" w:name="_Toc390697010"/>
      <w:bookmarkStart w:id="1155" w:name="_Toc390760023"/>
      <w:bookmarkStart w:id="1156" w:name="_Toc390764779"/>
      <w:bookmarkStart w:id="1157" w:name="_Toc390766308"/>
      <w:bookmarkStart w:id="1158" w:name="_Toc390778777"/>
      <w:bookmarkStart w:id="1159" w:name="_Toc390779755"/>
      <w:bookmarkStart w:id="1160" w:name="_Toc390782568"/>
      <w:bookmarkStart w:id="1161" w:name="_Toc388019385"/>
      <w:bookmarkStart w:id="1162" w:name="_Toc388019876"/>
      <w:bookmarkStart w:id="1163" w:name="_Toc388019386"/>
      <w:bookmarkStart w:id="1164" w:name="_Toc388019877"/>
      <w:bookmarkStart w:id="1165" w:name="_Toc388019387"/>
      <w:bookmarkStart w:id="1166" w:name="_Toc388019878"/>
      <w:bookmarkStart w:id="1167" w:name="_Toc388019388"/>
      <w:bookmarkStart w:id="1168" w:name="_Toc388019879"/>
      <w:bookmarkStart w:id="1169" w:name="_Toc388019389"/>
      <w:bookmarkStart w:id="1170" w:name="_Toc388019880"/>
      <w:bookmarkStart w:id="1171" w:name="_Toc388019392"/>
      <w:bookmarkStart w:id="1172" w:name="_Toc388019883"/>
      <w:bookmarkStart w:id="1173" w:name="_Toc388019393"/>
      <w:bookmarkStart w:id="1174" w:name="_Toc388019884"/>
      <w:bookmarkStart w:id="1175" w:name="_Toc388019397"/>
      <w:bookmarkStart w:id="1176" w:name="_Toc388019888"/>
      <w:bookmarkStart w:id="1177" w:name="_Toc388019399"/>
      <w:bookmarkStart w:id="1178" w:name="_Toc388019890"/>
      <w:bookmarkStart w:id="1179" w:name="_Toc388019400"/>
      <w:bookmarkStart w:id="1180" w:name="_Toc388019891"/>
      <w:bookmarkStart w:id="1181" w:name="_Toc388019401"/>
      <w:bookmarkStart w:id="1182" w:name="_Toc388019892"/>
      <w:bookmarkStart w:id="1183" w:name="_Toc388019402"/>
      <w:bookmarkStart w:id="1184" w:name="_Toc388019893"/>
      <w:bookmarkStart w:id="1185" w:name="_Toc388019406"/>
      <w:bookmarkStart w:id="1186" w:name="_Toc388019897"/>
      <w:bookmarkStart w:id="1187" w:name="_Toc388019407"/>
      <w:bookmarkStart w:id="1188" w:name="_Toc388019898"/>
      <w:bookmarkStart w:id="1189" w:name="_Toc388019409"/>
      <w:bookmarkStart w:id="1190" w:name="_Toc388019900"/>
      <w:bookmarkStart w:id="1191" w:name="_Toc388019411"/>
      <w:bookmarkStart w:id="1192" w:name="_Toc388019902"/>
      <w:bookmarkStart w:id="1193" w:name="_Toc388019412"/>
      <w:bookmarkStart w:id="1194" w:name="_Toc388019903"/>
      <w:bookmarkStart w:id="1195" w:name="_Toc388019413"/>
      <w:bookmarkStart w:id="1196" w:name="_Toc388019904"/>
      <w:bookmarkStart w:id="1197" w:name="_Toc388019416"/>
      <w:bookmarkStart w:id="1198" w:name="_Toc388019907"/>
      <w:bookmarkStart w:id="1199" w:name="_Toc388019417"/>
      <w:bookmarkStart w:id="1200" w:name="_Toc388019908"/>
      <w:bookmarkStart w:id="1201" w:name="_Toc388019419"/>
      <w:bookmarkStart w:id="1202" w:name="_Toc388019910"/>
      <w:bookmarkStart w:id="1203" w:name="_Toc388019423"/>
      <w:bookmarkStart w:id="1204" w:name="_Toc388019914"/>
      <w:bookmarkStart w:id="1205" w:name="_Toc388019427"/>
      <w:bookmarkStart w:id="1206" w:name="_Toc388019918"/>
      <w:bookmarkStart w:id="1207" w:name="_Toc388019429"/>
      <w:bookmarkStart w:id="1208" w:name="_Toc388019920"/>
      <w:bookmarkStart w:id="1209" w:name="_Toc388019434"/>
      <w:bookmarkStart w:id="1210" w:name="_Toc388019925"/>
      <w:bookmarkStart w:id="1211" w:name="_Toc388019435"/>
      <w:bookmarkStart w:id="1212" w:name="_Toc388019926"/>
      <w:bookmarkStart w:id="1213" w:name="_Toc388019439"/>
      <w:bookmarkStart w:id="1214" w:name="_Toc388019930"/>
      <w:bookmarkStart w:id="1215" w:name="_Toc388019440"/>
      <w:bookmarkStart w:id="1216" w:name="_Toc388019931"/>
      <w:bookmarkStart w:id="1217" w:name="_Toc388019444"/>
      <w:bookmarkStart w:id="1218" w:name="_Toc388019935"/>
      <w:bookmarkStart w:id="1219" w:name="_Toc388019446"/>
      <w:bookmarkStart w:id="1220" w:name="_Toc388019937"/>
      <w:bookmarkStart w:id="1221" w:name="_Toc388019447"/>
      <w:bookmarkStart w:id="1222" w:name="_Toc388019938"/>
      <w:bookmarkStart w:id="1223" w:name="_Toc388019448"/>
      <w:bookmarkStart w:id="1224" w:name="_Toc388019939"/>
      <w:bookmarkStart w:id="1225" w:name="_Toc388019451"/>
      <w:bookmarkStart w:id="1226" w:name="_Toc388019942"/>
      <w:bookmarkStart w:id="1227" w:name="_Toc388019475"/>
      <w:bookmarkStart w:id="1228" w:name="_Toc388019966"/>
      <w:bookmarkStart w:id="1229" w:name="_Toc388019479"/>
      <w:bookmarkStart w:id="1230" w:name="_Toc388019970"/>
      <w:bookmarkStart w:id="1231" w:name="_Toc388019487"/>
      <w:bookmarkStart w:id="1232" w:name="_Toc388019978"/>
      <w:bookmarkStart w:id="1233" w:name="_Toc388019488"/>
      <w:bookmarkStart w:id="1234" w:name="_Toc388019979"/>
      <w:bookmarkStart w:id="1235" w:name="_Toc388019490"/>
      <w:bookmarkStart w:id="1236" w:name="_Toc388019981"/>
      <w:bookmarkStart w:id="1237" w:name="_Toc388019518"/>
      <w:bookmarkStart w:id="1238" w:name="_Toc388020009"/>
      <w:bookmarkStart w:id="1239" w:name="_Toc388019539"/>
      <w:bookmarkStart w:id="1240" w:name="_Toc388020030"/>
      <w:bookmarkStart w:id="1241" w:name="_Toc388019557"/>
      <w:bookmarkStart w:id="1242" w:name="_Toc388020048"/>
      <w:bookmarkStart w:id="1243" w:name="_Toc388019585"/>
      <w:bookmarkStart w:id="1244" w:name="_Toc388020076"/>
      <w:bookmarkStart w:id="1245" w:name="_Toc388019587"/>
      <w:bookmarkStart w:id="1246" w:name="_Toc388020078"/>
      <w:bookmarkStart w:id="1247" w:name="_Toc388019601"/>
      <w:bookmarkStart w:id="1248" w:name="_Toc388020092"/>
      <w:bookmarkStart w:id="1249" w:name="_Toc388019644"/>
      <w:bookmarkStart w:id="1250" w:name="_Toc388020135"/>
      <w:bookmarkStart w:id="1251" w:name="_Toc388019663"/>
      <w:bookmarkStart w:id="1252" w:name="_Toc388020154"/>
      <w:bookmarkStart w:id="1253" w:name="_Toc388019672"/>
      <w:bookmarkStart w:id="1254" w:name="_Toc388020163"/>
      <w:bookmarkStart w:id="1255" w:name="_Toc388019681"/>
      <w:bookmarkStart w:id="1256" w:name="_Toc388020172"/>
      <w:bookmarkStart w:id="1257" w:name="_Toc388019690"/>
      <w:bookmarkStart w:id="1258" w:name="_Toc388020181"/>
      <w:bookmarkStart w:id="1259" w:name="_Toc388019708"/>
      <w:bookmarkStart w:id="1260" w:name="_Toc388020199"/>
      <w:bookmarkStart w:id="1261" w:name="_Toc388019717"/>
      <w:bookmarkStart w:id="1262" w:name="_Toc388020208"/>
      <w:bookmarkStart w:id="1263" w:name="_Toc388019726"/>
      <w:bookmarkStart w:id="1264" w:name="_Toc388020217"/>
      <w:bookmarkStart w:id="1265" w:name="_Toc388019741"/>
      <w:bookmarkStart w:id="1266" w:name="_Toc388020232"/>
      <w:bookmarkStart w:id="1267" w:name="_Toc388019745"/>
      <w:bookmarkStart w:id="1268" w:name="_Toc388020236"/>
      <w:bookmarkStart w:id="1269" w:name="_Toc388019753"/>
      <w:bookmarkStart w:id="1270" w:name="_Toc388020244"/>
      <w:bookmarkStart w:id="1271" w:name="_Toc388019754"/>
      <w:bookmarkStart w:id="1272" w:name="_Toc388020245"/>
      <w:bookmarkStart w:id="1273" w:name="_Toc388019757"/>
      <w:bookmarkStart w:id="1274" w:name="_Toc388020248"/>
      <w:bookmarkStart w:id="1275" w:name="_Toc388019759"/>
      <w:bookmarkStart w:id="1276" w:name="_Toc388020250"/>
      <w:bookmarkStart w:id="1277" w:name="_Toc388019761"/>
      <w:bookmarkStart w:id="1278" w:name="_Toc388020252"/>
      <w:bookmarkStart w:id="1279" w:name="_Toc388019762"/>
      <w:bookmarkStart w:id="1280" w:name="_Toc388020253"/>
      <w:bookmarkStart w:id="1281" w:name="_Toc388019765"/>
      <w:bookmarkStart w:id="1282" w:name="_Toc388020256"/>
      <w:bookmarkStart w:id="1283" w:name="_Toc388019767"/>
      <w:bookmarkStart w:id="1284" w:name="_Toc388020258"/>
      <w:bookmarkStart w:id="1285" w:name="_Toc388019770"/>
      <w:bookmarkStart w:id="1286" w:name="_Toc388020261"/>
      <w:bookmarkStart w:id="1287" w:name="_Toc388019776"/>
      <w:bookmarkStart w:id="1288" w:name="_Toc388020267"/>
      <w:bookmarkStart w:id="1289" w:name="_Toc388019781"/>
      <w:bookmarkStart w:id="1290" w:name="_Toc388020272"/>
      <w:bookmarkStart w:id="1291" w:name="_Toc388019785"/>
      <w:bookmarkStart w:id="1292" w:name="_Toc388020276"/>
      <w:bookmarkStart w:id="1293" w:name="_Toc388019792"/>
      <w:bookmarkStart w:id="1294" w:name="_Toc388020283"/>
      <w:bookmarkStart w:id="1295" w:name="_Toc388019794"/>
      <w:bookmarkStart w:id="1296" w:name="_Toc388020285"/>
      <w:bookmarkStart w:id="1297" w:name="_Toc388019796"/>
      <w:bookmarkStart w:id="1298" w:name="_Toc388020287"/>
      <w:bookmarkStart w:id="1299" w:name="_Toc388019797"/>
      <w:bookmarkStart w:id="1300" w:name="_Toc388020288"/>
      <w:bookmarkStart w:id="1301" w:name="_Toc388019798"/>
      <w:bookmarkStart w:id="1302" w:name="_Toc388020289"/>
      <w:bookmarkStart w:id="1303" w:name="_Toc388019800"/>
      <w:bookmarkStart w:id="1304" w:name="_Toc388020291"/>
      <w:bookmarkStart w:id="1305" w:name="_Toc388019801"/>
      <w:bookmarkStart w:id="1306" w:name="_Toc388020292"/>
      <w:bookmarkStart w:id="1307" w:name="_Toc388019802"/>
      <w:bookmarkStart w:id="1308" w:name="_Toc388020293"/>
      <w:bookmarkStart w:id="1309" w:name="_Toc388019804"/>
      <w:bookmarkStart w:id="1310" w:name="_Toc388020295"/>
      <w:bookmarkStart w:id="1311" w:name="_Toc390352862"/>
      <w:bookmarkStart w:id="1312" w:name="_Toc390353839"/>
      <w:bookmarkStart w:id="1313" w:name="_Toc390355789"/>
      <w:bookmarkStart w:id="1314" w:name="_Toc390436453"/>
      <w:bookmarkStart w:id="1315" w:name="_Toc390673744"/>
      <w:bookmarkStart w:id="1316" w:name="_Toc390690018"/>
      <w:bookmarkStart w:id="1317" w:name="_Toc390697023"/>
      <w:bookmarkStart w:id="1318" w:name="_Toc390760036"/>
      <w:bookmarkStart w:id="1319" w:name="_Toc390764792"/>
      <w:bookmarkStart w:id="1320" w:name="_Toc390766321"/>
      <w:bookmarkStart w:id="1321" w:name="_Toc390778790"/>
      <w:bookmarkStart w:id="1322" w:name="_Toc390779768"/>
      <w:bookmarkStart w:id="1323" w:name="_Toc390782581"/>
      <w:bookmarkStart w:id="1324" w:name="_Toc390352865"/>
      <w:bookmarkStart w:id="1325" w:name="_Toc390353842"/>
      <w:bookmarkStart w:id="1326" w:name="_Toc390355792"/>
      <w:bookmarkStart w:id="1327" w:name="_Toc390436456"/>
      <w:bookmarkStart w:id="1328" w:name="_Toc390673747"/>
      <w:bookmarkStart w:id="1329" w:name="_Toc390690021"/>
      <w:bookmarkStart w:id="1330" w:name="_Toc390697026"/>
      <w:bookmarkStart w:id="1331" w:name="_Toc390760039"/>
      <w:bookmarkStart w:id="1332" w:name="_Toc390764795"/>
      <w:bookmarkStart w:id="1333" w:name="_Toc390766324"/>
      <w:bookmarkStart w:id="1334" w:name="_Toc390778793"/>
      <w:bookmarkStart w:id="1335" w:name="_Toc390779771"/>
      <w:bookmarkStart w:id="1336" w:name="_Toc390782584"/>
      <w:bookmarkStart w:id="1337" w:name="_Toc390352868"/>
      <w:bookmarkStart w:id="1338" w:name="_Toc390353845"/>
      <w:bookmarkStart w:id="1339" w:name="_Toc390355795"/>
      <w:bookmarkStart w:id="1340" w:name="_Toc390436459"/>
      <w:bookmarkStart w:id="1341" w:name="_Toc390673750"/>
      <w:bookmarkStart w:id="1342" w:name="_Toc390690024"/>
      <w:bookmarkStart w:id="1343" w:name="_Toc390697029"/>
      <w:bookmarkStart w:id="1344" w:name="_Toc390760042"/>
      <w:bookmarkStart w:id="1345" w:name="_Toc390764798"/>
      <w:bookmarkStart w:id="1346" w:name="_Toc390766327"/>
      <w:bookmarkStart w:id="1347" w:name="_Toc390778796"/>
      <w:bookmarkStart w:id="1348" w:name="_Toc390779774"/>
      <w:bookmarkStart w:id="1349" w:name="_Toc390782587"/>
      <w:bookmarkStart w:id="1350" w:name="_Toc390352873"/>
      <w:bookmarkStart w:id="1351" w:name="_Toc390353850"/>
      <w:bookmarkStart w:id="1352" w:name="_Toc390355800"/>
      <w:bookmarkStart w:id="1353" w:name="_Toc390436464"/>
      <w:bookmarkStart w:id="1354" w:name="_Toc390673755"/>
      <w:bookmarkStart w:id="1355" w:name="_Toc390690029"/>
      <w:bookmarkStart w:id="1356" w:name="_Toc390697034"/>
      <w:bookmarkStart w:id="1357" w:name="_Toc390760047"/>
      <w:bookmarkStart w:id="1358" w:name="_Toc390764803"/>
      <w:bookmarkStart w:id="1359" w:name="_Toc390766332"/>
      <w:bookmarkStart w:id="1360" w:name="_Toc390778801"/>
      <w:bookmarkStart w:id="1361" w:name="_Toc390779779"/>
      <w:bookmarkStart w:id="1362" w:name="_Toc390782592"/>
      <w:bookmarkStart w:id="1363" w:name="_Toc390352875"/>
      <w:bookmarkStart w:id="1364" w:name="_Toc390353852"/>
      <w:bookmarkStart w:id="1365" w:name="_Toc390355802"/>
      <w:bookmarkStart w:id="1366" w:name="_Toc390436466"/>
      <w:bookmarkStart w:id="1367" w:name="_Toc390673757"/>
      <w:bookmarkStart w:id="1368" w:name="_Toc390690031"/>
      <w:bookmarkStart w:id="1369" w:name="_Toc390697036"/>
      <w:bookmarkStart w:id="1370" w:name="_Toc390760049"/>
      <w:bookmarkStart w:id="1371" w:name="_Toc390764805"/>
      <w:bookmarkStart w:id="1372" w:name="_Toc390766334"/>
      <w:bookmarkStart w:id="1373" w:name="_Toc390778803"/>
      <w:bookmarkStart w:id="1374" w:name="_Toc390779781"/>
      <w:bookmarkStart w:id="1375" w:name="_Toc390782594"/>
      <w:bookmarkStart w:id="1376" w:name="_Toc390352877"/>
      <w:bookmarkStart w:id="1377" w:name="_Toc390353854"/>
      <w:bookmarkStart w:id="1378" w:name="_Toc390355804"/>
      <w:bookmarkStart w:id="1379" w:name="_Toc390436468"/>
      <w:bookmarkStart w:id="1380" w:name="_Toc390673759"/>
      <w:bookmarkStart w:id="1381" w:name="_Toc390690033"/>
      <w:bookmarkStart w:id="1382" w:name="_Toc390697038"/>
      <w:bookmarkStart w:id="1383" w:name="_Toc390760051"/>
      <w:bookmarkStart w:id="1384" w:name="_Toc390764807"/>
      <w:bookmarkStart w:id="1385" w:name="_Toc390766336"/>
      <w:bookmarkStart w:id="1386" w:name="_Toc390778805"/>
      <w:bookmarkStart w:id="1387" w:name="_Toc390779783"/>
      <w:bookmarkStart w:id="1388" w:name="_Toc390782596"/>
      <w:bookmarkStart w:id="1389" w:name="_Toc390352879"/>
      <w:bookmarkStart w:id="1390" w:name="_Toc390353856"/>
      <w:bookmarkStart w:id="1391" w:name="_Toc390355806"/>
      <w:bookmarkStart w:id="1392" w:name="_Toc390436470"/>
      <w:bookmarkStart w:id="1393" w:name="_Toc390673761"/>
      <w:bookmarkStart w:id="1394" w:name="_Toc390690035"/>
      <w:bookmarkStart w:id="1395" w:name="_Toc390697040"/>
      <w:bookmarkStart w:id="1396" w:name="_Toc390760053"/>
      <w:bookmarkStart w:id="1397" w:name="_Toc390764809"/>
      <w:bookmarkStart w:id="1398" w:name="_Toc390766338"/>
      <w:bookmarkStart w:id="1399" w:name="_Toc390778807"/>
      <w:bookmarkStart w:id="1400" w:name="_Toc390779785"/>
      <w:bookmarkStart w:id="1401" w:name="_Toc390782598"/>
      <w:bookmarkStart w:id="1402" w:name="_Toc390352880"/>
      <w:bookmarkStart w:id="1403" w:name="_Toc390353857"/>
      <w:bookmarkStart w:id="1404" w:name="_Toc390355807"/>
      <w:bookmarkStart w:id="1405" w:name="_Toc390436471"/>
      <w:bookmarkStart w:id="1406" w:name="_Toc390673762"/>
      <w:bookmarkStart w:id="1407" w:name="_Toc390690036"/>
      <w:bookmarkStart w:id="1408" w:name="_Toc390697041"/>
      <w:bookmarkStart w:id="1409" w:name="_Toc390760054"/>
      <w:bookmarkStart w:id="1410" w:name="_Toc390764810"/>
      <w:bookmarkStart w:id="1411" w:name="_Toc390766339"/>
      <w:bookmarkStart w:id="1412" w:name="_Toc390778808"/>
      <w:bookmarkStart w:id="1413" w:name="_Toc390779786"/>
      <w:bookmarkStart w:id="1414" w:name="_Toc390782599"/>
      <w:bookmarkStart w:id="1415" w:name="_Toc390352883"/>
      <w:bookmarkStart w:id="1416" w:name="_Toc390353860"/>
      <w:bookmarkStart w:id="1417" w:name="_Toc390355810"/>
      <w:bookmarkStart w:id="1418" w:name="_Toc390436474"/>
      <w:bookmarkStart w:id="1419" w:name="_Toc390673765"/>
      <w:bookmarkStart w:id="1420" w:name="_Toc390690039"/>
      <w:bookmarkStart w:id="1421" w:name="_Toc390697044"/>
      <w:bookmarkStart w:id="1422" w:name="_Toc390760057"/>
      <w:bookmarkStart w:id="1423" w:name="_Toc390764813"/>
      <w:bookmarkStart w:id="1424" w:name="_Toc390766342"/>
      <w:bookmarkStart w:id="1425" w:name="_Toc390778811"/>
      <w:bookmarkStart w:id="1426" w:name="_Toc390779789"/>
      <w:bookmarkStart w:id="1427" w:name="_Toc390782602"/>
      <w:bookmarkStart w:id="1428" w:name="_Toc390352885"/>
      <w:bookmarkStart w:id="1429" w:name="_Toc390353862"/>
      <w:bookmarkStart w:id="1430" w:name="_Toc390355812"/>
      <w:bookmarkStart w:id="1431" w:name="_Toc390436476"/>
      <w:bookmarkStart w:id="1432" w:name="_Toc390673767"/>
      <w:bookmarkStart w:id="1433" w:name="_Toc390690041"/>
      <w:bookmarkStart w:id="1434" w:name="_Toc390697046"/>
      <w:bookmarkStart w:id="1435" w:name="_Toc390760059"/>
      <w:bookmarkStart w:id="1436" w:name="_Toc390764815"/>
      <w:bookmarkStart w:id="1437" w:name="_Toc390766344"/>
      <w:bookmarkStart w:id="1438" w:name="_Toc390778813"/>
      <w:bookmarkStart w:id="1439" w:name="_Toc390779791"/>
      <w:bookmarkStart w:id="1440" w:name="_Toc390782604"/>
      <w:bookmarkStart w:id="1441" w:name="_Toc390352889"/>
      <w:bookmarkStart w:id="1442" w:name="_Toc390353866"/>
      <w:bookmarkStart w:id="1443" w:name="_Toc390355816"/>
      <w:bookmarkStart w:id="1444" w:name="_Toc390436480"/>
      <w:bookmarkStart w:id="1445" w:name="_Toc390673771"/>
      <w:bookmarkStart w:id="1446" w:name="_Toc390690045"/>
      <w:bookmarkStart w:id="1447" w:name="_Toc390697050"/>
      <w:bookmarkStart w:id="1448" w:name="_Toc390760063"/>
      <w:bookmarkStart w:id="1449" w:name="_Toc390764819"/>
      <w:bookmarkStart w:id="1450" w:name="_Toc390766348"/>
      <w:bookmarkStart w:id="1451" w:name="_Toc390778817"/>
      <w:bookmarkStart w:id="1452" w:name="_Toc390779795"/>
      <w:bookmarkStart w:id="1453" w:name="_Toc390782608"/>
      <w:bookmarkStart w:id="1454" w:name="_Toc390352890"/>
      <w:bookmarkStart w:id="1455" w:name="_Toc390353867"/>
      <w:bookmarkStart w:id="1456" w:name="_Toc390355817"/>
      <w:bookmarkStart w:id="1457" w:name="_Toc390436481"/>
      <w:bookmarkStart w:id="1458" w:name="_Toc390673772"/>
      <w:bookmarkStart w:id="1459" w:name="_Toc390690046"/>
      <w:bookmarkStart w:id="1460" w:name="_Toc390697051"/>
      <w:bookmarkStart w:id="1461" w:name="_Toc390760064"/>
      <w:bookmarkStart w:id="1462" w:name="_Toc390764820"/>
      <w:bookmarkStart w:id="1463" w:name="_Toc390766349"/>
      <w:bookmarkStart w:id="1464" w:name="_Toc390778818"/>
      <w:bookmarkStart w:id="1465" w:name="_Toc390779796"/>
      <w:bookmarkStart w:id="1466" w:name="_Toc390782609"/>
      <w:bookmarkStart w:id="1467" w:name="_Toc390352895"/>
      <w:bookmarkStart w:id="1468" w:name="_Toc390353872"/>
      <w:bookmarkStart w:id="1469" w:name="_Toc390355822"/>
      <w:bookmarkStart w:id="1470" w:name="_Toc390436486"/>
      <w:bookmarkStart w:id="1471" w:name="_Toc390673777"/>
      <w:bookmarkStart w:id="1472" w:name="_Toc390690051"/>
      <w:bookmarkStart w:id="1473" w:name="_Toc390697056"/>
      <w:bookmarkStart w:id="1474" w:name="_Toc390760069"/>
      <w:bookmarkStart w:id="1475" w:name="_Toc390764825"/>
      <w:bookmarkStart w:id="1476" w:name="_Toc390766354"/>
      <w:bookmarkStart w:id="1477" w:name="_Toc390778823"/>
      <w:bookmarkStart w:id="1478" w:name="_Toc390779801"/>
      <w:bookmarkStart w:id="1479" w:name="_Toc390782614"/>
      <w:bookmarkStart w:id="1480" w:name="_Toc390352898"/>
      <w:bookmarkStart w:id="1481" w:name="_Toc390353875"/>
      <w:bookmarkStart w:id="1482" w:name="_Toc390355825"/>
      <w:bookmarkStart w:id="1483" w:name="_Toc390436489"/>
      <w:bookmarkStart w:id="1484" w:name="_Toc390673780"/>
      <w:bookmarkStart w:id="1485" w:name="_Toc390690054"/>
      <w:bookmarkStart w:id="1486" w:name="_Toc390697059"/>
      <w:bookmarkStart w:id="1487" w:name="_Toc390760072"/>
      <w:bookmarkStart w:id="1488" w:name="_Toc390764828"/>
      <w:bookmarkStart w:id="1489" w:name="_Toc390766357"/>
      <w:bookmarkStart w:id="1490" w:name="_Toc390778826"/>
      <w:bookmarkStart w:id="1491" w:name="_Toc390779804"/>
      <w:bookmarkStart w:id="1492" w:name="_Toc390782617"/>
      <w:bookmarkStart w:id="1493" w:name="_Toc390352900"/>
      <w:bookmarkStart w:id="1494" w:name="_Toc390353877"/>
      <w:bookmarkStart w:id="1495" w:name="_Toc390355827"/>
      <w:bookmarkStart w:id="1496" w:name="_Toc390436491"/>
      <w:bookmarkStart w:id="1497" w:name="_Toc390673782"/>
      <w:bookmarkStart w:id="1498" w:name="_Toc390690056"/>
      <w:bookmarkStart w:id="1499" w:name="_Toc390697061"/>
      <w:bookmarkStart w:id="1500" w:name="_Toc390760074"/>
      <w:bookmarkStart w:id="1501" w:name="_Toc390764830"/>
      <w:bookmarkStart w:id="1502" w:name="_Toc390766359"/>
      <w:bookmarkStart w:id="1503" w:name="_Toc390778828"/>
      <w:bookmarkStart w:id="1504" w:name="_Toc390779806"/>
      <w:bookmarkStart w:id="1505" w:name="_Toc390782619"/>
      <w:bookmarkStart w:id="1506" w:name="_Toc390352927"/>
      <w:bookmarkStart w:id="1507" w:name="_Toc390353904"/>
      <w:bookmarkStart w:id="1508" w:name="_Toc390355854"/>
      <w:bookmarkStart w:id="1509" w:name="_Toc390436518"/>
      <w:bookmarkStart w:id="1510" w:name="_Toc390673809"/>
      <w:bookmarkStart w:id="1511" w:name="_Toc390690083"/>
      <w:bookmarkStart w:id="1512" w:name="_Toc390697088"/>
      <w:bookmarkStart w:id="1513" w:name="_Toc390760101"/>
      <w:bookmarkStart w:id="1514" w:name="_Toc390764857"/>
      <w:bookmarkStart w:id="1515" w:name="_Toc390766386"/>
      <w:bookmarkStart w:id="1516" w:name="_Toc390778855"/>
      <w:bookmarkStart w:id="1517" w:name="_Toc390779833"/>
      <w:bookmarkStart w:id="1518" w:name="_Toc390782646"/>
      <w:bookmarkStart w:id="1519" w:name="_Toc390352930"/>
      <w:bookmarkStart w:id="1520" w:name="_Toc390353907"/>
      <w:bookmarkStart w:id="1521" w:name="_Toc390355857"/>
      <w:bookmarkStart w:id="1522" w:name="_Toc390436521"/>
      <w:bookmarkStart w:id="1523" w:name="_Toc390673812"/>
      <w:bookmarkStart w:id="1524" w:name="_Toc390690086"/>
      <w:bookmarkStart w:id="1525" w:name="_Toc390697091"/>
      <w:bookmarkStart w:id="1526" w:name="_Toc390760104"/>
      <w:bookmarkStart w:id="1527" w:name="_Toc390764860"/>
      <w:bookmarkStart w:id="1528" w:name="_Toc390766389"/>
      <w:bookmarkStart w:id="1529" w:name="_Toc390778858"/>
      <w:bookmarkStart w:id="1530" w:name="_Toc390779836"/>
      <w:bookmarkStart w:id="1531" w:name="_Toc390782649"/>
      <w:bookmarkStart w:id="1532" w:name="_Toc390352936"/>
      <w:bookmarkStart w:id="1533" w:name="_Toc390353913"/>
      <w:bookmarkStart w:id="1534" w:name="_Toc390355863"/>
      <w:bookmarkStart w:id="1535" w:name="_Toc390436527"/>
      <w:bookmarkStart w:id="1536" w:name="_Toc390673818"/>
      <w:bookmarkStart w:id="1537" w:name="_Toc390690092"/>
      <w:bookmarkStart w:id="1538" w:name="_Toc390697097"/>
      <w:bookmarkStart w:id="1539" w:name="_Toc390760110"/>
      <w:bookmarkStart w:id="1540" w:name="_Toc390764866"/>
      <w:bookmarkStart w:id="1541" w:name="_Toc390766395"/>
      <w:bookmarkStart w:id="1542" w:name="_Toc390778864"/>
      <w:bookmarkStart w:id="1543" w:name="_Toc390779842"/>
      <w:bookmarkStart w:id="1544" w:name="_Toc390782655"/>
      <w:bookmarkStart w:id="1545" w:name="_Toc390352937"/>
      <w:bookmarkStart w:id="1546" w:name="_Toc390353914"/>
      <w:bookmarkStart w:id="1547" w:name="_Toc390355864"/>
      <w:bookmarkStart w:id="1548" w:name="_Toc390690093"/>
      <w:bookmarkStart w:id="1549" w:name="_Toc390760111"/>
      <w:bookmarkStart w:id="1550" w:name="_Toc390764867"/>
      <w:bookmarkStart w:id="1551" w:name="_Toc390766396"/>
      <w:bookmarkStart w:id="1552" w:name="_Toc390778865"/>
      <w:bookmarkStart w:id="1553" w:name="_Toc390779843"/>
      <w:bookmarkStart w:id="1554" w:name="_Toc390782656"/>
      <w:bookmarkStart w:id="1555" w:name="_Toc390352963"/>
      <w:bookmarkStart w:id="1556" w:name="_Toc390353940"/>
      <w:bookmarkStart w:id="1557" w:name="_Toc390355890"/>
      <w:bookmarkStart w:id="1558" w:name="_Toc390436554"/>
      <w:bookmarkStart w:id="1559" w:name="_Toc390673845"/>
      <w:bookmarkStart w:id="1560" w:name="_Toc390690119"/>
      <w:bookmarkStart w:id="1561" w:name="_Toc390697124"/>
      <w:bookmarkStart w:id="1562" w:name="_Toc390760137"/>
      <w:bookmarkStart w:id="1563" w:name="_Toc390764893"/>
      <w:bookmarkStart w:id="1564" w:name="_Toc390766422"/>
      <w:bookmarkStart w:id="1565" w:name="_Toc390778891"/>
      <w:bookmarkStart w:id="1566" w:name="_Toc390779869"/>
      <w:bookmarkStart w:id="1567" w:name="_Toc390782682"/>
      <w:bookmarkStart w:id="1568" w:name="_Toc390352993"/>
      <w:bookmarkStart w:id="1569" w:name="_Toc390353970"/>
      <w:bookmarkStart w:id="1570" w:name="_Toc390355920"/>
      <w:bookmarkStart w:id="1571" w:name="_Toc390436584"/>
      <w:bookmarkStart w:id="1572" w:name="_Toc390673875"/>
      <w:bookmarkStart w:id="1573" w:name="_Toc390690149"/>
      <w:bookmarkStart w:id="1574" w:name="_Toc390697154"/>
      <w:bookmarkStart w:id="1575" w:name="_Toc390760167"/>
      <w:bookmarkStart w:id="1576" w:name="_Toc390764923"/>
      <w:bookmarkStart w:id="1577" w:name="_Toc390766452"/>
      <w:bookmarkStart w:id="1578" w:name="_Toc390778921"/>
      <w:bookmarkStart w:id="1579" w:name="_Toc390779899"/>
      <w:bookmarkStart w:id="1580" w:name="_Toc390782712"/>
      <w:bookmarkStart w:id="1581" w:name="_Toc390353084"/>
      <w:bookmarkStart w:id="1582" w:name="_Toc390354061"/>
      <w:bookmarkStart w:id="1583" w:name="_Toc390356011"/>
      <w:bookmarkStart w:id="1584" w:name="_Toc390436675"/>
      <w:bookmarkStart w:id="1585" w:name="_Toc390673966"/>
      <w:bookmarkStart w:id="1586" w:name="_Toc390690240"/>
      <w:bookmarkStart w:id="1587" w:name="_Toc390697245"/>
      <w:bookmarkStart w:id="1588" w:name="_Toc390760258"/>
      <w:bookmarkStart w:id="1589" w:name="_Toc390765014"/>
      <w:bookmarkStart w:id="1590" w:name="_Toc390766543"/>
      <w:bookmarkStart w:id="1591" w:name="_Toc390779012"/>
      <w:bookmarkStart w:id="1592" w:name="_Toc390779990"/>
      <w:bookmarkStart w:id="1593" w:name="_Toc390782803"/>
      <w:bookmarkStart w:id="1594" w:name="_Toc390353085"/>
      <w:bookmarkStart w:id="1595" w:name="_Toc390354062"/>
      <w:bookmarkStart w:id="1596" w:name="_Toc390356012"/>
      <w:bookmarkStart w:id="1597" w:name="_Toc390436676"/>
      <w:bookmarkStart w:id="1598" w:name="_Toc390673967"/>
      <w:bookmarkStart w:id="1599" w:name="_Toc390690241"/>
      <w:bookmarkStart w:id="1600" w:name="_Toc390697246"/>
      <w:bookmarkStart w:id="1601" w:name="_Toc390760259"/>
      <w:bookmarkStart w:id="1602" w:name="_Toc390765015"/>
      <w:bookmarkStart w:id="1603" w:name="_Toc390766544"/>
      <w:bookmarkStart w:id="1604" w:name="_Toc390779013"/>
      <w:bookmarkStart w:id="1605" w:name="_Toc390779991"/>
      <w:bookmarkStart w:id="1606" w:name="_Toc390782804"/>
      <w:bookmarkStart w:id="1607" w:name="_Toc390353089"/>
      <w:bookmarkStart w:id="1608" w:name="_Toc390354066"/>
      <w:bookmarkStart w:id="1609" w:name="_Toc390356016"/>
      <w:bookmarkStart w:id="1610" w:name="_Toc390436680"/>
      <w:bookmarkStart w:id="1611" w:name="_Toc390673971"/>
      <w:bookmarkStart w:id="1612" w:name="_Toc390690245"/>
      <w:bookmarkStart w:id="1613" w:name="_Toc390697250"/>
      <w:bookmarkStart w:id="1614" w:name="_Toc390760263"/>
      <w:bookmarkStart w:id="1615" w:name="_Toc390765019"/>
      <w:bookmarkStart w:id="1616" w:name="_Toc390766548"/>
      <w:bookmarkStart w:id="1617" w:name="_Toc390779017"/>
      <w:bookmarkStart w:id="1618" w:name="_Toc390779995"/>
      <w:bookmarkStart w:id="1619" w:name="_Toc390782808"/>
      <w:bookmarkStart w:id="1620" w:name="_Toc390353091"/>
      <w:bookmarkStart w:id="1621" w:name="_Toc390354068"/>
      <w:bookmarkStart w:id="1622" w:name="_Toc390356018"/>
      <w:bookmarkStart w:id="1623" w:name="_Toc390436682"/>
      <w:bookmarkStart w:id="1624" w:name="_Toc390673973"/>
      <w:bookmarkStart w:id="1625" w:name="_Toc390690247"/>
      <w:bookmarkStart w:id="1626" w:name="_Toc390697252"/>
      <w:bookmarkStart w:id="1627" w:name="_Toc390760265"/>
      <w:bookmarkStart w:id="1628" w:name="_Toc390765021"/>
      <w:bookmarkStart w:id="1629" w:name="_Toc390766550"/>
      <w:bookmarkStart w:id="1630" w:name="_Toc390779019"/>
      <w:bookmarkStart w:id="1631" w:name="_Toc390779997"/>
      <w:bookmarkStart w:id="1632" w:name="_Toc390782810"/>
      <w:bookmarkStart w:id="1633" w:name="_Toc390353093"/>
      <w:bookmarkStart w:id="1634" w:name="_Toc390354070"/>
      <w:bookmarkStart w:id="1635" w:name="_Toc390356020"/>
      <w:bookmarkStart w:id="1636" w:name="_Toc390436684"/>
      <w:bookmarkStart w:id="1637" w:name="_Toc390673975"/>
      <w:bookmarkStart w:id="1638" w:name="_Toc390690249"/>
      <w:bookmarkStart w:id="1639" w:name="_Toc390697254"/>
      <w:bookmarkStart w:id="1640" w:name="_Toc390760267"/>
      <w:bookmarkStart w:id="1641" w:name="_Toc390765023"/>
      <w:bookmarkStart w:id="1642" w:name="_Toc390766552"/>
      <w:bookmarkStart w:id="1643" w:name="_Toc390779021"/>
      <w:bookmarkStart w:id="1644" w:name="_Toc390779999"/>
      <w:bookmarkStart w:id="1645" w:name="_Toc390782812"/>
      <w:bookmarkStart w:id="1646" w:name="_Toc390353095"/>
      <w:bookmarkStart w:id="1647" w:name="_Toc390354072"/>
      <w:bookmarkStart w:id="1648" w:name="_Toc390356022"/>
      <w:bookmarkStart w:id="1649" w:name="_Toc390436686"/>
      <w:bookmarkStart w:id="1650" w:name="_Toc390673977"/>
      <w:bookmarkStart w:id="1651" w:name="_Toc390690251"/>
      <w:bookmarkStart w:id="1652" w:name="_Toc390697256"/>
      <w:bookmarkStart w:id="1653" w:name="_Toc390760269"/>
      <w:bookmarkStart w:id="1654" w:name="_Toc390765025"/>
      <w:bookmarkStart w:id="1655" w:name="_Toc390766554"/>
      <w:bookmarkStart w:id="1656" w:name="_Toc390779023"/>
      <w:bookmarkStart w:id="1657" w:name="_Toc390780001"/>
      <w:bookmarkStart w:id="1658" w:name="_Toc390782814"/>
      <w:bookmarkStart w:id="1659" w:name="_Toc390353099"/>
      <w:bookmarkStart w:id="1660" w:name="_Toc390354076"/>
      <w:bookmarkStart w:id="1661" w:name="_Toc390356026"/>
      <w:bookmarkStart w:id="1662" w:name="_Toc390436690"/>
      <w:bookmarkStart w:id="1663" w:name="_Toc390673981"/>
      <w:bookmarkStart w:id="1664" w:name="_Toc390690255"/>
      <w:bookmarkStart w:id="1665" w:name="_Toc390697260"/>
      <w:bookmarkStart w:id="1666" w:name="_Toc390760273"/>
      <w:bookmarkStart w:id="1667" w:name="_Toc390765029"/>
      <w:bookmarkStart w:id="1668" w:name="_Toc390766558"/>
      <w:bookmarkStart w:id="1669" w:name="_Toc390779027"/>
      <w:bookmarkStart w:id="1670" w:name="_Toc390780005"/>
      <w:bookmarkStart w:id="1671" w:name="_Toc390782818"/>
      <w:bookmarkStart w:id="1672" w:name="_Toc390353100"/>
      <w:bookmarkStart w:id="1673" w:name="_Toc390354077"/>
      <w:bookmarkStart w:id="1674" w:name="_Toc390356027"/>
      <w:bookmarkStart w:id="1675" w:name="_Toc390436691"/>
      <w:bookmarkStart w:id="1676" w:name="_Toc390673982"/>
      <w:bookmarkStart w:id="1677" w:name="_Toc390690256"/>
      <w:bookmarkStart w:id="1678" w:name="_Toc390697261"/>
      <w:bookmarkStart w:id="1679" w:name="_Toc390760274"/>
      <w:bookmarkStart w:id="1680" w:name="_Toc390765030"/>
      <w:bookmarkStart w:id="1681" w:name="_Toc390766559"/>
      <w:bookmarkStart w:id="1682" w:name="_Toc390779028"/>
      <w:bookmarkStart w:id="1683" w:name="_Toc390780006"/>
      <w:bookmarkStart w:id="1684" w:name="_Toc390782819"/>
      <w:bookmarkStart w:id="1685" w:name="_Toc390353101"/>
      <w:bookmarkStart w:id="1686" w:name="_Toc390354078"/>
      <w:bookmarkStart w:id="1687" w:name="_Toc390356028"/>
      <w:bookmarkStart w:id="1688" w:name="_Toc390436692"/>
      <w:bookmarkStart w:id="1689" w:name="_Toc390673983"/>
      <w:bookmarkStart w:id="1690" w:name="_Toc390690257"/>
      <w:bookmarkStart w:id="1691" w:name="_Toc390697262"/>
      <w:bookmarkStart w:id="1692" w:name="_Toc390760275"/>
      <w:bookmarkStart w:id="1693" w:name="_Toc390765031"/>
      <w:bookmarkStart w:id="1694" w:name="_Toc390766560"/>
      <w:bookmarkStart w:id="1695" w:name="_Toc390779029"/>
      <w:bookmarkStart w:id="1696" w:name="_Toc390780007"/>
      <w:bookmarkStart w:id="1697" w:name="_Toc390782820"/>
      <w:bookmarkStart w:id="1698" w:name="_Toc390353102"/>
      <w:bookmarkStart w:id="1699" w:name="_Toc390354079"/>
      <w:bookmarkStart w:id="1700" w:name="_Toc390356029"/>
      <w:bookmarkStart w:id="1701" w:name="_Toc390436693"/>
      <w:bookmarkStart w:id="1702" w:name="_Toc390673984"/>
      <w:bookmarkStart w:id="1703" w:name="_Toc390690258"/>
      <w:bookmarkStart w:id="1704" w:name="_Toc390697263"/>
      <w:bookmarkStart w:id="1705" w:name="_Toc390760276"/>
      <w:bookmarkStart w:id="1706" w:name="_Toc390765032"/>
      <w:bookmarkStart w:id="1707" w:name="_Toc390766561"/>
      <w:bookmarkStart w:id="1708" w:name="_Toc390779030"/>
      <w:bookmarkStart w:id="1709" w:name="_Toc390780008"/>
      <w:bookmarkStart w:id="1710" w:name="_Toc390782821"/>
      <w:bookmarkStart w:id="1711" w:name="_Toc390353104"/>
      <w:bookmarkStart w:id="1712" w:name="_Toc390354081"/>
      <w:bookmarkStart w:id="1713" w:name="_Toc390356031"/>
      <w:bookmarkStart w:id="1714" w:name="_Toc390436695"/>
      <w:bookmarkStart w:id="1715" w:name="_Toc390673986"/>
      <w:bookmarkStart w:id="1716" w:name="_Toc390690260"/>
      <w:bookmarkStart w:id="1717" w:name="_Toc390697265"/>
      <w:bookmarkStart w:id="1718" w:name="_Toc390760278"/>
      <w:bookmarkStart w:id="1719" w:name="_Toc390765034"/>
      <w:bookmarkStart w:id="1720" w:name="_Toc390766563"/>
      <w:bookmarkStart w:id="1721" w:name="_Toc390779032"/>
      <w:bookmarkStart w:id="1722" w:name="_Toc390780010"/>
      <w:bookmarkStart w:id="1723" w:name="_Toc390782823"/>
      <w:bookmarkStart w:id="1724" w:name="_Toc390353106"/>
      <w:bookmarkStart w:id="1725" w:name="_Toc390354083"/>
      <w:bookmarkStart w:id="1726" w:name="_Toc390356033"/>
      <w:bookmarkStart w:id="1727" w:name="_Toc390436697"/>
      <w:bookmarkStart w:id="1728" w:name="_Toc390673988"/>
      <w:bookmarkStart w:id="1729" w:name="_Toc390690262"/>
      <w:bookmarkStart w:id="1730" w:name="_Toc390697267"/>
      <w:bookmarkStart w:id="1731" w:name="_Toc390760280"/>
      <w:bookmarkStart w:id="1732" w:name="_Toc390765036"/>
      <w:bookmarkStart w:id="1733" w:name="_Toc390766565"/>
      <w:bookmarkStart w:id="1734" w:name="_Toc390779034"/>
      <w:bookmarkStart w:id="1735" w:name="_Toc390780012"/>
      <w:bookmarkStart w:id="1736" w:name="_Toc390782825"/>
      <w:bookmarkStart w:id="1737" w:name="_Toc390353153"/>
      <w:bookmarkStart w:id="1738" w:name="_Toc390354130"/>
      <w:bookmarkStart w:id="1739" w:name="_Toc390356080"/>
      <w:bookmarkStart w:id="1740" w:name="_Toc390436744"/>
      <w:bookmarkStart w:id="1741" w:name="_Toc390674035"/>
      <w:bookmarkStart w:id="1742" w:name="_Toc390690309"/>
      <w:bookmarkStart w:id="1743" w:name="_Toc390697314"/>
      <w:bookmarkStart w:id="1744" w:name="_Toc390760327"/>
      <w:bookmarkStart w:id="1745" w:name="_Toc390765083"/>
      <w:bookmarkStart w:id="1746" w:name="_Toc390766612"/>
      <w:bookmarkStart w:id="1747" w:name="_Toc390779081"/>
      <w:bookmarkStart w:id="1748" w:name="_Toc390780059"/>
      <w:bookmarkStart w:id="1749" w:name="_Toc390782872"/>
      <w:bookmarkStart w:id="1750" w:name="_Toc390353154"/>
      <w:bookmarkStart w:id="1751" w:name="_Toc390354131"/>
      <w:bookmarkStart w:id="1752" w:name="_Toc390356081"/>
      <w:bookmarkStart w:id="1753" w:name="_Toc390436745"/>
      <w:bookmarkStart w:id="1754" w:name="_Toc390674036"/>
      <w:bookmarkStart w:id="1755" w:name="_Toc390690310"/>
      <w:bookmarkStart w:id="1756" w:name="_Toc390697315"/>
      <w:bookmarkStart w:id="1757" w:name="_Toc390760328"/>
      <w:bookmarkStart w:id="1758" w:name="_Toc390765084"/>
      <w:bookmarkStart w:id="1759" w:name="_Toc390766613"/>
      <w:bookmarkStart w:id="1760" w:name="_Toc390779082"/>
      <w:bookmarkStart w:id="1761" w:name="_Toc390780060"/>
      <w:bookmarkStart w:id="1762" w:name="_Toc390782873"/>
      <w:bookmarkStart w:id="1763" w:name="_Toc390353155"/>
      <w:bookmarkStart w:id="1764" w:name="_Toc390354132"/>
      <w:bookmarkStart w:id="1765" w:name="_Toc390356082"/>
      <w:bookmarkStart w:id="1766" w:name="_Toc390436746"/>
      <w:bookmarkStart w:id="1767" w:name="_Toc390674037"/>
      <w:bookmarkStart w:id="1768" w:name="_Toc390690311"/>
      <w:bookmarkStart w:id="1769" w:name="_Toc390697316"/>
      <w:bookmarkStart w:id="1770" w:name="_Toc390760329"/>
      <w:bookmarkStart w:id="1771" w:name="_Toc390765085"/>
      <w:bookmarkStart w:id="1772" w:name="_Toc390766614"/>
      <w:bookmarkStart w:id="1773" w:name="_Toc390779083"/>
      <w:bookmarkStart w:id="1774" w:name="_Toc390780061"/>
      <w:bookmarkStart w:id="1775" w:name="_Toc390782874"/>
      <w:bookmarkStart w:id="1776" w:name="_Toc390353156"/>
      <w:bookmarkStart w:id="1777" w:name="_Toc390354133"/>
      <w:bookmarkStart w:id="1778" w:name="_Toc390356083"/>
      <w:bookmarkStart w:id="1779" w:name="_Toc390436747"/>
      <w:bookmarkStart w:id="1780" w:name="_Toc390674038"/>
      <w:bookmarkStart w:id="1781" w:name="_Toc390690312"/>
      <w:bookmarkStart w:id="1782" w:name="_Toc390697317"/>
      <w:bookmarkStart w:id="1783" w:name="_Toc390760330"/>
      <w:bookmarkStart w:id="1784" w:name="_Toc390765086"/>
      <w:bookmarkStart w:id="1785" w:name="_Toc390766615"/>
      <w:bookmarkStart w:id="1786" w:name="_Toc390779084"/>
      <w:bookmarkStart w:id="1787" w:name="_Toc390780062"/>
      <w:bookmarkStart w:id="1788" w:name="_Toc390782875"/>
      <w:bookmarkStart w:id="1789" w:name="_Toc390353157"/>
      <w:bookmarkStart w:id="1790" w:name="_Toc390354134"/>
      <w:bookmarkStart w:id="1791" w:name="_Toc390356084"/>
      <w:bookmarkStart w:id="1792" w:name="_Toc390436748"/>
      <w:bookmarkStart w:id="1793" w:name="_Toc390674039"/>
      <w:bookmarkStart w:id="1794" w:name="_Toc390690313"/>
      <w:bookmarkStart w:id="1795" w:name="_Toc390697318"/>
      <w:bookmarkStart w:id="1796" w:name="_Toc390760331"/>
      <w:bookmarkStart w:id="1797" w:name="_Toc390765087"/>
      <w:bookmarkStart w:id="1798" w:name="_Toc390766616"/>
      <w:bookmarkStart w:id="1799" w:name="_Toc390779085"/>
      <w:bookmarkStart w:id="1800" w:name="_Toc390780063"/>
      <w:bookmarkStart w:id="1801" w:name="_Toc390782876"/>
      <w:bookmarkStart w:id="1802" w:name="_Toc390353159"/>
      <w:bookmarkStart w:id="1803" w:name="_Toc390354136"/>
      <w:bookmarkStart w:id="1804" w:name="_Toc390356086"/>
      <w:bookmarkStart w:id="1805" w:name="_Toc390436750"/>
      <w:bookmarkStart w:id="1806" w:name="_Toc390674041"/>
      <w:bookmarkStart w:id="1807" w:name="_Toc390690315"/>
      <w:bookmarkStart w:id="1808" w:name="_Toc390697320"/>
      <w:bookmarkStart w:id="1809" w:name="_Toc390760333"/>
      <w:bookmarkStart w:id="1810" w:name="_Toc390765089"/>
      <w:bookmarkStart w:id="1811" w:name="_Toc390766618"/>
      <w:bookmarkStart w:id="1812" w:name="_Toc390779087"/>
      <w:bookmarkStart w:id="1813" w:name="_Toc390780065"/>
      <w:bookmarkStart w:id="1814" w:name="_Toc390782878"/>
      <w:bookmarkStart w:id="1815" w:name="_Toc390353231"/>
      <w:bookmarkStart w:id="1816" w:name="_Toc390354208"/>
      <w:bookmarkStart w:id="1817" w:name="_Toc390356158"/>
      <w:bookmarkStart w:id="1818" w:name="_Toc390436822"/>
      <w:bookmarkStart w:id="1819" w:name="_Toc390674113"/>
      <w:bookmarkStart w:id="1820" w:name="_Toc390690387"/>
      <w:bookmarkStart w:id="1821" w:name="_Toc390697392"/>
      <w:bookmarkStart w:id="1822" w:name="_Toc390760405"/>
      <w:bookmarkStart w:id="1823" w:name="_Toc390765161"/>
      <w:bookmarkStart w:id="1824" w:name="_Toc390766690"/>
      <w:bookmarkStart w:id="1825" w:name="_Toc390779159"/>
      <w:bookmarkStart w:id="1826" w:name="_Toc390780137"/>
      <w:bookmarkStart w:id="1827" w:name="_Toc390782950"/>
      <w:bookmarkStart w:id="1828" w:name="_Toc390353232"/>
      <w:bookmarkStart w:id="1829" w:name="_Toc390354209"/>
      <w:bookmarkStart w:id="1830" w:name="_Toc390356159"/>
      <w:bookmarkStart w:id="1831" w:name="_Toc390436823"/>
      <w:bookmarkStart w:id="1832" w:name="_Toc390674114"/>
      <w:bookmarkStart w:id="1833" w:name="_Toc390690388"/>
      <w:bookmarkStart w:id="1834" w:name="_Toc390697393"/>
      <w:bookmarkStart w:id="1835" w:name="_Toc390760406"/>
      <w:bookmarkStart w:id="1836" w:name="_Toc390765162"/>
      <w:bookmarkStart w:id="1837" w:name="_Toc390766691"/>
      <w:bookmarkStart w:id="1838" w:name="_Toc390779160"/>
      <w:bookmarkStart w:id="1839" w:name="_Toc390780138"/>
      <w:bookmarkStart w:id="1840" w:name="_Toc390782951"/>
      <w:bookmarkStart w:id="1841" w:name="_Toc390353236"/>
      <w:bookmarkStart w:id="1842" w:name="_Toc390354213"/>
      <w:bookmarkStart w:id="1843" w:name="_Toc390356163"/>
      <w:bookmarkStart w:id="1844" w:name="_Toc390436827"/>
      <w:bookmarkStart w:id="1845" w:name="_Toc390674118"/>
      <w:bookmarkStart w:id="1846" w:name="_Toc390690392"/>
      <w:bookmarkStart w:id="1847" w:name="_Toc390697397"/>
      <w:bookmarkStart w:id="1848" w:name="_Toc390760410"/>
      <w:bookmarkStart w:id="1849" w:name="_Toc390765166"/>
      <w:bookmarkStart w:id="1850" w:name="_Toc390766695"/>
      <w:bookmarkStart w:id="1851" w:name="_Toc390779164"/>
      <w:bookmarkStart w:id="1852" w:name="_Toc390780142"/>
      <w:bookmarkStart w:id="1853" w:name="_Toc390782955"/>
      <w:bookmarkStart w:id="1854" w:name="_Toc390353255"/>
      <w:bookmarkStart w:id="1855" w:name="_Toc390354232"/>
      <w:bookmarkStart w:id="1856" w:name="_Toc390356182"/>
      <w:bookmarkStart w:id="1857" w:name="_Toc390436846"/>
      <w:bookmarkStart w:id="1858" w:name="_Toc390674137"/>
      <w:bookmarkStart w:id="1859" w:name="_Toc390690411"/>
      <w:bookmarkStart w:id="1860" w:name="_Toc390697416"/>
      <w:bookmarkStart w:id="1861" w:name="_Toc390760429"/>
      <w:bookmarkStart w:id="1862" w:name="_Toc390765185"/>
      <w:bookmarkStart w:id="1863" w:name="_Toc390766714"/>
      <w:bookmarkStart w:id="1864" w:name="_Toc390779183"/>
      <w:bookmarkStart w:id="1865" w:name="_Toc390780161"/>
      <w:bookmarkStart w:id="1866" w:name="_Toc390782974"/>
      <w:bookmarkStart w:id="1867" w:name="_Toc390353295"/>
      <w:bookmarkStart w:id="1868" w:name="_Toc390354272"/>
      <w:bookmarkStart w:id="1869" w:name="_Toc390356222"/>
      <w:bookmarkStart w:id="1870" w:name="_Toc390436886"/>
      <w:bookmarkStart w:id="1871" w:name="_Toc390674177"/>
      <w:bookmarkStart w:id="1872" w:name="_Toc390690451"/>
      <w:bookmarkStart w:id="1873" w:name="_Toc390697456"/>
      <w:bookmarkStart w:id="1874" w:name="_Toc390760469"/>
      <w:bookmarkStart w:id="1875" w:name="_Toc390765225"/>
      <w:bookmarkStart w:id="1876" w:name="_Toc390766754"/>
      <w:bookmarkStart w:id="1877" w:name="_Toc390779223"/>
      <w:bookmarkStart w:id="1878" w:name="_Toc390780201"/>
      <w:bookmarkStart w:id="1879" w:name="_Toc390783014"/>
      <w:bookmarkStart w:id="1880" w:name="_Toc390268072"/>
      <w:bookmarkStart w:id="1881" w:name="_Toc390268203"/>
      <w:bookmarkStart w:id="1882" w:name="_Toc390330951"/>
      <w:bookmarkStart w:id="1883" w:name="_Toc390353407"/>
      <w:bookmarkStart w:id="1884" w:name="_Toc390354384"/>
      <w:bookmarkStart w:id="1885" w:name="_Toc390356334"/>
      <w:bookmarkStart w:id="1886" w:name="_Toc390436998"/>
      <w:bookmarkStart w:id="1887" w:name="_Toc390674289"/>
      <w:bookmarkStart w:id="1888" w:name="_Toc390690563"/>
      <w:bookmarkStart w:id="1889" w:name="_Toc390697568"/>
      <w:bookmarkStart w:id="1890" w:name="_Toc390760581"/>
      <w:bookmarkStart w:id="1891" w:name="_Toc390765337"/>
      <w:bookmarkStart w:id="1892" w:name="_Toc390766866"/>
      <w:bookmarkStart w:id="1893" w:name="_Toc390779335"/>
      <w:bookmarkStart w:id="1894" w:name="_Toc390780313"/>
      <w:bookmarkStart w:id="1895" w:name="_Toc390783126"/>
      <w:bookmarkStart w:id="1896" w:name="_Toc390946284"/>
      <w:bookmarkStart w:id="1897" w:name="_Toc391969845"/>
      <w:bookmarkEnd w:id="308"/>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r w:rsidRPr="00D46AE0">
        <w:t xml:space="preserve">EIM participants will be responsible for procuring </w:t>
      </w:r>
      <w:r w:rsidR="007D50AB">
        <w:t xml:space="preserve">and managing </w:t>
      </w:r>
      <w:r w:rsidRPr="00D46AE0">
        <w:t>their own ancillary services in conformance with NERC and WECC requirements</w:t>
      </w:r>
      <w:r w:rsidR="00312277">
        <w:t xml:space="preserve">. </w:t>
      </w:r>
      <w:r w:rsidRPr="00D46AE0">
        <w:t>RTM will protect the participating resource</w:t>
      </w:r>
      <w:r w:rsidR="005F24C1">
        <w:t xml:space="preserve"> WEIM </w:t>
      </w:r>
      <w:r w:rsidR="003F65BA">
        <w:t>Upward Available Balancing Capacity,</w:t>
      </w:r>
      <w:r w:rsidR="005F24C1">
        <w:t xml:space="preserve"> WEIM </w:t>
      </w:r>
      <w:r w:rsidR="003F65BA">
        <w:t>Downward Available Balancing Capacity, and</w:t>
      </w:r>
      <w:r w:rsidR="005F24C1">
        <w:t xml:space="preserve"> WEIM </w:t>
      </w:r>
      <w:r w:rsidR="003F65BA">
        <w:t>Reserves to Meet NERC/WECC Contingency Reserves Requirements</w:t>
      </w:r>
      <w:r w:rsidR="00153940">
        <w:t xml:space="preserve"> </w:t>
      </w:r>
      <w:r w:rsidRPr="00D46AE0">
        <w:t>not to be dispatched to meet</w:t>
      </w:r>
      <w:r w:rsidR="005F24C1">
        <w:t xml:space="preserve"> WEIM </w:t>
      </w:r>
      <w:r w:rsidRPr="00D46AE0">
        <w:t>footprint energy need</w:t>
      </w:r>
      <w:r w:rsidR="00A10DA5">
        <w:t>s</w:t>
      </w:r>
      <w:r w:rsidRPr="00D46AE0">
        <w:t>.</w:t>
      </w:r>
      <w:r w:rsidR="003F05BB">
        <w:t xml:space="preserve"> </w:t>
      </w:r>
      <w:r>
        <w:t xml:space="preserve">However when an infeasible power balance condition in </w:t>
      </w:r>
      <w:r w:rsidR="00153940">
        <w:t>a WEIM</w:t>
      </w:r>
      <w:r w:rsidR="005F24C1">
        <w:t xml:space="preserve"> </w:t>
      </w:r>
      <w:r>
        <w:t>BAA, other than CAISO, is detected by the CAISO’s market clearing software,</w:t>
      </w:r>
      <w:r w:rsidR="005F24C1">
        <w:t xml:space="preserve"> WEIM </w:t>
      </w:r>
      <w:r w:rsidR="00153940">
        <w:t>Upward</w:t>
      </w:r>
      <w:r w:rsidR="003F65BA">
        <w:t xml:space="preserve"> or Downward </w:t>
      </w:r>
      <w:r w:rsidR="00A84CA6">
        <w:t>Available Balancing Capacity</w:t>
      </w:r>
      <w:r w:rsidR="003F0008">
        <w:t xml:space="preserve"> will be released to the market clearing </w:t>
      </w:r>
      <w:r w:rsidR="00873907">
        <w:t>process</w:t>
      </w:r>
      <w:r>
        <w:t xml:space="preserve"> </w:t>
      </w:r>
      <w:r w:rsidR="00A10DA5">
        <w:t xml:space="preserve">to </w:t>
      </w:r>
      <w:r>
        <w:t>balance the respective</w:t>
      </w:r>
      <w:r w:rsidR="005F24C1">
        <w:t xml:space="preserve"> WEIM </w:t>
      </w:r>
      <w:r>
        <w:t>BAA as explained in section 11.3.4 of th</w:t>
      </w:r>
      <w:r w:rsidR="00A10DA5">
        <w:t>is</w:t>
      </w:r>
      <w:r w:rsidR="00C51D2D">
        <w:t xml:space="preserve"> document</w:t>
      </w:r>
      <w:r>
        <w:t>.</w:t>
      </w:r>
      <w:r w:rsidR="005F24C1">
        <w:t xml:space="preserve"> WEIM </w:t>
      </w:r>
      <w:r w:rsidR="003F65BA">
        <w:t xml:space="preserve">Downward Available Balancing Capacity consists of any downward capacity from </w:t>
      </w:r>
      <w:r w:rsidR="00153940">
        <w:t>a WEIM</w:t>
      </w:r>
      <w:r w:rsidR="005F24C1">
        <w:t xml:space="preserve"> </w:t>
      </w:r>
      <w:r w:rsidR="003F65BA">
        <w:t xml:space="preserve">Participating Resources or a non-participating resource that </w:t>
      </w:r>
      <w:r w:rsidR="00153940">
        <w:t>a WEIM</w:t>
      </w:r>
      <w:r w:rsidR="005F24C1">
        <w:t xml:space="preserve"> </w:t>
      </w:r>
      <w:r w:rsidR="003F65BA">
        <w:t>Entity Scheduling Coordinator has identified in the</w:t>
      </w:r>
      <w:r w:rsidR="005F24C1">
        <w:t xml:space="preserve"> WEIM </w:t>
      </w:r>
      <w:r w:rsidR="003F65BA">
        <w:t>Resource Plan as available to address power balance and transmission constraint violations in the</w:t>
      </w:r>
      <w:r w:rsidR="005F24C1">
        <w:t xml:space="preserve"> WEIM </w:t>
      </w:r>
      <w:r w:rsidR="003F65BA">
        <w:t>Balancing Authority Area, which may include</w:t>
      </w:r>
      <w:r w:rsidR="00C51D2D">
        <w:t xml:space="preserve"> downward</w:t>
      </w:r>
      <w:r w:rsidR="003F65BA">
        <w:t xml:space="preserve"> regulation </w:t>
      </w:r>
      <w:r w:rsidR="00C51D2D">
        <w:t>capacity</w:t>
      </w:r>
      <w:r w:rsidR="003F65BA">
        <w:t>.</w:t>
      </w:r>
      <w:r w:rsidR="005F24C1">
        <w:t xml:space="preserve"> WEIM </w:t>
      </w:r>
      <w:r w:rsidR="003F65BA">
        <w:t xml:space="preserve">Upward Available Balancing Capacity consists of any upward capacity from </w:t>
      </w:r>
      <w:r w:rsidR="00153940">
        <w:t>a WEIM</w:t>
      </w:r>
      <w:r w:rsidR="005F24C1">
        <w:t xml:space="preserve"> </w:t>
      </w:r>
      <w:r w:rsidR="003F65BA">
        <w:t xml:space="preserve">Participating Resources or a non-participating resource that </w:t>
      </w:r>
      <w:r w:rsidR="00153940">
        <w:t>a WEIM</w:t>
      </w:r>
      <w:r w:rsidR="005F24C1">
        <w:t xml:space="preserve"> </w:t>
      </w:r>
      <w:r w:rsidR="003F65BA">
        <w:t>Entity Scheduling Coordinator has identified in the</w:t>
      </w:r>
      <w:r w:rsidR="005F24C1">
        <w:t xml:space="preserve"> WEIM </w:t>
      </w:r>
      <w:r w:rsidR="003F65BA">
        <w:t>Resource Plan as available to address power balance and transmission violations in the</w:t>
      </w:r>
      <w:r w:rsidR="005F24C1">
        <w:t xml:space="preserve"> WEIM </w:t>
      </w:r>
      <w:r w:rsidR="003F65BA">
        <w:t xml:space="preserve">Balancing Authority Area, which may include </w:t>
      </w:r>
      <w:r w:rsidR="00C51D2D">
        <w:t xml:space="preserve">upward </w:t>
      </w:r>
      <w:r w:rsidR="003F65BA">
        <w:t xml:space="preserve">regulation </w:t>
      </w:r>
      <w:r w:rsidR="00C51D2D">
        <w:t>capacity</w:t>
      </w:r>
      <w:r w:rsidR="003F65BA">
        <w:t xml:space="preserve">. </w:t>
      </w:r>
      <w:r w:rsidR="005F24C1">
        <w:t xml:space="preserve"> WEIM </w:t>
      </w:r>
      <w:r w:rsidR="003F65BA">
        <w:t xml:space="preserve">Reserves to Meet NERC/WECC Contingency Reserves Requirements consists of any capacity that </w:t>
      </w:r>
      <w:r w:rsidR="00153940">
        <w:t>a WEIM</w:t>
      </w:r>
      <w:r w:rsidR="005F24C1">
        <w:t xml:space="preserve"> </w:t>
      </w:r>
      <w:r w:rsidR="003F65BA">
        <w:t>Entity Scheduling Coordinator has designated, in the</w:t>
      </w:r>
      <w:r w:rsidR="005F24C1">
        <w:t xml:space="preserve"> WEIM </w:t>
      </w:r>
      <w:r w:rsidR="003F65BA">
        <w:t>Resource Plan, as necessary to meet its NERC/WECC contingency reserves requirements in the applicable Trading Hour and which does not overlap with capacity designated in other parts of the</w:t>
      </w:r>
      <w:r w:rsidR="005F24C1">
        <w:t xml:space="preserve"> WEIM </w:t>
      </w:r>
      <w:r w:rsidR="003F65BA">
        <w:t>Resource Plan specified in Section 29.34(e)(3) of the CAISO Tariff, which may include operating reserves.</w:t>
      </w:r>
    </w:p>
    <w:p w14:paraId="5FCD1A47" w14:textId="77777777" w:rsidR="00CF1AB9" w:rsidRDefault="00CF1AB9" w:rsidP="00CF1AB9">
      <w:pPr>
        <w:pStyle w:val="ParaText"/>
      </w:pPr>
    </w:p>
    <w:p w14:paraId="7C8A8816" w14:textId="77777777" w:rsidR="008817D0" w:rsidRPr="007445EB" w:rsidRDefault="008817D0" w:rsidP="007445EB">
      <w:pPr>
        <w:pStyle w:val="Heading3"/>
        <w:rPr>
          <w:rFonts w:eastAsia="Calibri"/>
        </w:rPr>
      </w:pPr>
      <w:bookmarkStart w:id="1898" w:name="_Toc229054491"/>
      <w:r w:rsidRPr="007445EB">
        <w:rPr>
          <w:rFonts w:eastAsia="Calibri"/>
        </w:rPr>
        <w:t>Interties Between BAAs</w:t>
      </w:r>
      <w:bookmarkEnd w:id="1896"/>
      <w:bookmarkEnd w:id="1897"/>
      <w:bookmarkEnd w:id="1898"/>
      <w:r w:rsidRPr="007445EB">
        <w:rPr>
          <w:rFonts w:eastAsia="Calibri"/>
        </w:rPr>
        <w:t xml:space="preserve"> </w:t>
      </w:r>
    </w:p>
    <w:p w14:paraId="6993A31C" w14:textId="459E466B" w:rsidR="00BB3052" w:rsidRDefault="00047681" w:rsidP="00BB3052">
      <w:pPr>
        <w:spacing w:after="240" w:line="300" w:lineRule="auto"/>
        <w:rPr>
          <w:rFonts w:cs="Arial"/>
        </w:rPr>
      </w:pPr>
      <w:r w:rsidRPr="005525C4">
        <w:rPr>
          <w:rFonts w:eastAsia="Calibri"/>
        </w:rPr>
        <w:t>This section describes intertie modeling and the use of data related to interties.</w:t>
      </w:r>
      <w:r w:rsidR="00CA517E" w:rsidRPr="005525C4">
        <w:rPr>
          <w:rFonts w:eastAsia="Calibri"/>
        </w:rPr>
        <w:t xml:space="preserve">  </w:t>
      </w:r>
      <w:r w:rsidR="008E5685">
        <w:rPr>
          <w:rFonts w:eastAsia="Calibri"/>
        </w:rPr>
        <w:t xml:space="preserve">The intertie is </w:t>
      </w:r>
      <w:r w:rsidR="005525C4" w:rsidRPr="005525C4">
        <w:rPr>
          <w:rFonts w:cs="Arial"/>
        </w:rPr>
        <w:t>orient</w:t>
      </w:r>
      <w:r w:rsidR="008E5685">
        <w:rPr>
          <w:rFonts w:cs="Arial"/>
        </w:rPr>
        <w:t>ed</w:t>
      </w:r>
      <w:r w:rsidR="005525C4" w:rsidRPr="005525C4">
        <w:rPr>
          <w:rFonts w:cs="Arial"/>
        </w:rPr>
        <w:t xml:space="preserve"> in the export direction with the </w:t>
      </w:r>
      <w:r w:rsidR="00963003">
        <w:rPr>
          <w:rFonts w:cs="Arial"/>
        </w:rPr>
        <w:t>“</w:t>
      </w:r>
      <w:r w:rsidR="005525C4" w:rsidRPr="005525C4">
        <w:rPr>
          <w:rFonts w:cs="Arial"/>
        </w:rPr>
        <w:t>From</w:t>
      </w:r>
      <w:r w:rsidR="00963003">
        <w:rPr>
          <w:rFonts w:cs="Arial"/>
        </w:rPr>
        <w:t>”</w:t>
      </w:r>
      <w:r w:rsidR="005525C4" w:rsidRPr="005525C4">
        <w:rPr>
          <w:rFonts w:cs="Arial"/>
        </w:rPr>
        <w:t xml:space="preserve"> bus being the C</w:t>
      </w:r>
      <w:r w:rsidR="00837AE5">
        <w:rPr>
          <w:rFonts w:cs="Arial"/>
        </w:rPr>
        <w:t>A</w:t>
      </w:r>
      <w:r w:rsidR="005525C4" w:rsidRPr="005525C4">
        <w:rPr>
          <w:rFonts w:cs="Arial"/>
        </w:rPr>
        <w:t>ISO/EIM BAA bus.</w:t>
      </w:r>
    </w:p>
    <w:p w14:paraId="7B7082EE" w14:textId="77777777" w:rsidR="00963003" w:rsidRPr="005525C4" w:rsidRDefault="00963003" w:rsidP="00BB3052">
      <w:pPr>
        <w:spacing w:after="240" w:line="300" w:lineRule="auto"/>
        <w:rPr>
          <w:rFonts w:eastAsia="Calibri" w:cs="Arial"/>
        </w:rPr>
      </w:pPr>
    </w:p>
    <w:p w14:paraId="265BCC3D" w14:textId="77777777" w:rsidR="008817D0" w:rsidRPr="008817D0" w:rsidRDefault="008817D0" w:rsidP="00D568D8">
      <w:pPr>
        <w:pStyle w:val="Heading4"/>
        <w:rPr>
          <w:rFonts w:eastAsia="Calibri"/>
        </w:rPr>
      </w:pPr>
      <w:r w:rsidRPr="008817D0">
        <w:rPr>
          <w:rFonts w:eastAsia="Calibri"/>
        </w:rPr>
        <w:lastRenderedPageBreak/>
        <w:t>Interchange Transactions and E-Tagging</w:t>
      </w:r>
      <w:r w:rsidRPr="008817D0">
        <w:rPr>
          <w:rFonts w:eastAsia="Calibri"/>
        </w:rPr>
        <w:tab/>
      </w:r>
    </w:p>
    <w:p w14:paraId="2AB709AB" w14:textId="04F8FCD7" w:rsidR="008817D0" w:rsidRPr="008817D0" w:rsidRDefault="008817D0" w:rsidP="008817D0">
      <w:pPr>
        <w:spacing w:after="240" w:line="300" w:lineRule="auto"/>
        <w:rPr>
          <w:rFonts w:eastAsia="Calibri"/>
        </w:rPr>
      </w:pPr>
      <w:r w:rsidRPr="008817D0">
        <w:rPr>
          <w:rFonts w:eastAsia="Calibri"/>
        </w:rPr>
        <w:t>Since the non-EIM Entit</w:t>
      </w:r>
      <w:r w:rsidR="00FC37C2">
        <w:rPr>
          <w:rFonts w:eastAsia="Calibri"/>
        </w:rPr>
        <w:t>ies</w:t>
      </w:r>
      <w:r w:rsidRPr="008817D0">
        <w:rPr>
          <w:rFonts w:eastAsia="Calibri"/>
        </w:rPr>
        <w:t xml:space="preserve"> net schedule</w:t>
      </w:r>
      <w:r w:rsidR="00923BD5">
        <w:rPr>
          <w:rFonts w:eastAsia="Calibri"/>
        </w:rPr>
        <w:t xml:space="preserve"> </w:t>
      </w:r>
      <w:r w:rsidRPr="008817D0">
        <w:rPr>
          <w:rFonts w:eastAsia="Calibri"/>
        </w:rPr>
        <w:t>inter</w:t>
      </w:r>
      <w:r w:rsidR="00923BD5">
        <w:rPr>
          <w:rFonts w:eastAsia="Calibri"/>
        </w:rPr>
        <w:t>c</w:t>
      </w:r>
      <w:r w:rsidRPr="008817D0">
        <w:rPr>
          <w:rFonts w:eastAsia="Calibri"/>
        </w:rPr>
        <w:t>hange</w:t>
      </w:r>
      <w:r w:rsidR="009A4783">
        <w:rPr>
          <w:rFonts w:eastAsia="Calibri"/>
        </w:rPr>
        <w:t xml:space="preserve"> (NSI)</w:t>
      </w:r>
      <w:r w:rsidRPr="008817D0">
        <w:rPr>
          <w:rFonts w:eastAsia="Calibri"/>
        </w:rPr>
        <w:t xml:space="preserve"> </w:t>
      </w:r>
      <w:r w:rsidR="00121FE0">
        <w:rPr>
          <w:rFonts w:eastAsia="Calibri"/>
        </w:rPr>
        <w:t xml:space="preserve">values are not submitted to </w:t>
      </w:r>
      <w:r w:rsidRPr="008817D0">
        <w:rPr>
          <w:rFonts w:eastAsia="Calibri"/>
        </w:rPr>
        <w:t>CAISO but are</w:t>
      </w:r>
      <w:r w:rsidR="00923BD5">
        <w:rPr>
          <w:rFonts w:eastAsia="Calibri"/>
        </w:rPr>
        <w:t xml:space="preserve"> r</w:t>
      </w:r>
      <w:r w:rsidR="00121FE0">
        <w:rPr>
          <w:rFonts w:eastAsia="Calibri"/>
        </w:rPr>
        <w:t xml:space="preserve">equired for </w:t>
      </w:r>
      <w:r w:rsidR="00FC37C2">
        <w:rPr>
          <w:rFonts w:eastAsia="Calibri"/>
        </w:rPr>
        <w:t xml:space="preserve">the calculation of </w:t>
      </w:r>
      <w:r w:rsidR="00B9221F">
        <w:rPr>
          <w:rFonts w:eastAsia="Calibri"/>
        </w:rPr>
        <w:t xml:space="preserve">loop flow impact of </w:t>
      </w:r>
      <w:r w:rsidR="00FC37C2">
        <w:rPr>
          <w:rFonts w:eastAsia="Calibri"/>
        </w:rPr>
        <w:t xml:space="preserve">external </w:t>
      </w:r>
      <w:r w:rsidR="00B9221F">
        <w:rPr>
          <w:rFonts w:eastAsia="Calibri"/>
        </w:rPr>
        <w:t>schedules on the CAISO and the</w:t>
      </w:r>
      <w:r w:rsidR="005F24C1">
        <w:rPr>
          <w:rFonts w:eastAsia="Calibri"/>
        </w:rPr>
        <w:t xml:space="preserve"> WEIM </w:t>
      </w:r>
      <w:r w:rsidR="00B9221F">
        <w:rPr>
          <w:rFonts w:eastAsia="Calibri"/>
        </w:rPr>
        <w:t>entities network</w:t>
      </w:r>
      <w:r w:rsidR="00121FE0">
        <w:rPr>
          <w:rFonts w:eastAsia="Calibri"/>
        </w:rPr>
        <w:t xml:space="preserve">, </w:t>
      </w:r>
      <w:r w:rsidRPr="008817D0">
        <w:rPr>
          <w:rFonts w:eastAsia="Calibri"/>
        </w:rPr>
        <w:t>CAISO will receive/download</w:t>
      </w:r>
      <w:r w:rsidR="009877A6">
        <w:rPr>
          <w:rFonts w:eastAsia="Calibri"/>
        </w:rPr>
        <w:t xml:space="preserve"> automatically all</w:t>
      </w:r>
      <w:r w:rsidRPr="008817D0">
        <w:rPr>
          <w:rFonts w:eastAsia="Calibri"/>
        </w:rPr>
        <w:t xml:space="preserve"> raw tag data from Western Interchange Tool (WIT) for all external BAA</w:t>
      </w:r>
      <w:r w:rsidR="008410E3">
        <w:rPr>
          <w:rFonts w:eastAsia="Calibri"/>
        </w:rPr>
        <w:t>s</w:t>
      </w:r>
      <w:r w:rsidRPr="008817D0">
        <w:rPr>
          <w:rFonts w:eastAsia="Calibri"/>
        </w:rPr>
        <w:t xml:space="preserve"> at a pre-defined frequency and time of day. </w:t>
      </w:r>
    </w:p>
    <w:p w14:paraId="4AFA9FDD" w14:textId="77777777" w:rsidR="002B58FD" w:rsidRDefault="008817D0" w:rsidP="008817D0">
      <w:pPr>
        <w:spacing w:after="240" w:line="300" w:lineRule="auto"/>
        <w:rPr>
          <w:rFonts w:eastAsia="Calibri"/>
        </w:rPr>
      </w:pPr>
      <w:r w:rsidRPr="008817D0">
        <w:rPr>
          <w:rFonts w:eastAsia="Calibri"/>
        </w:rPr>
        <w:t>The data file will contain schedule and path information for every transaction schedule in WIT within the specified time period. Each transaction schedule will present the</w:t>
      </w:r>
      <w:r w:rsidR="00472AFA">
        <w:rPr>
          <w:rFonts w:eastAsia="Calibri"/>
        </w:rPr>
        <w:t xml:space="preserve"> North American </w:t>
      </w:r>
      <w:r w:rsidR="006A101C">
        <w:rPr>
          <w:rFonts w:eastAsia="Calibri"/>
        </w:rPr>
        <w:t xml:space="preserve">Energy </w:t>
      </w:r>
      <w:r w:rsidR="00472AFA">
        <w:rPr>
          <w:rFonts w:eastAsia="Calibri"/>
        </w:rPr>
        <w:t>Standards Board</w:t>
      </w:r>
      <w:r w:rsidRPr="008817D0">
        <w:rPr>
          <w:rFonts w:eastAsia="Calibri"/>
        </w:rPr>
        <w:t xml:space="preserve"> </w:t>
      </w:r>
      <w:r w:rsidR="00472AFA">
        <w:rPr>
          <w:rFonts w:eastAsia="Calibri"/>
        </w:rPr>
        <w:t>(</w:t>
      </w:r>
      <w:r w:rsidRPr="008817D0">
        <w:rPr>
          <w:rFonts w:eastAsia="Calibri"/>
        </w:rPr>
        <w:t>NAESB</w:t>
      </w:r>
      <w:r w:rsidR="00472AFA">
        <w:rPr>
          <w:rFonts w:eastAsia="Calibri"/>
        </w:rPr>
        <w:t>)</w:t>
      </w:r>
      <w:r w:rsidRPr="008817D0">
        <w:rPr>
          <w:rFonts w:eastAsia="Calibri"/>
        </w:rPr>
        <w:t xml:space="preserve"> defined tag transaction type and composite state. The data will include the source and sink BA</w:t>
      </w:r>
      <w:r w:rsidR="008410E3">
        <w:rPr>
          <w:rFonts w:eastAsia="Calibri"/>
        </w:rPr>
        <w:t>A</w:t>
      </w:r>
      <w:r w:rsidRPr="008817D0">
        <w:rPr>
          <w:rFonts w:eastAsia="Calibri"/>
        </w:rPr>
        <w:t xml:space="preserve"> information.</w:t>
      </w:r>
    </w:p>
    <w:p w14:paraId="0BD3CAB6" w14:textId="0A957784" w:rsidR="004E096D" w:rsidRPr="008817D0" w:rsidRDefault="004E096D" w:rsidP="008817D0">
      <w:pPr>
        <w:spacing w:after="240" w:line="300" w:lineRule="auto"/>
        <w:rPr>
          <w:rFonts w:eastAsia="Calibri"/>
        </w:rPr>
      </w:pPr>
      <w:r>
        <w:rPr>
          <w:rFonts w:eastAsia="Calibri"/>
        </w:rPr>
        <w:t>For e-tagging timelines and rules, please refer to</w:t>
      </w:r>
      <w:r w:rsidR="00B04F4D">
        <w:rPr>
          <w:rFonts w:eastAsia="Calibri"/>
        </w:rPr>
        <w:t xml:space="preserve"> the</w:t>
      </w:r>
      <w:r>
        <w:rPr>
          <w:rFonts w:eastAsia="Calibri"/>
        </w:rPr>
        <w:t xml:space="preserve"> </w:t>
      </w:r>
      <w:hyperlink r:id="rId70" w:history="1">
        <w:r w:rsidRPr="00E41853">
          <w:rPr>
            <w:rStyle w:val="Hyperlink"/>
            <w:b/>
          </w:rPr>
          <w:t>BPM for Market Operations</w:t>
        </w:r>
      </w:hyperlink>
      <w:r>
        <w:rPr>
          <w:rStyle w:val="Hyperlink"/>
          <w:b/>
        </w:rPr>
        <w:t xml:space="preserve"> </w:t>
      </w:r>
      <w:r w:rsidR="00524213">
        <w:rPr>
          <w:rStyle w:val="Hyperlink"/>
        </w:rPr>
        <w:t>S</w:t>
      </w:r>
      <w:r w:rsidRPr="00B04F4D">
        <w:rPr>
          <w:rStyle w:val="Hyperlink"/>
        </w:rPr>
        <w:t xml:space="preserve">ection </w:t>
      </w:r>
      <w:r w:rsidR="00F64821">
        <w:rPr>
          <w:rStyle w:val="Hyperlink"/>
        </w:rPr>
        <w:t>8.0</w:t>
      </w:r>
    </w:p>
    <w:p w14:paraId="57147165" w14:textId="77777777" w:rsidR="008817D0" w:rsidRPr="007445EB" w:rsidRDefault="00150ACC" w:rsidP="00752727">
      <w:pPr>
        <w:pStyle w:val="Heading3"/>
        <w:rPr>
          <w:rFonts w:eastAsia="Calibri"/>
        </w:rPr>
      </w:pPr>
      <w:bookmarkStart w:id="1899" w:name="_Toc390946285"/>
      <w:bookmarkStart w:id="1900" w:name="_Toc391969846"/>
      <w:bookmarkStart w:id="1901" w:name="_Toc229054492"/>
      <w:r>
        <w:rPr>
          <w:rFonts w:eastAsia="Calibri"/>
        </w:rPr>
        <w:t xml:space="preserve">EIM </w:t>
      </w:r>
      <w:r w:rsidR="008817D0" w:rsidRPr="007445EB">
        <w:rPr>
          <w:rFonts w:eastAsia="Calibri"/>
        </w:rPr>
        <w:t xml:space="preserve">Transmission </w:t>
      </w:r>
      <w:r>
        <w:rPr>
          <w:rFonts w:eastAsia="Calibri"/>
        </w:rPr>
        <w:t xml:space="preserve">Services </w:t>
      </w:r>
      <w:bookmarkEnd w:id="1899"/>
      <w:r>
        <w:rPr>
          <w:rFonts w:eastAsia="Calibri"/>
        </w:rPr>
        <w:t>Information</w:t>
      </w:r>
      <w:bookmarkEnd w:id="1900"/>
      <w:bookmarkEnd w:id="1901"/>
    </w:p>
    <w:p w14:paraId="464F2242" w14:textId="3D927D75" w:rsidR="0032159C" w:rsidRDefault="00EB1CE2" w:rsidP="008817D0">
      <w:pPr>
        <w:spacing w:after="240" w:line="300" w:lineRule="auto"/>
        <w:rPr>
          <w:rFonts w:eastAsia="Calibri"/>
        </w:rPr>
      </w:pPr>
      <w:r>
        <w:rPr>
          <w:rFonts w:eastAsia="Calibri"/>
        </w:rPr>
        <w:t>The</w:t>
      </w:r>
      <w:r w:rsidR="005F24C1">
        <w:rPr>
          <w:rFonts w:eastAsia="Calibri"/>
        </w:rPr>
        <w:t xml:space="preserve"> WEIM </w:t>
      </w:r>
      <w:r>
        <w:rPr>
          <w:rFonts w:eastAsia="Calibri"/>
        </w:rPr>
        <w:t xml:space="preserve">Entity shall send to CAISO its EMS </w:t>
      </w:r>
      <w:r w:rsidR="00BB6670">
        <w:rPr>
          <w:rFonts w:eastAsia="Calibri"/>
        </w:rPr>
        <w:t>network m</w:t>
      </w:r>
      <w:r>
        <w:rPr>
          <w:rFonts w:eastAsia="Calibri"/>
        </w:rPr>
        <w:t xml:space="preserve">odel information including any flowgates, intertie definitions and physical limits on </w:t>
      </w:r>
      <w:r w:rsidR="00C16675">
        <w:rPr>
          <w:rFonts w:eastAsia="Calibri"/>
        </w:rPr>
        <w:t xml:space="preserve">its </w:t>
      </w:r>
      <w:r w:rsidR="00E96A39">
        <w:rPr>
          <w:rFonts w:eastAsia="Calibri"/>
        </w:rPr>
        <w:t>transmission equipment</w:t>
      </w:r>
      <w:r>
        <w:rPr>
          <w:rFonts w:eastAsia="Calibri"/>
        </w:rPr>
        <w:t xml:space="preserve"> and the available capacity limits for </w:t>
      </w:r>
      <w:r w:rsidR="00C16675">
        <w:rPr>
          <w:rFonts w:eastAsia="Calibri"/>
        </w:rPr>
        <w:t>the</w:t>
      </w:r>
      <w:r w:rsidR="005F24C1">
        <w:rPr>
          <w:rFonts w:eastAsia="Calibri"/>
        </w:rPr>
        <w:t xml:space="preserve"> WEIM </w:t>
      </w:r>
      <w:r w:rsidR="00C16675">
        <w:rPr>
          <w:rFonts w:eastAsia="Calibri"/>
        </w:rPr>
        <w:t xml:space="preserve">Entity internally </w:t>
      </w:r>
      <w:r>
        <w:rPr>
          <w:rFonts w:eastAsia="Calibri"/>
        </w:rPr>
        <w:t xml:space="preserve">enforced </w:t>
      </w:r>
      <w:r w:rsidR="00C16675">
        <w:rPr>
          <w:rFonts w:eastAsia="Calibri"/>
        </w:rPr>
        <w:t>f</w:t>
      </w:r>
      <w:r>
        <w:rPr>
          <w:rFonts w:eastAsia="Calibri"/>
        </w:rPr>
        <w:t>lowgates.</w:t>
      </w:r>
      <w:r w:rsidR="00BB6670">
        <w:rPr>
          <w:rFonts w:eastAsia="Calibri"/>
        </w:rPr>
        <w:t xml:space="preserve"> The submission of the</w:t>
      </w:r>
      <w:r w:rsidR="005F24C1">
        <w:rPr>
          <w:rFonts w:eastAsia="Calibri"/>
        </w:rPr>
        <w:t xml:space="preserve"> WEIM </w:t>
      </w:r>
      <w:r w:rsidR="007C4B4F">
        <w:rPr>
          <w:rFonts w:eastAsia="Calibri"/>
        </w:rPr>
        <w:t>Entity</w:t>
      </w:r>
      <w:r w:rsidR="00BB6670">
        <w:rPr>
          <w:rFonts w:eastAsia="Calibri"/>
        </w:rPr>
        <w:t xml:space="preserve"> network m</w:t>
      </w:r>
      <w:r>
        <w:rPr>
          <w:rFonts w:eastAsia="Calibri"/>
        </w:rPr>
        <w:t xml:space="preserve">odel shall use the </w:t>
      </w:r>
      <w:r w:rsidR="00837AE5">
        <w:rPr>
          <w:rFonts w:eastAsia="Calibri"/>
        </w:rPr>
        <w:t>C</w:t>
      </w:r>
      <w:r>
        <w:rPr>
          <w:rFonts w:eastAsia="Calibri"/>
        </w:rPr>
        <w:t xml:space="preserve">ommon </w:t>
      </w:r>
      <w:r w:rsidR="00837AE5">
        <w:rPr>
          <w:rFonts w:eastAsia="Calibri"/>
        </w:rPr>
        <w:t>I</w:t>
      </w:r>
      <w:r>
        <w:rPr>
          <w:rFonts w:eastAsia="Calibri"/>
        </w:rPr>
        <w:t xml:space="preserve">nformation </w:t>
      </w:r>
      <w:r w:rsidR="00837AE5">
        <w:rPr>
          <w:rFonts w:eastAsia="Calibri"/>
        </w:rPr>
        <w:t>M</w:t>
      </w:r>
      <w:r>
        <w:rPr>
          <w:rFonts w:eastAsia="Calibri"/>
        </w:rPr>
        <w:t>odel (CIM) industry standard protocol for exchanging network model d</w:t>
      </w:r>
      <w:r w:rsidR="007210C6">
        <w:rPr>
          <w:rFonts w:eastAsia="Calibri"/>
        </w:rPr>
        <w:t>ata. The</w:t>
      </w:r>
      <w:r w:rsidR="005F24C1">
        <w:rPr>
          <w:rFonts w:eastAsia="Calibri"/>
        </w:rPr>
        <w:t xml:space="preserve"> WEIM </w:t>
      </w:r>
      <w:r w:rsidR="007210C6">
        <w:rPr>
          <w:rFonts w:eastAsia="Calibri"/>
        </w:rPr>
        <w:t xml:space="preserve">Entity </w:t>
      </w:r>
      <w:r>
        <w:rPr>
          <w:rFonts w:eastAsia="Calibri"/>
        </w:rPr>
        <w:t xml:space="preserve">shall also </w:t>
      </w:r>
      <w:r w:rsidR="00BB6670">
        <w:rPr>
          <w:rFonts w:eastAsia="Calibri"/>
        </w:rPr>
        <w:t>send to CAISO SCADA and measurements mapped to the</w:t>
      </w:r>
      <w:r w:rsidR="005F24C1">
        <w:rPr>
          <w:rFonts w:eastAsia="Calibri"/>
        </w:rPr>
        <w:t xml:space="preserve"> WEIM </w:t>
      </w:r>
      <w:r w:rsidR="00BB6670">
        <w:rPr>
          <w:rFonts w:eastAsia="Calibri"/>
        </w:rPr>
        <w:t xml:space="preserve">Entity EMS network model. </w:t>
      </w:r>
      <w:r w:rsidR="007210C6">
        <w:rPr>
          <w:rFonts w:eastAsia="Calibri"/>
        </w:rPr>
        <w:t>The process of submission of the</w:t>
      </w:r>
      <w:r w:rsidR="005F24C1">
        <w:rPr>
          <w:rFonts w:eastAsia="Calibri"/>
        </w:rPr>
        <w:t xml:space="preserve"> WEIM </w:t>
      </w:r>
      <w:r w:rsidR="007210C6">
        <w:rPr>
          <w:rFonts w:eastAsia="Calibri"/>
        </w:rPr>
        <w:t xml:space="preserve">network model shall be </w:t>
      </w:r>
      <w:r w:rsidR="007C4B4F">
        <w:rPr>
          <w:rFonts w:eastAsia="Calibri"/>
        </w:rPr>
        <w:t>consistent</w:t>
      </w:r>
      <w:r w:rsidR="007210C6">
        <w:rPr>
          <w:rFonts w:eastAsia="Calibri"/>
        </w:rPr>
        <w:t xml:space="preserve"> and </w:t>
      </w:r>
      <w:r w:rsidR="00837AE5">
        <w:rPr>
          <w:rFonts w:eastAsia="Calibri"/>
        </w:rPr>
        <w:t xml:space="preserve">in </w:t>
      </w:r>
      <w:r w:rsidR="007210C6">
        <w:rPr>
          <w:rFonts w:eastAsia="Calibri"/>
        </w:rPr>
        <w:t xml:space="preserve">accordance to the already established CAISO FNM update process and its publically published deadlines for collecting network updates. Please refer to </w:t>
      </w:r>
      <w:r w:rsidR="00955025">
        <w:rPr>
          <w:rFonts w:eastAsia="Calibri"/>
        </w:rPr>
        <w:t>the</w:t>
      </w:r>
      <w:r w:rsidR="007210C6">
        <w:rPr>
          <w:rFonts w:eastAsia="Calibri"/>
        </w:rPr>
        <w:t xml:space="preserve"> </w:t>
      </w:r>
      <w:hyperlink r:id="rId71" w:history="1">
        <w:r w:rsidR="007210C6" w:rsidRPr="00955025">
          <w:rPr>
            <w:rStyle w:val="Hyperlink"/>
            <w:rFonts w:eastAsia="Calibri"/>
            <w:b/>
          </w:rPr>
          <w:t>BPM for Managing Full Network Model</w:t>
        </w:r>
      </w:hyperlink>
      <w:r w:rsidR="007210C6">
        <w:rPr>
          <w:rFonts w:eastAsia="Calibri"/>
        </w:rPr>
        <w:t xml:space="preserve"> for </w:t>
      </w:r>
      <w:r w:rsidR="00955025">
        <w:rPr>
          <w:rFonts w:eastAsia="Calibri"/>
        </w:rPr>
        <w:t xml:space="preserve">a </w:t>
      </w:r>
      <w:r w:rsidR="007210C6">
        <w:rPr>
          <w:rFonts w:eastAsia="Calibri"/>
        </w:rPr>
        <w:t xml:space="preserve">description of this process. </w:t>
      </w:r>
    </w:p>
    <w:p w14:paraId="64E20D66" w14:textId="3775D23B" w:rsidR="008817D0" w:rsidRDefault="0032159C" w:rsidP="008817D0">
      <w:pPr>
        <w:spacing w:after="240" w:line="300" w:lineRule="auto"/>
        <w:rPr>
          <w:rFonts w:eastAsia="Calibri"/>
        </w:rPr>
      </w:pPr>
      <w:r>
        <w:rPr>
          <w:rFonts w:eastAsia="Calibri"/>
        </w:rPr>
        <w:t>The</w:t>
      </w:r>
      <w:r w:rsidR="005F24C1">
        <w:rPr>
          <w:rFonts w:eastAsia="Calibri"/>
        </w:rPr>
        <w:t xml:space="preserve"> WEIM </w:t>
      </w:r>
      <w:r>
        <w:rPr>
          <w:rFonts w:eastAsia="Calibri"/>
        </w:rPr>
        <w:t xml:space="preserve">Entity shall send, via a direct </w:t>
      </w:r>
      <w:r w:rsidR="007C4B4F">
        <w:rPr>
          <w:rFonts w:eastAsia="Calibri"/>
        </w:rPr>
        <w:t>interface</w:t>
      </w:r>
      <w:r>
        <w:rPr>
          <w:rFonts w:eastAsia="Calibri"/>
        </w:rPr>
        <w:t xml:space="preserve"> t</w:t>
      </w:r>
      <w:r w:rsidR="005E2AFF">
        <w:rPr>
          <w:rFonts w:eastAsia="Calibri"/>
        </w:rPr>
        <w:t>o CAISO, the transmission limit</w:t>
      </w:r>
      <w:r>
        <w:rPr>
          <w:rFonts w:eastAsia="Calibri"/>
        </w:rPr>
        <w:t xml:space="preserve"> updates due to planned or forced outages or derates for its internal major paths or flowgates that are usually posted on its OASIS system.</w:t>
      </w:r>
    </w:p>
    <w:p w14:paraId="4F28F093" w14:textId="5D7A58BE" w:rsidR="00150ACC" w:rsidRDefault="00C16675" w:rsidP="00150ACC">
      <w:pPr>
        <w:pStyle w:val="Heading3"/>
        <w:rPr>
          <w:rFonts w:eastAsia="Calibri"/>
        </w:rPr>
      </w:pPr>
      <w:bookmarkStart w:id="1902" w:name="_Toc391969847"/>
      <w:bookmarkStart w:id="1903" w:name="_Toc229054493"/>
      <w:r>
        <w:rPr>
          <w:rFonts w:eastAsia="Calibri"/>
        </w:rPr>
        <w:t>Maximum</w:t>
      </w:r>
      <w:r w:rsidR="005F24C1">
        <w:rPr>
          <w:rFonts w:eastAsia="Calibri"/>
        </w:rPr>
        <w:t xml:space="preserve"> WEIM </w:t>
      </w:r>
      <w:r w:rsidR="00150ACC">
        <w:rPr>
          <w:rFonts w:eastAsia="Calibri"/>
        </w:rPr>
        <w:t>Trans</w:t>
      </w:r>
      <w:r>
        <w:rPr>
          <w:rFonts w:eastAsia="Calibri"/>
        </w:rPr>
        <w:t xml:space="preserve">fer </w:t>
      </w:r>
      <w:r w:rsidR="00150ACC">
        <w:rPr>
          <w:rFonts w:eastAsia="Calibri"/>
        </w:rPr>
        <w:t>Limits</w:t>
      </w:r>
      <w:bookmarkEnd w:id="1902"/>
      <w:bookmarkEnd w:id="1903"/>
    </w:p>
    <w:p w14:paraId="70A20E2B" w14:textId="5C53F6DE" w:rsidR="002C1E55" w:rsidRDefault="00C16675" w:rsidP="00150ACC">
      <w:pPr>
        <w:pStyle w:val="ParaText"/>
        <w:rPr>
          <w:rFonts w:eastAsia="Calibri"/>
        </w:rPr>
      </w:pPr>
      <w:r w:rsidRPr="008817D0">
        <w:rPr>
          <w:rFonts w:eastAsia="Calibri"/>
        </w:rPr>
        <w:t xml:space="preserve">EIM </w:t>
      </w:r>
      <w:r>
        <w:rPr>
          <w:rFonts w:eastAsia="Calibri"/>
        </w:rPr>
        <w:t>E</w:t>
      </w:r>
      <w:r w:rsidRPr="008817D0">
        <w:rPr>
          <w:rFonts w:eastAsia="Calibri"/>
        </w:rPr>
        <w:t xml:space="preserve">ntity Scheduling Coordinators shall send to </w:t>
      </w:r>
      <w:r>
        <w:rPr>
          <w:rFonts w:eastAsia="Calibri"/>
        </w:rPr>
        <w:t>the CA</w:t>
      </w:r>
      <w:r w:rsidRPr="008817D0">
        <w:rPr>
          <w:rFonts w:eastAsia="Calibri"/>
        </w:rPr>
        <w:t>ISO market system the</w:t>
      </w:r>
      <w:r w:rsidR="005F24C1">
        <w:rPr>
          <w:rFonts w:eastAsia="Calibri"/>
        </w:rPr>
        <w:t xml:space="preserve"> WEIM </w:t>
      </w:r>
      <w:r w:rsidRPr="008817D0">
        <w:rPr>
          <w:rFonts w:eastAsia="Calibri"/>
        </w:rPr>
        <w:t xml:space="preserve">intertie </w:t>
      </w:r>
      <w:r w:rsidR="00837AE5">
        <w:rPr>
          <w:rFonts w:eastAsia="Calibri"/>
        </w:rPr>
        <w:t>A</w:t>
      </w:r>
      <w:r w:rsidRPr="008817D0">
        <w:rPr>
          <w:rFonts w:eastAsia="Calibri"/>
        </w:rPr>
        <w:t>vaila</w:t>
      </w:r>
      <w:r>
        <w:rPr>
          <w:rFonts w:eastAsia="Calibri"/>
        </w:rPr>
        <w:t xml:space="preserve">ble </w:t>
      </w:r>
      <w:r w:rsidR="00837AE5">
        <w:rPr>
          <w:rFonts w:eastAsia="Calibri"/>
        </w:rPr>
        <w:t>T</w:t>
      </w:r>
      <w:r>
        <w:rPr>
          <w:rFonts w:eastAsia="Calibri"/>
        </w:rPr>
        <w:t xml:space="preserve">ransfer </w:t>
      </w:r>
      <w:r w:rsidR="00837AE5">
        <w:rPr>
          <w:rFonts w:eastAsia="Calibri"/>
        </w:rPr>
        <w:t>C</w:t>
      </w:r>
      <w:r>
        <w:rPr>
          <w:rFonts w:eastAsia="Calibri"/>
        </w:rPr>
        <w:t>apacity</w:t>
      </w:r>
      <w:r w:rsidR="000E0EF1">
        <w:rPr>
          <w:rFonts w:eastAsia="Calibri"/>
        </w:rPr>
        <w:t xml:space="preserve"> </w:t>
      </w:r>
      <w:r w:rsidR="00837AE5">
        <w:rPr>
          <w:rFonts w:eastAsia="Calibri"/>
        </w:rPr>
        <w:t>(ATC)</w:t>
      </w:r>
      <w:r>
        <w:rPr>
          <w:rFonts w:eastAsia="Calibri"/>
        </w:rPr>
        <w:t xml:space="preserve"> and any updates due to planned or forced outages or derates </w:t>
      </w:r>
      <w:r>
        <w:rPr>
          <w:rFonts w:eastAsia="Calibri"/>
        </w:rPr>
        <w:lastRenderedPageBreak/>
        <w:t xml:space="preserve">based on </w:t>
      </w:r>
      <w:r w:rsidRPr="008817D0">
        <w:rPr>
          <w:rFonts w:eastAsia="Calibri"/>
        </w:rPr>
        <w:t>physical limits, schedule limits</w:t>
      </w:r>
      <w:r>
        <w:rPr>
          <w:rFonts w:eastAsia="Calibri"/>
        </w:rPr>
        <w:t>,</w:t>
      </w:r>
      <w:r w:rsidRPr="008817D0">
        <w:rPr>
          <w:rFonts w:eastAsia="Calibri"/>
        </w:rPr>
        <w:t xml:space="preserve"> and</w:t>
      </w:r>
      <w:r>
        <w:rPr>
          <w:rFonts w:eastAsia="Calibri"/>
        </w:rPr>
        <w:t>/or</w:t>
      </w:r>
      <w:r w:rsidRPr="008817D0">
        <w:rPr>
          <w:rFonts w:eastAsia="Calibri"/>
        </w:rPr>
        <w:t xml:space="preserve"> contract limits </w:t>
      </w:r>
      <w:r w:rsidR="0032159C">
        <w:rPr>
          <w:rFonts w:eastAsia="Calibri"/>
        </w:rPr>
        <w:t>or rights owned by the</w:t>
      </w:r>
      <w:r w:rsidR="005F24C1">
        <w:rPr>
          <w:rFonts w:eastAsia="Calibri"/>
        </w:rPr>
        <w:t xml:space="preserve"> WEIM </w:t>
      </w:r>
      <w:r w:rsidR="0032159C">
        <w:rPr>
          <w:rFonts w:eastAsia="Calibri"/>
        </w:rPr>
        <w:t xml:space="preserve">Entity on </w:t>
      </w:r>
      <w:r w:rsidRPr="008817D0">
        <w:rPr>
          <w:rFonts w:eastAsia="Calibri"/>
        </w:rPr>
        <w:t>the</w:t>
      </w:r>
      <w:r w:rsidR="005F24C1">
        <w:rPr>
          <w:rFonts w:eastAsia="Calibri"/>
        </w:rPr>
        <w:t xml:space="preserve"> WEIM </w:t>
      </w:r>
      <w:r w:rsidRPr="008817D0">
        <w:rPr>
          <w:rFonts w:eastAsia="Calibri"/>
        </w:rPr>
        <w:t>interties</w:t>
      </w:r>
      <w:r w:rsidR="002C1E55">
        <w:rPr>
          <w:rFonts w:eastAsia="Calibri"/>
        </w:rPr>
        <w:t xml:space="preserve"> with </w:t>
      </w:r>
      <w:r w:rsidR="007C4B4F">
        <w:rPr>
          <w:rFonts w:eastAsia="Calibri"/>
        </w:rPr>
        <w:t>neighboring</w:t>
      </w:r>
      <w:r w:rsidR="002C1E55">
        <w:rPr>
          <w:rFonts w:eastAsia="Calibri"/>
        </w:rPr>
        <w:t xml:space="preserve"> BAAs</w:t>
      </w:r>
      <w:r>
        <w:rPr>
          <w:rFonts w:eastAsia="Calibri"/>
        </w:rPr>
        <w:t>.</w:t>
      </w:r>
      <w:r w:rsidRPr="008817D0">
        <w:rPr>
          <w:rFonts w:eastAsia="Calibri"/>
        </w:rPr>
        <w:t xml:space="preserve"> The </w:t>
      </w:r>
      <w:r w:rsidR="00B722C6">
        <w:rPr>
          <w:rFonts w:eastAsia="Calibri"/>
        </w:rPr>
        <w:t>CAISO</w:t>
      </w:r>
      <w:r w:rsidRPr="008817D0">
        <w:rPr>
          <w:rFonts w:eastAsia="Calibri"/>
        </w:rPr>
        <w:t xml:space="preserve"> shall enforce the limits in corresponding market optimization</w:t>
      </w:r>
      <w:r>
        <w:rPr>
          <w:rFonts w:eastAsia="Calibri"/>
        </w:rPr>
        <w:t xml:space="preserve"> per applicable Operating Procedures. The</w:t>
      </w:r>
      <w:r w:rsidR="005F24C1">
        <w:rPr>
          <w:rFonts w:eastAsia="Calibri"/>
        </w:rPr>
        <w:t xml:space="preserve"> WEIM </w:t>
      </w:r>
      <w:r>
        <w:rPr>
          <w:rFonts w:eastAsia="Calibri"/>
        </w:rPr>
        <w:t xml:space="preserve">Entity shall communicate these limits via direct interface </w:t>
      </w:r>
      <w:r w:rsidR="002C1E55">
        <w:rPr>
          <w:rFonts w:eastAsia="Calibri"/>
        </w:rPr>
        <w:t>to</w:t>
      </w:r>
      <w:r>
        <w:rPr>
          <w:rFonts w:eastAsia="Calibri"/>
        </w:rPr>
        <w:t xml:space="preserve"> CAISO</w:t>
      </w:r>
      <w:r w:rsidR="0032159C">
        <w:rPr>
          <w:rFonts w:eastAsia="Calibri"/>
        </w:rPr>
        <w:t>.</w:t>
      </w:r>
    </w:p>
    <w:p w14:paraId="14066E80" w14:textId="50ADD08D" w:rsidR="00286C8D" w:rsidRDefault="002C1E55" w:rsidP="00B1671A">
      <w:pPr>
        <w:pStyle w:val="ParaText"/>
        <w:rPr>
          <w:rFonts w:eastAsia="Calibri"/>
        </w:rPr>
      </w:pPr>
      <w:r>
        <w:rPr>
          <w:rFonts w:eastAsia="Calibri"/>
        </w:rPr>
        <w:t>The</w:t>
      </w:r>
      <w:r w:rsidR="005F24C1">
        <w:rPr>
          <w:rFonts w:eastAsia="Calibri"/>
        </w:rPr>
        <w:t xml:space="preserve"> WEIM </w:t>
      </w:r>
      <w:r>
        <w:rPr>
          <w:rFonts w:eastAsia="Calibri"/>
        </w:rPr>
        <w:t xml:space="preserve">Entity shall communicate to </w:t>
      </w:r>
      <w:r w:rsidR="005E2AFF">
        <w:rPr>
          <w:rFonts w:eastAsia="Calibri"/>
        </w:rPr>
        <w:t xml:space="preserve">the </w:t>
      </w:r>
      <w:r>
        <w:rPr>
          <w:rFonts w:eastAsia="Calibri"/>
        </w:rPr>
        <w:t xml:space="preserve">CAISO market system any real-time </w:t>
      </w:r>
      <w:r w:rsidR="00837AE5">
        <w:rPr>
          <w:rFonts w:eastAsia="Calibri"/>
        </w:rPr>
        <w:t>D</w:t>
      </w:r>
      <w:r>
        <w:rPr>
          <w:rFonts w:eastAsia="Calibri"/>
        </w:rPr>
        <w:t xml:space="preserve">ynamic </w:t>
      </w:r>
      <w:r w:rsidR="00837AE5">
        <w:rPr>
          <w:rFonts w:eastAsia="Calibri"/>
        </w:rPr>
        <w:t>T</w:t>
      </w:r>
      <w:r>
        <w:rPr>
          <w:rFonts w:eastAsia="Calibri"/>
        </w:rPr>
        <w:t xml:space="preserve">ransfer </w:t>
      </w:r>
      <w:r w:rsidR="00837AE5">
        <w:rPr>
          <w:rFonts w:eastAsia="Calibri"/>
        </w:rPr>
        <w:t>C</w:t>
      </w:r>
      <w:r>
        <w:rPr>
          <w:rFonts w:eastAsia="Calibri"/>
        </w:rPr>
        <w:t>apability (DTC) limits enforced by any third party transmission provider that the</w:t>
      </w:r>
      <w:r w:rsidR="005F24C1">
        <w:rPr>
          <w:rFonts w:eastAsia="Calibri"/>
        </w:rPr>
        <w:t xml:space="preserve"> WEIM </w:t>
      </w:r>
      <w:r>
        <w:rPr>
          <w:rFonts w:eastAsia="Calibri"/>
        </w:rPr>
        <w:t>Entity u</w:t>
      </w:r>
      <w:r w:rsidR="005E2AFF">
        <w:rPr>
          <w:rFonts w:eastAsia="Calibri"/>
        </w:rPr>
        <w:t>tilizes its transmission or has</w:t>
      </w:r>
      <w:r>
        <w:rPr>
          <w:rFonts w:eastAsia="Calibri"/>
        </w:rPr>
        <w:t xml:space="preserve"> transmission rights. The</w:t>
      </w:r>
      <w:r w:rsidR="005F24C1">
        <w:rPr>
          <w:rFonts w:eastAsia="Calibri"/>
        </w:rPr>
        <w:t xml:space="preserve"> WEIM </w:t>
      </w:r>
      <w:r>
        <w:rPr>
          <w:rFonts w:eastAsia="Calibri"/>
        </w:rPr>
        <w:t>Entity shall reflect the DTC limit in the transmission profile of the corresponding</w:t>
      </w:r>
      <w:r w:rsidR="005F24C1">
        <w:rPr>
          <w:rFonts w:eastAsia="Calibri"/>
        </w:rPr>
        <w:t xml:space="preserve"> WEIM </w:t>
      </w:r>
      <w:r>
        <w:rPr>
          <w:rFonts w:eastAsia="Calibri"/>
        </w:rPr>
        <w:t>transfer dynamic e-tag</w:t>
      </w:r>
      <w:r w:rsidR="00051A42">
        <w:rPr>
          <w:rFonts w:eastAsia="Calibri"/>
        </w:rPr>
        <w:t>.</w:t>
      </w:r>
      <w:r>
        <w:rPr>
          <w:rFonts w:eastAsia="Calibri"/>
        </w:rPr>
        <w:t xml:space="preserve">  </w:t>
      </w:r>
    </w:p>
    <w:p w14:paraId="55C9E71C" w14:textId="69E93847" w:rsidR="00284875" w:rsidRDefault="00FB76BA" w:rsidP="00B1671A">
      <w:pPr>
        <w:pStyle w:val="ParaText"/>
        <w:rPr>
          <w:rFonts w:eastAsia="Calibri"/>
        </w:rPr>
      </w:pPr>
      <w:r>
        <w:rPr>
          <w:rFonts w:eastAsia="Calibri"/>
        </w:rPr>
        <w:t>Each</w:t>
      </w:r>
      <w:r w:rsidR="005F24C1">
        <w:rPr>
          <w:rFonts w:eastAsia="Calibri"/>
        </w:rPr>
        <w:t xml:space="preserve"> WEIM </w:t>
      </w:r>
      <w:r w:rsidR="00286C8D">
        <w:rPr>
          <w:rFonts w:eastAsia="Calibri"/>
        </w:rPr>
        <w:t xml:space="preserve">Entity </w:t>
      </w:r>
      <w:r w:rsidR="00071D2B" w:rsidRPr="008817D0">
        <w:rPr>
          <w:rFonts w:eastAsia="Calibri"/>
        </w:rPr>
        <w:t xml:space="preserve">Scheduling Coordinator </w:t>
      </w:r>
      <w:r w:rsidR="00286C8D">
        <w:rPr>
          <w:rFonts w:eastAsia="Calibri"/>
        </w:rPr>
        <w:t xml:space="preserve">shall </w:t>
      </w:r>
      <w:r w:rsidR="00C16B99">
        <w:rPr>
          <w:rFonts w:eastAsia="Calibri"/>
        </w:rPr>
        <w:t xml:space="preserve">determine and </w:t>
      </w:r>
      <w:r w:rsidR="00286C8D">
        <w:rPr>
          <w:rFonts w:eastAsia="Calibri"/>
        </w:rPr>
        <w:t>send to the CAISO market system the</w:t>
      </w:r>
      <w:r w:rsidR="005F24C1">
        <w:rPr>
          <w:rFonts w:eastAsia="Calibri"/>
        </w:rPr>
        <w:t xml:space="preserve"> WEIM </w:t>
      </w:r>
      <w:r w:rsidR="00071D2B">
        <w:rPr>
          <w:rFonts w:eastAsia="Calibri"/>
        </w:rPr>
        <w:t xml:space="preserve">intertie </w:t>
      </w:r>
      <w:r w:rsidR="00286C8D">
        <w:rPr>
          <w:rFonts w:eastAsia="Calibri"/>
        </w:rPr>
        <w:t xml:space="preserve">transmission </w:t>
      </w:r>
      <w:r w:rsidR="000D441A">
        <w:rPr>
          <w:rFonts w:eastAsia="Calibri"/>
        </w:rPr>
        <w:t xml:space="preserve">right limits, static </w:t>
      </w:r>
      <w:r w:rsidR="0004541C">
        <w:rPr>
          <w:rFonts w:eastAsia="Calibri"/>
        </w:rPr>
        <w:t>limits,</w:t>
      </w:r>
      <w:r w:rsidR="001A1AD4">
        <w:rPr>
          <w:rFonts w:eastAsia="Calibri"/>
        </w:rPr>
        <w:t xml:space="preserve"> </w:t>
      </w:r>
      <w:r w:rsidR="000D441A">
        <w:rPr>
          <w:rFonts w:eastAsia="Calibri"/>
        </w:rPr>
        <w:t>dynamic incremental limits and any updates</w:t>
      </w:r>
      <w:r w:rsidR="001A1AD4">
        <w:rPr>
          <w:rFonts w:eastAsia="Calibri"/>
        </w:rPr>
        <w:t xml:space="preserve"> </w:t>
      </w:r>
      <w:r w:rsidR="000D441A">
        <w:rPr>
          <w:rFonts w:eastAsia="Calibri"/>
        </w:rPr>
        <w:t xml:space="preserve">through </w:t>
      </w:r>
      <w:r w:rsidR="00211DB5">
        <w:rPr>
          <w:rFonts w:eastAsia="Calibri"/>
        </w:rPr>
        <w:t xml:space="preserve">the </w:t>
      </w:r>
      <w:r w:rsidR="000D441A">
        <w:rPr>
          <w:rFonts w:eastAsia="Calibri"/>
        </w:rPr>
        <w:t>EIMDynamicLimitData</w:t>
      </w:r>
      <w:r w:rsidR="001A1AD4">
        <w:rPr>
          <w:rFonts w:eastAsia="Calibri"/>
        </w:rPr>
        <w:t xml:space="preserve"> file submitted to CAISO</w:t>
      </w:r>
      <w:r w:rsidR="00960131">
        <w:rPr>
          <w:rFonts w:eastAsia="Calibri"/>
        </w:rPr>
        <w:t xml:space="preserve"> </w:t>
      </w:r>
      <w:r w:rsidR="00211DB5">
        <w:rPr>
          <w:rFonts w:eastAsia="Calibri"/>
        </w:rPr>
        <w:t>as</w:t>
      </w:r>
      <w:r w:rsidR="00960131">
        <w:rPr>
          <w:rFonts w:eastAsia="Calibri"/>
        </w:rPr>
        <w:t xml:space="preserve"> changes</w:t>
      </w:r>
      <w:r w:rsidR="00ED7B08">
        <w:rPr>
          <w:rFonts w:eastAsia="Calibri"/>
        </w:rPr>
        <w:t xml:space="preserve"> </w:t>
      </w:r>
      <w:r w:rsidR="00211DB5">
        <w:rPr>
          <w:rFonts w:eastAsia="Calibri"/>
        </w:rPr>
        <w:t>to</w:t>
      </w:r>
      <w:r w:rsidR="00ED7B08">
        <w:rPr>
          <w:rFonts w:eastAsia="Calibri"/>
        </w:rPr>
        <w:t xml:space="preserve"> these limits</w:t>
      </w:r>
      <w:r w:rsidR="00960131">
        <w:rPr>
          <w:rFonts w:eastAsia="Calibri"/>
        </w:rPr>
        <w:t xml:space="preserve"> are required by the</w:t>
      </w:r>
      <w:r w:rsidR="005F24C1">
        <w:rPr>
          <w:rFonts w:eastAsia="Calibri"/>
        </w:rPr>
        <w:t xml:space="preserve"> WEIM </w:t>
      </w:r>
      <w:r w:rsidR="00960131">
        <w:rPr>
          <w:rFonts w:eastAsia="Calibri"/>
        </w:rPr>
        <w:t>Entity Scheduling Coordinators</w:t>
      </w:r>
      <w:r w:rsidR="002667BF">
        <w:rPr>
          <w:rFonts w:eastAsia="Calibri"/>
        </w:rPr>
        <w:t xml:space="preserve"> (</w:t>
      </w:r>
      <w:r w:rsidR="002667BF" w:rsidRPr="001D354A">
        <w:rPr>
          <w:rFonts w:eastAsia="Calibri"/>
          <w:i/>
        </w:rPr>
        <w:t>i.e.</w:t>
      </w:r>
      <w:r w:rsidR="002667BF">
        <w:rPr>
          <w:rFonts w:eastAsia="Calibri"/>
        </w:rPr>
        <w:t>,  the</w:t>
      </w:r>
      <w:r w:rsidR="005F24C1">
        <w:rPr>
          <w:rFonts w:eastAsia="Calibri"/>
        </w:rPr>
        <w:t xml:space="preserve"> WEIM </w:t>
      </w:r>
      <w:r w:rsidR="002667BF">
        <w:rPr>
          <w:rFonts w:eastAsia="Calibri"/>
        </w:rPr>
        <w:t>Transfer limit)</w:t>
      </w:r>
      <w:r w:rsidR="00ED7B08">
        <w:rPr>
          <w:rFonts w:eastAsia="Calibri"/>
        </w:rPr>
        <w:t xml:space="preserve">. </w:t>
      </w:r>
      <w:r w:rsidR="00363CFA">
        <w:rPr>
          <w:rFonts w:eastAsia="Calibri"/>
        </w:rPr>
        <w:t xml:space="preserve">This should be finished prior to the start of the next Dispatch Interval </w:t>
      </w:r>
      <w:r>
        <w:rPr>
          <w:rFonts w:eastAsia="Calibri"/>
        </w:rPr>
        <w:t>b</w:t>
      </w:r>
      <w:r w:rsidR="002667BF">
        <w:rPr>
          <w:rFonts w:eastAsia="Calibri"/>
        </w:rPr>
        <w:t>y</w:t>
      </w:r>
      <w:r>
        <w:rPr>
          <w:rFonts w:eastAsia="Calibri"/>
        </w:rPr>
        <w:t xml:space="preserve"> </w:t>
      </w:r>
      <w:r w:rsidR="00CB141B">
        <w:rPr>
          <w:rFonts w:eastAsia="Calibri"/>
        </w:rPr>
        <w:t>the</w:t>
      </w:r>
      <w:r w:rsidR="005F24C1">
        <w:rPr>
          <w:rFonts w:eastAsia="Calibri"/>
        </w:rPr>
        <w:t xml:space="preserve"> WEIM </w:t>
      </w:r>
      <w:r>
        <w:rPr>
          <w:rFonts w:eastAsia="Calibri"/>
        </w:rPr>
        <w:t xml:space="preserve">Entity </w:t>
      </w:r>
      <w:r w:rsidR="00CB141B">
        <w:rPr>
          <w:rFonts w:eastAsia="Calibri"/>
        </w:rPr>
        <w:t>Scheduling Coordinator</w:t>
      </w:r>
      <w:r w:rsidR="00CF4FE6">
        <w:rPr>
          <w:rFonts w:eastAsia="Calibri"/>
        </w:rPr>
        <w:t xml:space="preserve">. </w:t>
      </w:r>
      <w:r w:rsidR="00C16B99">
        <w:rPr>
          <w:rFonts w:eastAsia="Calibri"/>
        </w:rPr>
        <w:t xml:space="preserve"> The </w:t>
      </w:r>
      <w:r w:rsidR="009B2375" w:rsidRPr="009B2375">
        <w:rPr>
          <w:rFonts w:eastAsia="Calibri"/>
        </w:rPr>
        <w:t xml:space="preserve">CAISO will </w:t>
      </w:r>
      <w:r w:rsidR="00C16B99">
        <w:rPr>
          <w:rFonts w:eastAsia="Calibri"/>
        </w:rPr>
        <w:t xml:space="preserve">use this information to </w:t>
      </w:r>
      <w:r w:rsidR="009B2375" w:rsidRPr="009B2375">
        <w:rPr>
          <w:rFonts w:eastAsia="Calibri"/>
        </w:rPr>
        <w:t xml:space="preserve">calculate the </w:t>
      </w:r>
      <w:r w:rsidR="00C16B99">
        <w:rPr>
          <w:rFonts w:eastAsia="Calibri"/>
        </w:rPr>
        <w:t xml:space="preserve">Energy </w:t>
      </w:r>
      <w:r w:rsidR="009B2375" w:rsidRPr="009B2375">
        <w:rPr>
          <w:rFonts w:eastAsia="Calibri"/>
        </w:rPr>
        <w:t>Transfer</w:t>
      </w:r>
      <w:r w:rsidR="009B2375">
        <w:rPr>
          <w:rFonts w:eastAsia="Calibri"/>
        </w:rPr>
        <w:t xml:space="preserve"> </w:t>
      </w:r>
      <w:r w:rsidR="00C16B99">
        <w:rPr>
          <w:rFonts w:eastAsia="Calibri"/>
        </w:rPr>
        <w:t>s</w:t>
      </w:r>
      <w:r w:rsidR="00211DB5">
        <w:rPr>
          <w:rFonts w:eastAsia="Calibri"/>
        </w:rPr>
        <w:t xml:space="preserve">chedule </w:t>
      </w:r>
      <w:r w:rsidR="009B2375">
        <w:rPr>
          <w:rFonts w:eastAsia="Calibri"/>
        </w:rPr>
        <w:t>limit according to Appendix A</w:t>
      </w:r>
      <w:r w:rsidR="00211DB5">
        <w:rPr>
          <w:rFonts w:eastAsia="Calibri"/>
        </w:rPr>
        <w:t>:</w:t>
      </w:r>
      <w:r w:rsidR="009B2375">
        <w:rPr>
          <w:rFonts w:eastAsia="Calibri"/>
        </w:rPr>
        <w:t xml:space="preserve"> </w:t>
      </w:r>
      <w:r w:rsidR="009B2375" w:rsidRPr="009B2375">
        <w:rPr>
          <w:rFonts w:eastAsia="Calibri"/>
        </w:rPr>
        <w:t>Energy Transfer Schedule Limits</w:t>
      </w:r>
      <w:r w:rsidR="00211DB5">
        <w:rPr>
          <w:rFonts w:eastAsia="Calibri"/>
        </w:rPr>
        <w:t xml:space="preserve">.  </w:t>
      </w:r>
      <w:r w:rsidR="00C16B99">
        <w:rPr>
          <w:rFonts w:eastAsia="Calibri"/>
        </w:rPr>
        <w:t>The CAISO will provide</w:t>
      </w:r>
      <w:r w:rsidR="00F02728">
        <w:rPr>
          <w:rFonts w:eastAsia="Calibri"/>
        </w:rPr>
        <w:t xml:space="preserve"> the</w:t>
      </w:r>
      <w:r w:rsidR="005F24C1">
        <w:rPr>
          <w:rFonts w:eastAsia="Calibri"/>
        </w:rPr>
        <w:t xml:space="preserve"> WEIM </w:t>
      </w:r>
      <w:r w:rsidR="00C16B99">
        <w:rPr>
          <w:rFonts w:eastAsia="Calibri"/>
        </w:rPr>
        <w:t>Entity Scheduling Coordinator with the Energy Transfer schedule information</w:t>
      </w:r>
      <w:r w:rsidR="00F02728">
        <w:rPr>
          <w:rFonts w:eastAsia="Calibri"/>
        </w:rPr>
        <w:t xml:space="preserve"> according to Appendix A: </w:t>
      </w:r>
      <w:r w:rsidR="00F02728" w:rsidRPr="009B2375">
        <w:rPr>
          <w:rFonts w:eastAsia="Calibri"/>
        </w:rPr>
        <w:t xml:space="preserve">Energy Transfer </w:t>
      </w:r>
      <w:r w:rsidR="00F02728">
        <w:rPr>
          <w:rFonts w:eastAsia="Calibri"/>
        </w:rPr>
        <w:t>Schedule Tags.</w:t>
      </w:r>
      <w:r w:rsidR="00C16B99">
        <w:rPr>
          <w:rFonts w:eastAsia="Calibri"/>
        </w:rPr>
        <w:t xml:space="preserve">   </w:t>
      </w:r>
      <w:r w:rsidR="002667BF">
        <w:rPr>
          <w:rFonts w:eastAsia="Calibri"/>
        </w:rPr>
        <w:t xml:space="preserve">  </w:t>
      </w:r>
    </w:p>
    <w:p w14:paraId="3DB4095E" w14:textId="129CC598" w:rsidR="00150ACC" w:rsidRDefault="00284875" w:rsidP="00150ACC">
      <w:pPr>
        <w:pStyle w:val="ParaText"/>
        <w:rPr>
          <w:rFonts w:eastAsia="Calibri"/>
        </w:rPr>
      </w:pPr>
      <w:r>
        <w:rPr>
          <w:rFonts w:eastAsia="Calibri"/>
        </w:rPr>
        <w:t>Specific procedures may be developed to document specific conditions, communication of</w:t>
      </w:r>
      <w:r w:rsidR="005F24C1">
        <w:rPr>
          <w:rFonts w:eastAsia="Calibri"/>
        </w:rPr>
        <w:t xml:space="preserve"> WEIM </w:t>
      </w:r>
      <w:r w:rsidR="007C4B4F">
        <w:rPr>
          <w:rFonts w:eastAsia="Calibri"/>
        </w:rPr>
        <w:t>Entity</w:t>
      </w:r>
      <w:r>
        <w:rPr>
          <w:rFonts w:eastAsia="Calibri"/>
        </w:rPr>
        <w:t>, External BAA</w:t>
      </w:r>
      <w:r w:rsidR="00ED7C07">
        <w:rPr>
          <w:rFonts w:eastAsia="Calibri"/>
        </w:rPr>
        <w:t>,</w:t>
      </w:r>
      <w:r>
        <w:rPr>
          <w:rFonts w:eastAsia="Calibri"/>
        </w:rPr>
        <w:t xml:space="preserve"> or third party transmission </w:t>
      </w:r>
      <w:r w:rsidR="007C4B4F">
        <w:rPr>
          <w:rFonts w:eastAsia="Calibri"/>
        </w:rPr>
        <w:t>provider</w:t>
      </w:r>
      <w:r>
        <w:rPr>
          <w:rFonts w:eastAsia="Calibri"/>
        </w:rPr>
        <w:t xml:space="preserve"> as designed by</w:t>
      </w:r>
      <w:r w:rsidR="005F24C1">
        <w:rPr>
          <w:rFonts w:eastAsia="Calibri"/>
        </w:rPr>
        <w:t xml:space="preserve"> WEIM </w:t>
      </w:r>
      <w:r>
        <w:rPr>
          <w:rFonts w:eastAsia="Calibri"/>
        </w:rPr>
        <w:t>Ent</w:t>
      </w:r>
      <w:r w:rsidR="00D86A6C">
        <w:rPr>
          <w:rFonts w:eastAsia="Calibri"/>
        </w:rPr>
        <w:t>i</w:t>
      </w:r>
      <w:r>
        <w:rPr>
          <w:rFonts w:eastAsia="Calibri"/>
        </w:rPr>
        <w:t xml:space="preserve">ty.  </w:t>
      </w:r>
      <w:r w:rsidR="002C1E55">
        <w:rPr>
          <w:rFonts w:eastAsia="Calibri"/>
        </w:rPr>
        <w:t xml:space="preserve"> </w:t>
      </w:r>
    </w:p>
    <w:p w14:paraId="3ED84014" w14:textId="35F06704" w:rsidR="00B55A6C" w:rsidRDefault="00B55A6C" w:rsidP="00150ACC">
      <w:pPr>
        <w:pStyle w:val="ParaText"/>
        <w:rPr>
          <w:rFonts w:eastAsia="Calibri"/>
        </w:rPr>
      </w:pPr>
      <w:r w:rsidRPr="00B55A6C">
        <w:rPr>
          <w:rFonts w:eastAsia="Calibri"/>
        </w:rPr>
        <w:t>If there are two or more</w:t>
      </w:r>
      <w:r w:rsidR="005F24C1">
        <w:rPr>
          <w:rFonts w:eastAsia="Calibri"/>
        </w:rPr>
        <w:t xml:space="preserve"> WEIM </w:t>
      </w:r>
      <w:r w:rsidRPr="00B55A6C">
        <w:rPr>
          <w:rFonts w:eastAsia="Calibri"/>
        </w:rPr>
        <w:t>Entity Balancing Authority Areas that share the same</w:t>
      </w:r>
      <w:r w:rsidR="005F24C1">
        <w:rPr>
          <w:rFonts w:eastAsia="Calibri"/>
        </w:rPr>
        <w:t xml:space="preserve"> WEIM </w:t>
      </w:r>
      <w:r w:rsidRPr="00B55A6C">
        <w:rPr>
          <w:rFonts w:eastAsia="Calibri"/>
        </w:rPr>
        <w:t>Internal Intertie, the CAISO’s Security Constrained Economic Dispatch in the Real-Time Unit Commitment and Real-Time Dispatch will enforce the individual</w:t>
      </w:r>
      <w:r w:rsidR="005F24C1">
        <w:rPr>
          <w:rFonts w:eastAsia="Calibri"/>
        </w:rPr>
        <w:t xml:space="preserve"> WEIM </w:t>
      </w:r>
      <w:r w:rsidRPr="00B55A6C">
        <w:rPr>
          <w:rFonts w:eastAsia="Calibri"/>
        </w:rPr>
        <w:t>Transfer limit for each</w:t>
      </w:r>
      <w:r w:rsidR="005F24C1">
        <w:rPr>
          <w:rFonts w:eastAsia="Calibri"/>
        </w:rPr>
        <w:t xml:space="preserve"> WEIM </w:t>
      </w:r>
      <w:r w:rsidRPr="00B55A6C">
        <w:rPr>
          <w:rFonts w:eastAsia="Calibri"/>
        </w:rPr>
        <w:t>Entity Balancing Authority Area while allowing Energy to wheel through the</w:t>
      </w:r>
      <w:r w:rsidR="005F24C1">
        <w:rPr>
          <w:rFonts w:eastAsia="Calibri"/>
        </w:rPr>
        <w:t xml:space="preserve"> WEIM </w:t>
      </w:r>
      <w:r w:rsidRPr="00B55A6C">
        <w:rPr>
          <w:rFonts w:eastAsia="Calibri"/>
        </w:rPr>
        <w:t>Entity Balancing Authority Areas based on the transmission made available for use in the Real-Time Market.</w:t>
      </w:r>
    </w:p>
    <w:p w14:paraId="091F0C72" w14:textId="40AE0AC3" w:rsidR="009D69EE" w:rsidRPr="008817D0" w:rsidRDefault="00957718" w:rsidP="002667BF">
      <w:pPr>
        <w:pStyle w:val="Heading3"/>
        <w:rPr>
          <w:rFonts w:eastAsia="Calibri"/>
        </w:rPr>
      </w:pPr>
      <w:bookmarkStart w:id="1904" w:name="_Toc229054494"/>
      <w:r>
        <w:rPr>
          <w:rFonts w:eastAsia="Calibri"/>
        </w:rPr>
        <w:t xml:space="preserve">Energy Transfer Scheduling in </w:t>
      </w:r>
      <w:r w:rsidR="005F24C1">
        <w:rPr>
          <w:rFonts w:eastAsia="Calibri"/>
        </w:rPr>
        <w:t>Western Energy Imbalance Market</w:t>
      </w:r>
      <w:bookmarkEnd w:id="1904"/>
      <w:r w:rsidR="009D69EE" w:rsidRPr="008817D0">
        <w:rPr>
          <w:rFonts w:eastAsia="Calibri"/>
        </w:rPr>
        <w:tab/>
      </w:r>
    </w:p>
    <w:p w14:paraId="072D2857" w14:textId="7887D1AB" w:rsidR="002507FD" w:rsidRPr="00877DDB" w:rsidRDefault="002507FD" w:rsidP="00877DDB">
      <w:pPr>
        <w:spacing w:after="240" w:line="300" w:lineRule="auto"/>
        <w:rPr>
          <w:rFonts w:eastAsia="Calibri"/>
        </w:rPr>
      </w:pPr>
      <w:r w:rsidRPr="00877DDB">
        <w:rPr>
          <w:rFonts w:eastAsia="Calibri"/>
        </w:rPr>
        <w:t xml:space="preserve">Energy Transfer Scheduling </w:t>
      </w:r>
      <w:r w:rsidR="0093465C" w:rsidRPr="00877DDB">
        <w:rPr>
          <w:rFonts w:eastAsia="Calibri"/>
        </w:rPr>
        <w:t>aims</w:t>
      </w:r>
      <w:r w:rsidRPr="00877DDB">
        <w:rPr>
          <w:rFonts w:eastAsia="Calibri"/>
        </w:rPr>
        <w:t xml:space="preserve"> to determine the Energy Transfer schedules among the</w:t>
      </w:r>
      <w:r w:rsidR="005F24C1">
        <w:rPr>
          <w:rFonts w:eastAsia="Calibri"/>
        </w:rPr>
        <w:t xml:space="preserve"> WEIM </w:t>
      </w:r>
      <w:r w:rsidRPr="00877DDB">
        <w:rPr>
          <w:rFonts w:eastAsia="Calibri"/>
        </w:rPr>
        <w:t>BAAs and the C</w:t>
      </w:r>
      <w:r w:rsidR="008747A1" w:rsidRPr="00877DDB">
        <w:rPr>
          <w:rFonts w:eastAsia="Calibri"/>
        </w:rPr>
        <w:t>A</w:t>
      </w:r>
      <w:r w:rsidRPr="00877DDB">
        <w:rPr>
          <w:rFonts w:eastAsia="Calibri"/>
        </w:rPr>
        <w:t>ISO from the optimal</w:t>
      </w:r>
      <w:r w:rsidR="005F24C1">
        <w:rPr>
          <w:rFonts w:eastAsia="Calibri"/>
        </w:rPr>
        <w:t xml:space="preserve"> WEIM </w:t>
      </w:r>
      <w:r w:rsidRPr="00877DDB">
        <w:rPr>
          <w:rFonts w:eastAsia="Calibri"/>
        </w:rPr>
        <w:t>Transfers of the BAAs in the</w:t>
      </w:r>
      <w:r w:rsidR="005F24C1">
        <w:rPr>
          <w:rFonts w:eastAsia="Calibri"/>
        </w:rPr>
        <w:t xml:space="preserve"> WEIM </w:t>
      </w:r>
      <w:r w:rsidRPr="00877DDB">
        <w:rPr>
          <w:rFonts w:eastAsia="Calibri"/>
        </w:rPr>
        <w:t xml:space="preserve">Area using the </w:t>
      </w:r>
      <w:r w:rsidRPr="00877DDB">
        <w:rPr>
          <w:rFonts w:eastAsia="Calibri"/>
        </w:rPr>
        <w:lastRenderedPageBreak/>
        <w:t xml:space="preserve">transmission rights </w:t>
      </w:r>
      <w:r w:rsidR="00F02728" w:rsidRPr="00877DDB">
        <w:rPr>
          <w:rFonts w:eastAsia="Calibri"/>
        </w:rPr>
        <w:t>available to the</w:t>
      </w:r>
      <w:r w:rsidR="005F24C1">
        <w:rPr>
          <w:rFonts w:eastAsia="Calibri"/>
        </w:rPr>
        <w:t xml:space="preserve"> WEIM </w:t>
      </w:r>
      <w:r w:rsidRPr="00877DDB">
        <w:rPr>
          <w:rFonts w:eastAsia="Calibri"/>
        </w:rPr>
        <w:t xml:space="preserve">without violating them. This is a part of the market optimization problem in </w:t>
      </w:r>
      <w:r w:rsidR="00963003">
        <w:rPr>
          <w:rFonts w:eastAsia="Calibri"/>
        </w:rPr>
        <w:t>Fifteen Minute Market</w:t>
      </w:r>
      <w:r w:rsidR="00963003" w:rsidRPr="00877DDB">
        <w:rPr>
          <w:rFonts w:eastAsia="Calibri"/>
        </w:rPr>
        <w:t xml:space="preserve"> </w:t>
      </w:r>
      <w:r w:rsidRPr="00877DDB">
        <w:rPr>
          <w:rFonts w:eastAsia="Calibri"/>
        </w:rPr>
        <w:t xml:space="preserve">and RTD of EIM. </w:t>
      </w:r>
    </w:p>
    <w:p w14:paraId="6A714A8C" w14:textId="6AD02F9F" w:rsidR="00D925AA" w:rsidRPr="00877DDB" w:rsidRDefault="007A721E" w:rsidP="00877DDB">
      <w:pPr>
        <w:spacing w:after="240" w:line="300" w:lineRule="auto"/>
        <w:rPr>
          <w:rFonts w:eastAsia="Calibri"/>
        </w:rPr>
      </w:pPr>
      <w:r w:rsidRPr="00877DDB">
        <w:rPr>
          <w:rFonts w:eastAsia="Calibri"/>
        </w:rPr>
        <w:t xml:space="preserve">The Appendix A </w:t>
      </w:r>
      <w:r>
        <w:rPr>
          <w:rFonts w:eastAsia="Calibri"/>
        </w:rPr>
        <w:t>Mathematical Formulation for</w:t>
      </w:r>
      <w:r w:rsidR="005F24C1">
        <w:rPr>
          <w:rFonts w:eastAsia="Calibri"/>
        </w:rPr>
        <w:t xml:space="preserve"> WEIM </w:t>
      </w:r>
      <w:r>
        <w:rPr>
          <w:rFonts w:eastAsia="Calibri"/>
        </w:rPr>
        <w:t>Transfer</w:t>
      </w:r>
      <w:r w:rsidR="00F02728">
        <w:rPr>
          <w:rFonts w:eastAsia="Calibri"/>
        </w:rPr>
        <w:t>s</w:t>
      </w:r>
      <w:r w:rsidRPr="00877DDB">
        <w:rPr>
          <w:rFonts w:eastAsia="Calibri"/>
        </w:rPr>
        <w:t xml:space="preserve"> outlines how the CAISO enforces scheduling constraints in the market optimization to ensure the energy from base schedules and</w:t>
      </w:r>
      <w:r w:rsidR="005F24C1">
        <w:rPr>
          <w:rFonts w:eastAsia="Calibri"/>
        </w:rPr>
        <w:t xml:space="preserve"> WEIM </w:t>
      </w:r>
      <w:r w:rsidR="00F02728" w:rsidRPr="00877DDB">
        <w:rPr>
          <w:rFonts w:eastAsia="Calibri"/>
        </w:rPr>
        <w:t>T</w:t>
      </w:r>
      <w:r w:rsidRPr="00877DDB">
        <w:rPr>
          <w:rFonts w:eastAsia="Calibri"/>
        </w:rPr>
        <w:t>ransfers in the FMM and RTD are consistent with intertie scheduling limits.</w:t>
      </w:r>
      <w:r w:rsidR="00D925AA" w:rsidRPr="00877DDB">
        <w:rPr>
          <w:rFonts w:eastAsia="Calibri"/>
        </w:rPr>
        <w:t xml:space="preserve"> </w:t>
      </w:r>
    </w:p>
    <w:p w14:paraId="1745DEDD" w14:textId="77777777" w:rsidR="002507FD" w:rsidRPr="00877DDB" w:rsidRDefault="002507FD" w:rsidP="00877DDB">
      <w:pPr>
        <w:spacing w:after="240" w:line="300" w:lineRule="auto"/>
        <w:rPr>
          <w:rFonts w:eastAsia="Calibri"/>
        </w:rPr>
      </w:pPr>
      <w:r w:rsidRPr="00877DDB">
        <w:rPr>
          <w:rFonts w:eastAsia="Calibri"/>
        </w:rPr>
        <w:t>In calculating real-time neutrality by BAA, the System Marginal Energy Cost (SMEC) is used for the Energy Transfer</w:t>
      </w:r>
      <w:r w:rsidR="00F02728" w:rsidRPr="00877DDB">
        <w:rPr>
          <w:rFonts w:eastAsia="Calibri"/>
        </w:rPr>
        <w:t xml:space="preserve"> (see </w:t>
      </w:r>
      <w:r w:rsidR="00B264D2" w:rsidRPr="00877DDB">
        <w:rPr>
          <w:rFonts w:eastAsia="Calibri"/>
        </w:rPr>
        <w:t>Appendix A for an example</w:t>
      </w:r>
      <w:r w:rsidR="00F02728" w:rsidRPr="00877DDB">
        <w:rPr>
          <w:rFonts w:eastAsia="Calibri"/>
        </w:rPr>
        <w:t>)</w:t>
      </w:r>
      <w:r w:rsidRPr="00877DDB">
        <w:rPr>
          <w:rFonts w:eastAsia="Calibri"/>
        </w:rPr>
        <w:t>.</w:t>
      </w:r>
    </w:p>
    <w:p w14:paraId="6E837D61" w14:textId="77777777" w:rsidR="002507FD" w:rsidRPr="00E40C41" w:rsidRDefault="002507FD" w:rsidP="002667BF">
      <w:pPr>
        <w:pStyle w:val="Heading4"/>
      </w:pPr>
      <w:r>
        <w:t>Energy Transfer System Resources</w:t>
      </w:r>
    </w:p>
    <w:p w14:paraId="456DDBD0" w14:textId="5746F570" w:rsidR="002507FD" w:rsidRDefault="002507FD" w:rsidP="00877DDB">
      <w:pPr>
        <w:spacing w:after="240" w:line="300" w:lineRule="auto"/>
      </w:pPr>
      <w:r>
        <w:t xml:space="preserve">For the convenience of modeling of the </w:t>
      </w:r>
      <w:r w:rsidRPr="00E40C41">
        <w:t>Energy Transfer Scheduling problem</w:t>
      </w:r>
      <w:r>
        <w:t xml:space="preserve">, </w:t>
      </w:r>
      <w:r w:rsidRPr="00E40C41">
        <w:t>Energy Transfer System Resources (ETSRs) are defined as aggregate resources at the</w:t>
      </w:r>
      <w:r w:rsidR="005F24C1">
        <w:t xml:space="preserve"> WEIM </w:t>
      </w:r>
      <w:r w:rsidRPr="00E40C41">
        <w:t>BAA Default Generation Aggregation Point (DGAP), which is an aggregation of all supply resources in the BAA. They are dedicated System Resources in each</w:t>
      </w:r>
      <w:r w:rsidR="005F24C1">
        <w:t xml:space="preserve"> WEIM </w:t>
      </w:r>
      <w:r w:rsidRPr="00E40C41">
        <w:t>BAA to anchor the Energy Transfer schedules from that BAA to other BAAs in the</w:t>
      </w:r>
      <w:r w:rsidR="005F24C1">
        <w:t xml:space="preserve"> WEIM </w:t>
      </w:r>
      <w:r w:rsidRPr="00E40C41">
        <w:t xml:space="preserve">Area for tracking, tagging, and settlement. Each ETSR is defined as either an import or an export resource, and it is associated with </w:t>
      </w:r>
      <w:r w:rsidR="00153940">
        <w:t>a WEIM</w:t>
      </w:r>
      <w:r w:rsidR="005F24C1">
        <w:t xml:space="preserve"> </w:t>
      </w:r>
      <w:r w:rsidRPr="00E40C41">
        <w:t>intertie with another</w:t>
      </w:r>
      <w:r w:rsidR="005F24C1">
        <w:t xml:space="preserve"> WEIM </w:t>
      </w:r>
      <w:r w:rsidRPr="00E40C41">
        <w:t>BAA, or a C</w:t>
      </w:r>
      <w:r w:rsidR="00ED022D">
        <w:t>A</w:t>
      </w:r>
      <w:r w:rsidRPr="00E40C41">
        <w:t>ISO intertie with the C</w:t>
      </w:r>
      <w:r w:rsidR="00ED022D">
        <w:t>A</w:t>
      </w:r>
      <w:r w:rsidRPr="00E40C41">
        <w:t>ISO. The associated intertie is one where the</w:t>
      </w:r>
      <w:r w:rsidR="005F24C1">
        <w:t xml:space="preserve"> WEIM </w:t>
      </w:r>
      <w:r w:rsidRPr="00E40C41">
        <w:t>Entity for the relevant</w:t>
      </w:r>
      <w:r w:rsidR="005F24C1">
        <w:t xml:space="preserve"> WEIM </w:t>
      </w:r>
      <w:r w:rsidRPr="00E40C41">
        <w:t>BAA has made transmission rights available for scheduling Energy Transfers from/to the other</w:t>
      </w:r>
      <w:r w:rsidR="005F24C1">
        <w:t xml:space="preserve"> WEIM </w:t>
      </w:r>
      <w:r w:rsidRPr="00E40C41">
        <w:t>BAA or the C</w:t>
      </w:r>
      <w:r w:rsidR="00ED022D">
        <w:t>A</w:t>
      </w:r>
      <w:r w:rsidRPr="00E40C41">
        <w:t>ISO.</w:t>
      </w:r>
      <w:r>
        <w:t xml:space="preserve"> </w:t>
      </w:r>
    </w:p>
    <w:p w14:paraId="229691DB" w14:textId="77777777" w:rsidR="002507FD" w:rsidRDefault="002507FD" w:rsidP="002667BF">
      <w:pPr>
        <w:pStyle w:val="Heading4"/>
      </w:pPr>
      <w:r>
        <w:t>Base Schedules</w:t>
      </w:r>
    </w:p>
    <w:p w14:paraId="0566497E" w14:textId="73090487" w:rsidR="002507FD" w:rsidRDefault="002507FD" w:rsidP="00877DDB">
      <w:pPr>
        <w:spacing w:after="240" w:line="300" w:lineRule="auto"/>
      </w:pPr>
      <w:r>
        <w:t>Before</w:t>
      </w:r>
      <w:r w:rsidR="005F24C1">
        <w:t xml:space="preserve"> WEIM </w:t>
      </w:r>
      <w:r>
        <w:t xml:space="preserve">market optimization, base </w:t>
      </w:r>
      <w:r w:rsidRPr="005C25BA">
        <w:t>Energy Transfer schedules between</w:t>
      </w:r>
      <w:r w:rsidR="005F24C1">
        <w:t xml:space="preserve"> WEIM </w:t>
      </w:r>
      <w:r w:rsidRPr="005C25BA">
        <w:t>BAAs</w:t>
      </w:r>
      <w:r>
        <w:t xml:space="preserve"> are submitted </w:t>
      </w:r>
      <w:r w:rsidRPr="004B4158">
        <w:t>along with the generation and intertie base schedules. The base Energy Transfer schedules are assumed to be feasible. For each</w:t>
      </w:r>
      <w:r w:rsidR="005F24C1">
        <w:t xml:space="preserve"> WEIM </w:t>
      </w:r>
      <w:r w:rsidRPr="004B4158">
        <w:t>BAA and C</w:t>
      </w:r>
      <w:r w:rsidR="00ED022D">
        <w:t>A</w:t>
      </w:r>
      <w:r w:rsidRPr="004B4158">
        <w:t>ISO, the base</w:t>
      </w:r>
      <w:r w:rsidR="005F24C1">
        <w:t xml:space="preserve"> WEIM </w:t>
      </w:r>
      <w:r w:rsidRPr="004B4158">
        <w:t>Transfer, the base NSI, the base demand, the base generation and the base load are obtained from the base Energy Transfer schedules and RUC schedules. The base load for</w:t>
      </w:r>
      <w:r w:rsidR="005F24C1">
        <w:t xml:space="preserve"> WEIM </w:t>
      </w:r>
      <w:r w:rsidRPr="004B4158">
        <w:t>BAA is adjusted in the ACPF to absorb the loss error. The base load for</w:t>
      </w:r>
      <w:r w:rsidR="005F24C1">
        <w:t xml:space="preserve"> WEIM </w:t>
      </w:r>
      <w:r w:rsidRPr="004B4158">
        <w:t>BAAs is significant because it is used as a reference for imbalance energy settlement. Base schedules are also calculated for non-EIM BAAs to model unscheduled loop flow through the</w:t>
      </w:r>
      <w:r w:rsidR="005F24C1">
        <w:t xml:space="preserve"> WEIM </w:t>
      </w:r>
      <w:r w:rsidRPr="004B4158">
        <w:t>area.</w:t>
      </w:r>
    </w:p>
    <w:p w14:paraId="401E0C76" w14:textId="77777777" w:rsidR="002507FD" w:rsidRPr="004B4158" w:rsidRDefault="002507FD" w:rsidP="002667BF">
      <w:pPr>
        <w:pStyle w:val="Heading4"/>
      </w:pPr>
      <w:r w:rsidRPr="00E047E1">
        <w:lastRenderedPageBreak/>
        <w:t>Energy Transfer Schedule Calculation</w:t>
      </w:r>
      <w:r>
        <w:t xml:space="preserve"> </w:t>
      </w:r>
    </w:p>
    <w:p w14:paraId="5B93E494" w14:textId="67F8D5C6" w:rsidR="008C1669" w:rsidRPr="00E047E1" w:rsidRDefault="008C1669" w:rsidP="00877DDB">
      <w:pPr>
        <w:spacing w:after="240" w:line="300" w:lineRule="auto"/>
      </w:pPr>
      <w:r>
        <w:t xml:space="preserve">Additional variables and constraints are added to the market optimization problem for the </w:t>
      </w:r>
      <w:r w:rsidRPr="00E40C41">
        <w:t>Energy Transfer Scheduling problem</w:t>
      </w:r>
      <w:r>
        <w:t xml:space="preserve">. </w:t>
      </w:r>
      <w:r w:rsidRPr="004B4158">
        <w:t>In the market optimization problem, the NSI variables for each BAA are used to derive the</w:t>
      </w:r>
      <w:r w:rsidR="005F24C1">
        <w:t xml:space="preserve"> WEIM </w:t>
      </w:r>
      <w:r w:rsidRPr="004B4158">
        <w:t>Transfer for each</w:t>
      </w:r>
      <w:r w:rsidR="005F24C1">
        <w:t xml:space="preserve"> WEIM </w:t>
      </w:r>
      <w:r w:rsidRPr="004B4158">
        <w:t>BAA and for the C</w:t>
      </w:r>
      <w:r>
        <w:t>A</w:t>
      </w:r>
      <w:r w:rsidRPr="004B4158">
        <w:t>ISO. The</w:t>
      </w:r>
      <w:r w:rsidR="005F24C1">
        <w:t xml:space="preserve"> WEIM </w:t>
      </w:r>
      <w:r w:rsidRPr="004B4158">
        <w:t>Transfer Schedules represented by the E</w:t>
      </w:r>
      <w:r>
        <w:t>TSR</w:t>
      </w:r>
      <w:r w:rsidRPr="004B4158">
        <w:t xml:space="preserve"> variables are constrained by applicable</w:t>
      </w:r>
      <w:r w:rsidR="005F24C1">
        <w:t xml:space="preserve"> WEIM </w:t>
      </w:r>
      <w:r>
        <w:t>Transfer limits</w:t>
      </w:r>
      <w:r w:rsidRPr="004B4158">
        <w:t xml:space="preserve">. </w:t>
      </w:r>
    </w:p>
    <w:p w14:paraId="166423F7" w14:textId="5EE8BEC2" w:rsidR="009E4560" w:rsidRPr="00AC18D4" w:rsidRDefault="008C1669">
      <w:r>
        <w:t>The base Energy Transfer schedules may be included in the optimal Energy Transfer schedules or specified separately. Afte</w:t>
      </w:r>
      <w:r w:rsidRPr="004B4158">
        <w:t xml:space="preserve">r the market </w:t>
      </w:r>
      <w:r>
        <w:t>solution is obtained</w:t>
      </w:r>
      <w:r w:rsidRPr="004B4158">
        <w:t xml:space="preserve">, the base and optimal Energy Transfer schedules assigned to the corresponding ETSRs are tagged to the associated intertie using the corresponding ETSR identification. </w:t>
      </w:r>
      <w:r>
        <w:t>Including the base Energy Transfer in the optimal Energy Transfer allows the optimal dynamic Energy Transfer to counter flow on the base Energy Transfer maximizing transmission capacity use. If the base Energy Transfer is scheduled separately on dedicated ETSRs, the Base ETSRs, it is not optimized but kept constant in the market, unless modified by the</w:t>
      </w:r>
      <w:r w:rsidR="005F24C1">
        <w:t xml:space="preserve"> WEIM </w:t>
      </w:r>
      <w:r>
        <w:t>Entity SC after T–40' through the real-time intertie schedule interface. The transmission capacity consumed by the base Energy Transfer scheduled on Base ETSRs cannot be used for counter flow dynamic Energy Transfers</w:t>
      </w:r>
      <w:r w:rsidRPr="00AC18D4">
        <w:t>.</w:t>
      </w:r>
      <w:r w:rsidR="009E4560" w:rsidRPr="00AC18D4">
        <w:t xml:space="preserve"> </w:t>
      </w:r>
      <w:r w:rsidR="009E4560" w:rsidRPr="00AC18D4">
        <w:rPr>
          <w:rFonts w:cs="Arial"/>
        </w:rPr>
        <w:t>Schedules associated with pseudo tie or dynamic e-Tags for pseudo-tied resources or loads that involve one or multiple</w:t>
      </w:r>
      <w:r w:rsidR="005F24C1">
        <w:rPr>
          <w:rFonts w:cs="Arial"/>
        </w:rPr>
        <w:t xml:space="preserve"> WEIM </w:t>
      </w:r>
      <w:r w:rsidR="009E4560" w:rsidRPr="00AC18D4">
        <w:rPr>
          <w:rFonts w:cs="Arial"/>
        </w:rPr>
        <w:t>Entity BAAs should not be included in base Energy Transfers between</w:t>
      </w:r>
      <w:r w:rsidR="005F24C1">
        <w:rPr>
          <w:rFonts w:cs="Arial"/>
        </w:rPr>
        <w:t xml:space="preserve"> WEIM </w:t>
      </w:r>
      <w:r w:rsidR="009E4560" w:rsidRPr="00AC18D4">
        <w:rPr>
          <w:rFonts w:cs="Arial"/>
        </w:rPr>
        <w:t>BAAs or intertie transactions between</w:t>
      </w:r>
      <w:r w:rsidR="005F24C1">
        <w:rPr>
          <w:rFonts w:cs="Arial"/>
        </w:rPr>
        <w:t xml:space="preserve"> WEIM </w:t>
      </w:r>
      <w:r w:rsidR="009E4560" w:rsidRPr="00AC18D4">
        <w:rPr>
          <w:rFonts w:cs="Arial"/>
        </w:rPr>
        <w:t>and non</w:t>
      </w:r>
      <w:r w:rsidR="005F24C1">
        <w:rPr>
          <w:rFonts w:cs="Arial"/>
        </w:rPr>
        <w:t xml:space="preserve"> WEIM </w:t>
      </w:r>
      <w:r w:rsidR="009E4560" w:rsidRPr="00AC18D4">
        <w:rPr>
          <w:rFonts w:cs="Arial"/>
        </w:rPr>
        <w:t>BAAs because these schedules have no effect on the NSI of the source/sink BAA or the NSI of intermediate BAAs.</w:t>
      </w:r>
    </w:p>
    <w:p w14:paraId="5F9575BC" w14:textId="2895FF47" w:rsidR="008C1669" w:rsidRDefault="008C1669" w:rsidP="00877DDB">
      <w:pPr>
        <w:spacing w:after="240" w:line="300" w:lineRule="auto"/>
      </w:pPr>
      <w:r>
        <w:t>In the mathematical formulation, without loss of generality, the base Energy Transfer schedules are included in the optimal Energy Transfer schedules, and the optimal Energy Transfer schedules are constrained by the</w:t>
      </w:r>
      <w:r w:rsidR="005F24C1">
        <w:t xml:space="preserve"> WEIM </w:t>
      </w:r>
      <w:r>
        <w:t>Transfer limits determined by the transmission limits, static limits and incremental dynamic limit. In other words, the amount of total intertie utilization is modeled to be constrained by the total transmission capacity, rather than the amount of incremental intertie utilization being constrained by the available transmission capacity. There are three different types of ETSRs defined in the Master File: Base ETSR, Static ETSR (15 min), and Dynamic ETSR (5 min). This is to distinguish between the base and dynamic Energy Transfers so that</w:t>
      </w:r>
      <w:r w:rsidR="005F24C1">
        <w:t xml:space="preserve"> WEIM </w:t>
      </w:r>
      <w:r>
        <w:t xml:space="preserve">Entity SCs can submit base Energy Transfers that will not be optimized by the market, while submitting ETSR limits that would apply to dynamic Energy Transfers only. The Static ETSRs are used only when dynamic transmission capability constraints </w:t>
      </w:r>
      <w:r>
        <w:lastRenderedPageBreak/>
        <w:t>apply in the ETSR contract path, necessitating separate limits for Static ETSRs in FMM and Dynamic ETSRs in RTD.</w:t>
      </w:r>
    </w:p>
    <w:p w14:paraId="03D28917" w14:textId="583D49E4" w:rsidR="008C1669" w:rsidRDefault="008C1669" w:rsidP="00877DDB">
      <w:pPr>
        <w:spacing w:after="240" w:line="300" w:lineRule="auto"/>
      </w:pPr>
      <w:r>
        <w:t>Base ETSRs are not optimized, thus they do not factor in the procurement of the Flexible Ramping Product (FRP), except for their contribution to the base net</w:t>
      </w:r>
      <w:r w:rsidR="005F24C1">
        <w:t xml:space="preserve"> WEIM </w:t>
      </w:r>
      <w:r>
        <w:t xml:space="preserve">Transfer. For example, for anon-optimized dynamic ETSR, the difference between its limit and its optimal value contributes to NIC/NEC </w:t>
      </w:r>
      <w:r w:rsidR="00153940">
        <w:t>for calculating</w:t>
      </w:r>
      <w:r>
        <w:t xml:space="preserve"> FRP requirements; however, for a base ETSR, there is no such contribution because it is fixed.</w:t>
      </w:r>
    </w:p>
    <w:p w14:paraId="3EE1D806" w14:textId="477580CA" w:rsidR="008C1669" w:rsidRDefault="008C1669" w:rsidP="008C1669">
      <w:pPr>
        <w:pStyle w:val="Heading4"/>
      </w:pPr>
      <w:r>
        <w:t>Non-Generator Resource (NGR) Modeling Functionality</w:t>
      </w:r>
    </w:p>
    <w:p w14:paraId="79293F82" w14:textId="77777777" w:rsidR="008C1669" w:rsidRDefault="008C1669" w:rsidP="00877DDB">
      <w:pPr>
        <w:spacing w:after="240" w:line="300" w:lineRule="auto"/>
      </w:pPr>
      <w:r>
        <w:t>Refer to section 2.1.13 of the Market Operations BPM for details on the NGR modeling.</w:t>
      </w:r>
    </w:p>
    <w:p w14:paraId="3E765C8E" w14:textId="2AAAAEE1" w:rsidR="008C1669" w:rsidRDefault="00C72FAF" w:rsidP="00C72FAF">
      <w:pPr>
        <w:pStyle w:val="Heading4"/>
      </w:pPr>
      <w:r>
        <w:t>Co-Located Resources</w:t>
      </w:r>
    </w:p>
    <w:p w14:paraId="39DCB10E" w14:textId="2B9A5CFA" w:rsidR="00D1773B" w:rsidRDefault="00C72FAF">
      <w:r w:rsidRPr="00C72FAF">
        <w:t>Refer to section 2.1.</w:t>
      </w:r>
      <w:r>
        <w:t>19</w:t>
      </w:r>
      <w:r w:rsidRPr="00C72FAF">
        <w:t xml:space="preserve"> of the Market Operations BPM for details on the </w:t>
      </w:r>
      <w:r>
        <w:t>Co-Located Resources.</w:t>
      </w:r>
    </w:p>
    <w:p w14:paraId="5BEDB949" w14:textId="77777777" w:rsidR="00C72FAF" w:rsidRDefault="00C72FAF"/>
    <w:p w14:paraId="62812B78" w14:textId="77777777" w:rsidR="002507FD" w:rsidRPr="004B4158" w:rsidRDefault="002507FD" w:rsidP="00B264D2">
      <w:pPr>
        <w:pStyle w:val="Heading4"/>
      </w:pPr>
      <w:r>
        <w:t xml:space="preserve">EIM Transfer </w:t>
      </w:r>
      <w:r w:rsidR="00AF13CE">
        <w:t xml:space="preserve">Schedule </w:t>
      </w:r>
      <w:r>
        <w:t>Cost</w:t>
      </w:r>
    </w:p>
    <w:p w14:paraId="106D7C14" w14:textId="2877DBB9" w:rsidR="002507FD" w:rsidRPr="004B4158" w:rsidRDefault="002507FD" w:rsidP="008C1669">
      <w:r w:rsidRPr="004B4158">
        <w:t xml:space="preserve">To maximize the efficiency and robustness of Energy Transfer schedules without circulating Energy Transfer schedules, a small nominal cost, </w:t>
      </w:r>
      <w:r w:rsidR="00F02728">
        <w:t>the</w:t>
      </w:r>
      <w:r w:rsidR="005F24C1">
        <w:t xml:space="preserve"> WEIM </w:t>
      </w:r>
      <w:r w:rsidR="00F02728">
        <w:t>T</w:t>
      </w:r>
      <w:r w:rsidRPr="004B4158">
        <w:t xml:space="preserve">ransfer </w:t>
      </w:r>
      <w:r w:rsidR="00AF13CE">
        <w:t xml:space="preserve">schedule </w:t>
      </w:r>
      <w:r w:rsidRPr="004B4158">
        <w:t>cost, is included in the objective function of the market optimization problem for each</w:t>
      </w:r>
      <w:r w:rsidR="008C1669">
        <w:t xml:space="preserve"> optimizable (static and dynamic)</w:t>
      </w:r>
      <w:r w:rsidRPr="004B4158">
        <w:t xml:space="preserve"> ETSR. The</w:t>
      </w:r>
      <w:r w:rsidR="005F24C1">
        <w:t xml:space="preserve"> WEIM </w:t>
      </w:r>
      <w:r w:rsidR="00F02728">
        <w:t>T</w:t>
      </w:r>
      <w:r w:rsidRPr="004B4158">
        <w:t xml:space="preserve">ransfer </w:t>
      </w:r>
      <w:r w:rsidR="00AF13CE">
        <w:t xml:space="preserve">schedule </w:t>
      </w:r>
      <w:r w:rsidRPr="004B4158">
        <w:t xml:space="preserve">cost will </w:t>
      </w:r>
      <w:r>
        <w:t>ensure the most optimal path or paths for the</w:t>
      </w:r>
      <w:r w:rsidR="005F24C1">
        <w:t xml:space="preserve"> WEIM </w:t>
      </w:r>
      <w:r w:rsidR="00F02728">
        <w:t>T</w:t>
      </w:r>
      <w:r>
        <w:t xml:space="preserve">ransfer are used by placing a higher priority on the most optimal path over less optimal paths. </w:t>
      </w:r>
      <w:r w:rsidRPr="004B4158">
        <w:t xml:space="preserve">This approach </w:t>
      </w:r>
      <w:r>
        <w:t>will</w:t>
      </w:r>
      <w:r w:rsidRPr="004B4158">
        <w:t xml:space="preserve"> </w:t>
      </w:r>
      <w:r>
        <w:t xml:space="preserve">also </w:t>
      </w:r>
      <w:r w:rsidRPr="004B4158">
        <w:t xml:space="preserve">minimize the number of </w:t>
      </w:r>
      <w:r w:rsidR="00AF13CE">
        <w:t>e-</w:t>
      </w:r>
      <w:r w:rsidRPr="004B4158">
        <w:t>tags which must be updated and reduces the complexity of settling the financial value of the</w:t>
      </w:r>
      <w:r w:rsidR="005F24C1">
        <w:t xml:space="preserve"> WEIM </w:t>
      </w:r>
      <w:r w:rsidRPr="004B4158">
        <w:t>transfer used for neutrality calculations.</w:t>
      </w:r>
    </w:p>
    <w:p w14:paraId="533DCACE" w14:textId="386A7F16" w:rsidR="00607541" w:rsidRPr="00725EAA" w:rsidRDefault="008649BC" w:rsidP="00877DDB">
      <w:pPr>
        <w:autoSpaceDE w:val="0"/>
        <w:autoSpaceDN w:val="0"/>
        <w:adjustRightInd w:val="0"/>
        <w:spacing w:after="240" w:line="300" w:lineRule="auto"/>
      </w:pPr>
      <w:r w:rsidRPr="00725EAA">
        <w:t>T</w:t>
      </w:r>
      <w:r w:rsidR="002507FD" w:rsidRPr="00725EAA">
        <w:t xml:space="preserve">he </w:t>
      </w:r>
      <w:r w:rsidR="000D72C0" w:rsidRPr="00725EAA">
        <w:t>CA</w:t>
      </w:r>
      <w:r w:rsidR="002507FD" w:rsidRPr="00725EAA">
        <w:t>ISO determine</w:t>
      </w:r>
      <w:r w:rsidRPr="00725EAA">
        <w:t>s</w:t>
      </w:r>
      <w:r w:rsidR="002507FD" w:rsidRPr="00725EAA">
        <w:t xml:space="preserve"> the appropriate level of the transfer cost balancing the benefits of the transfer costs with the impact to locational marginal costs</w:t>
      </w:r>
      <w:r w:rsidR="00AF13CE" w:rsidRPr="003178FD">
        <w:t xml:space="preserve"> pursuant to </w:t>
      </w:r>
      <w:r w:rsidR="00AF13CE" w:rsidRPr="00725EAA">
        <w:rPr>
          <w:rFonts w:cs="Arial"/>
        </w:rPr>
        <w:t>Section 29.17(g)(2)</w:t>
      </w:r>
      <w:r w:rsidR="002507FD" w:rsidRPr="00725EAA">
        <w:t>.</w:t>
      </w:r>
      <w:r w:rsidR="00363CFA" w:rsidRPr="00725EAA">
        <w:t xml:space="preserve"> </w:t>
      </w:r>
      <w:r w:rsidR="00AF13CE" w:rsidRPr="00725EAA">
        <w:t>T</w:t>
      </w:r>
      <w:r w:rsidR="00363CFA" w:rsidRPr="00725EAA">
        <w:t>he</w:t>
      </w:r>
      <w:r w:rsidR="005F24C1">
        <w:t xml:space="preserve"> WEIM </w:t>
      </w:r>
      <w:r w:rsidR="00363CFA" w:rsidRPr="00725EAA">
        <w:t xml:space="preserve">Transfer Cost shall </w:t>
      </w:r>
      <w:r w:rsidR="00A43B57" w:rsidRPr="003178FD">
        <w:t>be less than</w:t>
      </w:r>
      <w:r w:rsidR="00BD0A9B" w:rsidRPr="003178FD">
        <w:t xml:space="preserve"> $0.</w:t>
      </w:r>
      <w:r w:rsidR="009A3834" w:rsidRPr="003178FD">
        <w:t>0</w:t>
      </w:r>
      <w:r w:rsidR="00BD0A9B" w:rsidRPr="003178FD">
        <w:t>1</w:t>
      </w:r>
      <w:r w:rsidR="00607541" w:rsidRPr="003178FD">
        <w:t xml:space="preserve">. </w:t>
      </w:r>
      <w:r w:rsidRPr="003178FD">
        <w:t>The</w:t>
      </w:r>
      <w:r w:rsidR="005F24C1">
        <w:t xml:space="preserve"> WEIM </w:t>
      </w:r>
      <w:r w:rsidRPr="003178FD">
        <w:t xml:space="preserve">Transfer Cost can be different for each Intertie. In case absent any </w:t>
      </w:r>
      <w:r w:rsidR="00A46866">
        <w:t xml:space="preserve">priority defined by the entity and approved by the </w:t>
      </w:r>
      <w:r w:rsidR="00153940">
        <w:t>CAISO,</w:t>
      </w:r>
      <w:r w:rsidRPr="003178FD">
        <w:t xml:space="preserve"> </w:t>
      </w:r>
      <w:r w:rsidRPr="00725EAA">
        <w:rPr>
          <w:rFonts w:cs="Arial"/>
        </w:rPr>
        <w:t>t</w:t>
      </w:r>
      <w:r w:rsidR="00607541" w:rsidRPr="00725EAA">
        <w:rPr>
          <w:rFonts w:cs="Arial"/>
        </w:rPr>
        <w:t xml:space="preserve">he CAISO will </w:t>
      </w:r>
      <w:r w:rsidRPr="00725EAA">
        <w:rPr>
          <w:rFonts w:cs="Arial"/>
        </w:rPr>
        <w:t xml:space="preserve">set $0.0001 for </w:t>
      </w:r>
      <w:r w:rsidR="00607541" w:rsidRPr="00725EAA">
        <w:rPr>
          <w:rFonts w:cs="Arial"/>
        </w:rPr>
        <w:t>the</w:t>
      </w:r>
      <w:r w:rsidR="005F24C1">
        <w:rPr>
          <w:rFonts w:cs="Arial"/>
        </w:rPr>
        <w:t xml:space="preserve"> WEIM </w:t>
      </w:r>
      <w:r w:rsidR="00607541" w:rsidRPr="00725EAA">
        <w:rPr>
          <w:rFonts w:cs="Arial"/>
        </w:rPr>
        <w:t>Transfer schedule cost associated with each</w:t>
      </w:r>
      <w:r w:rsidR="005F24C1">
        <w:rPr>
          <w:rFonts w:cs="Arial"/>
        </w:rPr>
        <w:t xml:space="preserve"> WEIM </w:t>
      </w:r>
      <w:r w:rsidR="00607541" w:rsidRPr="00725EAA">
        <w:rPr>
          <w:rFonts w:cs="Arial"/>
        </w:rPr>
        <w:t>Internal Intertie</w:t>
      </w:r>
      <w:r w:rsidR="009A3834" w:rsidRPr="00725EAA">
        <w:t>.</w:t>
      </w:r>
      <w:r w:rsidR="00607541" w:rsidRPr="00725EAA">
        <w:t xml:space="preserve"> </w:t>
      </w:r>
    </w:p>
    <w:p w14:paraId="049A1BE1" w14:textId="0F600587" w:rsidR="009551ED" w:rsidRPr="00725EAA" w:rsidRDefault="00607541" w:rsidP="00877DDB">
      <w:pPr>
        <w:spacing w:after="240" w:line="300" w:lineRule="auto"/>
        <w:rPr>
          <w:rFonts w:eastAsia="Calibri"/>
        </w:rPr>
      </w:pPr>
      <w:r w:rsidRPr="00725EAA">
        <w:rPr>
          <w:rFonts w:cs="Arial"/>
        </w:rPr>
        <w:lastRenderedPageBreak/>
        <w:t>The CAISO may adjust the</w:t>
      </w:r>
      <w:r w:rsidR="005F24C1">
        <w:rPr>
          <w:rFonts w:cs="Arial"/>
        </w:rPr>
        <w:t xml:space="preserve"> WEIM </w:t>
      </w:r>
      <w:r w:rsidRPr="00725EAA">
        <w:rPr>
          <w:rFonts w:cs="Arial"/>
        </w:rPr>
        <w:t xml:space="preserve">Transfer schedule costs to maintain the path priorities established by the criteria in Section 29.17(g)(2) when </w:t>
      </w:r>
      <w:r w:rsidR="00153940">
        <w:rPr>
          <w:rFonts w:cs="Arial"/>
        </w:rPr>
        <w:t>a WEIM</w:t>
      </w:r>
      <w:r w:rsidR="005F24C1">
        <w:rPr>
          <w:rFonts w:cs="Arial"/>
        </w:rPr>
        <w:t xml:space="preserve"> </w:t>
      </w:r>
      <w:r w:rsidRPr="00725EAA">
        <w:rPr>
          <w:rFonts w:cs="Arial"/>
        </w:rPr>
        <w:t>Entity Balancing Authority Area is added or subtracted from the</w:t>
      </w:r>
      <w:r w:rsidR="005F24C1">
        <w:rPr>
          <w:rFonts w:cs="Arial"/>
        </w:rPr>
        <w:t xml:space="preserve"> WEIM </w:t>
      </w:r>
      <w:r w:rsidRPr="00725EAA">
        <w:rPr>
          <w:rFonts w:cs="Arial"/>
        </w:rPr>
        <w:t>Area, as seasonal transmission system ratings change or the transmission system topology changes</w:t>
      </w:r>
      <w:r w:rsidRPr="00725EAA">
        <w:t>.</w:t>
      </w:r>
      <w:bookmarkStart w:id="1905" w:name="_Toc412103964"/>
      <w:bookmarkEnd w:id="1905"/>
    </w:p>
    <w:p w14:paraId="272C2E74" w14:textId="77777777" w:rsidR="008817D0" w:rsidRPr="008817D0" w:rsidRDefault="008817D0" w:rsidP="00C33762">
      <w:pPr>
        <w:pStyle w:val="Heading3"/>
        <w:rPr>
          <w:rFonts w:eastAsia="Calibri"/>
        </w:rPr>
      </w:pPr>
      <w:bookmarkStart w:id="1906" w:name="_Toc390946286"/>
      <w:bookmarkStart w:id="1907" w:name="_Toc391969848"/>
      <w:bookmarkStart w:id="1908" w:name="_Toc229054495"/>
      <w:bookmarkStart w:id="1909" w:name="_Toc390869239"/>
      <w:r w:rsidRPr="008817D0">
        <w:rPr>
          <w:rFonts w:eastAsia="Calibri"/>
        </w:rPr>
        <w:t>Entitlement Constraints for Rate of Changes</w:t>
      </w:r>
      <w:bookmarkEnd w:id="1906"/>
      <w:bookmarkEnd w:id="1907"/>
      <w:bookmarkEnd w:id="1908"/>
    </w:p>
    <w:p w14:paraId="64FED5F4" w14:textId="67618F77" w:rsidR="008817D0" w:rsidRDefault="008817D0">
      <w:pPr>
        <w:spacing w:after="240" w:line="300" w:lineRule="auto"/>
        <w:rPr>
          <w:rFonts w:eastAsia="Calibri"/>
        </w:rPr>
      </w:pPr>
      <w:r w:rsidRPr="008817D0">
        <w:rPr>
          <w:rFonts w:eastAsia="Calibri"/>
        </w:rPr>
        <w:t xml:space="preserve">The entitlement constraints limit power flow contributions from </w:t>
      </w:r>
      <w:r w:rsidR="008410E3">
        <w:rPr>
          <w:rFonts w:eastAsia="Calibri"/>
        </w:rPr>
        <w:t xml:space="preserve">the dispatch of </w:t>
      </w:r>
      <w:r w:rsidRPr="008817D0">
        <w:rPr>
          <w:rFonts w:eastAsia="Calibri"/>
        </w:rPr>
        <w:t xml:space="preserve">resources in </w:t>
      </w:r>
      <w:r w:rsidR="00153940">
        <w:rPr>
          <w:rFonts w:eastAsia="Calibri"/>
        </w:rPr>
        <w:t>a WEIM</w:t>
      </w:r>
      <w:r w:rsidR="005F24C1">
        <w:rPr>
          <w:rFonts w:eastAsia="Calibri"/>
        </w:rPr>
        <w:t xml:space="preserve"> </w:t>
      </w:r>
      <w:r w:rsidRPr="008817D0">
        <w:rPr>
          <w:rFonts w:eastAsia="Calibri"/>
        </w:rPr>
        <w:t>Entity Balancing Authority Area (BAA), or the CAISO BAA, on interties or transmission corridors in external BAAs. Power flow contributions from intertie transactions participating in the</w:t>
      </w:r>
      <w:r w:rsidR="005F24C1">
        <w:rPr>
          <w:rFonts w:eastAsia="Calibri"/>
        </w:rPr>
        <w:t xml:space="preserve"> WEIM </w:t>
      </w:r>
      <w:r w:rsidRPr="008817D0">
        <w:rPr>
          <w:rFonts w:eastAsia="Calibri"/>
        </w:rPr>
        <w:t>or DAM can also be constrained by entitlement constraints. The limit in an entitlement constraint represents either contractual rights or scheduling rights that have been agreed upon between BAAs. The difference between entitlement constraints and regular transmission constraints is that the former constrain</w:t>
      </w:r>
      <w:r w:rsidR="00284875">
        <w:rPr>
          <w:rFonts w:eastAsia="Calibri"/>
        </w:rPr>
        <w:t>t</w:t>
      </w:r>
      <w:r w:rsidRPr="008817D0">
        <w:rPr>
          <w:rFonts w:eastAsia="Calibri"/>
        </w:rPr>
        <w:t xml:space="preserve"> only a subset of the resources that participate in a market, as opposed to the latter where all such resources are constrained. Furthermore, entitlement constraints in the</w:t>
      </w:r>
      <w:r w:rsidR="005F24C1">
        <w:rPr>
          <w:rFonts w:eastAsia="Calibri"/>
        </w:rPr>
        <w:t xml:space="preserve"> WEIM </w:t>
      </w:r>
      <w:r w:rsidRPr="008817D0">
        <w:rPr>
          <w:rFonts w:eastAsia="Calibri"/>
        </w:rPr>
        <w:t>limit the rate of change</w:t>
      </w:r>
      <w:r w:rsidR="008410E3">
        <w:rPr>
          <w:rFonts w:eastAsia="Calibri"/>
        </w:rPr>
        <w:t xml:space="preserve"> only</w:t>
      </w:r>
      <w:r w:rsidRPr="008817D0">
        <w:rPr>
          <w:rFonts w:eastAsia="Calibri"/>
        </w:rPr>
        <w:t xml:space="preserve"> of the relevant power flow contributions across 5-minute dispatch intervals.</w:t>
      </w:r>
      <w:r w:rsidR="00433896" w:rsidRPr="00433896">
        <w:t xml:space="preserve"> </w:t>
      </w:r>
      <w:r w:rsidR="00433896">
        <w:t>All resources which are in either start-up, shutdown or transition status are excluded from the rate of change constraints. In addition, resources that are online without bids are excluded from the rate of change constraints.</w:t>
      </w:r>
    </w:p>
    <w:p w14:paraId="1F62EC3A" w14:textId="1685C12B" w:rsidR="00284875" w:rsidRPr="008817D0" w:rsidRDefault="00284875">
      <w:pPr>
        <w:spacing w:after="240" w:line="300" w:lineRule="auto"/>
        <w:rPr>
          <w:rFonts w:eastAsia="Calibri"/>
        </w:rPr>
      </w:pPr>
      <w:r>
        <w:rPr>
          <w:rFonts w:eastAsia="Calibri"/>
        </w:rPr>
        <w:t>Specific procedures may be developed to document specific conditions, communication of</w:t>
      </w:r>
      <w:r w:rsidR="005F24C1">
        <w:rPr>
          <w:rFonts w:eastAsia="Calibri"/>
        </w:rPr>
        <w:t xml:space="preserve"> WEIM </w:t>
      </w:r>
      <w:r w:rsidR="007C4B4F">
        <w:rPr>
          <w:rFonts w:eastAsia="Calibri"/>
        </w:rPr>
        <w:t>Entity</w:t>
      </w:r>
      <w:r>
        <w:rPr>
          <w:rFonts w:eastAsia="Calibri"/>
        </w:rPr>
        <w:t>, External BAA</w:t>
      </w:r>
      <w:r w:rsidR="005E2AFF">
        <w:rPr>
          <w:rFonts w:eastAsia="Calibri"/>
        </w:rPr>
        <w:t>,</w:t>
      </w:r>
      <w:r>
        <w:rPr>
          <w:rFonts w:eastAsia="Calibri"/>
        </w:rPr>
        <w:t xml:space="preserve"> or third party transmission </w:t>
      </w:r>
      <w:r w:rsidR="007C4B4F">
        <w:rPr>
          <w:rFonts w:eastAsia="Calibri"/>
        </w:rPr>
        <w:t>provider</w:t>
      </w:r>
      <w:r>
        <w:rPr>
          <w:rFonts w:eastAsia="Calibri"/>
        </w:rPr>
        <w:t xml:space="preserve"> as designed by</w:t>
      </w:r>
      <w:r w:rsidR="005F24C1">
        <w:rPr>
          <w:rFonts w:eastAsia="Calibri"/>
        </w:rPr>
        <w:t xml:space="preserve"> WEIM </w:t>
      </w:r>
      <w:r w:rsidR="007C4B4F">
        <w:rPr>
          <w:rFonts w:eastAsia="Calibri"/>
        </w:rPr>
        <w:t>Entity</w:t>
      </w:r>
      <w:r>
        <w:rPr>
          <w:rFonts w:eastAsia="Calibri"/>
        </w:rPr>
        <w:t xml:space="preserve">.  </w:t>
      </w:r>
    </w:p>
    <w:p w14:paraId="310D26D7" w14:textId="72F1EF1A" w:rsidR="00550A3D" w:rsidRDefault="008817D0" w:rsidP="00C33762">
      <w:pPr>
        <w:pStyle w:val="Heading3"/>
      </w:pPr>
      <w:bookmarkStart w:id="1910" w:name="_Toc390946287"/>
      <w:bookmarkStart w:id="1911" w:name="_Toc391969849"/>
      <w:bookmarkStart w:id="1912" w:name="_Toc229054496"/>
      <w:r w:rsidRPr="00422213">
        <w:t>Constraint Relaxation</w:t>
      </w:r>
      <w:bookmarkEnd w:id="1910"/>
      <w:bookmarkEnd w:id="1911"/>
      <w:bookmarkEnd w:id="1912"/>
    </w:p>
    <w:p w14:paraId="6097E1AB" w14:textId="466EB4D4" w:rsidR="007445EB" w:rsidRDefault="00456AD6" w:rsidP="007445EB">
      <w:pPr>
        <w:spacing w:after="240" w:line="300" w:lineRule="auto"/>
      </w:pPr>
      <w:r>
        <w:t xml:space="preserve">Constraint Relaxation refers to the process of allowing the MW quantity to exceed the constraint limit using ‘penalty’ prices, as opposed to hard constraints, in order to improve the quality of the optimization solution.  Constraints will be relaxed if the shadow price of the constraint otherwise exceeds the penalty value. Based on CAISO Tariff Section 29.34 (o), please refer to Section 6.6.5 of the </w:t>
      </w:r>
      <w:hyperlink r:id="rId72" w:history="1">
        <w:r w:rsidRPr="003E5949">
          <w:rPr>
            <w:rStyle w:val="Hyperlink"/>
            <w:b/>
          </w:rPr>
          <w:t>BPM for Market Operations</w:t>
        </w:r>
      </w:hyperlink>
      <w:r>
        <w:t xml:space="preserve"> for details on the penalty prices and pricing parameters used in the markets.</w:t>
      </w:r>
      <w:r w:rsidR="000B5618">
        <w:t xml:space="preserve"> </w:t>
      </w:r>
    </w:p>
    <w:p w14:paraId="054A8F5F" w14:textId="77777777" w:rsidR="008463DA" w:rsidRDefault="008463DA" w:rsidP="007445EB">
      <w:pPr>
        <w:spacing w:after="240" w:line="300" w:lineRule="auto"/>
      </w:pPr>
    </w:p>
    <w:p w14:paraId="186ADFFE" w14:textId="1BEE5A54" w:rsidR="008463DA" w:rsidRDefault="00E11C55" w:rsidP="008463DA">
      <w:pPr>
        <w:pStyle w:val="Heading3"/>
      </w:pPr>
      <w:bookmarkStart w:id="1913" w:name="_Toc229054497"/>
      <w:r>
        <w:lastRenderedPageBreak/>
        <w:t>Transition Period Pricing</w:t>
      </w:r>
      <w:bookmarkEnd w:id="1913"/>
      <w:r>
        <w:t xml:space="preserve"> </w:t>
      </w:r>
    </w:p>
    <w:p w14:paraId="4033CA6E" w14:textId="13DBDFB2" w:rsidR="0098749D" w:rsidRDefault="0098749D" w:rsidP="0098749D">
      <w:pPr>
        <w:spacing w:after="240" w:line="300" w:lineRule="auto"/>
      </w:pPr>
      <w:r w:rsidRPr="000B5618">
        <w:t>For a period of six months following the Implementation Date of a new</w:t>
      </w:r>
      <w:r w:rsidR="005F24C1">
        <w:t xml:space="preserve"> WEIM </w:t>
      </w:r>
      <w:r w:rsidRPr="000B5618">
        <w:t xml:space="preserve">Entity, the provisions of </w:t>
      </w:r>
      <w:r>
        <w:t xml:space="preserve">CAISO Tariff </w:t>
      </w:r>
      <w:r w:rsidRPr="000B5618">
        <w:t xml:space="preserve">Sections 27.4.3.2 and the second sentence of </w:t>
      </w:r>
      <w:r>
        <w:t xml:space="preserve">CAISO Tariff </w:t>
      </w:r>
      <w:r w:rsidRPr="000B5618">
        <w:t>Section 27.4.3.4 shall not apply to constraints that are within Balancing Authority Areas of the new</w:t>
      </w:r>
      <w:r w:rsidR="005F24C1">
        <w:t xml:space="preserve"> WEIM </w:t>
      </w:r>
      <w:r w:rsidRPr="000B5618">
        <w:t>Entity or affect</w:t>
      </w:r>
      <w:r w:rsidR="005F24C1">
        <w:t xml:space="preserve"> WEIM </w:t>
      </w:r>
      <w:r w:rsidRPr="000B5618">
        <w:t>Transfers between the Balancing Authority Areas of the new</w:t>
      </w:r>
      <w:r w:rsidR="005F24C1">
        <w:t xml:space="preserve"> WEIM </w:t>
      </w:r>
      <w:r w:rsidRPr="000B5618">
        <w:t>Entity and any other</w:t>
      </w:r>
      <w:r w:rsidR="005F24C1">
        <w:t xml:space="preserve"> WEIM </w:t>
      </w:r>
      <w:r w:rsidRPr="000B5618">
        <w:t xml:space="preserve">Entity that is subject to </w:t>
      </w:r>
      <w:r>
        <w:t>CAISO Tariff subsection</w:t>
      </w:r>
      <w:r w:rsidRPr="000B5618">
        <w:t xml:space="preserve"> </w:t>
      </w:r>
      <w:r>
        <w:t>29.27</w:t>
      </w:r>
      <w:r w:rsidRPr="000B5618">
        <w:t xml:space="preserve">(b).  For the those intervals that experience infeasibilities described in those provisions, the CAISO shall instead determine prices consistent with the provisions of </w:t>
      </w:r>
      <w:r>
        <w:t xml:space="preserve">CAISO Tariff </w:t>
      </w:r>
      <w:r w:rsidRPr="000B5618">
        <w:t xml:space="preserve">Sections 27, 34, and Appendix C, that would apply in the absence of </w:t>
      </w:r>
      <w:r>
        <w:t xml:space="preserve">CAISO Tariff </w:t>
      </w:r>
      <w:r w:rsidRPr="000B5618">
        <w:t xml:space="preserve">Section 27.4.3.2 and the second sentence of </w:t>
      </w:r>
      <w:r>
        <w:t xml:space="preserve">CAISO Tariff </w:t>
      </w:r>
      <w:r w:rsidRPr="000B5618">
        <w:t>Section 27.4.3.4.</w:t>
      </w:r>
      <w:r w:rsidR="00E11C55">
        <w:t xml:space="preserve">  In addition, when the power balance or transmission constraints are relaxed, the Flexible Ramping Constraint parameter in Section 27.10 of the CAISO tariff will be at an amount between and including $0 and $0.01.  </w:t>
      </w:r>
      <w:r w:rsidR="00A057D9">
        <w:t xml:space="preserve">This enables the price to be set to the last economic bid cleared in the market as described above instead of the pricing parameter for the flexible ramping constraint as specified in Section 6.6.5 of the </w:t>
      </w:r>
      <w:hyperlink r:id="rId73" w:history="1">
        <w:r w:rsidR="00A057D9" w:rsidRPr="003E5949">
          <w:rPr>
            <w:rStyle w:val="Hyperlink"/>
            <w:b/>
          </w:rPr>
          <w:t>BPM for Market Operations</w:t>
        </w:r>
      </w:hyperlink>
      <w:r w:rsidR="00A057D9">
        <w:rPr>
          <w:rStyle w:val="Hyperlink"/>
          <w:b/>
        </w:rPr>
        <w:t xml:space="preserve"> </w:t>
      </w:r>
      <w:r w:rsidR="00A057D9">
        <w:t>and section 27.10 of the CAISO tariff that would otherwise apply.</w:t>
      </w:r>
    </w:p>
    <w:p w14:paraId="2BFD70F9" w14:textId="6ECED1A7" w:rsidR="008463DA" w:rsidRPr="00BA557B" w:rsidRDefault="008463DA" w:rsidP="008463DA">
      <w:pPr>
        <w:spacing w:after="240" w:line="300" w:lineRule="auto"/>
      </w:pPr>
      <w:r>
        <w:t>The last economic signal is determined by the price discovery mechanism of the pricing run where the power balancing requirement is set to the relaxed scheduling level reduced by a small amount.</w:t>
      </w:r>
      <w:r w:rsidR="0098749D">
        <w:t xml:space="preserve"> </w:t>
      </w:r>
      <w:r>
        <w:t xml:space="preserve">  </w:t>
      </w:r>
    </w:p>
    <w:p w14:paraId="373A15A0" w14:textId="4D9740DB" w:rsidR="008463DA" w:rsidRPr="00BA557B" w:rsidRDefault="00E81586" w:rsidP="007445EB">
      <w:pPr>
        <w:spacing w:after="240" w:line="300" w:lineRule="auto"/>
      </w:pPr>
      <w:r>
        <w:t>Since November 14, 2014, pursuant to FERC’s order granting the ISO waiver of section 27.4.3.2 and 27.4.3.4 for PacifiCorp East and PacifiCorp West balancing authority areas, instead of setting prices based on the pricing parameter specified in those sections, the ISO has calculated prices using the last economic signal prior to constraint relaxation. With the activation of the available balancing capacity functionality</w:t>
      </w:r>
      <w:r w:rsidRPr="00E14973">
        <w:t>,</w:t>
      </w:r>
      <w:r>
        <w:t xml:space="preserve"> the price discovery mechanism will no longer be used</w:t>
      </w:r>
      <w:r w:rsidR="00A46866">
        <w:t>, except for</w:t>
      </w:r>
      <w:r w:rsidR="005F24C1">
        <w:t xml:space="preserve"> WEIM </w:t>
      </w:r>
      <w:r w:rsidR="00A46866">
        <w:t xml:space="preserve">entities that are in </w:t>
      </w:r>
      <w:r w:rsidR="00153940">
        <w:t>their transition</w:t>
      </w:r>
      <w:r w:rsidR="00A46866">
        <w:t xml:space="preserve"> period</w:t>
      </w:r>
      <w:r>
        <w:t>.</w:t>
      </w:r>
      <w:r w:rsidR="0098749D">
        <w:t xml:space="preserve"> Consequently, when a constraint relaxation occurs, such as in the cases of power balance constraint infeasibility, the clearing prices will be based on the pricing parameters.</w:t>
      </w:r>
    </w:p>
    <w:p w14:paraId="4A5C6F32" w14:textId="77777777" w:rsidR="00B9221F" w:rsidRPr="00963B45" w:rsidRDefault="008E46A5" w:rsidP="00C33762">
      <w:pPr>
        <w:pStyle w:val="Heading3"/>
        <w:rPr>
          <w:rFonts w:eastAsia="Calibri"/>
        </w:rPr>
      </w:pPr>
      <w:bookmarkStart w:id="1914" w:name="_Toc391969850"/>
      <w:bookmarkStart w:id="1915" w:name="_Toc229054498"/>
      <w:r w:rsidRPr="00963B45">
        <w:rPr>
          <w:rFonts w:eastAsia="Calibri"/>
        </w:rPr>
        <w:t xml:space="preserve">Coordination with Reliability Coordinator and </w:t>
      </w:r>
      <w:r w:rsidR="00B9221F" w:rsidRPr="00963B45">
        <w:rPr>
          <w:rFonts w:eastAsia="Calibri"/>
        </w:rPr>
        <w:t>WECC Unscheduled Flow Mitigation</w:t>
      </w:r>
      <w:bookmarkEnd w:id="1914"/>
      <w:bookmarkEnd w:id="1915"/>
    </w:p>
    <w:p w14:paraId="5722A35C" w14:textId="728E1D56" w:rsidR="008E46A5" w:rsidRPr="00963B45" w:rsidRDefault="008E46A5" w:rsidP="00F044BF">
      <w:pPr>
        <w:pStyle w:val="ParaText"/>
        <w:rPr>
          <w:rFonts w:eastAsia="Calibri"/>
        </w:rPr>
      </w:pPr>
      <w:r w:rsidRPr="00963B45">
        <w:rPr>
          <w:rFonts w:eastAsia="Calibri"/>
        </w:rPr>
        <w:t xml:space="preserve">EIM’s congestion management process will use its effective resources to remove congestion before curtailing any existing schedules, by being responsive to price differences resulting from </w:t>
      </w:r>
      <w:r w:rsidRPr="00963B45">
        <w:rPr>
          <w:rFonts w:eastAsia="Calibri"/>
        </w:rPr>
        <w:lastRenderedPageBreak/>
        <w:t>congestion, rather than only to reliability-based curtailments.  Flows resulting from the</w:t>
      </w:r>
      <w:r w:rsidR="005F24C1">
        <w:rPr>
          <w:rFonts w:eastAsia="Calibri"/>
        </w:rPr>
        <w:t xml:space="preserve"> WEIM </w:t>
      </w:r>
      <w:r w:rsidRPr="00963B45">
        <w:rPr>
          <w:rFonts w:eastAsia="Calibri"/>
        </w:rPr>
        <w:t xml:space="preserve">dispatch will provide counter-flows for congestion, and thereby support scheduled flows that may otherwise need to be curtailed through WECC’s Unscheduled Flow Mitigation Plan (UFMP).  If the UFMP has not been initiated, the </w:t>
      </w:r>
      <w:r w:rsidR="00B722C6">
        <w:rPr>
          <w:rFonts w:eastAsia="Calibri"/>
        </w:rPr>
        <w:t>CAISO</w:t>
      </w:r>
      <w:r w:rsidRPr="00963B45">
        <w:rPr>
          <w:rFonts w:eastAsia="Calibri"/>
        </w:rPr>
        <w:t xml:space="preserve"> will manage congestion directly in the</w:t>
      </w:r>
      <w:r w:rsidR="005F24C1">
        <w:rPr>
          <w:rFonts w:eastAsia="Calibri"/>
        </w:rPr>
        <w:t xml:space="preserve"> WEIM </w:t>
      </w:r>
      <w:r w:rsidRPr="00963B45">
        <w:rPr>
          <w:rFonts w:eastAsia="Calibri"/>
        </w:rPr>
        <w:t xml:space="preserve">dispatch by automatically enforcing constraints, using the transmission capacity available to EIM. </w:t>
      </w:r>
      <w:r w:rsidR="005F24C1">
        <w:rPr>
          <w:rFonts w:eastAsia="Calibri"/>
        </w:rPr>
        <w:t xml:space="preserve"> WEIM </w:t>
      </w:r>
      <w:r w:rsidRPr="00963B45">
        <w:rPr>
          <w:rFonts w:eastAsia="Calibri"/>
        </w:rPr>
        <w:t>will dispatch only bids submitted by</w:t>
      </w:r>
      <w:r w:rsidR="005F24C1">
        <w:rPr>
          <w:rFonts w:eastAsia="Calibri"/>
        </w:rPr>
        <w:t xml:space="preserve"> WEIM </w:t>
      </w:r>
      <w:r w:rsidRPr="00963B45">
        <w:rPr>
          <w:rFonts w:eastAsia="Calibri"/>
        </w:rPr>
        <w:t xml:space="preserve">Participating Resource Scheduling Coordinators, and will not adjust self-schedules outside the submitted bid range.  </w:t>
      </w:r>
      <w:r w:rsidR="002D270D">
        <w:rPr>
          <w:rFonts w:eastAsia="Calibri"/>
        </w:rPr>
        <w:t xml:space="preserve">However, the EIM’s purpose is not to directly resolve unscheduled flow.  </w:t>
      </w:r>
      <w:r w:rsidRPr="00963B45">
        <w:rPr>
          <w:rFonts w:eastAsia="Calibri"/>
        </w:rPr>
        <w:t>Coordinated reliability curtailments such as through UFMP or Reliability Coordinator intervention in mandating schedule curtailments remain the role of the</w:t>
      </w:r>
      <w:r w:rsidR="005F24C1">
        <w:rPr>
          <w:rFonts w:eastAsia="Calibri"/>
        </w:rPr>
        <w:t xml:space="preserve"> WEIM </w:t>
      </w:r>
      <w:r w:rsidRPr="00963B45">
        <w:rPr>
          <w:rFonts w:eastAsia="Calibri"/>
        </w:rPr>
        <w:t>Entity.</w:t>
      </w:r>
    </w:p>
    <w:p w14:paraId="66E1E439" w14:textId="694F5C32" w:rsidR="008E46A5" w:rsidRPr="00657E79" w:rsidRDefault="008E46A5" w:rsidP="00F044BF">
      <w:pPr>
        <w:pStyle w:val="ParaText"/>
        <w:rPr>
          <w:rFonts w:eastAsia="Calibri"/>
        </w:rPr>
      </w:pPr>
      <w:r w:rsidRPr="00963B45">
        <w:rPr>
          <w:rFonts w:eastAsia="Calibri"/>
        </w:rPr>
        <w:t>The</w:t>
      </w:r>
      <w:r w:rsidR="005F24C1">
        <w:rPr>
          <w:rFonts w:eastAsia="Calibri"/>
        </w:rPr>
        <w:t xml:space="preserve"> WEIM </w:t>
      </w:r>
      <w:r w:rsidRPr="00963B45">
        <w:rPr>
          <w:rFonts w:eastAsia="Calibri"/>
        </w:rPr>
        <w:t>will not automatically initiate the UFMP, but will alert</w:t>
      </w:r>
      <w:r w:rsidR="005F24C1">
        <w:rPr>
          <w:rFonts w:eastAsia="Calibri"/>
        </w:rPr>
        <w:t xml:space="preserve"> WEIM </w:t>
      </w:r>
      <w:r w:rsidRPr="00963B45">
        <w:rPr>
          <w:rFonts w:eastAsia="Calibri"/>
        </w:rPr>
        <w:t>Entities to conditions that</w:t>
      </w:r>
      <w:r w:rsidR="005F24C1">
        <w:rPr>
          <w:rFonts w:eastAsia="Calibri"/>
        </w:rPr>
        <w:t xml:space="preserve"> WEIM </w:t>
      </w:r>
      <w:r w:rsidRPr="00963B45">
        <w:rPr>
          <w:rFonts w:eastAsia="Calibri"/>
        </w:rPr>
        <w:t>has no effective bids to resolve, which may require the</w:t>
      </w:r>
      <w:r w:rsidR="005F24C1">
        <w:rPr>
          <w:rFonts w:eastAsia="Calibri"/>
        </w:rPr>
        <w:t xml:space="preserve"> WEIM </w:t>
      </w:r>
      <w:r w:rsidRPr="00963B45">
        <w:rPr>
          <w:rFonts w:eastAsia="Calibri"/>
        </w:rPr>
        <w:t xml:space="preserve">Entity to initiate non-market procedures.  </w:t>
      </w:r>
      <w:r w:rsidR="00153940">
        <w:rPr>
          <w:rFonts w:eastAsia="Calibri"/>
        </w:rPr>
        <w:t>A WEIM</w:t>
      </w:r>
      <w:r w:rsidR="005F24C1">
        <w:rPr>
          <w:rFonts w:eastAsia="Calibri"/>
        </w:rPr>
        <w:t xml:space="preserve"> </w:t>
      </w:r>
      <w:r w:rsidRPr="00963B45">
        <w:rPr>
          <w:rFonts w:eastAsia="Calibri"/>
        </w:rPr>
        <w:t>Entity may choose to issue reliability curtailments using its own procedures, after the</w:t>
      </w:r>
      <w:r w:rsidR="005F24C1">
        <w:rPr>
          <w:rFonts w:eastAsia="Calibri"/>
        </w:rPr>
        <w:t xml:space="preserve"> WEIM </w:t>
      </w:r>
      <w:r w:rsidR="002462E5">
        <w:rPr>
          <w:rFonts w:eastAsia="Calibri"/>
        </w:rPr>
        <w:t>CAISO</w:t>
      </w:r>
      <w:r w:rsidRPr="00963B45">
        <w:rPr>
          <w:rFonts w:eastAsia="Calibri"/>
        </w:rPr>
        <w:t xml:space="preserve"> notifies the</w:t>
      </w:r>
      <w:r w:rsidR="005F24C1">
        <w:rPr>
          <w:rFonts w:eastAsia="Calibri"/>
        </w:rPr>
        <w:t xml:space="preserve"> WEIM </w:t>
      </w:r>
      <w:r w:rsidRPr="00963B45">
        <w:rPr>
          <w:rFonts w:eastAsia="Calibri"/>
        </w:rPr>
        <w:t xml:space="preserve">Entity that the </w:t>
      </w:r>
      <w:r w:rsidR="00B722C6">
        <w:rPr>
          <w:rFonts w:eastAsia="Calibri"/>
        </w:rPr>
        <w:t>CAISO</w:t>
      </w:r>
      <w:r w:rsidRPr="00963B45">
        <w:rPr>
          <w:rFonts w:eastAsia="Calibri"/>
        </w:rPr>
        <w:t xml:space="preserve"> observes congestion or other conditions that</w:t>
      </w:r>
      <w:r w:rsidR="005F24C1">
        <w:rPr>
          <w:rFonts w:eastAsia="Calibri"/>
        </w:rPr>
        <w:t xml:space="preserve"> WEIM </w:t>
      </w:r>
      <w:r w:rsidRPr="00963B45">
        <w:rPr>
          <w:rFonts w:eastAsia="Calibri"/>
        </w:rPr>
        <w:t xml:space="preserve">cannot resolve, or separately before such conditions occur.  </w:t>
      </w:r>
    </w:p>
    <w:p w14:paraId="02FD5CD1" w14:textId="65496D4D" w:rsidR="00B9221F" w:rsidRPr="002E5F50" w:rsidRDefault="00B9221F" w:rsidP="002E5F50">
      <w:pPr>
        <w:pStyle w:val="ParaText"/>
        <w:rPr>
          <w:rFonts w:eastAsia="Calibri"/>
        </w:rPr>
      </w:pPr>
      <w:r w:rsidRPr="00657E79">
        <w:rPr>
          <w:rFonts w:eastAsia="Calibri"/>
        </w:rPr>
        <w:t>It is the responsibility of the</w:t>
      </w:r>
      <w:r w:rsidR="005F24C1">
        <w:rPr>
          <w:rFonts w:eastAsia="Calibri"/>
        </w:rPr>
        <w:t xml:space="preserve"> WEIM </w:t>
      </w:r>
      <w:r w:rsidRPr="00657E79">
        <w:rPr>
          <w:rFonts w:eastAsia="Calibri"/>
        </w:rPr>
        <w:t xml:space="preserve">entity to communicate unscheduled flow mitigation orders on any of its BAA resources via </w:t>
      </w:r>
      <w:r w:rsidR="00670A3B" w:rsidRPr="00657E79">
        <w:rPr>
          <w:rFonts w:eastAsia="Calibri"/>
        </w:rPr>
        <w:t xml:space="preserve">updating the energy profile of the corresponding tag to reflect the unscheduled flow mitigation procedure cuts, as well as </w:t>
      </w:r>
      <w:r w:rsidRPr="00657E79">
        <w:rPr>
          <w:rFonts w:eastAsia="Calibri"/>
        </w:rPr>
        <w:t>entering manual dispatches in the designated BAA operator</w:t>
      </w:r>
      <w:r w:rsidR="0033230B" w:rsidRPr="00657E79">
        <w:rPr>
          <w:rFonts w:eastAsia="Calibri"/>
        </w:rPr>
        <w:t>’s</w:t>
      </w:r>
      <w:r w:rsidRPr="00657E79">
        <w:rPr>
          <w:rFonts w:eastAsia="Calibri"/>
        </w:rPr>
        <w:t xml:space="preserve"> </w:t>
      </w:r>
      <w:r w:rsidR="0033230B" w:rsidRPr="00657E79">
        <w:rPr>
          <w:rFonts w:eastAsia="Calibri"/>
        </w:rPr>
        <w:t xml:space="preserve">CAISO provided user interface or </w:t>
      </w:r>
      <w:r w:rsidRPr="00657E79">
        <w:rPr>
          <w:rFonts w:eastAsia="Calibri"/>
        </w:rPr>
        <w:t>displays</w:t>
      </w:r>
      <w:r w:rsidR="00670A3B" w:rsidRPr="00657E79">
        <w:rPr>
          <w:rFonts w:eastAsia="Calibri"/>
        </w:rPr>
        <w:t>,</w:t>
      </w:r>
      <w:r w:rsidR="0033230B" w:rsidRPr="00657E79">
        <w:rPr>
          <w:rFonts w:eastAsia="Calibri"/>
        </w:rPr>
        <w:t xml:space="preserve"> or if these </w:t>
      </w:r>
      <w:r w:rsidR="007C4B4F" w:rsidRPr="00657E79">
        <w:rPr>
          <w:rFonts w:eastAsia="Calibri"/>
        </w:rPr>
        <w:t>displays</w:t>
      </w:r>
      <w:r w:rsidR="0033230B" w:rsidRPr="00657E79">
        <w:rPr>
          <w:rFonts w:eastAsia="Calibri"/>
        </w:rPr>
        <w:t xml:space="preserve"> are not functioning, through other </w:t>
      </w:r>
      <w:r w:rsidR="00670A3B" w:rsidRPr="00657E79">
        <w:rPr>
          <w:rFonts w:eastAsia="Calibri"/>
        </w:rPr>
        <w:t xml:space="preserve">back up </w:t>
      </w:r>
      <w:r w:rsidR="007C4B4F" w:rsidRPr="00657E79">
        <w:rPr>
          <w:rFonts w:eastAsia="Calibri"/>
        </w:rPr>
        <w:t>mechanisms</w:t>
      </w:r>
      <w:r w:rsidR="0033230B" w:rsidRPr="00657E79">
        <w:rPr>
          <w:rFonts w:eastAsia="Calibri"/>
        </w:rPr>
        <w:t xml:space="preserve"> such as phone or oral communications with the </w:t>
      </w:r>
      <w:r w:rsidR="002462E5">
        <w:rPr>
          <w:rFonts w:eastAsia="Calibri"/>
        </w:rPr>
        <w:t>CAISO</w:t>
      </w:r>
      <w:r w:rsidR="0033230B" w:rsidRPr="00657E79">
        <w:rPr>
          <w:rFonts w:eastAsia="Calibri"/>
        </w:rPr>
        <w:t>. Financial implications resulting from any uninstructed energy deviations</w:t>
      </w:r>
      <w:r w:rsidR="0033230B">
        <w:rPr>
          <w:rFonts w:eastAsia="Calibri"/>
        </w:rPr>
        <w:t xml:space="preserve"> due to manual dispatches and or lack of communication of the manual dispatches to the </w:t>
      </w:r>
      <w:r w:rsidR="002462E5">
        <w:rPr>
          <w:rFonts w:eastAsia="Calibri"/>
        </w:rPr>
        <w:t>CAISO</w:t>
      </w:r>
      <w:r w:rsidR="0033230B">
        <w:rPr>
          <w:rFonts w:eastAsia="Calibri"/>
        </w:rPr>
        <w:t xml:space="preserve"> is the responsibility of the resource’s registered scheduling coordinator.</w:t>
      </w:r>
    </w:p>
    <w:p w14:paraId="4CDE65F0" w14:textId="5EB12D58" w:rsidR="008E46A5" w:rsidRDefault="003638AA" w:rsidP="00C0737C">
      <w:pPr>
        <w:pStyle w:val="ParaText"/>
        <w:rPr>
          <w:rFonts w:eastAsia="Calibri"/>
        </w:rPr>
      </w:pPr>
      <w:bookmarkStart w:id="1916" w:name="_Toc390946289"/>
      <w:bookmarkStart w:id="1917" w:name="_Toc390869241"/>
      <w:bookmarkStart w:id="1918" w:name="_Toc390946290"/>
      <w:bookmarkEnd w:id="1909"/>
      <w:r>
        <w:rPr>
          <w:rFonts w:eastAsia="Calibri"/>
        </w:rPr>
        <w:t>Dynamic e-t</w:t>
      </w:r>
      <w:r w:rsidR="008E46A5" w:rsidRPr="008E46A5">
        <w:rPr>
          <w:rFonts w:eastAsia="Calibri"/>
        </w:rPr>
        <w:t>ags for</w:t>
      </w:r>
      <w:r w:rsidR="005F24C1">
        <w:rPr>
          <w:rFonts w:eastAsia="Calibri"/>
        </w:rPr>
        <w:t xml:space="preserve"> WEIM </w:t>
      </w:r>
      <w:r w:rsidR="008E46A5" w:rsidRPr="008E46A5">
        <w:rPr>
          <w:rFonts w:eastAsia="Calibri"/>
        </w:rPr>
        <w:t>flows will be updated prior to real-time to show the expected</w:t>
      </w:r>
      <w:r w:rsidR="005F24C1">
        <w:rPr>
          <w:rFonts w:eastAsia="Calibri"/>
        </w:rPr>
        <w:t xml:space="preserve"> WEIM </w:t>
      </w:r>
      <w:r w:rsidR="008E46A5" w:rsidRPr="008E46A5">
        <w:rPr>
          <w:rFonts w:eastAsia="Calibri"/>
        </w:rPr>
        <w:t>Transfers, to enable management by the UFMP, and be updated for actual</w:t>
      </w:r>
      <w:r w:rsidR="005F24C1">
        <w:rPr>
          <w:rFonts w:eastAsia="Calibri"/>
        </w:rPr>
        <w:t xml:space="preserve"> WEIM </w:t>
      </w:r>
      <w:r w:rsidR="008E46A5" w:rsidRPr="008E46A5">
        <w:rPr>
          <w:rFonts w:eastAsia="Calibri"/>
        </w:rPr>
        <w:t>dispatch after the end of the operating hour.  Any intra-hour reduction in</w:t>
      </w:r>
      <w:r w:rsidR="005F24C1">
        <w:rPr>
          <w:rFonts w:eastAsia="Calibri"/>
        </w:rPr>
        <w:t xml:space="preserve"> WEIM </w:t>
      </w:r>
      <w:r w:rsidR="008E46A5" w:rsidRPr="008E46A5">
        <w:rPr>
          <w:rFonts w:eastAsia="Calibri"/>
        </w:rPr>
        <w:t xml:space="preserve">available transmission must be communicated to the </w:t>
      </w:r>
      <w:r w:rsidR="002462E5">
        <w:rPr>
          <w:rFonts w:eastAsia="Calibri"/>
        </w:rPr>
        <w:t>CAISO</w:t>
      </w:r>
      <w:r w:rsidR="008E46A5" w:rsidRPr="008E46A5">
        <w:rPr>
          <w:rFonts w:eastAsia="Calibri"/>
        </w:rPr>
        <w:t xml:space="preserve"> by the</w:t>
      </w:r>
      <w:r w:rsidR="005F24C1">
        <w:rPr>
          <w:rFonts w:eastAsia="Calibri"/>
        </w:rPr>
        <w:t xml:space="preserve"> WEIM </w:t>
      </w:r>
      <w:r w:rsidR="008E46A5" w:rsidRPr="008E46A5">
        <w:rPr>
          <w:rFonts w:eastAsia="Calibri"/>
        </w:rPr>
        <w:t>Entity.</w:t>
      </w:r>
    </w:p>
    <w:p w14:paraId="0AF981E2" w14:textId="0FF83B13" w:rsidR="008E46A5" w:rsidRDefault="008E46A5" w:rsidP="00C0737C">
      <w:pPr>
        <w:pStyle w:val="ParaText"/>
        <w:rPr>
          <w:rStyle w:val="Hyperlink"/>
          <w:rFonts w:eastAsia="Calibri"/>
        </w:rPr>
      </w:pPr>
      <w:r>
        <w:rPr>
          <w:rFonts w:eastAsia="Calibri"/>
        </w:rPr>
        <w:t>When CAISO initiates curtailments through the UFMP,</w:t>
      </w:r>
      <w:r w:rsidR="005F24C1">
        <w:rPr>
          <w:rFonts w:eastAsia="Calibri"/>
        </w:rPr>
        <w:t xml:space="preserve"> WEIM </w:t>
      </w:r>
      <w:r>
        <w:rPr>
          <w:rFonts w:eastAsia="Calibri"/>
        </w:rPr>
        <w:t xml:space="preserve">Market Participant schedules in the Real-Time Market will be affected based on the CAISO unscheduled flow mitigation procedure located at:  </w:t>
      </w:r>
      <w:hyperlink r:id="rId74" w:history="1">
        <w:r>
          <w:rPr>
            <w:rStyle w:val="Hyperlink"/>
            <w:rFonts w:eastAsia="Calibri"/>
          </w:rPr>
          <w:t>http://www.caiso.com/Documents/3510.pdf</w:t>
        </w:r>
      </w:hyperlink>
    </w:p>
    <w:p w14:paraId="0F561B77" w14:textId="12B935FF" w:rsidR="00433896" w:rsidRDefault="00433896" w:rsidP="00433896">
      <w:pPr>
        <w:pStyle w:val="Heading3"/>
        <w:rPr>
          <w:rFonts w:eastAsia="Calibri"/>
        </w:rPr>
      </w:pPr>
      <w:bookmarkStart w:id="1919" w:name="_Toc229054499"/>
      <w:r w:rsidRPr="002F499B">
        <w:rPr>
          <w:rFonts w:eastAsia="Calibri"/>
        </w:rPr>
        <w:lastRenderedPageBreak/>
        <w:t>Entitlement Constraints for</w:t>
      </w:r>
      <w:r w:rsidR="005F24C1">
        <w:rPr>
          <w:rFonts w:eastAsia="Calibri"/>
        </w:rPr>
        <w:t xml:space="preserve"> WEIM </w:t>
      </w:r>
      <w:r>
        <w:rPr>
          <w:rFonts w:eastAsia="Calibri"/>
        </w:rPr>
        <w:t>Incremental Flow</w:t>
      </w:r>
      <w:r>
        <w:rPr>
          <w:rStyle w:val="FootnoteReference"/>
          <w:rFonts w:eastAsia="Calibri"/>
        </w:rPr>
        <w:footnoteReference w:id="2"/>
      </w:r>
      <w:bookmarkEnd w:id="1919"/>
    </w:p>
    <w:p w14:paraId="3C44338B" w14:textId="09DCBF3C" w:rsidR="00433896" w:rsidRDefault="00433896" w:rsidP="00433896">
      <w:pPr>
        <w:pStyle w:val="ParaText"/>
      </w:pPr>
      <w:r w:rsidRPr="00433896">
        <w:t>The entitlement constraints for</w:t>
      </w:r>
      <w:r w:rsidR="005F24C1">
        <w:t xml:space="preserve"> WEIM </w:t>
      </w:r>
      <w:r w:rsidRPr="00433896">
        <w:t>Incremental Flow limit incremental power flow contributions from the dispatch of</w:t>
      </w:r>
      <w:r w:rsidR="005F24C1">
        <w:t xml:space="preserve"> WEIM </w:t>
      </w:r>
      <w:r w:rsidRPr="00433896">
        <w:t>participating resources in</w:t>
      </w:r>
      <w:r w:rsidR="005F24C1">
        <w:t xml:space="preserve"> WEIM </w:t>
      </w:r>
      <w:r w:rsidRPr="00433896">
        <w:t>Entity Balancing Authority Areas (BAAs), and all resources in the CAISO BAA. The incremental power flow contributions are measured from the base schedules for</w:t>
      </w:r>
      <w:r w:rsidR="005F24C1">
        <w:t xml:space="preserve"> WEIM </w:t>
      </w:r>
      <w:r w:rsidRPr="00433896">
        <w:t>participating resources and from the day-ahead schedules for CAISO resources. The</w:t>
      </w:r>
      <w:r w:rsidR="005F24C1">
        <w:t xml:space="preserve"> WEIM </w:t>
      </w:r>
      <w:r w:rsidRPr="00433896">
        <w:t>Incremental Flow limit will either result in</w:t>
      </w:r>
      <w:r w:rsidR="005F24C1">
        <w:t xml:space="preserve"> WEIM </w:t>
      </w:r>
      <w:r w:rsidRPr="00433896">
        <w:t>dispatches not exacerbating or relieving a System Operating Limit (SOL) in the non-EIM BAA.  The difference between</w:t>
      </w:r>
      <w:r w:rsidR="005F24C1">
        <w:t xml:space="preserve"> WEIM </w:t>
      </w:r>
      <w:r w:rsidRPr="00433896">
        <w:t>Incremental Flow constraints and regular transmission constraints is that the former constrains only the subset of resources that participate in the EIM, as opposed to the latter where all resources are constrained.</w:t>
      </w:r>
    </w:p>
    <w:p w14:paraId="269FE6E2" w14:textId="619C5E39" w:rsidR="00433896" w:rsidRDefault="00433896" w:rsidP="00433896">
      <w:pPr>
        <w:pStyle w:val="Heading3"/>
      </w:pPr>
      <w:bookmarkStart w:id="1920" w:name="_Toc229054500"/>
      <w:r w:rsidRPr="002F499B">
        <w:t>Entitlement Constraints for</w:t>
      </w:r>
      <w:r w:rsidR="005F24C1">
        <w:t xml:space="preserve"> WEIM </w:t>
      </w:r>
      <w:r>
        <w:t>Area Total Flow</w:t>
      </w:r>
      <w:r>
        <w:rPr>
          <w:rStyle w:val="FootnoteReference"/>
          <w:rFonts w:eastAsia="Calibri"/>
        </w:rPr>
        <w:footnoteReference w:id="3"/>
      </w:r>
      <w:bookmarkEnd w:id="1920"/>
      <w:r>
        <w:t xml:space="preserve"> </w:t>
      </w:r>
    </w:p>
    <w:p w14:paraId="0005A8C4" w14:textId="3A8D2F02" w:rsidR="00433896" w:rsidRPr="00433896" w:rsidRDefault="00433896" w:rsidP="00433896">
      <w:pPr>
        <w:pStyle w:val="ParaText"/>
      </w:pPr>
      <w:r w:rsidRPr="00433896">
        <w:t>The entitlement constraints for</w:t>
      </w:r>
      <w:r w:rsidR="005F24C1">
        <w:t xml:space="preserve"> WEIM </w:t>
      </w:r>
      <w:r w:rsidRPr="00433896">
        <w:t>Area Total Flow limit the total power flow contributions from the dispatch of</w:t>
      </w:r>
      <w:r w:rsidR="005F24C1">
        <w:t xml:space="preserve"> WEIM </w:t>
      </w:r>
      <w:r w:rsidRPr="00433896">
        <w:t>participating and non-participating resources in</w:t>
      </w:r>
      <w:r w:rsidR="005F24C1">
        <w:t xml:space="preserve"> WEIM </w:t>
      </w:r>
      <w:r w:rsidRPr="00433896">
        <w:t>Entity Balancing Authority Areas (BAAs), and all resources in the CAISO BAA. The</w:t>
      </w:r>
      <w:r w:rsidR="005F24C1">
        <w:t xml:space="preserve"> WEIM </w:t>
      </w:r>
      <w:r w:rsidRPr="00433896">
        <w:t>Area Total Flow limit will result in</w:t>
      </w:r>
      <w:r w:rsidR="005F24C1">
        <w:t xml:space="preserve"> WEIM </w:t>
      </w:r>
      <w:r w:rsidRPr="00433896">
        <w:t>dispatches not violating the portion of the System Operating Limit (SOL) in the non-EIM BAA attributed to</w:t>
      </w:r>
      <w:r w:rsidR="005F24C1">
        <w:t xml:space="preserve"> WEIM </w:t>
      </w:r>
      <w:r w:rsidRPr="00433896">
        <w:t>flows.  There is no difference between the</w:t>
      </w:r>
      <w:r w:rsidR="005F24C1">
        <w:t xml:space="preserve"> WEIM </w:t>
      </w:r>
      <w:r w:rsidRPr="00433896">
        <w:t>Area Total Flow constraints and other regular transmission constraints except that the former apply to transmission corridors in non-EIM BAAs.</w:t>
      </w:r>
    </w:p>
    <w:p w14:paraId="51DF94DC" w14:textId="72993D59" w:rsidR="00433896" w:rsidRPr="00433896" w:rsidRDefault="00433896" w:rsidP="00433896">
      <w:pPr>
        <w:pStyle w:val="ParaText"/>
        <w:ind w:firstLine="720"/>
        <w:rPr>
          <w:b/>
        </w:rPr>
      </w:pPr>
    </w:p>
    <w:p w14:paraId="20F86F7B" w14:textId="77777777" w:rsidR="0018494A" w:rsidRPr="0018494A" w:rsidRDefault="0018494A" w:rsidP="00C33762">
      <w:pPr>
        <w:pStyle w:val="Heading2"/>
        <w:rPr>
          <w:rFonts w:eastAsia="Calibri"/>
        </w:rPr>
      </w:pPr>
      <w:bookmarkStart w:id="1921" w:name="_Toc391969851"/>
      <w:bookmarkStart w:id="1922" w:name="_Toc229054501"/>
      <w:r w:rsidRPr="0018494A">
        <w:rPr>
          <w:rFonts w:eastAsia="Calibri"/>
        </w:rPr>
        <w:t>Day-Ahead Operations</w:t>
      </w:r>
      <w:bookmarkEnd w:id="1916"/>
      <w:bookmarkEnd w:id="1921"/>
      <w:bookmarkEnd w:id="1922"/>
      <w:r w:rsidRPr="0018494A">
        <w:rPr>
          <w:rFonts w:eastAsia="Calibri"/>
        </w:rPr>
        <w:tab/>
      </w:r>
      <w:r w:rsidRPr="0018494A">
        <w:rPr>
          <w:rFonts w:eastAsia="Calibri"/>
        </w:rPr>
        <w:tab/>
      </w:r>
      <w:bookmarkStart w:id="1923" w:name="_Toc390869240"/>
      <w:bookmarkEnd w:id="1923"/>
    </w:p>
    <w:p w14:paraId="75D973E2" w14:textId="4E622B93" w:rsidR="00CF1AB9" w:rsidRPr="001D354A" w:rsidRDefault="0018494A" w:rsidP="00877DDB">
      <w:pPr>
        <w:spacing w:after="240" w:line="300" w:lineRule="auto"/>
        <w:rPr>
          <w:rFonts w:eastAsia="Calibri"/>
        </w:rPr>
      </w:pPr>
      <w:r w:rsidRPr="001D354A">
        <w:rPr>
          <w:rFonts w:eastAsia="Calibri"/>
        </w:rPr>
        <w:t>This section is intended to describe the actions taken by</w:t>
      </w:r>
      <w:r w:rsidR="005F24C1">
        <w:rPr>
          <w:rFonts w:eastAsia="Calibri"/>
        </w:rPr>
        <w:t xml:space="preserve"> WEIM </w:t>
      </w:r>
      <w:r w:rsidRPr="001D354A">
        <w:rPr>
          <w:rFonts w:eastAsia="Calibri"/>
        </w:rPr>
        <w:t xml:space="preserve">participants in the Day-Ahead </w:t>
      </w:r>
      <w:r w:rsidR="00A04379">
        <w:rPr>
          <w:rFonts w:eastAsia="Calibri"/>
        </w:rPr>
        <w:t>time frame</w:t>
      </w:r>
      <w:r w:rsidRPr="00877DDB">
        <w:rPr>
          <w:rFonts w:eastAsia="Calibri"/>
        </w:rPr>
        <w:t xml:space="preserve">.  It is strongly recommended that readers first review Section 6 of the </w:t>
      </w:r>
      <w:hyperlink r:id="rId75" w:history="1">
        <w:r w:rsidRPr="00877DDB">
          <w:rPr>
            <w:rStyle w:val="Hyperlink"/>
            <w:rFonts w:eastAsia="Calibri"/>
            <w:color w:val="auto"/>
          </w:rPr>
          <w:t>BPM for Market Operations</w:t>
        </w:r>
      </w:hyperlink>
      <w:r w:rsidRPr="00877DDB">
        <w:rPr>
          <w:rFonts w:eastAsia="Calibri"/>
        </w:rPr>
        <w:t xml:space="preserve">, which describes the general operation and timeline of the Day-Ahead </w:t>
      </w:r>
      <w:r w:rsidRPr="00877DDB">
        <w:rPr>
          <w:rFonts w:eastAsia="Calibri"/>
        </w:rPr>
        <w:lastRenderedPageBreak/>
        <w:t xml:space="preserve">Market. </w:t>
      </w:r>
      <w:r w:rsidR="00CF1AB9" w:rsidRPr="001D354A">
        <w:rPr>
          <w:rFonts w:eastAsia="Calibri"/>
        </w:rPr>
        <w:t>By 10:00 a.m. on the day preceding the Operating Day, the</w:t>
      </w:r>
      <w:r w:rsidR="005F24C1">
        <w:rPr>
          <w:rFonts w:eastAsia="Calibri"/>
        </w:rPr>
        <w:t xml:space="preserve"> WEIM </w:t>
      </w:r>
      <w:r w:rsidR="00CF1AB9" w:rsidRPr="001D354A">
        <w:rPr>
          <w:rFonts w:eastAsia="Calibri"/>
        </w:rPr>
        <w:t>Entity Scheduling Coordinators on behalf of non-participating resources and</w:t>
      </w:r>
      <w:r w:rsidR="005F24C1">
        <w:rPr>
          <w:rFonts w:eastAsia="Calibri"/>
        </w:rPr>
        <w:t xml:space="preserve"> WEIM </w:t>
      </w:r>
      <w:r w:rsidR="00CF1AB9" w:rsidRPr="001D354A">
        <w:rPr>
          <w:rFonts w:eastAsia="Calibri"/>
        </w:rPr>
        <w:t>Participating Resource Scheduling Coordinators on behalf of</w:t>
      </w:r>
      <w:r w:rsidR="005F24C1">
        <w:rPr>
          <w:rFonts w:eastAsia="Calibri"/>
        </w:rPr>
        <w:t xml:space="preserve"> WEIM </w:t>
      </w:r>
      <w:r w:rsidR="00CF1AB9" w:rsidRPr="001D354A">
        <w:rPr>
          <w:rFonts w:eastAsia="Calibri"/>
        </w:rPr>
        <w:t>Participating Resources shall submit</w:t>
      </w:r>
      <w:r w:rsidR="005F24C1">
        <w:rPr>
          <w:rFonts w:eastAsia="Calibri"/>
        </w:rPr>
        <w:t xml:space="preserve"> WEIM </w:t>
      </w:r>
      <w:r w:rsidR="00CF1AB9" w:rsidRPr="001D354A">
        <w:rPr>
          <w:rFonts w:eastAsia="Calibri"/>
        </w:rPr>
        <w:t>Resource Plan, which must cover a seven-day horizon with hourly granularity beginning with the Operating Day</w:t>
      </w:r>
      <w:r w:rsidR="00134738" w:rsidRPr="001D354A">
        <w:rPr>
          <w:rFonts w:eastAsia="Calibri"/>
        </w:rPr>
        <w:t>.</w:t>
      </w:r>
    </w:p>
    <w:p w14:paraId="323F99C4" w14:textId="3EDDB1FB" w:rsidR="00CF1AB9" w:rsidRPr="00877DDB" w:rsidRDefault="00CF1AB9" w:rsidP="00E80005">
      <w:pPr>
        <w:numPr>
          <w:ilvl w:val="0"/>
          <w:numId w:val="13"/>
        </w:numPr>
        <w:rPr>
          <w:rFonts w:eastAsia="Calibri"/>
          <w:b/>
        </w:rPr>
      </w:pPr>
      <w:r w:rsidRPr="00A46866">
        <w:rPr>
          <w:rFonts w:eastAsia="Calibri"/>
        </w:rPr>
        <w:t>The</w:t>
      </w:r>
      <w:r w:rsidR="005F24C1">
        <w:rPr>
          <w:rFonts w:eastAsia="Calibri"/>
        </w:rPr>
        <w:t xml:space="preserve"> WEIM </w:t>
      </w:r>
      <w:r w:rsidRPr="00A46866">
        <w:rPr>
          <w:rFonts w:eastAsia="Calibri"/>
        </w:rPr>
        <w:t>Resource Plan shall comprise</w:t>
      </w:r>
    </w:p>
    <w:p w14:paraId="4CFAC700" w14:textId="0948DC04" w:rsidR="00CF1AB9" w:rsidRPr="00C94D50" w:rsidRDefault="00CF1AB9" w:rsidP="00E80005">
      <w:pPr>
        <w:numPr>
          <w:ilvl w:val="1"/>
          <w:numId w:val="13"/>
        </w:numPr>
        <w:rPr>
          <w:rFonts w:eastAsia="Calibri"/>
        </w:rPr>
      </w:pPr>
      <w:r w:rsidRPr="00C94D50">
        <w:rPr>
          <w:rFonts w:eastAsia="Calibri"/>
        </w:rPr>
        <w:t>EIM Base Schedules of</w:t>
      </w:r>
      <w:r w:rsidR="005F24C1">
        <w:rPr>
          <w:rFonts w:eastAsia="Calibri"/>
        </w:rPr>
        <w:t xml:space="preserve"> WEIM </w:t>
      </w:r>
      <w:r w:rsidRPr="00C94D50">
        <w:rPr>
          <w:rFonts w:eastAsia="Calibri"/>
        </w:rPr>
        <w:t>Entities and</w:t>
      </w:r>
      <w:r w:rsidR="005F24C1">
        <w:rPr>
          <w:rFonts w:eastAsia="Calibri"/>
        </w:rPr>
        <w:t xml:space="preserve"> WEIM </w:t>
      </w:r>
      <w:r w:rsidRPr="00C94D50">
        <w:rPr>
          <w:rFonts w:eastAsia="Calibri"/>
        </w:rPr>
        <w:t>Participating Resources</w:t>
      </w:r>
      <w:r>
        <w:rPr>
          <w:rFonts w:eastAsia="Calibri"/>
        </w:rPr>
        <w:t xml:space="preserve">, which include </w:t>
      </w:r>
      <w:r w:rsidRPr="006C1BD1">
        <w:rPr>
          <w:rFonts w:cs="Arial"/>
          <w:kern w:val="16"/>
          <w:sz w:val="20"/>
        </w:rPr>
        <w:t>hourly-level schedules for resources, and hourly-level scheduled Interchanges</w:t>
      </w:r>
      <w:r w:rsidRPr="00C94D50">
        <w:rPr>
          <w:rFonts w:eastAsia="Calibri"/>
        </w:rPr>
        <w:t>;</w:t>
      </w:r>
    </w:p>
    <w:p w14:paraId="4BB119D3" w14:textId="212A316B" w:rsidR="00CF1AB9" w:rsidRPr="00C94D50" w:rsidRDefault="00CF1AB9" w:rsidP="00E80005">
      <w:pPr>
        <w:numPr>
          <w:ilvl w:val="1"/>
          <w:numId w:val="13"/>
        </w:numPr>
        <w:rPr>
          <w:rFonts w:eastAsia="Calibri"/>
        </w:rPr>
      </w:pPr>
      <w:r w:rsidRPr="00C94D50">
        <w:rPr>
          <w:rFonts w:eastAsia="Calibri"/>
        </w:rPr>
        <w:t>Energy Bids (applicable to</w:t>
      </w:r>
      <w:r w:rsidR="005F24C1">
        <w:rPr>
          <w:rFonts w:eastAsia="Calibri"/>
        </w:rPr>
        <w:t xml:space="preserve"> WEIM </w:t>
      </w:r>
      <w:r w:rsidRPr="00C94D50">
        <w:rPr>
          <w:rFonts w:eastAsia="Calibri"/>
        </w:rPr>
        <w:t>Participating Resources only);</w:t>
      </w:r>
    </w:p>
    <w:p w14:paraId="643890C9" w14:textId="77777777" w:rsidR="00CF1AB9" w:rsidRPr="00C94D50" w:rsidRDefault="000E406C" w:rsidP="00E80005">
      <w:pPr>
        <w:numPr>
          <w:ilvl w:val="1"/>
          <w:numId w:val="13"/>
        </w:numPr>
        <w:rPr>
          <w:rFonts w:eastAsia="Calibri"/>
        </w:rPr>
      </w:pPr>
      <w:r>
        <w:rPr>
          <w:rFonts w:eastAsia="Calibri"/>
        </w:rPr>
        <w:t>EIM Upward Available Balancing Capacity</w:t>
      </w:r>
    </w:p>
    <w:p w14:paraId="691766C1" w14:textId="77777777" w:rsidR="00CF1AB9" w:rsidRDefault="000E406C" w:rsidP="00E80005">
      <w:pPr>
        <w:numPr>
          <w:ilvl w:val="1"/>
          <w:numId w:val="13"/>
        </w:numPr>
        <w:rPr>
          <w:rFonts w:eastAsia="Calibri"/>
        </w:rPr>
      </w:pPr>
      <w:r>
        <w:rPr>
          <w:rFonts w:eastAsia="Calibri"/>
        </w:rPr>
        <w:t>EIM Downward Available Balancing Capacity</w:t>
      </w:r>
    </w:p>
    <w:p w14:paraId="41CDDDFE" w14:textId="77777777" w:rsidR="00A76137" w:rsidRPr="00C94D50" w:rsidRDefault="003D2963" w:rsidP="00E80005">
      <w:pPr>
        <w:numPr>
          <w:ilvl w:val="1"/>
          <w:numId w:val="13"/>
        </w:numPr>
        <w:rPr>
          <w:rFonts w:eastAsia="Calibri"/>
        </w:rPr>
      </w:pPr>
      <w:r>
        <w:t>EIM Reserves to Meet NERC/WECC Contingency Reserves Requirements</w:t>
      </w:r>
    </w:p>
    <w:p w14:paraId="48D6FA89" w14:textId="7BF5DC81" w:rsidR="00CF1AB9" w:rsidRPr="00481F19" w:rsidRDefault="00CF1AB9" w:rsidP="00E80005">
      <w:pPr>
        <w:numPr>
          <w:ilvl w:val="0"/>
          <w:numId w:val="67"/>
        </w:numPr>
        <w:rPr>
          <w:rFonts w:eastAsia="Calibri"/>
          <w:b/>
        </w:rPr>
      </w:pPr>
      <w:r>
        <w:rPr>
          <w:rFonts w:eastAsia="Calibri"/>
          <w:b/>
        </w:rPr>
        <w:t>EIM Scheduling Coordinators s</w:t>
      </w:r>
      <w:r w:rsidRPr="008817D0">
        <w:rPr>
          <w:rFonts w:eastAsia="Calibri"/>
          <w:b/>
        </w:rPr>
        <w:t>ubmit Base Schedules for External BAA Supply and Interchange</w:t>
      </w:r>
      <w:r>
        <w:rPr>
          <w:rFonts w:eastAsia="Calibri"/>
          <w:b/>
        </w:rPr>
        <w:t xml:space="preserve"> as part of the</w:t>
      </w:r>
      <w:r w:rsidR="005F24C1">
        <w:rPr>
          <w:rFonts w:eastAsia="Calibri"/>
          <w:b/>
        </w:rPr>
        <w:t xml:space="preserve"> WEIM </w:t>
      </w:r>
      <w:r>
        <w:rPr>
          <w:rFonts w:eastAsia="Calibri"/>
          <w:b/>
        </w:rPr>
        <w:t>Resource Plan</w:t>
      </w:r>
    </w:p>
    <w:p w14:paraId="7A564058" w14:textId="3C2FEE60" w:rsidR="008410E3" w:rsidRDefault="008410E3" w:rsidP="00E80005">
      <w:pPr>
        <w:numPr>
          <w:ilvl w:val="1"/>
          <w:numId w:val="13"/>
        </w:numPr>
        <w:rPr>
          <w:rFonts w:eastAsia="Calibri"/>
        </w:rPr>
      </w:pPr>
      <w:r>
        <w:rPr>
          <w:rFonts w:eastAsia="Calibri"/>
        </w:rPr>
        <w:t>Base Schedule Coordinators (BSCs) submit Base Schedules and ancillary services schedules for</w:t>
      </w:r>
      <w:r w:rsidR="005F24C1">
        <w:rPr>
          <w:rFonts w:eastAsia="Calibri"/>
        </w:rPr>
        <w:t xml:space="preserve"> WEIM </w:t>
      </w:r>
      <w:r>
        <w:rPr>
          <w:rFonts w:eastAsia="Calibri"/>
        </w:rPr>
        <w:t>Participating and Non-Participating Resources and Interchanges through the Base Schedule Application Portal (BSAP).</w:t>
      </w:r>
    </w:p>
    <w:p w14:paraId="59EF635B" w14:textId="77777777" w:rsidR="0018494A" w:rsidRPr="008817D0" w:rsidRDefault="0018494A" w:rsidP="00E80005">
      <w:pPr>
        <w:numPr>
          <w:ilvl w:val="1"/>
          <w:numId w:val="13"/>
        </w:numPr>
        <w:rPr>
          <w:rFonts w:eastAsia="Calibri"/>
        </w:rPr>
      </w:pPr>
      <w:r w:rsidRPr="008817D0">
        <w:rPr>
          <w:rFonts w:eastAsia="Calibri"/>
        </w:rPr>
        <w:t xml:space="preserve">The </w:t>
      </w:r>
      <w:r w:rsidR="008410E3">
        <w:rPr>
          <w:rFonts w:eastAsia="Calibri"/>
        </w:rPr>
        <w:t xml:space="preserve">Base schedule </w:t>
      </w:r>
      <w:r w:rsidR="00775CF7">
        <w:rPr>
          <w:rFonts w:eastAsia="Calibri"/>
        </w:rPr>
        <w:t xml:space="preserve">submission </w:t>
      </w:r>
      <w:r w:rsidR="00775CF7" w:rsidRPr="008817D0">
        <w:rPr>
          <w:rFonts w:eastAsia="Calibri"/>
        </w:rPr>
        <w:t>may</w:t>
      </w:r>
      <w:r w:rsidRPr="008817D0">
        <w:rPr>
          <w:rFonts w:eastAsia="Calibri"/>
        </w:rPr>
        <w:t xml:space="preserve"> cover a seven-day horizon with hourly </w:t>
      </w:r>
      <w:r w:rsidR="008410E3">
        <w:rPr>
          <w:rFonts w:eastAsia="Calibri"/>
        </w:rPr>
        <w:t>granularity</w:t>
      </w:r>
      <w:r w:rsidRPr="008817D0">
        <w:rPr>
          <w:rFonts w:eastAsia="Calibri"/>
        </w:rPr>
        <w:t xml:space="preserve"> beginning with the Operating Day.</w:t>
      </w:r>
    </w:p>
    <w:p w14:paraId="4FC38FC5" w14:textId="64F7DB47" w:rsidR="008410E3" w:rsidRDefault="0018494A" w:rsidP="00E80005">
      <w:pPr>
        <w:numPr>
          <w:ilvl w:val="1"/>
          <w:numId w:val="13"/>
        </w:numPr>
        <w:rPr>
          <w:rFonts w:eastAsia="Calibri"/>
        </w:rPr>
      </w:pPr>
      <w:r>
        <w:rPr>
          <w:rFonts w:eastAsia="Calibri"/>
        </w:rPr>
        <w:t>Base S</w:t>
      </w:r>
      <w:r w:rsidRPr="008817D0">
        <w:rPr>
          <w:rFonts w:eastAsia="Calibri"/>
        </w:rPr>
        <w:t xml:space="preserve">chedules must be submitted for all </w:t>
      </w:r>
      <w:r w:rsidR="008410E3">
        <w:rPr>
          <w:rFonts w:eastAsia="Calibri"/>
        </w:rPr>
        <w:t xml:space="preserve">online </w:t>
      </w:r>
      <w:r w:rsidRPr="008817D0">
        <w:rPr>
          <w:rFonts w:eastAsia="Calibri"/>
        </w:rPr>
        <w:t xml:space="preserve">generating resources in </w:t>
      </w:r>
      <w:r w:rsidR="00153940">
        <w:rPr>
          <w:rFonts w:eastAsia="Calibri"/>
        </w:rPr>
        <w:t>a WEIM</w:t>
      </w:r>
      <w:r w:rsidR="005F24C1">
        <w:rPr>
          <w:rFonts w:eastAsia="Calibri"/>
        </w:rPr>
        <w:t xml:space="preserve"> </w:t>
      </w:r>
      <w:r w:rsidRPr="008817D0">
        <w:rPr>
          <w:rFonts w:eastAsia="Calibri"/>
        </w:rPr>
        <w:t>Entity BAA</w:t>
      </w:r>
      <w:r w:rsidR="008410E3">
        <w:rPr>
          <w:rFonts w:eastAsia="Calibri"/>
        </w:rPr>
        <w:t xml:space="preserve"> and all interchanges with tagged schedules with other BAAs, except CAISO. A Base schedule of zero (0 MW) may be submitted for an offline</w:t>
      </w:r>
      <w:r w:rsidR="005F24C1">
        <w:rPr>
          <w:rFonts w:eastAsia="Calibri"/>
        </w:rPr>
        <w:t xml:space="preserve"> WEIM </w:t>
      </w:r>
      <w:r w:rsidR="008410E3">
        <w:rPr>
          <w:rFonts w:eastAsia="Calibri"/>
        </w:rPr>
        <w:t xml:space="preserve">Participating Resource with a three-part bid to be committed </w:t>
      </w:r>
      <w:r w:rsidR="008351FC">
        <w:rPr>
          <w:rFonts w:eastAsia="Calibri"/>
        </w:rPr>
        <w:t>optimally</w:t>
      </w:r>
      <w:r w:rsidR="008410E3">
        <w:rPr>
          <w:rFonts w:eastAsia="Calibri"/>
        </w:rPr>
        <w:t>.</w:t>
      </w:r>
    </w:p>
    <w:p w14:paraId="1C6F601F" w14:textId="77777777" w:rsidR="008410E3" w:rsidRDefault="008410E3" w:rsidP="00E80005">
      <w:pPr>
        <w:numPr>
          <w:ilvl w:val="1"/>
          <w:numId w:val="13"/>
        </w:numPr>
        <w:rPr>
          <w:rFonts w:eastAsia="Calibri"/>
        </w:rPr>
      </w:pPr>
      <w:r>
        <w:rPr>
          <w:rFonts w:eastAsia="Calibri"/>
        </w:rPr>
        <w:t xml:space="preserve">Base schedules for online </w:t>
      </w:r>
      <w:r w:rsidRPr="008817D0">
        <w:rPr>
          <w:rFonts w:eastAsia="Calibri"/>
        </w:rPr>
        <w:t>generating resources</w:t>
      </w:r>
      <w:r w:rsidR="0018494A" w:rsidRPr="008817D0">
        <w:rPr>
          <w:rFonts w:eastAsia="Calibri"/>
        </w:rPr>
        <w:t xml:space="preserve"> must include disaggregation of forward </w:t>
      </w:r>
      <w:r>
        <w:rPr>
          <w:rFonts w:eastAsia="Calibri"/>
        </w:rPr>
        <w:t xml:space="preserve">net </w:t>
      </w:r>
      <w:r w:rsidR="0018494A" w:rsidRPr="008817D0">
        <w:rPr>
          <w:rFonts w:eastAsia="Calibri"/>
        </w:rPr>
        <w:t>export schedules to other BAAs</w:t>
      </w:r>
      <w:r>
        <w:rPr>
          <w:rFonts w:eastAsia="Calibri"/>
        </w:rPr>
        <w:t>, including RUC import schedules to CAISO</w:t>
      </w:r>
      <w:r w:rsidR="0018494A" w:rsidRPr="008817D0">
        <w:rPr>
          <w:rFonts w:eastAsia="Calibri"/>
        </w:rPr>
        <w:t xml:space="preserve">. </w:t>
      </w:r>
    </w:p>
    <w:p w14:paraId="77C739C9" w14:textId="1A56F411" w:rsidR="0018494A" w:rsidRPr="008817D0" w:rsidRDefault="0018494A" w:rsidP="00E80005">
      <w:pPr>
        <w:numPr>
          <w:ilvl w:val="1"/>
          <w:numId w:val="13"/>
        </w:numPr>
        <w:rPr>
          <w:rFonts w:eastAsia="Calibri"/>
        </w:rPr>
      </w:pPr>
      <w:r w:rsidRPr="008817D0">
        <w:rPr>
          <w:rFonts w:eastAsia="Calibri"/>
        </w:rPr>
        <w:lastRenderedPageBreak/>
        <w:t>Base import</w:t>
      </w:r>
      <w:r w:rsidR="008410E3">
        <w:rPr>
          <w:rFonts w:eastAsia="Calibri"/>
        </w:rPr>
        <w:t>/export</w:t>
      </w:r>
      <w:r w:rsidRPr="008817D0">
        <w:rPr>
          <w:rFonts w:eastAsia="Calibri"/>
        </w:rPr>
        <w:t xml:space="preserve"> schedules to </w:t>
      </w:r>
      <w:r w:rsidR="00153940">
        <w:rPr>
          <w:rFonts w:eastAsia="Calibri"/>
        </w:rPr>
        <w:t>a WEIM</w:t>
      </w:r>
      <w:r w:rsidR="005F24C1">
        <w:rPr>
          <w:rFonts w:eastAsia="Calibri"/>
        </w:rPr>
        <w:t xml:space="preserve"> </w:t>
      </w:r>
      <w:r w:rsidRPr="008817D0">
        <w:rPr>
          <w:rFonts w:eastAsia="Calibri"/>
        </w:rPr>
        <w:t>Enti</w:t>
      </w:r>
      <w:r>
        <w:rPr>
          <w:rFonts w:eastAsia="Calibri"/>
        </w:rPr>
        <w:t>ty BAA from BAAs other than CA</w:t>
      </w:r>
      <w:r w:rsidRPr="008817D0">
        <w:rPr>
          <w:rFonts w:eastAsia="Calibri"/>
        </w:rPr>
        <w:t>ISO must be submitted at the relevant intertie scheduling points.</w:t>
      </w:r>
    </w:p>
    <w:p w14:paraId="3100BA86" w14:textId="77777777" w:rsidR="0018494A" w:rsidRPr="00E858C4" w:rsidRDefault="0018494A" w:rsidP="00E80005">
      <w:pPr>
        <w:numPr>
          <w:ilvl w:val="1"/>
          <w:numId w:val="13"/>
        </w:numPr>
        <w:rPr>
          <w:rFonts w:eastAsia="Calibri"/>
        </w:rPr>
      </w:pPr>
      <w:r w:rsidRPr="008817D0">
        <w:rPr>
          <w:rFonts w:eastAsia="Calibri"/>
        </w:rPr>
        <w:t xml:space="preserve">If resource(s) </w:t>
      </w:r>
      <w:r>
        <w:rPr>
          <w:rFonts w:eastAsia="Calibri"/>
        </w:rPr>
        <w:t>are modeled as a Multi-Stage Generator (MSG), the Base S</w:t>
      </w:r>
      <w:r w:rsidRPr="008817D0">
        <w:rPr>
          <w:rFonts w:eastAsia="Calibri"/>
        </w:rPr>
        <w:t>chedule(s) shall include the base MSG configuration.</w:t>
      </w:r>
    </w:p>
    <w:p w14:paraId="04006CBE" w14:textId="1136E678" w:rsidR="0018494A" w:rsidRPr="008817D0" w:rsidRDefault="00CF1AB9" w:rsidP="00E80005">
      <w:pPr>
        <w:numPr>
          <w:ilvl w:val="0"/>
          <w:numId w:val="12"/>
        </w:numPr>
        <w:rPr>
          <w:rFonts w:eastAsia="Calibri"/>
          <w:b/>
        </w:rPr>
      </w:pPr>
      <w:r>
        <w:rPr>
          <w:rFonts w:eastAsia="Calibri"/>
          <w:b/>
        </w:rPr>
        <w:t>CAISO p</w:t>
      </w:r>
      <w:r w:rsidR="0018494A" w:rsidRPr="008817D0">
        <w:rPr>
          <w:rFonts w:eastAsia="Calibri"/>
          <w:b/>
        </w:rPr>
        <w:t>erform</w:t>
      </w:r>
      <w:r>
        <w:rPr>
          <w:rFonts w:eastAsia="Calibri"/>
          <w:b/>
        </w:rPr>
        <w:t>s</w:t>
      </w:r>
      <w:r w:rsidR="0018494A" w:rsidRPr="008817D0">
        <w:rPr>
          <w:rFonts w:eastAsia="Calibri"/>
          <w:b/>
        </w:rPr>
        <w:t xml:space="preserve"> Feasibility Test for Each</w:t>
      </w:r>
      <w:r w:rsidR="005F24C1">
        <w:rPr>
          <w:rFonts w:eastAsia="Calibri"/>
          <w:b/>
        </w:rPr>
        <w:t xml:space="preserve"> WEIM </w:t>
      </w:r>
      <w:r w:rsidR="0018494A" w:rsidRPr="008817D0">
        <w:rPr>
          <w:rFonts w:eastAsia="Calibri"/>
          <w:b/>
        </w:rPr>
        <w:t>Entity BAA</w:t>
      </w:r>
    </w:p>
    <w:p w14:paraId="1F586222" w14:textId="27DEDAFA" w:rsidR="0018494A" w:rsidRPr="005860DE" w:rsidRDefault="0018494A" w:rsidP="00E80005">
      <w:pPr>
        <w:numPr>
          <w:ilvl w:val="1"/>
          <w:numId w:val="14"/>
        </w:numPr>
        <w:rPr>
          <w:rFonts w:eastAsia="Calibri"/>
          <w:b/>
        </w:rPr>
      </w:pPr>
      <w:r w:rsidRPr="008817D0">
        <w:rPr>
          <w:rFonts w:eastAsia="Calibri"/>
        </w:rPr>
        <w:t>The</w:t>
      </w:r>
      <w:r w:rsidR="005F24C1">
        <w:rPr>
          <w:rFonts w:eastAsia="Calibri"/>
        </w:rPr>
        <w:t xml:space="preserve"> WEIM </w:t>
      </w:r>
      <w:r w:rsidRPr="008817D0">
        <w:rPr>
          <w:rFonts w:eastAsia="Calibri"/>
        </w:rPr>
        <w:t>Base Schedules included in the</w:t>
      </w:r>
      <w:r w:rsidR="005F24C1">
        <w:rPr>
          <w:rFonts w:eastAsia="Calibri"/>
        </w:rPr>
        <w:t xml:space="preserve"> WEIM </w:t>
      </w:r>
      <w:r w:rsidRPr="008817D0">
        <w:rPr>
          <w:rFonts w:eastAsia="Calibri"/>
        </w:rPr>
        <w:t>Resource Plan should be balanced with the Demand Forecast for each</w:t>
      </w:r>
      <w:r w:rsidR="005F24C1">
        <w:rPr>
          <w:rFonts w:eastAsia="Calibri"/>
        </w:rPr>
        <w:t xml:space="preserve"> WEIM </w:t>
      </w:r>
      <w:r w:rsidRPr="008817D0">
        <w:rPr>
          <w:rFonts w:eastAsia="Calibri"/>
        </w:rPr>
        <w:t>Entity Balancing Authority Area.</w:t>
      </w:r>
    </w:p>
    <w:p w14:paraId="1CB9732B" w14:textId="6EAB8567" w:rsidR="0018494A" w:rsidRPr="005860DE" w:rsidRDefault="0018494A" w:rsidP="00E80005">
      <w:pPr>
        <w:numPr>
          <w:ilvl w:val="1"/>
          <w:numId w:val="14"/>
        </w:numPr>
        <w:rPr>
          <w:rFonts w:eastAsia="Calibri"/>
          <w:b/>
        </w:rPr>
      </w:pPr>
      <w:r>
        <w:rPr>
          <w:rFonts w:eastAsia="Calibri"/>
        </w:rPr>
        <w:t>CAISO will perform Day-Ahead and Base S</w:t>
      </w:r>
      <w:r w:rsidRPr="008817D0">
        <w:rPr>
          <w:rFonts w:eastAsia="Calibri"/>
        </w:rPr>
        <w:t>chedule power</w:t>
      </w:r>
      <w:r>
        <w:rPr>
          <w:rFonts w:eastAsia="Calibri"/>
        </w:rPr>
        <w:t xml:space="preserve"> flow feasibility test</w:t>
      </w:r>
      <w:r w:rsidR="00CF1AB9">
        <w:rPr>
          <w:rFonts w:eastAsia="Calibri"/>
        </w:rPr>
        <w:t xml:space="preserve"> by 1:00 pm on the day before the Operating Day</w:t>
      </w:r>
      <w:r>
        <w:rPr>
          <w:rFonts w:eastAsia="Calibri"/>
        </w:rPr>
        <w:t>; if the D</w:t>
      </w:r>
      <w:r w:rsidRPr="008817D0">
        <w:rPr>
          <w:rFonts w:eastAsia="Calibri"/>
        </w:rPr>
        <w:t>ay-</w:t>
      </w:r>
      <w:r>
        <w:rPr>
          <w:rFonts w:eastAsia="Calibri"/>
        </w:rPr>
        <w:t>Ahead M</w:t>
      </w:r>
      <w:r w:rsidRPr="008817D0">
        <w:rPr>
          <w:rFonts w:eastAsia="Calibri"/>
        </w:rPr>
        <w:t xml:space="preserve">arket </w:t>
      </w:r>
      <w:r w:rsidR="00DA49BB">
        <w:rPr>
          <w:rFonts w:eastAsia="Calibri"/>
        </w:rPr>
        <w:t xml:space="preserve">or the Base Schedules submitted for the Real-Time Market </w:t>
      </w:r>
      <w:r w:rsidRPr="008817D0">
        <w:rPr>
          <w:rFonts w:eastAsia="Calibri"/>
        </w:rPr>
        <w:t>result in transmission violation</w:t>
      </w:r>
      <w:r>
        <w:rPr>
          <w:rFonts w:eastAsia="Calibri"/>
        </w:rPr>
        <w:t xml:space="preserve"> in the</w:t>
      </w:r>
      <w:r w:rsidR="005F24C1">
        <w:rPr>
          <w:rFonts w:eastAsia="Calibri"/>
        </w:rPr>
        <w:t xml:space="preserve"> WEIM </w:t>
      </w:r>
      <w:r>
        <w:rPr>
          <w:rFonts w:eastAsia="Calibri"/>
        </w:rPr>
        <w:t>Entity Balancing Authority Area</w:t>
      </w:r>
      <w:r w:rsidRPr="008817D0">
        <w:rPr>
          <w:rFonts w:eastAsia="Calibri"/>
        </w:rPr>
        <w:t xml:space="preserve">, </w:t>
      </w:r>
      <w:r>
        <w:rPr>
          <w:rFonts w:eastAsia="Calibri"/>
        </w:rPr>
        <w:t xml:space="preserve">then the </w:t>
      </w:r>
      <w:r w:rsidRPr="008817D0">
        <w:rPr>
          <w:rFonts w:eastAsia="Calibri"/>
        </w:rPr>
        <w:t>test fails.</w:t>
      </w:r>
    </w:p>
    <w:p w14:paraId="1183F0AC" w14:textId="698276F7" w:rsidR="0018494A" w:rsidRPr="008817D0" w:rsidRDefault="0018494A" w:rsidP="00E80005">
      <w:pPr>
        <w:numPr>
          <w:ilvl w:val="1"/>
          <w:numId w:val="14"/>
        </w:numPr>
        <w:rPr>
          <w:rFonts w:eastAsia="Calibri"/>
        </w:rPr>
      </w:pPr>
      <w:r w:rsidRPr="008817D0">
        <w:rPr>
          <w:rFonts w:eastAsia="Calibri"/>
        </w:rPr>
        <w:t>The test result will be broadcasted to the</w:t>
      </w:r>
      <w:r w:rsidR="005F24C1">
        <w:rPr>
          <w:rFonts w:eastAsia="Calibri"/>
        </w:rPr>
        <w:t xml:space="preserve"> WEIM </w:t>
      </w:r>
      <w:r w:rsidRPr="008817D0">
        <w:rPr>
          <w:rFonts w:eastAsia="Calibri"/>
        </w:rPr>
        <w:t>Entity SC.</w:t>
      </w:r>
    </w:p>
    <w:p w14:paraId="66259CD5" w14:textId="62DA55E6" w:rsidR="0018494A" w:rsidRPr="00642F1C" w:rsidRDefault="0018494A" w:rsidP="00E80005">
      <w:pPr>
        <w:numPr>
          <w:ilvl w:val="1"/>
          <w:numId w:val="14"/>
        </w:numPr>
        <w:rPr>
          <w:rFonts w:eastAsia="Calibri"/>
        </w:rPr>
      </w:pPr>
      <w:r>
        <w:rPr>
          <w:rFonts w:eastAsia="Calibri"/>
        </w:rPr>
        <w:t>The Day-Ahead M</w:t>
      </w:r>
      <w:r w:rsidRPr="008817D0">
        <w:rPr>
          <w:rFonts w:eastAsia="Calibri"/>
        </w:rPr>
        <w:t xml:space="preserve">arket test result is for information only and </w:t>
      </w:r>
      <w:r>
        <w:rPr>
          <w:rFonts w:eastAsia="Calibri"/>
        </w:rPr>
        <w:t>will</w:t>
      </w:r>
      <w:r w:rsidRPr="008817D0">
        <w:rPr>
          <w:rFonts w:eastAsia="Calibri"/>
        </w:rPr>
        <w:t xml:space="preserve"> not have </w:t>
      </w:r>
      <w:r>
        <w:rPr>
          <w:rFonts w:eastAsia="Calibri"/>
        </w:rPr>
        <w:t xml:space="preserve">a </w:t>
      </w:r>
      <w:r w:rsidRPr="008817D0">
        <w:rPr>
          <w:rFonts w:eastAsia="Calibri"/>
        </w:rPr>
        <w:t>settlement impact.</w:t>
      </w:r>
      <w:r w:rsidR="00571BB2" w:rsidRPr="00571BB2">
        <w:rPr>
          <w:rFonts w:eastAsia="Calibri"/>
        </w:rPr>
        <w:t xml:space="preserve"> </w:t>
      </w:r>
      <w:r w:rsidR="00571BB2">
        <w:rPr>
          <w:rFonts w:eastAsia="Calibri"/>
        </w:rPr>
        <w:t>The</w:t>
      </w:r>
      <w:r w:rsidR="005F24C1">
        <w:rPr>
          <w:rFonts w:eastAsia="Calibri"/>
        </w:rPr>
        <w:t xml:space="preserve"> WEIM </w:t>
      </w:r>
      <w:r w:rsidR="00571BB2">
        <w:rPr>
          <w:rFonts w:eastAsia="Calibri"/>
        </w:rPr>
        <w:t xml:space="preserve">Entity SC  may adjust the </w:t>
      </w:r>
      <w:r w:rsidR="00786423">
        <w:rPr>
          <w:rFonts w:eastAsia="Calibri"/>
        </w:rPr>
        <w:t xml:space="preserve">components </w:t>
      </w:r>
      <w:r w:rsidR="00571BB2">
        <w:rPr>
          <w:rFonts w:eastAsia="Calibri"/>
        </w:rPr>
        <w:t xml:space="preserve"> of</w:t>
      </w:r>
      <w:r w:rsidR="005F24C1">
        <w:rPr>
          <w:rFonts w:eastAsia="Calibri"/>
        </w:rPr>
        <w:t xml:space="preserve"> WEIM </w:t>
      </w:r>
      <w:r w:rsidR="00571BB2">
        <w:rPr>
          <w:rFonts w:eastAsia="Calibri"/>
        </w:rPr>
        <w:t>Resource Plan up to 75 minutes before the Operating Hour, when the submission of Real-Time</w:t>
      </w:r>
      <w:r w:rsidR="005F24C1">
        <w:rPr>
          <w:rFonts w:eastAsia="Calibri"/>
        </w:rPr>
        <w:t xml:space="preserve"> WEIM </w:t>
      </w:r>
      <w:r w:rsidR="00571BB2">
        <w:rPr>
          <w:rFonts w:eastAsia="Calibri"/>
        </w:rPr>
        <w:t>Base Schedules is due</w:t>
      </w:r>
      <w:r w:rsidR="0049730B">
        <w:rPr>
          <w:rFonts w:eastAsia="Calibri"/>
        </w:rPr>
        <w:t xml:space="preserve"> </w:t>
      </w:r>
      <w:r w:rsidR="00571BB2">
        <w:rPr>
          <w:rFonts w:eastAsia="Calibri"/>
        </w:rPr>
        <w:t xml:space="preserve">(see 11.3) </w:t>
      </w:r>
    </w:p>
    <w:p w14:paraId="4BFE7C75" w14:textId="77777777" w:rsidR="0018494A" w:rsidRPr="008817D0" w:rsidRDefault="0018494A" w:rsidP="00E80005">
      <w:pPr>
        <w:numPr>
          <w:ilvl w:val="0"/>
          <w:numId w:val="12"/>
        </w:numPr>
        <w:rPr>
          <w:rFonts w:eastAsia="Calibri"/>
          <w:b/>
        </w:rPr>
      </w:pPr>
      <w:r w:rsidRPr="008817D0">
        <w:rPr>
          <w:rFonts w:eastAsia="Calibri"/>
          <w:b/>
        </w:rPr>
        <w:t>Other Considerations</w:t>
      </w:r>
    </w:p>
    <w:p w14:paraId="7CF96F9D" w14:textId="2271F09E" w:rsidR="0018494A" w:rsidRPr="005860DE" w:rsidRDefault="00DA49BB" w:rsidP="00E80005">
      <w:pPr>
        <w:numPr>
          <w:ilvl w:val="1"/>
          <w:numId w:val="15"/>
        </w:numPr>
        <w:rPr>
          <w:rFonts w:eastAsia="Calibri"/>
        </w:rPr>
      </w:pPr>
      <w:r>
        <w:rPr>
          <w:rFonts w:eastAsia="Calibri"/>
        </w:rPr>
        <w:t>Bids may not be submitted for</w:t>
      </w:r>
      <w:r w:rsidR="005F24C1">
        <w:rPr>
          <w:rFonts w:eastAsia="Calibri"/>
        </w:rPr>
        <w:t xml:space="preserve"> WEIM </w:t>
      </w:r>
      <w:r>
        <w:rPr>
          <w:rFonts w:eastAsia="Calibri"/>
        </w:rPr>
        <w:t>Participating Resources in the Day-Ahead Market. Similarly, Bids may not be submitted at interties between</w:t>
      </w:r>
      <w:r w:rsidR="005F24C1">
        <w:rPr>
          <w:rFonts w:eastAsia="Calibri"/>
        </w:rPr>
        <w:t xml:space="preserve"> WEIM </w:t>
      </w:r>
      <w:r>
        <w:rPr>
          <w:rFonts w:eastAsia="Calibri"/>
        </w:rPr>
        <w:t>BAAs, or between</w:t>
      </w:r>
      <w:r w:rsidR="005F24C1">
        <w:rPr>
          <w:rFonts w:eastAsia="Calibri"/>
        </w:rPr>
        <w:t xml:space="preserve"> WEIM </w:t>
      </w:r>
      <w:r>
        <w:rPr>
          <w:rFonts w:eastAsia="Calibri"/>
        </w:rPr>
        <w:t>BAAs and Non-EIM BAAs in the Day-Ahead Market. Day-Ahead Bids may be submitted at CAISO interties for import/export to/from the CAISO BAA at the relevant Scheduling Points.</w:t>
      </w:r>
    </w:p>
    <w:p w14:paraId="083BD572" w14:textId="1ACB8AB3" w:rsidR="0018494A" w:rsidRPr="005860DE" w:rsidRDefault="0018494A" w:rsidP="00E80005">
      <w:pPr>
        <w:numPr>
          <w:ilvl w:val="1"/>
          <w:numId w:val="15"/>
        </w:numPr>
        <w:rPr>
          <w:rFonts w:eastAsia="Calibri"/>
        </w:rPr>
      </w:pPr>
      <w:r>
        <w:rPr>
          <w:rFonts w:eastAsia="Calibri"/>
        </w:rPr>
        <w:t>The Day-Ahead M</w:t>
      </w:r>
      <w:r w:rsidRPr="008817D0">
        <w:rPr>
          <w:rFonts w:eastAsia="Calibri"/>
        </w:rPr>
        <w:t>arke</w:t>
      </w:r>
      <w:r>
        <w:rPr>
          <w:rFonts w:eastAsia="Calibri"/>
        </w:rPr>
        <w:t>t shall run with the Day-Ahead Base S</w:t>
      </w:r>
      <w:r w:rsidRPr="008817D0">
        <w:rPr>
          <w:rFonts w:eastAsia="Calibri"/>
        </w:rPr>
        <w:t>chedule as a fixed injection without enforcing transmission constraints in the external BAA</w:t>
      </w:r>
      <w:r w:rsidR="00DA49BB">
        <w:rPr>
          <w:rFonts w:eastAsia="Calibri"/>
        </w:rPr>
        <w:t>s</w:t>
      </w:r>
      <w:r w:rsidRPr="008817D0">
        <w:rPr>
          <w:rFonts w:eastAsia="Calibri"/>
        </w:rPr>
        <w:t xml:space="preserve"> and</w:t>
      </w:r>
      <w:r>
        <w:rPr>
          <w:rFonts w:eastAsia="Calibri"/>
        </w:rPr>
        <w:t xml:space="preserve"> the</w:t>
      </w:r>
      <w:r w:rsidR="005F24C1">
        <w:rPr>
          <w:rFonts w:eastAsia="Calibri"/>
        </w:rPr>
        <w:t xml:space="preserve"> WEIM </w:t>
      </w:r>
      <w:r w:rsidRPr="008817D0">
        <w:rPr>
          <w:rFonts w:eastAsia="Calibri"/>
        </w:rPr>
        <w:t>Entity BAA</w:t>
      </w:r>
      <w:r w:rsidR="00DA49BB">
        <w:rPr>
          <w:rFonts w:eastAsia="Calibri"/>
        </w:rPr>
        <w:t>s</w:t>
      </w:r>
      <w:r w:rsidRPr="008817D0">
        <w:rPr>
          <w:rFonts w:eastAsia="Calibri"/>
        </w:rPr>
        <w:t xml:space="preserve">. </w:t>
      </w:r>
    </w:p>
    <w:p w14:paraId="7A78302E" w14:textId="1DC8CF3E" w:rsidR="0018494A" w:rsidRPr="008817D0" w:rsidRDefault="0018494A" w:rsidP="00E80005">
      <w:pPr>
        <w:numPr>
          <w:ilvl w:val="1"/>
          <w:numId w:val="15"/>
        </w:numPr>
        <w:rPr>
          <w:rFonts w:eastAsia="Calibri"/>
        </w:rPr>
      </w:pPr>
      <w:r w:rsidRPr="008817D0">
        <w:rPr>
          <w:rFonts w:eastAsia="Calibri"/>
        </w:rPr>
        <w:t xml:space="preserve">The </w:t>
      </w:r>
      <w:r w:rsidR="002462E5">
        <w:rPr>
          <w:rFonts w:eastAsia="Calibri"/>
        </w:rPr>
        <w:t>CAISO</w:t>
      </w:r>
      <w:r w:rsidRPr="008817D0">
        <w:rPr>
          <w:rFonts w:eastAsia="Calibri"/>
        </w:rPr>
        <w:t xml:space="preserve"> will report any transmission overloads in the</w:t>
      </w:r>
      <w:r w:rsidR="005F24C1">
        <w:rPr>
          <w:rFonts w:eastAsia="Calibri"/>
        </w:rPr>
        <w:t xml:space="preserve"> WEIM </w:t>
      </w:r>
      <w:r w:rsidRPr="008817D0">
        <w:rPr>
          <w:rFonts w:eastAsia="Calibri"/>
        </w:rPr>
        <w:t>Entity BAAs.</w:t>
      </w:r>
    </w:p>
    <w:p w14:paraId="6FDD56A2" w14:textId="4A301F30" w:rsidR="0018494A" w:rsidRPr="00BA2E6E" w:rsidRDefault="0018494A" w:rsidP="00E80005">
      <w:pPr>
        <w:numPr>
          <w:ilvl w:val="1"/>
          <w:numId w:val="15"/>
        </w:numPr>
        <w:rPr>
          <w:rFonts w:eastAsia="Calibri"/>
        </w:rPr>
      </w:pPr>
      <w:r>
        <w:rPr>
          <w:rFonts w:eastAsia="Calibri"/>
        </w:rPr>
        <w:t>The Day-Ahead M</w:t>
      </w:r>
      <w:r w:rsidRPr="008817D0">
        <w:rPr>
          <w:rFonts w:eastAsia="Calibri"/>
        </w:rPr>
        <w:t>arket will maintain historical generation, demand, and interchange schedules for all external BAAs in the</w:t>
      </w:r>
      <w:r w:rsidR="005F24C1">
        <w:rPr>
          <w:rFonts w:eastAsia="Calibri"/>
        </w:rPr>
        <w:t xml:space="preserve"> WEIM </w:t>
      </w:r>
      <w:r w:rsidRPr="008817D0">
        <w:rPr>
          <w:rFonts w:eastAsia="Calibri"/>
        </w:rPr>
        <w:t xml:space="preserve">footprint. Also, it will </w:t>
      </w:r>
      <w:r w:rsidRPr="008817D0">
        <w:rPr>
          <w:rFonts w:eastAsia="Calibri"/>
        </w:rPr>
        <w:lastRenderedPageBreak/>
        <w:t xml:space="preserve">harvest data from the State Estimator and WECC RC, and receive </w:t>
      </w:r>
      <w:r>
        <w:rPr>
          <w:rFonts w:eastAsia="Calibri"/>
        </w:rPr>
        <w:t xml:space="preserve">Area to Area Net Scheduled Interchange (AANSI) </w:t>
      </w:r>
      <w:r w:rsidRPr="008817D0">
        <w:rPr>
          <w:rFonts w:eastAsia="Calibri"/>
        </w:rPr>
        <w:t>from WECC WIT and BAA load forecast.</w:t>
      </w:r>
    </w:p>
    <w:p w14:paraId="195183DC" w14:textId="5513EFCA" w:rsidR="0018494A" w:rsidRPr="008817D0" w:rsidRDefault="0018494A" w:rsidP="00E80005">
      <w:pPr>
        <w:numPr>
          <w:ilvl w:val="1"/>
          <w:numId w:val="15"/>
        </w:numPr>
        <w:rPr>
          <w:rFonts w:eastAsia="Calibri"/>
        </w:rPr>
      </w:pPr>
      <w:r w:rsidRPr="008817D0">
        <w:rPr>
          <w:rFonts w:eastAsia="Calibri"/>
        </w:rPr>
        <w:t>Since</w:t>
      </w:r>
      <w:r>
        <w:rPr>
          <w:rFonts w:eastAsia="Calibri"/>
        </w:rPr>
        <w:t xml:space="preserve"> the actual non-EIM Entity BAA Day-A</w:t>
      </w:r>
      <w:r w:rsidRPr="008817D0">
        <w:rPr>
          <w:rFonts w:eastAsia="Calibri"/>
        </w:rPr>
        <w:t>head supp</w:t>
      </w:r>
      <w:r>
        <w:rPr>
          <w:rFonts w:eastAsia="Calibri"/>
        </w:rPr>
        <w:t xml:space="preserve">ly schedules are unknown to </w:t>
      </w:r>
      <w:r w:rsidRPr="008817D0">
        <w:rPr>
          <w:rFonts w:eastAsia="Calibri"/>
        </w:rPr>
        <w:t>CAISO but a</w:t>
      </w:r>
      <w:r>
        <w:rPr>
          <w:rFonts w:eastAsia="Calibri"/>
        </w:rPr>
        <w:t xml:space="preserve">re required for a solution, </w:t>
      </w:r>
      <w:r w:rsidRPr="008817D0">
        <w:rPr>
          <w:rFonts w:eastAsia="Calibri"/>
        </w:rPr>
        <w:t>CAISO will estimate the schedules based on the demand forecast and net scheduled interchange where supply, demand, and any known or historical net interchange are balanced for each BAA individually. The same process will also be performed for</w:t>
      </w:r>
      <w:r w:rsidR="005F24C1">
        <w:rPr>
          <w:rFonts w:eastAsia="Calibri"/>
        </w:rPr>
        <w:t xml:space="preserve"> WEIM </w:t>
      </w:r>
      <w:r w:rsidRPr="008817D0">
        <w:rPr>
          <w:rFonts w:eastAsia="Calibri"/>
        </w:rPr>
        <w:t>Entity BAAs.</w:t>
      </w:r>
    </w:p>
    <w:p w14:paraId="673C3DE6" w14:textId="77777777" w:rsidR="00571BB2" w:rsidRPr="00571BB2" w:rsidRDefault="0018494A" w:rsidP="00E80005">
      <w:pPr>
        <w:numPr>
          <w:ilvl w:val="1"/>
          <w:numId w:val="15"/>
        </w:numPr>
        <w:rPr>
          <w:rFonts w:eastAsia="Calibri"/>
        </w:rPr>
      </w:pPr>
      <w:r>
        <w:rPr>
          <w:rFonts w:eastAsia="Calibri"/>
        </w:rPr>
        <w:t>Import/export bids to/from CAISO will be excluded from Base S</w:t>
      </w:r>
      <w:r w:rsidRPr="008817D0">
        <w:rPr>
          <w:rFonts w:eastAsia="Calibri"/>
        </w:rPr>
        <w:t xml:space="preserve">chedule calculation. </w:t>
      </w:r>
    </w:p>
    <w:p w14:paraId="10C32B86" w14:textId="2C132268" w:rsidR="00571BB2" w:rsidRPr="001D354A" w:rsidRDefault="00571BB2" w:rsidP="00E80005">
      <w:pPr>
        <w:numPr>
          <w:ilvl w:val="1"/>
          <w:numId w:val="15"/>
        </w:numPr>
        <w:spacing w:line="300" w:lineRule="auto"/>
        <w:rPr>
          <w:rFonts w:eastAsia="Calibri"/>
        </w:rPr>
      </w:pPr>
      <w:r w:rsidRPr="00F2404E">
        <w:t>SIBR validate</w:t>
      </w:r>
      <w:r>
        <w:t>s</w:t>
      </w:r>
      <w:r w:rsidRPr="00F2404E">
        <w:t xml:space="preserve"> the energy bids and notify the applicable SCs. </w:t>
      </w:r>
    </w:p>
    <w:p w14:paraId="2A696B6E" w14:textId="77777777" w:rsidR="008817D0" w:rsidRPr="008817D0" w:rsidRDefault="00FC30E3" w:rsidP="00C33762">
      <w:pPr>
        <w:pStyle w:val="Heading2"/>
        <w:rPr>
          <w:rFonts w:eastAsia="Calibri"/>
        </w:rPr>
      </w:pPr>
      <w:bookmarkStart w:id="1924" w:name="_Toc391969852"/>
      <w:bookmarkStart w:id="1925" w:name="_Toc229054502"/>
      <w:r>
        <w:rPr>
          <w:rFonts w:eastAsia="Calibri"/>
        </w:rPr>
        <w:t>Real-Time</w:t>
      </w:r>
      <w:r w:rsidR="008817D0" w:rsidRPr="008817D0">
        <w:rPr>
          <w:rFonts w:eastAsia="Calibri"/>
        </w:rPr>
        <w:t xml:space="preserve"> Operations</w:t>
      </w:r>
      <w:bookmarkEnd w:id="1917"/>
      <w:bookmarkEnd w:id="1918"/>
      <w:bookmarkEnd w:id="1924"/>
      <w:bookmarkEnd w:id="1925"/>
    </w:p>
    <w:p w14:paraId="294B13D5" w14:textId="32525B9D" w:rsidR="00D107C6" w:rsidRDefault="006D0170" w:rsidP="008817D0">
      <w:pPr>
        <w:spacing w:after="240" w:line="300" w:lineRule="auto"/>
        <w:rPr>
          <w:rFonts w:eastAsia="Calibri"/>
        </w:rPr>
      </w:pPr>
      <w:bookmarkStart w:id="1926" w:name="_Toc390869242"/>
      <w:r>
        <w:rPr>
          <w:rFonts w:eastAsia="Calibri"/>
        </w:rPr>
        <w:t>This section is intended to describe the actions taken by</w:t>
      </w:r>
      <w:r w:rsidR="005F24C1">
        <w:rPr>
          <w:rFonts w:eastAsia="Calibri"/>
        </w:rPr>
        <w:t xml:space="preserve"> WEIM </w:t>
      </w:r>
      <w:r>
        <w:rPr>
          <w:rFonts w:eastAsia="Calibri"/>
        </w:rPr>
        <w:t xml:space="preserve">participants in the </w:t>
      </w:r>
      <w:r w:rsidR="00FC30E3">
        <w:rPr>
          <w:rFonts w:eastAsia="Calibri"/>
        </w:rPr>
        <w:t>Real-Time</w:t>
      </w:r>
      <w:r>
        <w:rPr>
          <w:rFonts w:eastAsia="Calibri"/>
        </w:rPr>
        <w:t xml:space="preserve"> Market.  </w:t>
      </w:r>
      <w:r w:rsidR="00F43672">
        <w:rPr>
          <w:rFonts w:eastAsia="Calibri"/>
        </w:rPr>
        <w:t xml:space="preserve">Readers should </w:t>
      </w:r>
      <w:r w:rsidR="007970DF">
        <w:rPr>
          <w:rFonts w:eastAsia="Calibri"/>
        </w:rPr>
        <w:t>review S</w:t>
      </w:r>
      <w:r>
        <w:rPr>
          <w:rFonts w:eastAsia="Calibri"/>
        </w:rPr>
        <w:t>ection</w:t>
      </w:r>
      <w:r w:rsidR="0022082B">
        <w:rPr>
          <w:rFonts w:eastAsia="Calibri"/>
        </w:rPr>
        <w:t>s</w:t>
      </w:r>
      <w:r>
        <w:rPr>
          <w:rFonts w:eastAsia="Calibri"/>
        </w:rPr>
        <w:t xml:space="preserve"> 6 and 7 of the </w:t>
      </w:r>
      <w:hyperlink r:id="rId76" w:history="1">
        <w:r w:rsidRPr="0022082B">
          <w:rPr>
            <w:rStyle w:val="Hyperlink"/>
            <w:rFonts w:eastAsia="Calibri"/>
            <w:b/>
          </w:rPr>
          <w:t>BPM for Market Operations</w:t>
        </w:r>
      </w:hyperlink>
      <w:r>
        <w:rPr>
          <w:rFonts w:eastAsia="Calibri"/>
        </w:rPr>
        <w:t>, which describes the general operation and timeline of the Day</w:t>
      </w:r>
      <w:r w:rsidR="00E4613C">
        <w:rPr>
          <w:rFonts w:eastAsia="Calibri"/>
        </w:rPr>
        <w:t>-</w:t>
      </w:r>
      <w:r>
        <w:rPr>
          <w:rFonts w:eastAsia="Calibri"/>
        </w:rPr>
        <w:t xml:space="preserve">Ahead Market and </w:t>
      </w:r>
      <w:r w:rsidR="00FC30E3">
        <w:rPr>
          <w:rFonts w:eastAsia="Calibri"/>
        </w:rPr>
        <w:t>Real-Time</w:t>
      </w:r>
      <w:r>
        <w:rPr>
          <w:rFonts w:eastAsia="Calibri"/>
        </w:rPr>
        <w:t xml:space="preserve"> Market, respectively.</w:t>
      </w:r>
    </w:p>
    <w:p w14:paraId="4044A70C" w14:textId="77777777" w:rsidR="008817D0" w:rsidRPr="008817D0" w:rsidRDefault="008817D0" w:rsidP="008817D0">
      <w:pPr>
        <w:spacing w:after="240" w:line="300" w:lineRule="auto"/>
        <w:rPr>
          <w:rFonts w:eastAsia="Calibri"/>
        </w:rPr>
      </w:pPr>
      <w:r w:rsidRPr="008817D0">
        <w:rPr>
          <w:rFonts w:eastAsia="Calibri"/>
        </w:rPr>
        <w:object w:dxaOrig="10410" w:dyaOrig="5295" w14:anchorId="6AB2F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95pt;height:237.75pt" o:ole="">
            <v:imagedata r:id="rId77" o:title=""/>
          </v:shape>
          <o:OLEObject Type="Embed" ProgID="Visio.Drawing.11" ShapeID="_x0000_i1025" DrawAspect="Content" ObjectID="_1839736604" r:id="rId78"/>
        </w:object>
      </w:r>
    </w:p>
    <w:p w14:paraId="24C95AF1" w14:textId="77777777" w:rsidR="008817D0" w:rsidRPr="008817D0" w:rsidRDefault="008817D0" w:rsidP="008817D0">
      <w:pPr>
        <w:spacing w:after="240" w:line="300" w:lineRule="auto"/>
        <w:rPr>
          <w:rFonts w:eastAsia="Calibri"/>
          <w:b/>
        </w:rPr>
      </w:pPr>
    </w:p>
    <w:p w14:paraId="5BB29263" w14:textId="77777777" w:rsidR="008817D0" w:rsidRPr="008817D0" w:rsidRDefault="008817D0" w:rsidP="008817D0">
      <w:pPr>
        <w:spacing w:after="240" w:line="300" w:lineRule="auto"/>
        <w:rPr>
          <w:rFonts w:eastAsia="Calibri"/>
          <w:b/>
        </w:rPr>
      </w:pPr>
    </w:p>
    <w:p w14:paraId="6CA6BAB3" w14:textId="77777777" w:rsidR="008817D0" w:rsidRPr="008817D0" w:rsidRDefault="008817D0" w:rsidP="008817D0">
      <w:pPr>
        <w:spacing w:after="240" w:line="300" w:lineRule="auto"/>
        <w:rPr>
          <w:rFonts w:eastAsia="Calibri"/>
          <w:b/>
        </w:rPr>
      </w:pPr>
    </w:p>
    <w:p w14:paraId="535563F4" w14:textId="77777777" w:rsidR="008817D0" w:rsidRPr="008817D0" w:rsidRDefault="008817D0" w:rsidP="008817D0">
      <w:pPr>
        <w:spacing w:after="240" w:line="300" w:lineRule="auto"/>
        <w:rPr>
          <w:rFonts w:eastAsia="Calibri"/>
          <w:b/>
        </w:rPr>
      </w:pPr>
    </w:p>
    <w:p w14:paraId="0DE87C75" w14:textId="77777777" w:rsidR="008817D0" w:rsidRPr="008817D0" w:rsidRDefault="008817D0" w:rsidP="008817D0">
      <w:pPr>
        <w:spacing w:after="240" w:line="300" w:lineRule="auto"/>
        <w:rPr>
          <w:rFonts w:eastAsia="Calibri"/>
          <w:b/>
        </w:rPr>
      </w:pPr>
    </w:p>
    <w:p w14:paraId="2AFB4ECD" w14:textId="77777777" w:rsidR="008817D0" w:rsidRPr="008817D0" w:rsidRDefault="00A12507" w:rsidP="008817D0">
      <w:pPr>
        <w:spacing w:after="240" w:line="300" w:lineRule="auto"/>
        <w:rPr>
          <w:rFonts w:eastAsia="Calibri"/>
          <w:b/>
        </w:rPr>
      </w:pPr>
      <w:r>
        <w:rPr>
          <w:rFonts w:eastAsia="Calibri"/>
          <w:noProof/>
        </w:rPr>
        <w:drawing>
          <wp:inline distT="0" distB="0" distL="0" distR="0" wp14:anchorId="6FD2AC82" wp14:editId="0030DD95">
            <wp:extent cx="5934075" cy="3562350"/>
            <wp:effectExtent l="0" t="0" r="0" b="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34075" cy="3562350"/>
                    </a:xfrm>
                    <a:prstGeom prst="rect">
                      <a:avLst/>
                    </a:prstGeom>
                    <a:noFill/>
                    <a:ln>
                      <a:noFill/>
                    </a:ln>
                  </pic:spPr>
                </pic:pic>
              </a:graphicData>
            </a:graphic>
          </wp:inline>
        </w:drawing>
      </w:r>
    </w:p>
    <w:p w14:paraId="060ACE17" w14:textId="77777777" w:rsidR="008817D0" w:rsidRPr="008817D0" w:rsidRDefault="008817D0" w:rsidP="008817D0">
      <w:pPr>
        <w:spacing w:after="240" w:line="300" w:lineRule="auto"/>
        <w:rPr>
          <w:rFonts w:eastAsia="Calibri"/>
          <w:b/>
        </w:rPr>
      </w:pPr>
    </w:p>
    <w:p w14:paraId="679103FF" w14:textId="77777777" w:rsidR="008817D0" w:rsidRPr="008817D0" w:rsidRDefault="008817D0" w:rsidP="008817D0">
      <w:pPr>
        <w:spacing w:after="240" w:line="300" w:lineRule="auto"/>
        <w:rPr>
          <w:rFonts w:eastAsia="Calibri"/>
          <w:b/>
        </w:rPr>
      </w:pPr>
    </w:p>
    <w:p w14:paraId="41533DF4" w14:textId="77777777" w:rsidR="008817D0" w:rsidRPr="008817D0" w:rsidRDefault="008817D0" w:rsidP="008817D0">
      <w:pPr>
        <w:spacing w:after="240" w:line="300" w:lineRule="auto"/>
        <w:rPr>
          <w:rFonts w:eastAsia="Calibri"/>
          <w:b/>
        </w:rPr>
      </w:pPr>
    </w:p>
    <w:p w14:paraId="317C9E32" w14:textId="77777777" w:rsidR="008817D0" w:rsidRPr="008817D0" w:rsidRDefault="008817D0" w:rsidP="008817D0">
      <w:pPr>
        <w:spacing w:after="240" w:line="300" w:lineRule="auto"/>
        <w:rPr>
          <w:rFonts w:eastAsia="Calibri"/>
          <w:b/>
        </w:rPr>
      </w:pPr>
    </w:p>
    <w:p w14:paraId="14CDB4DD" w14:textId="77777777" w:rsidR="008817D0" w:rsidRPr="008817D0" w:rsidRDefault="008817D0" w:rsidP="008817D0">
      <w:pPr>
        <w:spacing w:after="240" w:line="300" w:lineRule="auto"/>
        <w:rPr>
          <w:rFonts w:eastAsia="Calibri"/>
          <w:b/>
        </w:rPr>
      </w:pPr>
    </w:p>
    <w:p w14:paraId="32A04DD0" w14:textId="77777777" w:rsidR="008817D0" w:rsidRDefault="00A12507" w:rsidP="008817D0">
      <w:pPr>
        <w:spacing w:after="240" w:line="300" w:lineRule="auto"/>
        <w:rPr>
          <w:rFonts w:eastAsia="Calibri"/>
          <w:b/>
        </w:rPr>
      </w:pPr>
      <w:r>
        <w:rPr>
          <w:rFonts w:eastAsia="Calibri"/>
          <w:noProof/>
        </w:rPr>
        <w:lastRenderedPageBreak/>
        <w:drawing>
          <wp:inline distT="0" distB="0" distL="0" distR="0" wp14:anchorId="6DB15566" wp14:editId="472613B4">
            <wp:extent cx="5943600" cy="3590925"/>
            <wp:effectExtent l="0" t="0" r="0" b="0"/>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43600" cy="3590925"/>
                    </a:xfrm>
                    <a:prstGeom prst="rect">
                      <a:avLst/>
                    </a:prstGeom>
                    <a:noFill/>
                    <a:ln>
                      <a:noFill/>
                    </a:ln>
                  </pic:spPr>
                </pic:pic>
              </a:graphicData>
            </a:graphic>
          </wp:inline>
        </w:drawing>
      </w:r>
    </w:p>
    <w:p w14:paraId="4AD601FF" w14:textId="77777777" w:rsidR="0062636A" w:rsidRPr="008817D0" w:rsidRDefault="0062636A" w:rsidP="008817D0">
      <w:pPr>
        <w:spacing w:after="240" w:line="300" w:lineRule="auto"/>
        <w:rPr>
          <w:rFonts w:eastAsia="Calibri"/>
          <w:b/>
        </w:rPr>
      </w:pPr>
    </w:p>
    <w:p w14:paraId="13B83180" w14:textId="2C380717" w:rsidR="008817D0" w:rsidRPr="00877DDB" w:rsidRDefault="008817D0" w:rsidP="00877DDB">
      <w:pPr>
        <w:pStyle w:val="Heading3"/>
        <w:rPr>
          <w:rFonts w:eastAsia="Calibri"/>
        </w:rPr>
      </w:pPr>
      <w:bookmarkStart w:id="1927" w:name="_Toc390946292"/>
      <w:bookmarkStart w:id="1928" w:name="_Toc391969853"/>
      <w:bookmarkStart w:id="1929" w:name="_Toc229054503"/>
      <w:r w:rsidRPr="008817D0">
        <w:rPr>
          <w:rFonts w:eastAsia="Calibri"/>
        </w:rPr>
        <w:t>Establishment of Hourly Base Schedules and Hourly Resource Plan</w:t>
      </w:r>
      <w:bookmarkEnd w:id="1926"/>
      <w:bookmarkEnd w:id="1927"/>
      <w:bookmarkEnd w:id="1928"/>
      <w:bookmarkEnd w:id="1929"/>
    </w:p>
    <w:p w14:paraId="1C4FB559" w14:textId="7766B652" w:rsidR="00571BB2" w:rsidRPr="00877DDB" w:rsidRDefault="00571BB2">
      <w:pPr>
        <w:spacing w:after="240" w:line="300" w:lineRule="auto"/>
        <w:rPr>
          <w:rFonts w:cs="Arial"/>
          <w:kern w:val="16"/>
        </w:rPr>
      </w:pPr>
      <w:r w:rsidRPr="00877DDB">
        <w:rPr>
          <w:rFonts w:cs="Arial"/>
          <w:kern w:val="16"/>
        </w:rPr>
        <w:t>Entity Scheduling Coordinators,</w:t>
      </w:r>
      <w:r w:rsidR="005F24C1">
        <w:rPr>
          <w:rFonts w:cs="Arial"/>
          <w:kern w:val="16"/>
        </w:rPr>
        <w:t xml:space="preserve"> WEIM </w:t>
      </w:r>
      <w:r w:rsidRPr="00877DDB">
        <w:rPr>
          <w:rFonts w:cs="Arial"/>
          <w:kern w:val="16"/>
        </w:rPr>
        <w:t>Participating Resource Scheduling Coordinators, and non-participating resources in the</w:t>
      </w:r>
      <w:r w:rsidR="005F24C1">
        <w:rPr>
          <w:rFonts w:cs="Arial"/>
          <w:kern w:val="16"/>
        </w:rPr>
        <w:t xml:space="preserve"> WEIM </w:t>
      </w:r>
      <w:r w:rsidRPr="00877DDB">
        <w:rPr>
          <w:rFonts w:cs="Arial"/>
          <w:kern w:val="16"/>
        </w:rPr>
        <w:t>Entity Balancing Authority Area that wish to submit real-time hourly</w:t>
      </w:r>
      <w:r w:rsidR="005F24C1">
        <w:rPr>
          <w:rFonts w:cs="Arial"/>
          <w:kern w:val="16"/>
        </w:rPr>
        <w:t xml:space="preserve"> WEIM </w:t>
      </w:r>
      <w:r w:rsidRPr="00877DDB">
        <w:rPr>
          <w:rFonts w:cs="Arial"/>
          <w:kern w:val="16"/>
        </w:rPr>
        <w:t>Base Schedules, or, with regard to non-participating resources, wish to submit</w:t>
      </w:r>
      <w:r w:rsidR="005F24C1">
        <w:rPr>
          <w:rFonts w:cs="Arial"/>
          <w:kern w:val="16"/>
        </w:rPr>
        <w:t xml:space="preserve"> WEIM </w:t>
      </w:r>
      <w:r w:rsidRPr="00877DDB">
        <w:rPr>
          <w:rFonts w:cs="Arial"/>
          <w:kern w:val="16"/>
        </w:rPr>
        <w:t xml:space="preserve">Base Schedule information pursuant to Section 29.34(f)(4), must submit such schedules at least 75 minutes before the start of the Operating Hour. </w:t>
      </w:r>
    </w:p>
    <w:p w14:paraId="38ECD380" w14:textId="5AD0688E" w:rsidR="00571BB2" w:rsidRPr="00642F1C" w:rsidRDefault="00571BB2">
      <w:pPr>
        <w:spacing w:after="240" w:line="300" w:lineRule="auto"/>
        <w:rPr>
          <w:rFonts w:eastAsia="Calibri"/>
        </w:rPr>
      </w:pPr>
      <w:r w:rsidRPr="00642F1C">
        <w:rPr>
          <w:rFonts w:eastAsia="Calibri"/>
        </w:rPr>
        <w:t>The CAISO Markets systems will validate the</w:t>
      </w:r>
      <w:r w:rsidR="005F24C1">
        <w:rPr>
          <w:rFonts w:eastAsia="Calibri"/>
        </w:rPr>
        <w:t xml:space="preserve"> WEIM </w:t>
      </w:r>
      <w:r w:rsidRPr="00642F1C">
        <w:rPr>
          <w:rFonts w:eastAsia="Calibri"/>
        </w:rPr>
        <w:t>Resource Plan including any adjustments to the</w:t>
      </w:r>
      <w:r w:rsidR="005F24C1">
        <w:rPr>
          <w:rFonts w:eastAsia="Calibri"/>
        </w:rPr>
        <w:t xml:space="preserve"> WEIM </w:t>
      </w:r>
      <w:r w:rsidRPr="00642F1C">
        <w:rPr>
          <w:rFonts w:eastAsia="Calibri"/>
        </w:rPr>
        <w:t>Base Schedules within 15 minutes of the submission of</w:t>
      </w:r>
      <w:r w:rsidR="005F24C1">
        <w:rPr>
          <w:rFonts w:eastAsia="Calibri"/>
        </w:rPr>
        <w:t xml:space="preserve"> WEIM </w:t>
      </w:r>
      <w:r w:rsidRPr="00642F1C">
        <w:rPr>
          <w:rFonts w:eastAsia="Calibri"/>
        </w:rPr>
        <w:t>Base Schedules or adjustments to</w:t>
      </w:r>
      <w:r w:rsidR="005F24C1">
        <w:rPr>
          <w:rFonts w:eastAsia="Calibri"/>
        </w:rPr>
        <w:t xml:space="preserve"> WEIM </w:t>
      </w:r>
      <w:r w:rsidRPr="00642F1C">
        <w:rPr>
          <w:rFonts w:eastAsia="Calibri"/>
        </w:rPr>
        <w:t>Base Schedules and notify the</w:t>
      </w:r>
      <w:r w:rsidR="005F24C1">
        <w:rPr>
          <w:rFonts w:eastAsia="Calibri"/>
        </w:rPr>
        <w:t xml:space="preserve"> WEIM </w:t>
      </w:r>
      <w:r w:rsidRPr="00642F1C">
        <w:rPr>
          <w:rFonts w:eastAsia="Calibri"/>
        </w:rPr>
        <w:t>Entity Scheduling Coordinator about the result of the Resource Sufficien</w:t>
      </w:r>
      <w:r w:rsidR="00783517" w:rsidRPr="00642F1C">
        <w:rPr>
          <w:rFonts w:eastAsia="Calibri"/>
        </w:rPr>
        <w:t>c</w:t>
      </w:r>
      <w:r w:rsidRPr="00642F1C">
        <w:rPr>
          <w:rFonts w:eastAsia="Calibri"/>
        </w:rPr>
        <w:t>y Evaluation.</w:t>
      </w:r>
    </w:p>
    <w:p w14:paraId="707AA9DE" w14:textId="0A4F8C69" w:rsidR="00571BB2" w:rsidRPr="00642F1C" w:rsidRDefault="00571BB2">
      <w:pPr>
        <w:spacing w:after="240" w:line="300" w:lineRule="auto"/>
        <w:rPr>
          <w:rFonts w:eastAsia="Calibri"/>
        </w:rPr>
      </w:pPr>
      <w:r w:rsidRPr="00642F1C">
        <w:rPr>
          <w:rFonts w:eastAsia="Calibri"/>
        </w:rPr>
        <w:t>The</w:t>
      </w:r>
      <w:r w:rsidR="005F24C1">
        <w:rPr>
          <w:rFonts w:eastAsia="Calibri"/>
        </w:rPr>
        <w:t xml:space="preserve"> WEIM </w:t>
      </w:r>
      <w:r w:rsidR="00A43B57" w:rsidRPr="00642F1C">
        <w:rPr>
          <w:rFonts w:eastAsia="Calibri"/>
        </w:rPr>
        <w:t>Entity S</w:t>
      </w:r>
      <w:r w:rsidRPr="00642F1C">
        <w:rPr>
          <w:rFonts w:eastAsia="Calibri"/>
        </w:rPr>
        <w:t xml:space="preserve">cheduling </w:t>
      </w:r>
      <w:r w:rsidR="00A43B57" w:rsidRPr="00642F1C">
        <w:rPr>
          <w:rFonts w:eastAsia="Calibri"/>
        </w:rPr>
        <w:t>C</w:t>
      </w:r>
      <w:r w:rsidRPr="00642F1C">
        <w:rPr>
          <w:rFonts w:eastAsia="Calibri"/>
        </w:rPr>
        <w:t>oordinator has visibility to all elements of the</w:t>
      </w:r>
      <w:r w:rsidR="005F24C1">
        <w:rPr>
          <w:rFonts w:eastAsia="Calibri"/>
        </w:rPr>
        <w:t xml:space="preserve"> WEIM </w:t>
      </w:r>
      <w:r w:rsidRPr="00642F1C">
        <w:rPr>
          <w:rFonts w:eastAsia="Calibri"/>
        </w:rPr>
        <w:t xml:space="preserve">Resource Plan and the results of the various checks in the resource sufficiency evaluation described below, and is able to make changes to hourly Base Schedules to resolve unbalanced supply and </w:t>
      </w:r>
      <w:r w:rsidRPr="00642F1C">
        <w:rPr>
          <w:rFonts w:eastAsia="Calibri"/>
        </w:rPr>
        <w:lastRenderedPageBreak/>
        <w:t>demand, transmission flow overloads, insufficient</w:t>
      </w:r>
      <w:r w:rsidR="005F24C1">
        <w:rPr>
          <w:rFonts w:eastAsia="Calibri"/>
        </w:rPr>
        <w:t xml:space="preserve"> WEIM </w:t>
      </w:r>
      <w:r w:rsidRPr="00642F1C">
        <w:rPr>
          <w:rFonts w:eastAsia="Calibri"/>
        </w:rPr>
        <w:t xml:space="preserve">Participating Resource bid range, and ramping capability </w:t>
      </w:r>
      <w:r w:rsidRPr="00877DDB">
        <w:rPr>
          <w:rFonts w:cs="Arial"/>
          <w:kern w:val="16"/>
        </w:rPr>
        <w:t>up to 55 minutes before the start of the Operating Hour (interim revision)  and up to 40 minutes before the start of the Operating Hour (final revision)</w:t>
      </w:r>
      <w:r w:rsidRPr="00642F1C">
        <w:rPr>
          <w:rFonts w:eastAsia="Calibri"/>
        </w:rPr>
        <w:t>.  This provides the</w:t>
      </w:r>
      <w:r w:rsidR="005F24C1">
        <w:rPr>
          <w:rFonts w:eastAsia="Calibri"/>
        </w:rPr>
        <w:t xml:space="preserve"> WEIM </w:t>
      </w:r>
      <w:r w:rsidR="00A43B57" w:rsidRPr="00642F1C">
        <w:rPr>
          <w:rFonts w:eastAsia="Calibri"/>
        </w:rPr>
        <w:t>Entity</w:t>
      </w:r>
      <w:r w:rsidRPr="00642F1C">
        <w:rPr>
          <w:rFonts w:eastAsia="Calibri"/>
        </w:rPr>
        <w:t xml:space="preserve"> </w:t>
      </w:r>
      <w:r w:rsidR="00A43B57" w:rsidRPr="00642F1C">
        <w:rPr>
          <w:rFonts w:eastAsia="Calibri"/>
        </w:rPr>
        <w:t>S</w:t>
      </w:r>
      <w:r w:rsidRPr="00642F1C">
        <w:rPr>
          <w:rFonts w:eastAsia="Calibri"/>
        </w:rPr>
        <w:t xml:space="preserve">cheduling </w:t>
      </w:r>
      <w:r w:rsidR="00A43B57" w:rsidRPr="00642F1C">
        <w:rPr>
          <w:rFonts w:eastAsia="Calibri"/>
        </w:rPr>
        <w:t>C</w:t>
      </w:r>
      <w:r w:rsidRPr="00642F1C">
        <w:rPr>
          <w:rFonts w:eastAsia="Calibri"/>
        </w:rPr>
        <w:t>oordinator with the opportunity to resolve any identified issues prior to the start of the EIM.  At 40 minutes prior to the operating hour, the hourly</w:t>
      </w:r>
      <w:r w:rsidR="005F24C1">
        <w:rPr>
          <w:rFonts w:eastAsia="Calibri"/>
        </w:rPr>
        <w:t xml:space="preserve"> WEIM </w:t>
      </w:r>
      <w:r w:rsidRPr="00642F1C">
        <w:rPr>
          <w:rFonts w:eastAsia="Calibri"/>
        </w:rPr>
        <w:t>Resource Plan is approved by the</w:t>
      </w:r>
      <w:r w:rsidR="005F24C1">
        <w:rPr>
          <w:rFonts w:eastAsia="Calibri"/>
        </w:rPr>
        <w:t xml:space="preserve"> WEIM </w:t>
      </w:r>
      <w:r w:rsidR="00A43B57" w:rsidRPr="00642F1C">
        <w:rPr>
          <w:rFonts w:eastAsia="Calibri"/>
        </w:rPr>
        <w:t>Entity</w:t>
      </w:r>
      <w:r w:rsidRPr="00642F1C">
        <w:rPr>
          <w:rFonts w:eastAsia="Calibri"/>
        </w:rPr>
        <w:t xml:space="preserve"> </w:t>
      </w:r>
      <w:r w:rsidR="00A43B57" w:rsidRPr="00642F1C">
        <w:rPr>
          <w:rFonts w:eastAsia="Calibri"/>
        </w:rPr>
        <w:t>S</w:t>
      </w:r>
      <w:r w:rsidRPr="00642F1C">
        <w:rPr>
          <w:rFonts w:eastAsia="Calibri"/>
        </w:rPr>
        <w:t xml:space="preserve">cheduling </w:t>
      </w:r>
      <w:r w:rsidR="00A43B57" w:rsidRPr="00642F1C">
        <w:rPr>
          <w:rFonts w:eastAsia="Calibri"/>
        </w:rPr>
        <w:t>C</w:t>
      </w:r>
      <w:r w:rsidRPr="00642F1C">
        <w:rPr>
          <w:rFonts w:eastAsia="Calibri"/>
        </w:rPr>
        <w:t>oordinator and it becomes final.</w:t>
      </w:r>
    </w:p>
    <w:p w14:paraId="2CD397B8" w14:textId="77777777" w:rsidR="00571BB2" w:rsidRPr="00642F1C" w:rsidRDefault="00571BB2">
      <w:pPr>
        <w:spacing w:after="240" w:line="300" w:lineRule="auto"/>
        <w:rPr>
          <w:rFonts w:eastAsia="Calibri"/>
        </w:rPr>
      </w:pPr>
      <w:r w:rsidRPr="00642F1C">
        <w:rPr>
          <w:rFonts w:eastAsia="Calibri"/>
        </w:rPr>
        <w:t xml:space="preserve">These final hourly Base Schedules are used to balance against the load forecast and serve as the baseline for settling imbalance energy in the EIM.  </w:t>
      </w:r>
    </w:p>
    <w:p w14:paraId="07426909" w14:textId="72A7513C" w:rsidR="008C1669" w:rsidRDefault="008C1669">
      <w:pPr>
        <w:spacing w:after="240" w:line="300" w:lineRule="auto"/>
        <w:rPr>
          <w:rFonts w:eastAsia="Calibri"/>
        </w:rPr>
      </w:pPr>
      <w:r w:rsidRPr="00642F1C">
        <w:rPr>
          <w:rFonts w:eastAsia="Calibri"/>
        </w:rPr>
        <w:t>In addition to hourly Base Schedules,</w:t>
      </w:r>
      <w:r w:rsidR="005F24C1">
        <w:rPr>
          <w:rFonts w:eastAsia="Calibri"/>
        </w:rPr>
        <w:t xml:space="preserve"> WEIM </w:t>
      </w:r>
      <w:r w:rsidRPr="00642F1C">
        <w:rPr>
          <w:rFonts w:eastAsia="Calibri"/>
        </w:rPr>
        <w:t>Participating Resources have the opportunity to submit bid offers</w:t>
      </w:r>
      <w:r>
        <w:rPr>
          <w:rFonts w:eastAsia="Calibri"/>
        </w:rPr>
        <w:t xml:space="preserve"> and estimated Generator Distribution Factors (GDFs) for aggregate resources</w:t>
      </w:r>
      <w:r w:rsidRPr="00642F1C">
        <w:rPr>
          <w:rFonts w:eastAsia="Calibri"/>
        </w:rPr>
        <w:t xml:space="preserve"> </w:t>
      </w:r>
      <w:r>
        <w:rPr>
          <w:rFonts w:eastAsia="Calibri"/>
        </w:rPr>
        <w:t xml:space="preserve">in SIBR </w:t>
      </w:r>
      <w:r w:rsidRPr="00642F1C">
        <w:rPr>
          <w:rFonts w:eastAsia="Calibri"/>
        </w:rPr>
        <w:t>by</w:t>
      </w:r>
      <w:r>
        <w:rPr>
          <w:rFonts w:eastAsia="Calibri"/>
        </w:rPr>
        <w:t xml:space="preserve"> T–</w:t>
      </w:r>
      <w:r w:rsidRPr="00642F1C">
        <w:rPr>
          <w:rFonts w:eastAsia="Calibri"/>
        </w:rPr>
        <w:t>75</w:t>
      </w:r>
      <w:r>
        <w:rPr>
          <w:rFonts w:eastAsia="Calibri"/>
        </w:rPr>
        <w:t>.</w:t>
      </w:r>
      <w:r w:rsidRPr="00642F1C">
        <w:rPr>
          <w:rFonts w:eastAsia="Calibri"/>
        </w:rPr>
        <w:t xml:space="preserve"> </w:t>
      </w:r>
      <w:r>
        <w:rPr>
          <w:rFonts w:eastAsia="Calibri"/>
        </w:rPr>
        <w:t>These factors are used to distribute aggregate energy schedules to the individual physical units in the aggregation.</w:t>
      </w:r>
    </w:p>
    <w:p w14:paraId="19C423F6" w14:textId="2EBEE9C8" w:rsidR="008C1669" w:rsidRDefault="008C1669">
      <w:pPr>
        <w:spacing w:after="240" w:line="300" w:lineRule="auto"/>
        <w:rPr>
          <w:rFonts w:eastAsia="Calibri"/>
        </w:rPr>
      </w:pPr>
      <w:r>
        <w:rPr>
          <w:rFonts w:eastAsia="Calibri"/>
        </w:rPr>
        <w:t>For aggregate</w:t>
      </w:r>
      <w:r w:rsidR="005F24C1">
        <w:rPr>
          <w:rFonts w:eastAsia="Calibri"/>
        </w:rPr>
        <w:t xml:space="preserve"> WEIM </w:t>
      </w:r>
      <w:r>
        <w:rPr>
          <w:rFonts w:eastAsia="Calibri"/>
        </w:rPr>
        <w:t>non-participating resources, Base Schedule Coordinators can submit base GDFs in BSAP by T–75, T–55, and T–40. These factors are used to distribute aggregate energy schedules to the individual physical units in the aggregation.</w:t>
      </w:r>
    </w:p>
    <w:p w14:paraId="7F7E82F4" w14:textId="245635F7" w:rsidR="008C1669" w:rsidRDefault="008C1669">
      <w:r>
        <w:rPr>
          <w:rFonts w:eastAsia="Calibri"/>
        </w:rPr>
        <w:t>If GDFs are not provided with the base schedule or bid for an aggregate resource, the registered default GDFs for that resource in the Master File, normalized for physical outages, will be used instead.</w:t>
      </w:r>
    </w:p>
    <w:p w14:paraId="0983A15F" w14:textId="77777777" w:rsidR="00571BB2" w:rsidRPr="008817D0" w:rsidRDefault="00571BB2" w:rsidP="008817D0">
      <w:pPr>
        <w:spacing w:after="240" w:line="300" w:lineRule="auto"/>
        <w:rPr>
          <w:rFonts w:eastAsia="Calibri"/>
        </w:rPr>
      </w:pPr>
    </w:p>
    <w:p w14:paraId="19D275AF" w14:textId="77777777" w:rsidR="00D56C99" w:rsidRPr="008817D0" w:rsidRDefault="00D56C99" w:rsidP="00D56C99">
      <w:pPr>
        <w:pStyle w:val="Heading3"/>
        <w:rPr>
          <w:rFonts w:eastAsia="Calibri"/>
        </w:rPr>
      </w:pPr>
      <w:bookmarkStart w:id="1930" w:name="_Toc390869243"/>
      <w:bookmarkStart w:id="1931" w:name="_Toc390946293"/>
      <w:bookmarkStart w:id="1932" w:name="_Toc391969854"/>
      <w:bookmarkStart w:id="1933" w:name="_Toc229054504"/>
      <w:r w:rsidRPr="008817D0">
        <w:rPr>
          <w:rFonts w:eastAsia="Calibri"/>
        </w:rPr>
        <w:t>Resource Sufficiency Evaluation</w:t>
      </w:r>
      <w:bookmarkEnd w:id="1930"/>
      <w:bookmarkEnd w:id="1931"/>
      <w:bookmarkEnd w:id="1932"/>
      <w:bookmarkEnd w:id="1933"/>
    </w:p>
    <w:p w14:paraId="6E914A56" w14:textId="5669DF9C" w:rsidR="006571FF" w:rsidRDefault="006571FF" w:rsidP="006571FF">
      <w:pPr>
        <w:spacing w:after="240" w:line="300" w:lineRule="auto"/>
      </w:pPr>
      <w:r w:rsidRPr="008817D0">
        <w:rPr>
          <w:rFonts w:eastAsia="Calibri"/>
        </w:rPr>
        <w:t>The</w:t>
      </w:r>
      <w:r>
        <w:rPr>
          <w:rFonts w:eastAsia="Calibri"/>
        </w:rPr>
        <w:t xml:space="preserve"> WEIM </w:t>
      </w:r>
      <w:r w:rsidRPr="008817D0">
        <w:rPr>
          <w:rFonts w:eastAsia="Calibri"/>
        </w:rPr>
        <w:t>does not include forward resource adequacy requirements or obligations for resources to submit bids, but instead includes several elements to ensure each</w:t>
      </w:r>
      <w:r>
        <w:rPr>
          <w:rFonts w:eastAsia="Calibri"/>
        </w:rPr>
        <w:t xml:space="preserve"> WEIM </w:t>
      </w:r>
      <w:r w:rsidRPr="008817D0">
        <w:rPr>
          <w:rFonts w:eastAsia="Calibri"/>
        </w:rPr>
        <w:t xml:space="preserve">balancing authority </w:t>
      </w:r>
      <w:r>
        <w:rPr>
          <w:rFonts w:eastAsia="Calibri"/>
        </w:rPr>
        <w:t xml:space="preserve">in the WEIM area </w:t>
      </w:r>
      <w:r w:rsidRPr="008817D0">
        <w:rPr>
          <w:rFonts w:eastAsia="Calibri"/>
        </w:rPr>
        <w:t>has sufficient resources to serve its load while still realizing the benefits o</w:t>
      </w:r>
      <w:r>
        <w:rPr>
          <w:rFonts w:eastAsia="Calibri"/>
        </w:rPr>
        <w:t xml:space="preserve">f increased resource diversity. </w:t>
      </w:r>
      <w:r w:rsidRPr="00F8253C">
        <w:rPr>
          <w:rFonts w:eastAsia="Calibri"/>
        </w:rPr>
        <w:t xml:space="preserve">Load </w:t>
      </w:r>
      <w:r>
        <w:rPr>
          <w:rFonts w:eastAsia="Calibri"/>
        </w:rPr>
        <w:t>conformance</w:t>
      </w:r>
      <w:r w:rsidRPr="00F8253C">
        <w:rPr>
          <w:rFonts w:eastAsia="Calibri"/>
        </w:rPr>
        <w:t xml:space="preserve">, </w:t>
      </w:r>
      <w:r w:rsidR="00D602B8">
        <w:rPr>
          <w:rFonts w:eastAsia="Calibri"/>
        </w:rPr>
        <w:t xml:space="preserve">and </w:t>
      </w:r>
      <w:r w:rsidRPr="00F8253C">
        <w:rPr>
          <w:rFonts w:eastAsia="Calibri"/>
        </w:rPr>
        <w:t xml:space="preserve">transmission limit conformance will not be considered in the </w:t>
      </w:r>
      <w:r>
        <w:rPr>
          <w:rFonts w:eastAsia="Calibri"/>
        </w:rPr>
        <w:t>Resource Sufficiency Evaluation (RSE)</w:t>
      </w:r>
      <w:r w:rsidRPr="00F8253C">
        <w:rPr>
          <w:rFonts w:eastAsia="Calibri"/>
        </w:rPr>
        <w:t xml:space="preserve"> </w:t>
      </w:r>
      <w:r>
        <w:rPr>
          <w:rFonts w:eastAsia="Calibri"/>
        </w:rPr>
        <w:t>t</w:t>
      </w:r>
      <w:r w:rsidRPr="00F8253C">
        <w:rPr>
          <w:rFonts w:eastAsia="Calibri"/>
        </w:rPr>
        <w:t>ests.  </w:t>
      </w:r>
      <w:r>
        <w:rPr>
          <w:rFonts w:eastAsia="Calibri"/>
        </w:rPr>
        <w:t xml:space="preserve"> </w:t>
      </w:r>
    </w:p>
    <w:p w14:paraId="56DDC166" w14:textId="77777777" w:rsidR="006571FF" w:rsidRPr="008817D0" w:rsidRDefault="006571FF" w:rsidP="006571FF">
      <w:pPr>
        <w:spacing w:after="240" w:line="300" w:lineRule="auto"/>
        <w:rPr>
          <w:rFonts w:eastAsia="Calibri"/>
        </w:rPr>
      </w:pPr>
      <w:r>
        <w:rPr>
          <w:rFonts w:eastAsia="Calibri"/>
        </w:rPr>
        <w:t xml:space="preserve"> </w:t>
      </w:r>
      <w:r w:rsidRPr="008817D0">
        <w:rPr>
          <w:rFonts w:eastAsia="Calibri"/>
        </w:rPr>
        <w:t>The</w:t>
      </w:r>
      <w:r>
        <w:rPr>
          <w:rFonts w:eastAsia="Calibri"/>
        </w:rPr>
        <w:t xml:space="preserve"> WEIM </w:t>
      </w:r>
      <w:r w:rsidRPr="008817D0">
        <w:rPr>
          <w:rFonts w:eastAsia="Calibri"/>
        </w:rPr>
        <w:t>design elements that ensure resource sufficiency include:</w:t>
      </w:r>
    </w:p>
    <w:p w14:paraId="14513F26" w14:textId="6C5A2F69" w:rsidR="006571FF" w:rsidRPr="00481EEA" w:rsidRDefault="006571FF" w:rsidP="006571FF">
      <w:pPr>
        <w:pStyle w:val="ListParagraph"/>
        <w:numPr>
          <w:ilvl w:val="0"/>
          <w:numId w:val="12"/>
        </w:numPr>
        <w:rPr>
          <w:rFonts w:eastAsia="Calibri"/>
        </w:rPr>
      </w:pPr>
      <w:r w:rsidRPr="00481EEA">
        <w:rPr>
          <w:rFonts w:eastAsia="Calibri"/>
          <w:b/>
          <w:bCs/>
        </w:rPr>
        <w:t>Load Base Schedule Adjustments</w:t>
      </w:r>
      <w:r>
        <w:rPr>
          <w:rFonts w:eastAsia="Calibri"/>
          <w:b/>
          <w:bCs/>
        </w:rPr>
        <w:t xml:space="preserve"> (WEIM Entity BAAs)</w:t>
      </w:r>
      <w:r w:rsidRPr="00481EEA">
        <w:rPr>
          <w:rFonts w:eastAsia="Calibri"/>
          <w:b/>
          <w:bCs/>
        </w:rPr>
        <w:t xml:space="preserve">:  </w:t>
      </w:r>
      <w:r w:rsidRPr="00481EEA">
        <w:rPr>
          <w:rFonts w:eastAsia="Calibri"/>
        </w:rPr>
        <w:t xml:space="preserve">If Base Schedules from generation and intertie resources in </w:t>
      </w:r>
      <w:r w:rsidR="00153940">
        <w:rPr>
          <w:rFonts w:eastAsia="Calibri"/>
        </w:rPr>
        <w:t>a WEIM</w:t>
      </w:r>
      <w:r>
        <w:rPr>
          <w:rFonts w:eastAsia="Calibri"/>
        </w:rPr>
        <w:t xml:space="preserve"> </w:t>
      </w:r>
      <w:r w:rsidRPr="00481EEA">
        <w:rPr>
          <w:rFonts w:eastAsia="Calibri"/>
        </w:rPr>
        <w:t xml:space="preserve">Resource Plan do not balance the load </w:t>
      </w:r>
      <w:r w:rsidRPr="00481EEA">
        <w:rPr>
          <w:rFonts w:eastAsia="Calibri"/>
        </w:rPr>
        <w:lastRenderedPageBreak/>
        <w:t>forecast, CAISO will adjust the load Base Schedule to equal the scheduled generation and interchange, reduced by transmission losses. The resulting difference will be settled through the</w:t>
      </w:r>
      <w:r>
        <w:rPr>
          <w:rFonts w:eastAsia="Calibri"/>
        </w:rPr>
        <w:t xml:space="preserve"> WEIM </w:t>
      </w:r>
      <w:r w:rsidRPr="00481EEA">
        <w:rPr>
          <w:rFonts w:eastAsia="Calibri"/>
        </w:rPr>
        <w:t xml:space="preserve">along with any applicable under-scheduling or over-scheduling penalties as applicable. The load Base Schedule is only used as a reference for calculating load imbalance energy for settlement. </w:t>
      </w:r>
      <w:r w:rsidR="00D602B8">
        <w:rPr>
          <w:rFonts w:eastAsia="Calibri"/>
        </w:rPr>
        <w:t xml:space="preserve">Generator base schedules will not be adjusted for outages and manual dispatches in the load base schedule calculation; however, outages and manual dispatches will be used in RSE tests including the Balancing Test.   Intertie base schedules will not be adjusted for a missing or reduced Transmission Profile E-tag in the load base schedule calculation; however, intertie resources will be evaluated using the Transmission Profile E-tag in RSE tests including the Balancing Test. </w:t>
      </w:r>
      <w:r w:rsidRPr="00481EEA">
        <w:rPr>
          <w:rFonts w:eastAsia="Calibri"/>
        </w:rPr>
        <w:t>The market solution will use the applicable demand forecast for each interval in the market horizon.</w:t>
      </w:r>
    </w:p>
    <w:p w14:paraId="0BF04729" w14:textId="77777777" w:rsidR="006571FF" w:rsidRDefault="006571FF" w:rsidP="006571FF">
      <w:pPr>
        <w:ind w:left="1080"/>
        <w:rPr>
          <w:rFonts w:eastAsia="Calibri"/>
        </w:rPr>
      </w:pPr>
      <w:r w:rsidRPr="004A2ED2">
        <w:rPr>
          <w:rFonts w:eastAsia="Calibri"/>
        </w:rPr>
        <w:t>The forecasted demand for the trading hour may change based on the system conditions, so this information is updated up to 60 minutes before the trading</w:t>
      </w:r>
      <w:r>
        <w:rPr>
          <w:rFonts w:eastAsia="Calibri"/>
        </w:rPr>
        <w:t xml:space="preserve"> hour</w:t>
      </w:r>
      <w:r w:rsidRPr="004A2ED2">
        <w:rPr>
          <w:rFonts w:eastAsia="Calibri"/>
        </w:rPr>
        <w:t>. At 40 minutes before the trading hour, the forecast demand updated at 60 minutes before the trading hour is used to evaluate under-scheduling and over-scheduling penalties.</w:t>
      </w:r>
    </w:p>
    <w:p w14:paraId="1BE6A5C5" w14:textId="6C1606FA" w:rsidR="006571FF" w:rsidRPr="00C6698F" w:rsidRDefault="006571FF" w:rsidP="006571FF">
      <w:pPr>
        <w:numPr>
          <w:ilvl w:val="0"/>
          <w:numId w:val="100"/>
        </w:numPr>
        <w:spacing w:after="0" w:line="240" w:lineRule="auto"/>
        <w:rPr>
          <w:rFonts w:ascii="Calibri" w:hAnsi="Calibri" w:cs="Calibri"/>
        </w:rPr>
      </w:pPr>
      <w:r w:rsidRPr="00AF6A94">
        <w:rPr>
          <w:rFonts w:ascii="Calibri" w:hAnsi="Calibri" w:cs="Calibri"/>
          <w:b/>
          <w:bCs/>
        </w:rPr>
        <w:t xml:space="preserve">Accounting for Non-Participating DR Scheduling in the Resource Sufficiency Evaluation (RSE) for </w:t>
      </w:r>
      <w:r>
        <w:rPr>
          <w:rFonts w:ascii="Calibri" w:hAnsi="Calibri" w:cs="Calibri"/>
          <w:b/>
          <w:bCs/>
        </w:rPr>
        <w:t>W</w:t>
      </w:r>
      <w:r w:rsidRPr="00AF6A94">
        <w:rPr>
          <w:rFonts w:ascii="Calibri" w:hAnsi="Calibri" w:cs="Calibri"/>
          <w:b/>
          <w:bCs/>
        </w:rPr>
        <w:t>EIM Entit</w:t>
      </w:r>
      <w:r>
        <w:rPr>
          <w:rFonts w:ascii="Calibri" w:hAnsi="Calibri" w:cs="Calibri"/>
          <w:b/>
          <w:bCs/>
        </w:rPr>
        <w:t>y BAA</w:t>
      </w:r>
      <w:r w:rsidRPr="00AF6A94">
        <w:rPr>
          <w:rFonts w:ascii="Calibri" w:hAnsi="Calibri" w:cs="Calibri"/>
          <w:b/>
          <w:bCs/>
        </w:rPr>
        <w:t xml:space="preserve">s:  </w:t>
      </w:r>
      <w:r w:rsidRPr="00AF6A94">
        <w:rPr>
          <w:rFonts w:ascii="Calibri" w:hAnsi="Calibri" w:cs="Calibri"/>
          <w:color w:val="000000" w:themeColor="text1"/>
        </w:rPr>
        <w:t>Non-</w:t>
      </w:r>
      <w:r>
        <w:rPr>
          <w:rFonts w:ascii="Calibri" w:hAnsi="Calibri" w:cs="Calibri"/>
          <w:color w:val="000000" w:themeColor="text1"/>
        </w:rPr>
        <w:t>p</w:t>
      </w:r>
      <w:r w:rsidRPr="00AF6A94">
        <w:rPr>
          <w:rFonts w:ascii="Calibri" w:hAnsi="Calibri" w:cs="Calibri"/>
          <w:color w:val="000000" w:themeColor="text1"/>
        </w:rPr>
        <w:t xml:space="preserve">articipating DR (e.g., Demand </w:t>
      </w:r>
      <w:r>
        <w:rPr>
          <w:rFonts w:ascii="Calibri" w:hAnsi="Calibri" w:cs="Calibri"/>
          <w:color w:val="000000" w:themeColor="text1"/>
        </w:rPr>
        <w:t>r</w:t>
      </w:r>
      <w:r w:rsidRPr="00AF6A94">
        <w:rPr>
          <w:rFonts w:ascii="Calibri" w:hAnsi="Calibri" w:cs="Calibri"/>
          <w:color w:val="000000" w:themeColor="text1"/>
        </w:rPr>
        <w:t xml:space="preserve">esponse </w:t>
      </w:r>
      <w:r>
        <w:rPr>
          <w:rFonts w:ascii="Calibri" w:hAnsi="Calibri" w:cs="Calibri"/>
          <w:color w:val="000000" w:themeColor="text1"/>
        </w:rPr>
        <w:t xml:space="preserve">in </w:t>
      </w:r>
      <w:r w:rsidR="00153940">
        <w:rPr>
          <w:rFonts w:ascii="Calibri" w:hAnsi="Calibri" w:cs="Calibri"/>
          <w:color w:val="000000" w:themeColor="text1"/>
        </w:rPr>
        <w:t>a WEIM</w:t>
      </w:r>
      <w:r>
        <w:rPr>
          <w:rFonts w:ascii="Calibri" w:hAnsi="Calibri" w:cs="Calibri"/>
          <w:color w:val="000000" w:themeColor="text1"/>
        </w:rPr>
        <w:t xml:space="preserve"> Entity BAA</w:t>
      </w:r>
      <w:r w:rsidRPr="00AF6A94">
        <w:rPr>
          <w:rFonts w:ascii="Calibri" w:hAnsi="Calibri" w:cs="Calibri"/>
          <w:color w:val="000000" w:themeColor="text1"/>
        </w:rPr>
        <w:t xml:space="preserve"> that is not able to be represented by PDR or RDRR models) may be accounted for as reductions to the Load Forecast utilized in the Balancing, Capacity and Flexible Ramping RSE tests.  This functionality is based upon a MasterFile inclusion flag, wh</w:t>
      </w:r>
      <w:r>
        <w:rPr>
          <w:rFonts w:ascii="Calibri" w:hAnsi="Calibri" w:cs="Calibri"/>
          <w:color w:val="000000" w:themeColor="text1"/>
        </w:rPr>
        <w:t>ich requires</w:t>
      </w:r>
      <w:r w:rsidRPr="00AF6A94">
        <w:rPr>
          <w:rFonts w:ascii="Calibri" w:hAnsi="Calibri" w:cs="Calibri"/>
          <w:color w:val="000000" w:themeColor="text1"/>
        </w:rPr>
        <w:t xml:space="preserve"> each </w:t>
      </w:r>
      <w:r>
        <w:rPr>
          <w:rFonts w:ascii="Calibri" w:hAnsi="Calibri" w:cs="Calibri"/>
          <w:color w:val="000000" w:themeColor="text1"/>
        </w:rPr>
        <w:t>participating W</w:t>
      </w:r>
      <w:r w:rsidRPr="00AF6A94">
        <w:rPr>
          <w:rFonts w:ascii="Calibri" w:hAnsi="Calibri" w:cs="Calibri"/>
          <w:color w:val="000000" w:themeColor="text1"/>
        </w:rPr>
        <w:t xml:space="preserve">EIM </w:t>
      </w:r>
      <w:r>
        <w:rPr>
          <w:rFonts w:ascii="Calibri" w:hAnsi="Calibri" w:cs="Calibri"/>
          <w:color w:val="000000" w:themeColor="text1"/>
        </w:rPr>
        <w:t>E</w:t>
      </w:r>
      <w:r w:rsidRPr="00AF6A94">
        <w:rPr>
          <w:rFonts w:ascii="Calibri" w:hAnsi="Calibri" w:cs="Calibri"/>
          <w:color w:val="000000" w:themeColor="text1"/>
        </w:rPr>
        <w:t xml:space="preserve">ntity’s attestation that only </w:t>
      </w:r>
      <w:r>
        <w:rPr>
          <w:rFonts w:ascii="Calibri" w:hAnsi="Calibri" w:cs="Calibri"/>
          <w:color w:val="000000" w:themeColor="text1"/>
        </w:rPr>
        <w:t>expected increases or reductions in demand provided by its demand response program(s)</w:t>
      </w:r>
      <w:r w:rsidRPr="00AF6A94">
        <w:rPr>
          <w:rFonts w:ascii="Calibri" w:hAnsi="Calibri" w:cs="Calibri"/>
          <w:color w:val="000000" w:themeColor="text1"/>
        </w:rPr>
        <w:t xml:space="preserve"> will be submitted</w:t>
      </w:r>
      <w:r>
        <w:rPr>
          <w:rFonts w:ascii="Calibri" w:hAnsi="Calibri" w:cs="Calibri"/>
          <w:color w:val="000000" w:themeColor="text1"/>
        </w:rPr>
        <w:t>.</w:t>
      </w:r>
      <w:r w:rsidRPr="00AF6A94">
        <w:rPr>
          <w:rFonts w:ascii="Calibri" w:hAnsi="Calibri" w:cs="Calibri"/>
          <w:color w:val="000000" w:themeColor="text1"/>
        </w:rPr>
        <w:t xml:space="preserve"> </w:t>
      </w:r>
      <w:r>
        <w:rPr>
          <w:rFonts w:ascii="Calibri" w:hAnsi="Calibri" w:cs="Calibri"/>
          <w:color w:val="000000" w:themeColor="text1"/>
        </w:rPr>
        <w:t>H</w:t>
      </w:r>
      <w:r w:rsidRPr="00AF6A94">
        <w:rPr>
          <w:rFonts w:ascii="Calibri" w:hAnsi="Calibri" w:cs="Calibri"/>
          <w:color w:val="000000" w:themeColor="text1"/>
        </w:rPr>
        <w:t xml:space="preserve">ourly values may be provided </w:t>
      </w:r>
      <w:r>
        <w:rPr>
          <w:rFonts w:ascii="Calibri" w:hAnsi="Calibri" w:cs="Calibri"/>
          <w:color w:val="000000" w:themeColor="text1"/>
        </w:rPr>
        <w:t>for</w:t>
      </w:r>
      <w:r w:rsidRPr="00AF6A94">
        <w:rPr>
          <w:rFonts w:ascii="Calibri" w:hAnsi="Calibri" w:cs="Calibri"/>
          <w:color w:val="000000" w:themeColor="text1"/>
        </w:rPr>
        <w:t xml:space="preserve"> each WEIM </w:t>
      </w:r>
      <w:r>
        <w:rPr>
          <w:rFonts w:ascii="Calibri" w:hAnsi="Calibri" w:cs="Calibri"/>
          <w:color w:val="000000" w:themeColor="text1"/>
        </w:rPr>
        <w:t>E</w:t>
      </w:r>
      <w:r w:rsidRPr="00AF6A94">
        <w:rPr>
          <w:rFonts w:ascii="Calibri" w:hAnsi="Calibri" w:cs="Calibri"/>
          <w:color w:val="000000" w:themeColor="text1"/>
        </w:rPr>
        <w:t xml:space="preserve">ntity load forecast zone.  </w:t>
      </w:r>
      <w:r>
        <w:rPr>
          <w:rFonts w:ascii="Calibri" w:hAnsi="Calibri" w:cs="Calibri"/>
          <w:color w:val="000000" w:themeColor="text1"/>
        </w:rPr>
        <w:t>W</w:t>
      </w:r>
      <w:r w:rsidRPr="00AF6A94">
        <w:rPr>
          <w:rFonts w:ascii="Calibri" w:hAnsi="Calibri" w:cs="Calibri"/>
          <w:color w:val="000000" w:themeColor="text1"/>
        </w:rPr>
        <w:t xml:space="preserve">EIM </w:t>
      </w:r>
      <w:r>
        <w:rPr>
          <w:rFonts w:ascii="Calibri" w:hAnsi="Calibri" w:cs="Calibri"/>
          <w:color w:val="000000" w:themeColor="text1"/>
        </w:rPr>
        <w:t xml:space="preserve">Entity </w:t>
      </w:r>
      <w:r w:rsidRPr="00AF6A94">
        <w:rPr>
          <w:rFonts w:ascii="Calibri" w:hAnsi="Calibri" w:cs="Calibri"/>
          <w:color w:val="000000" w:themeColor="text1"/>
        </w:rPr>
        <w:t xml:space="preserve">operators </w:t>
      </w:r>
      <w:r>
        <w:rPr>
          <w:rFonts w:ascii="Calibri" w:hAnsi="Calibri" w:cs="Calibri"/>
          <w:color w:val="000000" w:themeColor="text1"/>
        </w:rPr>
        <w:t xml:space="preserve">will </w:t>
      </w:r>
      <w:r w:rsidRPr="00AF6A94">
        <w:rPr>
          <w:rFonts w:ascii="Calibri" w:hAnsi="Calibri" w:cs="Calibri"/>
          <w:color w:val="000000" w:themeColor="text1"/>
        </w:rPr>
        <w:t xml:space="preserve">submit </w:t>
      </w:r>
      <w:r>
        <w:rPr>
          <w:rFonts w:ascii="Calibri" w:hAnsi="Calibri" w:cs="Calibri"/>
          <w:color w:val="000000" w:themeColor="text1"/>
        </w:rPr>
        <w:t>these d</w:t>
      </w:r>
      <w:r w:rsidRPr="00AF6A94">
        <w:rPr>
          <w:rFonts w:ascii="Calibri" w:hAnsi="Calibri" w:cs="Calibri"/>
          <w:color w:val="000000" w:themeColor="text1"/>
        </w:rPr>
        <w:t xml:space="preserve">emand </w:t>
      </w:r>
      <w:r>
        <w:rPr>
          <w:rFonts w:ascii="Calibri" w:hAnsi="Calibri" w:cs="Calibri"/>
          <w:color w:val="000000" w:themeColor="text1"/>
        </w:rPr>
        <w:t>r</w:t>
      </w:r>
      <w:r w:rsidRPr="00AF6A94">
        <w:rPr>
          <w:rFonts w:ascii="Calibri" w:hAnsi="Calibri" w:cs="Calibri"/>
          <w:color w:val="000000" w:themeColor="text1"/>
        </w:rPr>
        <w:t>esponse adjustments via the BAAOP UI during events when such DR is called upon for RSE consideration only</w:t>
      </w:r>
      <w:r>
        <w:rPr>
          <w:rFonts w:ascii="Calibri" w:hAnsi="Calibri" w:cs="Calibri"/>
          <w:color w:val="000000" w:themeColor="text1"/>
        </w:rPr>
        <w:t xml:space="preserve">; </w:t>
      </w:r>
      <w:r>
        <w:rPr>
          <w:rFonts w:ascii="Calibri" w:hAnsi="Calibri" w:cs="Calibri"/>
          <w:i/>
          <w:color w:val="000000" w:themeColor="text1"/>
        </w:rPr>
        <w:t>i.e.,</w:t>
      </w:r>
      <w:r>
        <w:rPr>
          <w:rFonts w:ascii="Calibri" w:hAnsi="Calibri" w:cs="Calibri"/>
          <w:color w:val="000000" w:themeColor="text1"/>
        </w:rPr>
        <w:t xml:space="preserve"> these values</w:t>
      </w:r>
      <w:r w:rsidRPr="00AF6A94">
        <w:rPr>
          <w:rFonts w:ascii="Calibri" w:hAnsi="Calibri" w:cs="Calibri"/>
          <w:color w:val="000000" w:themeColor="text1"/>
        </w:rPr>
        <w:t xml:space="preserve"> will not be passed to RTD, RTPD or STUC.  </w:t>
      </w:r>
      <w:r w:rsidRPr="007F4EE0">
        <w:rPr>
          <w:rFonts w:ascii="Calibri" w:eastAsia="Calibri" w:hAnsi="Calibri" w:cs="Times New Roman"/>
          <w:color w:val="C00000"/>
        </w:rPr>
        <w:t xml:space="preserve">See Appendix C for Attestation </w:t>
      </w:r>
      <w:r>
        <w:rPr>
          <w:rFonts w:ascii="Calibri" w:eastAsia="Calibri" w:hAnsi="Calibri" w:cs="Times New Roman"/>
          <w:color w:val="C00000"/>
        </w:rPr>
        <w:t xml:space="preserve">for further </w:t>
      </w:r>
      <w:r w:rsidRPr="007F4EE0">
        <w:rPr>
          <w:rFonts w:ascii="Calibri" w:eastAsia="Calibri" w:hAnsi="Calibri" w:cs="Times New Roman"/>
          <w:color w:val="C00000"/>
        </w:rPr>
        <w:t>details</w:t>
      </w:r>
      <w:r>
        <w:rPr>
          <w:rFonts w:ascii="Calibri" w:eastAsia="Calibri" w:hAnsi="Calibri" w:cs="Times New Roman"/>
          <w:color w:val="C00000"/>
        </w:rPr>
        <w:t xml:space="preserve"> on this process</w:t>
      </w:r>
      <w:r w:rsidRPr="007F4EE0">
        <w:rPr>
          <w:rFonts w:ascii="Calibri" w:eastAsia="Calibri" w:hAnsi="Calibri" w:cs="Times New Roman"/>
          <w:color w:val="C00000"/>
        </w:rPr>
        <w:t>.</w:t>
      </w:r>
    </w:p>
    <w:p w14:paraId="7A72410B" w14:textId="77777777" w:rsidR="006571FF" w:rsidRDefault="006571FF" w:rsidP="006571FF">
      <w:pPr>
        <w:spacing w:after="0" w:line="240" w:lineRule="auto"/>
        <w:ind w:left="1080"/>
        <w:rPr>
          <w:rFonts w:ascii="Calibri" w:hAnsi="Calibri" w:cs="Calibri"/>
          <w:b/>
          <w:bCs/>
        </w:rPr>
      </w:pPr>
    </w:p>
    <w:p w14:paraId="0C3631F8" w14:textId="05225847" w:rsidR="006571FF" w:rsidRDefault="006571FF" w:rsidP="006571FF">
      <w:pPr>
        <w:spacing w:after="0" w:line="240" w:lineRule="auto"/>
        <w:ind w:left="1080"/>
        <w:rPr>
          <w:rFonts w:ascii="Calibri" w:hAnsi="Calibri" w:cs="Calibri"/>
        </w:rPr>
      </w:pPr>
      <w:r>
        <w:rPr>
          <w:rFonts w:ascii="Calibri" w:hAnsi="Calibri" w:cs="Calibri"/>
          <w:color w:val="000000" w:themeColor="text1"/>
        </w:rPr>
        <w:t xml:space="preserve">Demand Response adjustments shall be submitted to the Short Term Forecast Team for inclusion in RTD, RTPD or STUC when such DR is </w:t>
      </w:r>
      <w:r w:rsidRPr="00C6698F">
        <w:rPr>
          <w:rFonts w:ascii="Calibri" w:hAnsi="Calibri" w:cs="Calibri"/>
          <w:color w:val="000000" w:themeColor="text1"/>
          <w:u w:val="single"/>
        </w:rPr>
        <w:t>not</w:t>
      </w:r>
      <w:r>
        <w:rPr>
          <w:rFonts w:ascii="Calibri" w:hAnsi="Calibri" w:cs="Calibri"/>
          <w:color w:val="000000" w:themeColor="text1"/>
        </w:rPr>
        <w:t xml:space="preserve"> entered via the BAAOP UI under the following conditions.  1) Demand Response is less than 5% of the Demand Forecast expected for the submitted time period, 2) Demand response submissions were not included in the ALFS Load Forecast software, described in Section 11.6.  </w:t>
      </w:r>
      <w:r w:rsidRPr="00AF6A94">
        <w:rPr>
          <w:rFonts w:ascii="Calibri" w:hAnsi="Calibri" w:cs="Calibri"/>
          <w:color w:val="000000" w:themeColor="text1"/>
        </w:rPr>
        <w:t xml:space="preserve">The RSE system will use the latest updated DR load forecast adjustment available for the </w:t>
      </w:r>
      <w:r w:rsidRPr="00AF6A94">
        <w:rPr>
          <w:rFonts w:ascii="Calibri" w:hAnsi="Calibri" w:cs="Calibri"/>
          <w:color w:val="000000" w:themeColor="text1"/>
        </w:rPr>
        <w:lastRenderedPageBreak/>
        <w:t xml:space="preserve">T-75’, T-55’ and T-40’ </w:t>
      </w:r>
      <w:r w:rsidRPr="00084859">
        <w:rPr>
          <w:rFonts w:ascii="Calibri" w:hAnsi="Calibri" w:cs="Calibri"/>
          <w:color w:val="000000" w:themeColor="text1"/>
        </w:rPr>
        <w:t xml:space="preserve">executions.  </w:t>
      </w:r>
      <w:r w:rsidRPr="00084859">
        <w:rPr>
          <w:color w:val="000000" w:themeColor="text1"/>
        </w:rPr>
        <w:t xml:space="preserve">For further details on this process, refer to the </w:t>
      </w:r>
      <w:r w:rsidRPr="00084859">
        <w:rPr>
          <w:i/>
          <w:color w:val="000000" w:themeColor="text1"/>
        </w:rPr>
        <w:t>Demand Response BPM, Section 18.</w:t>
      </w:r>
    </w:p>
    <w:p w14:paraId="1627AB06" w14:textId="69CEB3A9" w:rsidR="006571FF" w:rsidRDefault="006571FF" w:rsidP="006571FF">
      <w:pPr>
        <w:rPr>
          <w:rFonts w:eastAsia="Calibri"/>
        </w:rPr>
      </w:pPr>
    </w:p>
    <w:p w14:paraId="62FE85A3" w14:textId="77777777" w:rsidR="00306135" w:rsidRPr="009B26E7" w:rsidRDefault="00306135" w:rsidP="009B26E7">
      <w:pPr>
        <w:pStyle w:val="ListParagraph"/>
        <w:numPr>
          <w:ilvl w:val="0"/>
          <w:numId w:val="100"/>
        </w:numPr>
        <w:spacing w:after="0" w:line="240" w:lineRule="auto"/>
        <w:rPr>
          <w:rFonts w:cstheme="minorHAnsi"/>
          <w:b/>
        </w:rPr>
      </w:pPr>
      <w:r w:rsidRPr="009B26E7">
        <w:rPr>
          <w:rFonts w:cstheme="minorHAnsi"/>
          <w:b/>
        </w:rPr>
        <w:t>WEIM Assistance Energy Transfer</w:t>
      </w:r>
    </w:p>
    <w:p w14:paraId="5959ADB5" w14:textId="77777777" w:rsidR="00306135" w:rsidRPr="00B74380" w:rsidRDefault="00306135" w:rsidP="009B26E7">
      <w:pPr>
        <w:spacing w:after="0" w:line="240" w:lineRule="auto"/>
        <w:ind w:left="1080"/>
        <w:rPr>
          <w:rFonts w:cstheme="minorHAnsi"/>
          <w:u w:val="single"/>
        </w:rPr>
      </w:pPr>
    </w:p>
    <w:p w14:paraId="25188CF4" w14:textId="77777777" w:rsidR="0023325B" w:rsidRPr="00C378C7" w:rsidRDefault="0023325B" w:rsidP="0023325B">
      <w:pPr>
        <w:ind w:left="1080"/>
      </w:pPr>
      <w:r w:rsidRPr="00C378C7">
        <w:t xml:space="preserve">Assistance energy transfers allow the WEIM to provide reliability benefits to balancing authority areas (BAAs) deficient in capacity or flexibility. More specifically, BAAs that have voluntarily opted into receiving assistance energy transfers will not have their WEIM transfers limited when they fail the resource sufficiency evaluation (RSE) upward capacity test or the RSE upward flexibility test, and will instead have access to excess supply offered by other WEIM entities. For this reason, assistance energy transfers leverage a key benefit of the WEIM: the CAISO real-time market’s ability to optimally dispatch all of the supply available and provide access to supply that may not otherwise be available in the bilateral market outside of the WEIM. </w:t>
      </w:r>
    </w:p>
    <w:p w14:paraId="39E43A7E" w14:textId="3D9A42E0" w:rsidR="0023325B" w:rsidRPr="00C378C7" w:rsidRDefault="0023325B" w:rsidP="0023325B">
      <w:pPr>
        <w:ind w:left="1080"/>
      </w:pPr>
      <w:r w:rsidRPr="00C378C7">
        <w:t>BAAs that have voluntarily opted into receiving assistance energy transfers will also be subject to an ex-post surcharge (the “WEIM Assistance Energy Transfer Surcharge”) when they fail the RSE</w:t>
      </w:r>
      <w:r w:rsidR="00A60D87" w:rsidRPr="00A60D87">
        <w:t>, other than amounts directly attributable to actions taken in coordination with the Reliability Coordinator</w:t>
      </w:r>
      <w:r w:rsidRPr="00C378C7">
        <w:t xml:space="preserve">. This ex-post surcharge will be in addition to the applicable LMP cleared in the market for assistance energy transfers. BAAs may voluntarily opt in or out of receiving assistance energy transfers by submitting assistance energy designation requests, as described below. </w:t>
      </w:r>
      <w:r w:rsidR="00A60D87">
        <w:t xml:space="preserve">  </w:t>
      </w:r>
      <w:r w:rsidR="00A60D87" w:rsidRPr="00A60D87">
        <w:t xml:space="preserve">Surcharges related to coordinated action with the entity’s reliability coordinator will be waived upon a case-by-case </w:t>
      </w:r>
      <w:r w:rsidR="00A60D87">
        <w:t xml:space="preserve">basis </w:t>
      </w:r>
      <w:r w:rsidR="00A60D87" w:rsidRPr="00A60D87">
        <w:t xml:space="preserve">through the CIDI process. To request a surcharge waiver due to coordinated action with the entity’s reliability coordinator, the BAA should attest to the amount requested for waiver by submitting a CIDI Settlement Dispute Ticket with details including charge code, disputed amount, trade date, trade hours, RC coordinated action, To/From BAA, tag names, curtailments, and any additional information necessary to support granting the requested waiver amount. </w:t>
      </w:r>
    </w:p>
    <w:p w14:paraId="03A4C30D" w14:textId="77777777" w:rsidR="0023325B" w:rsidRPr="00C2098F" w:rsidRDefault="0023325B" w:rsidP="0023325B">
      <w:pPr>
        <w:spacing w:after="0" w:line="240" w:lineRule="auto"/>
        <w:ind w:left="1080"/>
        <w:rPr>
          <w:b/>
        </w:rPr>
      </w:pPr>
      <w:r w:rsidRPr="00C2098F">
        <w:rPr>
          <w:b/>
        </w:rPr>
        <w:t xml:space="preserve">Assistance </w:t>
      </w:r>
      <w:r>
        <w:rPr>
          <w:b/>
        </w:rPr>
        <w:t>E</w:t>
      </w:r>
      <w:r w:rsidRPr="00C2098F">
        <w:rPr>
          <w:b/>
        </w:rPr>
        <w:t xml:space="preserve">nergy </w:t>
      </w:r>
      <w:r>
        <w:rPr>
          <w:b/>
        </w:rPr>
        <w:t>D</w:t>
      </w:r>
      <w:r w:rsidRPr="00C2098F">
        <w:rPr>
          <w:b/>
        </w:rPr>
        <w:t xml:space="preserve">esignation </w:t>
      </w:r>
      <w:r>
        <w:rPr>
          <w:b/>
        </w:rPr>
        <w:t>R</w:t>
      </w:r>
      <w:r w:rsidRPr="00C2098F">
        <w:rPr>
          <w:b/>
        </w:rPr>
        <w:t>equests</w:t>
      </w:r>
    </w:p>
    <w:p w14:paraId="62DB83F1" w14:textId="77777777" w:rsidR="0023325B" w:rsidRDefault="0023325B" w:rsidP="0023325B">
      <w:pPr>
        <w:spacing w:after="0" w:line="240" w:lineRule="auto"/>
        <w:ind w:left="1080"/>
        <w:rPr>
          <w:u w:val="single"/>
        </w:rPr>
      </w:pPr>
    </w:p>
    <w:p w14:paraId="1A619390" w14:textId="62046D3B" w:rsidR="0023325B" w:rsidRDefault="0023325B" w:rsidP="0023325B">
      <w:pPr>
        <w:spacing w:after="0" w:line="240" w:lineRule="auto"/>
        <w:ind w:left="1080"/>
      </w:pPr>
      <w:r w:rsidRPr="008C412F">
        <w:t xml:space="preserve">A Balancing Authority Area </w:t>
      </w:r>
      <w:r>
        <w:t xml:space="preserve">(BAA) </w:t>
      </w:r>
      <w:r w:rsidRPr="008C412F">
        <w:t xml:space="preserve">in the </w:t>
      </w:r>
      <w:r>
        <w:t>W</w:t>
      </w:r>
      <w:r w:rsidRPr="008C412F">
        <w:t xml:space="preserve">EIM Area may obtain assistance </w:t>
      </w:r>
      <w:r>
        <w:t>e</w:t>
      </w:r>
      <w:r w:rsidRPr="008C412F">
        <w:t xml:space="preserve">nergy transfers into its </w:t>
      </w:r>
      <w:r>
        <w:t>BAA</w:t>
      </w:r>
      <w:r w:rsidRPr="008C412F">
        <w:t xml:space="preserve"> if it</w:t>
      </w:r>
      <w:r>
        <w:t xml:space="preserve"> </w:t>
      </w:r>
      <w:r w:rsidRPr="008C412F">
        <w:t>has submitted</w:t>
      </w:r>
      <w:r>
        <w:t xml:space="preserve">, and the CAISO has processed, the applicable assistance energy </w:t>
      </w:r>
      <w:r w:rsidRPr="008C412F">
        <w:t>designation</w:t>
      </w:r>
      <w:r>
        <w:t xml:space="preserve"> request. Such designation requests must be made for a minimum of a full</w:t>
      </w:r>
      <w:r w:rsidRPr="008C412F">
        <w:t xml:space="preserve"> </w:t>
      </w:r>
      <w:r>
        <w:t xml:space="preserve">trading day and cannot be broken apart into hourly or other intervals. Designation requests must be labeled as either “opt-in” or “opt-out” and </w:t>
      </w:r>
      <w:r>
        <w:lastRenderedPageBreak/>
        <w:t>must include both an effective start date and also an end date (the last day). For example, an opt-in designation request for one day would have the same start date and end date.</w:t>
      </w:r>
    </w:p>
    <w:p w14:paraId="2C66BB14" w14:textId="77777777" w:rsidR="0023325B" w:rsidRDefault="0023325B" w:rsidP="0023325B">
      <w:pPr>
        <w:spacing w:after="0" w:line="240" w:lineRule="auto"/>
        <w:ind w:left="1080"/>
      </w:pPr>
    </w:p>
    <w:p w14:paraId="7C23B7D8" w14:textId="58D52A95" w:rsidR="0023325B" w:rsidRDefault="0023325B" w:rsidP="0023325B">
      <w:pPr>
        <w:spacing w:after="0" w:line="240" w:lineRule="auto"/>
        <w:ind w:left="1080"/>
      </w:pPr>
      <w:r>
        <w:t xml:space="preserve">For each BAA participating in the WEIM, the default election for each trading day will be “opt-out” unless an “opt-in” designation request is submitted to, and processed by, the CAISO. </w:t>
      </w:r>
    </w:p>
    <w:p w14:paraId="0150C18C" w14:textId="77777777" w:rsidR="0023325B" w:rsidRDefault="0023325B" w:rsidP="0023325B">
      <w:pPr>
        <w:spacing w:after="0" w:line="240" w:lineRule="auto"/>
        <w:ind w:left="1080"/>
      </w:pPr>
    </w:p>
    <w:p w14:paraId="121DD6E1" w14:textId="77777777" w:rsidR="0023325B" w:rsidRPr="00523BA6" w:rsidRDefault="0023325B" w:rsidP="0023325B">
      <w:pPr>
        <w:spacing w:after="0" w:line="240" w:lineRule="auto"/>
        <w:ind w:left="1080"/>
        <w:rPr>
          <w:b/>
        </w:rPr>
      </w:pPr>
      <w:r>
        <w:rPr>
          <w:b/>
        </w:rPr>
        <w:t xml:space="preserve">Submitting Standard Assistance Energy Transfer Designations </w:t>
      </w:r>
    </w:p>
    <w:p w14:paraId="1DC92000" w14:textId="77777777" w:rsidR="0023325B" w:rsidRDefault="0023325B" w:rsidP="0023325B">
      <w:pPr>
        <w:spacing w:after="0" w:line="240" w:lineRule="auto"/>
        <w:ind w:left="1080"/>
      </w:pPr>
    </w:p>
    <w:p w14:paraId="47DD7010" w14:textId="70841ECB" w:rsidR="0023325B" w:rsidRDefault="0023325B" w:rsidP="0023325B">
      <w:pPr>
        <w:spacing w:after="0" w:line="240" w:lineRule="auto"/>
        <w:ind w:left="1080"/>
      </w:pPr>
      <w:r>
        <w:t xml:space="preserve">All standard designations must be submitted by 11am Pacific Time at least 5 business days in advance of the effective start date. Table 1 below provides several examples and highlights submission of designation requests prior to weekends and holidays. </w:t>
      </w:r>
      <w:r w:rsidRPr="00C5056E">
        <w:t xml:space="preserve">A BAA, including the CAISO BAA that submits a </w:t>
      </w:r>
      <w:r>
        <w:t xml:space="preserve">standard designation </w:t>
      </w:r>
      <w:r w:rsidRPr="00C5056E">
        <w:t>may subsequently submit an opt-out request that supersedes the earlier opt-in request</w:t>
      </w:r>
      <w:r>
        <w:t xml:space="preserve">.  </w:t>
      </w:r>
      <w:r w:rsidRPr="00C5056E">
        <w:t>For example, on 8/15/23 a BAA submits an opt-in designation request with an effective start date of 9/1/2023 and an end date of 9/30/2023. Subsequently, in mid-September this BAA decides that it wants to opt out of the final 6 days in September. Accordingly, before 11am PST on 9/18/2023, it submits an opt-out designation request with a start date of 9/25/2023 and an end date of 9/30/2023.</w:t>
      </w:r>
      <w:r>
        <w:t xml:space="preserve">  </w:t>
      </w:r>
    </w:p>
    <w:p w14:paraId="1520DFA8" w14:textId="77777777" w:rsidR="0023325B" w:rsidRDefault="0023325B" w:rsidP="0023325B">
      <w:pPr>
        <w:spacing w:after="0" w:line="240" w:lineRule="auto"/>
        <w:ind w:left="1080"/>
      </w:pPr>
    </w:p>
    <w:p w14:paraId="7D63E599" w14:textId="77777777" w:rsidR="003C5FE8" w:rsidRDefault="003C5FE8">
      <w:pPr>
        <w:spacing w:after="0" w:line="240" w:lineRule="auto"/>
        <w:rPr>
          <w:u w:val="single"/>
        </w:rPr>
      </w:pPr>
      <w:r>
        <w:rPr>
          <w:u w:val="single"/>
        </w:rPr>
        <w:br w:type="page"/>
      </w:r>
    </w:p>
    <w:p w14:paraId="567D4267" w14:textId="74D3D373" w:rsidR="0023325B" w:rsidRDefault="0023325B" w:rsidP="0023325B">
      <w:pPr>
        <w:spacing w:after="0" w:line="240" w:lineRule="auto"/>
        <w:ind w:left="1080"/>
        <w:rPr>
          <w:u w:val="single"/>
        </w:rPr>
      </w:pPr>
      <w:r w:rsidRPr="00936576">
        <w:rPr>
          <w:u w:val="single"/>
        </w:rPr>
        <w:lastRenderedPageBreak/>
        <w:t xml:space="preserve">Table </w:t>
      </w:r>
      <w:r>
        <w:rPr>
          <w:u w:val="single"/>
        </w:rPr>
        <w:t>1 – Standard Designations Requests</w:t>
      </w:r>
    </w:p>
    <w:p w14:paraId="1E6949A1" w14:textId="77777777" w:rsidR="0023325B" w:rsidRPr="00936576" w:rsidRDefault="0023325B" w:rsidP="0023325B">
      <w:pPr>
        <w:spacing w:after="0" w:line="240" w:lineRule="auto"/>
        <w:ind w:left="720"/>
        <w:rPr>
          <w:u w:val="single"/>
        </w:rPr>
      </w:pPr>
    </w:p>
    <w:tbl>
      <w:tblPr>
        <w:tblStyle w:val="TableGrid"/>
        <w:tblW w:w="9810" w:type="dxa"/>
        <w:tblInd w:w="715" w:type="dxa"/>
        <w:tblLayout w:type="fixed"/>
        <w:tblLook w:val="04A0" w:firstRow="1" w:lastRow="0" w:firstColumn="1" w:lastColumn="0" w:noHBand="0" w:noVBand="1"/>
      </w:tblPr>
      <w:tblGrid>
        <w:gridCol w:w="2245"/>
        <w:gridCol w:w="403"/>
        <w:gridCol w:w="403"/>
        <w:gridCol w:w="403"/>
        <w:gridCol w:w="403"/>
        <w:gridCol w:w="403"/>
        <w:gridCol w:w="403"/>
        <w:gridCol w:w="403"/>
        <w:gridCol w:w="403"/>
        <w:gridCol w:w="403"/>
        <w:gridCol w:w="403"/>
        <w:gridCol w:w="403"/>
        <w:gridCol w:w="403"/>
        <w:gridCol w:w="403"/>
        <w:gridCol w:w="403"/>
        <w:gridCol w:w="403"/>
        <w:gridCol w:w="403"/>
        <w:gridCol w:w="1117"/>
      </w:tblGrid>
      <w:tr w:rsidR="0023325B" w14:paraId="4A2616EB" w14:textId="77777777" w:rsidTr="00D45D9B">
        <w:tc>
          <w:tcPr>
            <w:tcW w:w="2245" w:type="dxa"/>
          </w:tcPr>
          <w:p w14:paraId="483A61A8" w14:textId="77777777" w:rsidR="0023325B" w:rsidRPr="00E374B5" w:rsidRDefault="0023325B" w:rsidP="00D45D9B">
            <w:pPr>
              <w:rPr>
                <w:b/>
                <w:sz w:val="21"/>
                <w:szCs w:val="21"/>
              </w:rPr>
            </w:pPr>
            <w:r w:rsidRPr="00E374B5">
              <w:rPr>
                <w:b/>
                <w:sz w:val="21"/>
                <w:szCs w:val="21"/>
              </w:rPr>
              <w:t>Examples</w:t>
            </w:r>
          </w:p>
        </w:tc>
        <w:tc>
          <w:tcPr>
            <w:tcW w:w="403" w:type="dxa"/>
          </w:tcPr>
          <w:p w14:paraId="02C13E68" w14:textId="77777777" w:rsidR="0023325B" w:rsidRPr="00E374B5" w:rsidRDefault="0023325B" w:rsidP="00D45D9B">
            <w:pPr>
              <w:rPr>
                <w:b/>
                <w:sz w:val="21"/>
                <w:szCs w:val="21"/>
              </w:rPr>
            </w:pPr>
            <w:r w:rsidRPr="00E374B5">
              <w:rPr>
                <w:b/>
                <w:sz w:val="21"/>
                <w:szCs w:val="21"/>
              </w:rPr>
              <w:t>M</w:t>
            </w:r>
          </w:p>
        </w:tc>
        <w:tc>
          <w:tcPr>
            <w:tcW w:w="403" w:type="dxa"/>
          </w:tcPr>
          <w:p w14:paraId="4A83BD20" w14:textId="77777777" w:rsidR="0023325B" w:rsidRPr="00E374B5" w:rsidRDefault="0023325B" w:rsidP="00D45D9B">
            <w:pPr>
              <w:rPr>
                <w:b/>
                <w:sz w:val="21"/>
                <w:szCs w:val="21"/>
              </w:rPr>
            </w:pPr>
            <w:r>
              <w:rPr>
                <w:b/>
                <w:sz w:val="21"/>
                <w:szCs w:val="21"/>
              </w:rPr>
              <w:t>T</w:t>
            </w:r>
          </w:p>
        </w:tc>
        <w:tc>
          <w:tcPr>
            <w:tcW w:w="403" w:type="dxa"/>
          </w:tcPr>
          <w:p w14:paraId="3AFB47F3" w14:textId="77777777" w:rsidR="0023325B" w:rsidRPr="00E374B5" w:rsidRDefault="0023325B" w:rsidP="00D45D9B">
            <w:pPr>
              <w:rPr>
                <w:b/>
                <w:sz w:val="21"/>
                <w:szCs w:val="21"/>
              </w:rPr>
            </w:pPr>
            <w:r w:rsidRPr="00E374B5">
              <w:rPr>
                <w:b/>
                <w:sz w:val="21"/>
                <w:szCs w:val="21"/>
              </w:rPr>
              <w:t>W</w:t>
            </w:r>
          </w:p>
        </w:tc>
        <w:tc>
          <w:tcPr>
            <w:tcW w:w="403" w:type="dxa"/>
          </w:tcPr>
          <w:p w14:paraId="5503FF28" w14:textId="77777777" w:rsidR="0023325B" w:rsidRPr="00E374B5" w:rsidRDefault="0023325B" w:rsidP="00D45D9B">
            <w:pPr>
              <w:rPr>
                <w:b/>
                <w:sz w:val="21"/>
                <w:szCs w:val="21"/>
              </w:rPr>
            </w:pPr>
            <w:r>
              <w:rPr>
                <w:b/>
                <w:sz w:val="21"/>
                <w:szCs w:val="21"/>
              </w:rPr>
              <w:t>T</w:t>
            </w:r>
          </w:p>
        </w:tc>
        <w:tc>
          <w:tcPr>
            <w:tcW w:w="403" w:type="dxa"/>
          </w:tcPr>
          <w:p w14:paraId="15607F1F" w14:textId="77777777" w:rsidR="0023325B" w:rsidRPr="00E374B5" w:rsidRDefault="0023325B" w:rsidP="00D45D9B">
            <w:pPr>
              <w:rPr>
                <w:b/>
                <w:sz w:val="21"/>
                <w:szCs w:val="21"/>
              </w:rPr>
            </w:pPr>
            <w:r w:rsidRPr="00E374B5">
              <w:rPr>
                <w:b/>
                <w:sz w:val="21"/>
                <w:szCs w:val="21"/>
              </w:rPr>
              <w:t>F</w:t>
            </w:r>
          </w:p>
        </w:tc>
        <w:tc>
          <w:tcPr>
            <w:tcW w:w="403" w:type="dxa"/>
            <w:tcBorders>
              <w:bottom w:val="single" w:sz="4" w:space="0" w:color="auto"/>
            </w:tcBorders>
          </w:tcPr>
          <w:p w14:paraId="31F976B8" w14:textId="77777777" w:rsidR="0023325B" w:rsidRPr="00E374B5" w:rsidRDefault="0023325B" w:rsidP="00D45D9B">
            <w:pPr>
              <w:rPr>
                <w:b/>
                <w:sz w:val="21"/>
                <w:szCs w:val="21"/>
              </w:rPr>
            </w:pPr>
            <w:r>
              <w:rPr>
                <w:b/>
                <w:sz w:val="21"/>
                <w:szCs w:val="21"/>
              </w:rPr>
              <w:t>S</w:t>
            </w:r>
          </w:p>
        </w:tc>
        <w:tc>
          <w:tcPr>
            <w:tcW w:w="403" w:type="dxa"/>
            <w:tcBorders>
              <w:bottom w:val="single" w:sz="4" w:space="0" w:color="auto"/>
            </w:tcBorders>
          </w:tcPr>
          <w:p w14:paraId="4A4C3BFF" w14:textId="77777777" w:rsidR="0023325B" w:rsidRPr="00E374B5" w:rsidRDefault="0023325B" w:rsidP="00D45D9B">
            <w:pPr>
              <w:rPr>
                <w:b/>
                <w:sz w:val="21"/>
                <w:szCs w:val="21"/>
              </w:rPr>
            </w:pPr>
            <w:r>
              <w:rPr>
                <w:b/>
                <w:sz w:val="21"/>
                <w:szCs w:val="21"/>
              </w:rPr>
              <w:t>S</w:t>
            </w:r>
          </w:p>
        </w:tc>
        <w:tc>
          <w:tcPr>
            <w:tcW w:w="403" w:type="dxa"/>
          </w:tcPr>
          <w:p w14:paraId="69A68697" w14:textId="77777777" w:rsidR="0023325B" w:rsidRPr="00E374B5" w:rsidRDefault="0023325B" w:rsidP="00D45D9B">
            <w:pPr>
              <w:rPr>
                <w:b/>
                <w:sz w:val="21"/>
                <w:szCs w:val="21"/>
              </w:rPr>
            </w:pPr>
            <w:r w:rsidRPr="00E374B5">
              <w:rPr>
                <w:b/>
                <w:sz w:val="21"/>
                <w:szCs w:val="21"/>
              </w:rPr>
              <w:t>M</w:t>
            </w:r>
          </w:p>
        </w:tc>
        <w:tc>
          <w:tcPr>
            <w:tcW w:w="403" w:type="dxa"/>
          </w:tcPr>
          <w:p w14:paraId="348650B5" w14:textId="77777777" w:rsidR="0023325B" w:rsidRPr="00E374B5" w:rsidRDefault="0023325B" w:rsidP="00D45D9B">
            <w:pPr>
              <w:rPr>
                <w:b/>
                <w:sz w:val="21"/>
                <w:szCs w:val="21"/>
              </w:rPr>
            </w:pPr>
            <w:r>
              <w:rPr>
                <w:b/>
                <w:sz w:val="21"/>
                <w:szCs w:val="21"/>
              </w:rPr>
              <w:t>T</w:t>
            </w:r>
          </w:p>
        </w:tc>
        <w:tc>
          <w:tcPr>
            <w:tcW w:w="403" w:type="dxa"/>
          </w:tcPr>
          <w:p w14:paraId="1FD30147" w14:textId="77777777" w:rsidR="0023325B" w:rsidRPr="00E374B5" w:rsidRDefault="0023325B" w:rsidP="00D45D9B">
            <w:pPr>
              <w:rPr>
                <w:b/>
                <w:sz w:val="21"/>
                <w:szCs w:val="21"/>
              </w:rPr>
            </w:pPr>
            <w:r w:rsidRPr="00E374B5">
              <w:rPr>
                <w:b/>
                <w:sz w:val="21"/>
                <w:szCs w:val="21"/>
              </w:rPr>
              <w:t>W</w:t>
            </w:r>
          </w:p>
        </w:tc>
        <w:tc>
          <w:tcPr>
            <w:tcW w:w="403" w:type="dxa"/>
          </w:tcPr>
          <w:p w14:paraId="7CE4CC3E" w14:textId="77777777" w:rsidR="0023325B" w:rsidRPr="00E374B5" w:rsidRDefault="0023325B" w:rsidP="00D45D9B">
            <w:pPr>
              <w:rPr>
                <w:b/>
                <w:sz w:val="21"/>
                <w:szCs w:val="21"/>
              </w:rPr>
            </w:pPr>
            <w:r>
              <w:rPr>
                <w:b/>
                <w:sz w:val="21"/>
                <w:szCs w:val="21"/>
              </w:rPr>
              <w:t>T</w:t>
            </w:r>
          </w:p>
        </w:tc>
        <w:tc>
          <w:tcPr>
            <w:tcW w:w="403" w:type="dxa"/>
          </w:tcPr>
          <w:p w14:paraId="707C635A" w14:textId="77777777" w:rsidR="0023325B" w:rsidRPr="00E374B5" w:rsidRDefault="0023325B" w:rsidP="00D45D9B">
            <w:pPr>
              <w:rPr>
                <w:b/>
                <w:sz w:val="21"/>
                <w:szCs w:val="21"/>
              </w:rPr>
            </w:pPr>
            <w:r w:rsidRPr="00E374B5">
              <w:rPr>
                <w:b/>
                <w:sz w:val="21"/>
                <w:szCs w:val="21"/>
              </w:rPr>
              <w:t>F</w:t>
            </w:r>
          </w:p>
        </w:tc>
        <w:tc>
          <w:tcPr>
            <w:tcW w:w="403" w:type="dxa"/>
            <w:tcBorders>
              <w:bottom w:val="single" w:sz="4" w:space="0" w:color="auto"/>
            </w:tcBorders>
          </w:tcPr>
          <w:p w14:paraId="6EFC6536" w14:textId="77777777" w:rsidR="0023325B" w:rsidRPr="00E374B5" w:rsidRDefault="0023325B" w:rsidP="00D45D9B">
            <w:pPr>
              <w:rPr>
                <w:b/>
                <w:sz w:val="21"/>
                <w:szCs w:val="21"/>
              </w:rPr>
            </w:pPr>
            <w:r>
              <w:rPr>
                <w:b/>
                <w:sz w:val="21"/>
                <w:szCs w:val="21"/>
              </w:rPr>
              <w:t>S</w:t>
            </w:r>
          </w:p>
        </w:tc>
        <w:tc>
          <w:tcPr>
            <w:tcW w:w="403" w:type="dxa"/>
            <w:tcBorders>
              <w:bottom w:val="single" w:sz="4" w:space="0" w:color="auto"/>
            </w:tcBorders>
          </w:tcPr>
          <w:p w14:paraId="63C3A9A6" w14:textId="77777777" w:rsidR="0023325B" w:rsidRPr="00E374B5" w:rsidRDefault="0023325B" w:rsidP="00D45D9B">
            <w:pPr>
              <w:rPr>
                <w:b/>
                <w:sz w:val="21"/>
                <w:szCs w:val="21"/>
              </w:rPr>
            </w:pPr>
            <w:r>
              <w:rPr>
                <w:b/>
                <w:sz w:val="21"/>
                <w:szCs w:val="21"/>
              </w:rPr>
              <w:t>S</w:t>
            </w:r>
          </w:p>
        </w:tc>
        <w:tc>
          <w:tcPr>
            <w:tcW w:w="403" w:type="dxa"/>
          </w:tcPr>
          <w:p w14:paraId="645027D5" w14:textId="77777777" w:rsidR="0023325B" w:rsidRPr="00E374B5" w:rsidRDefault="0023325B" w:rsidP="00D45D9B">
            <w:pPr>
              <w:rPr>
                <w:b/>
                <w:sz w:val="21"/>
                <w:szCs w:val="21"/>
              </w:rPr>
            </w:pPr>
            <w:r w:rsidRPr="00E374B5">
              <w:rPr>
                <w:b/>
                <w:sz w:val="21"/>
                <w:szCs w:val="21"/>
              </w:rPr>
              <w:t>M</w:t>
            </w:r>
          </w:p>
        </w:tc>
        <w:tc>
          <w:tcPr>
            <w:tcW w:w="403" w:type="dxa"/>
          </w:tcPr>
          <w:p w14:paraId="7215111C" w14:textId="77777777" w:rsidR="0023325B" w:rsidRDefault="0023325B" w:rsidP="00D45D9B">
            <w:pPr>
              <w:rPr>
                <w:b/>
                <w:sz w:val="21"/>
                <w:szCs w:val="21"/>
              </w:rPr>
            </w:pPr>
            <w:r>
              <w:rPr>
                <w:b/>
                <w:sz w:val="21"/>
                <w:szCs w:val="21"/>
              </w:rPr>
              <w:t>T</w:t>
            </w:r>
          </w:p>
        </w:tc>
        <w:tc>
          <w:tcPr>
            <w:tcW w:w="1117" w:type="dxa"/>
          </w:tcPr>
          <w:p w14:paraId="2D3E4D3E" w14:textId="77777777" w:rsidR="0023325B" w:rsidRPr="00E374B5" w:rsidRDefault="0023325B" w:rsidP="00D45D9B">
            <w:pPr>
              <w:rPr>
                <w:b/>
                <w:sz w:val="21"/>
                <w:szCs w:val="21"/>
              </w:rPr>
            </w:pPr>
            <w:r>
              <w:rPr>
                <w:b/>
                <w:sz w:val="21"/>
                <w:szCs w:val="21"/>
              </w:rPr>
              <w:t>Calendar Days</w:t>
            </w:r>
          </w:p>
        </w:tc>
      </w:tr>
      <w:tr w:rsidR="0023325B" w14:paraId="247017E3" w14:textId="77777777" w:rsidTr="00D45D9B">
        <w:tc>
          <w:tcPr>
            <w:tcW w:w="2245" w:type="dxa"/>
          </w:tcPr>
          <w:p w14:paraId="324A1595" w14:textId="77777777" w:rsidR="0023325B" w:rsidRPr="00EB32C9" w:rsidRDefault="0023325B" w:rsidP="00D45D9B">
            <w:pPr>
              <w:rPr>
                <w:color w:val="000000" w:themeColor="text1"/>
                <w:sz w:val="21"/>
                <w:szCs w:val="21"/>
              </w:rPr>
            </w:pPr>
            <w:r w:rsidRPr="00EB32C9">
              <w:rPr>
                <w:color w:val="000000" w:themeColor="text1"/>
                <w:sz w:val="21"/>
                <w:szCs w:val="21"/>
              </w:rPr>
              <w:t>Regular week</w:t>
            </w:r>
            <w:r w:rsidRPr="0077053A">
              <w:rPr>
                <w:rStyle w:val="FootnoteReference"/>
                <w:color w:val="FF0000"/>
                <w:sz w:val="21"/>
                <w:szCs w:val="21"/>
              </w:rPr>
              <w:footnoteReference w:id="4"/>
            </w:r>
          </w:p>
        </w:tc>
        <w:tc>
          <w:tcPr>
            <w:tcW w:w="403" w:type="dxa"/>
          </w:tcPr>
          <w:p w14:paraId="5F2AB14B" w14:textId="77777777" w:rsidR="0023325B" w:rsidRDefault="0023325B" w:rsidP="00D45D9B">
            <w:pPr>
              <w:jc w:val="center"/>
            </w:pPr>
            <w:r>
              <w:rPr>
                <w:rFonts w:cstheme="minorHAnsi"/>
              </w:rPr>
              <w:t>●</w:t>
            </w:r>
          </w:p>
        </w:tc>
        <w:tc>
          <w:tcPr>
            <w:tcW w:w="403" w:type="dxa"/>
          </w:tcPr>
          <w:p w14:paraId="03E084FC" w14:textId="77777777" w:rsidR="0023325B" w:rsidRDefault="0023325B" w:rsidP="00D45D9B"/>
        </w:tc>
        <w:tc>
          <w:tcPr>
            <w:tcW w:w="403" w:type="dxa"/>
            <w:tcBorders>
              <w:bottom w:val="single" w:sz="4" w:space="0" w:color="auto"/>
            </w:tcBorders>
          </w:tcPr>
          <w:p w14:paraId="575A58E4" w14:textId="77777777" w:rsidR="0023325B" w:rsidRDefault="0023325B" w:rsidP="00D45D9B"/>
        </w:tc>
        <w:tc>
          <w:tcPr>
            <w:tcW w:w="403" w:type="dxa"/>
            <w:tcBorders>
              <w:bottom w:val="single" w:sz="4" w:space="0" w:color="auto"/>
            </w:tcBorders>
          </w:tcPr>
          <w:p w14:paraId="4010F626" w14:textId="77777777" w:rsidR="0023325B" w:rsidRDefault="0023325B" w:rsidP="00D45D9B"/>
        </w:tc>
        <w:tc>
          <w:tcPr>
            <w:tcW w:w="403" w:type="dxa"/>
            <w:tcBorders>
              <w:bottom w:val="single" w:sz="4" w:space="0" w:color="auto"/>
            </w:tcBorders>
          </w:tcPr>
          <w:p w14:paraId="65BFE90B" w14:textId="77777777" w:rsidR="0023325B" w:rsidRDefault="0023325B" w:rsidP="00D45D9B">
            <w:pPr>
              <w:jc w:val="center"/>
            </w:pPr>
          </w:p>
        </w:tc>
        <w:tc>
          <w:tcPr>
            <w:tcW w:w="403" w:type="dxa"/>
            <w:tcBorders>
              <w:bottom w:val="single" w:sz="4" w:space="0" w:color="auto"/>
            </w:tcBorders>
            <w:shd w:val="clear" w:color="auto" w:fill="7F7F7F" w:themeFill="text1" w:themeFillTint="80"/>
          </w:tcPr>
          <w:p w14:paraId="0E5C31A7" w14:textId="77777777" w:rsidR="0023325B" w:rsidRDefault="0023325B" w:rsidP="00D45D9B"/>
        </w:tc>
        <w:tc>
          <w:tcPr>
            <w:tcW w:w="403" w:type="dxa"/>
            <w:tcBorders>
              <w:bottom w:val="single" w:sz="4" w:space="0" w:color="auto"/>
            </w:tcBorders>
            <w:shd w:val="clear" w:color="auto" w:fill="7F7F7F" w:themeFill="text1" w:themeFillTint="80"/>
          </w:tcPr>
          <w:p w14:paraId="01E9814E" w14:textId="77777777" w:rsidR="0023325B" w:rsidRDefault="0023325B" w:rsidP="00D45D9B"/>
        </w:tc>
        <w:tc>
          <w:tcPr>
            <w:tcW w:w="403" w:type="dxa"/>
            <w:vAlign w:val="center"/>
          </w:tcPr>
          <w:p w14:paraId="76123233" w14:textId="77777777" w:rsidR="0023325B" w:rsidRDefault="0023325B" w:rsidP="00D45D9B">
            <w:pPr>
              <w:jc w:val="center"/>
            </w:pPr>
            <w:r>
              <w:sym w:font="Wingdings" w:char="F0FC"/>
            </w:r>
          </w:p>
        </w:tc>
        <w:tc>
          <w:tcPr>
            <w:tcW w:w="403" w:type="dxa"/>
          </w:tcPr>
          <w:p w14:paraId="331CB675" w14:textId="77777777" w:rsidR="0023325B" w:rsidRDefault="0023325B" w:rsidP="00D45D9B"/>
        </w:tc>
        <w:tc>
          <w:tcPr>
            <w:tcW w:w="403" w:type="dxa"/>
          </w:tcPr>
          <w:p w14:paraId="6F906E82" w14:textId="77777777" w:rsidR="0023325B" w:rsidRDefault="0023325B" w:rsidP="00D45D9B"/>
        </w:tc>
        <w:tc>
          <w:tcPr>
            <w:tcW w:w="403" w:type="dxa"/>
          </w:tcPr>
          <w:p w14:paraId="12EC606C" w14:textId="77777777" w:rsidR="0023325B" w:rsidRDefault="0023325B" w:rsidP="00D45D9B"/>
        </w:tc>
        <w:tc>
          <w:tcPr>
            <w:tcW w:w="403" w:type="dxa"/>
          </w:tcPr>
          <w:p w14:paraId="113BD7FE" w14:textId="77777777" w:rsidR="0023325B" w:rsidRDefault="0023325B" w:rsidP="00D45D9B"/>
        </w:tc>
        <w:tc>
          <w:tcPr>
            <w:tcW w:w="403" w:type="dxa"/>
            <w:shd w:val="clear" w:color="auto" w:fill="7F7F7F" w:themeFill="text1" w:themeFillTint="80"/>
          </w:tcPr>
          <w:p w14:paraId="3FD9ED10" w14:textId="77777777" w:rsidR="0023325B" w:rsidRDefault="0023325B" w:rsidP="00D45D9B"/>
        </w:tc>
        <w:tc>
          <w:tcPr>
            <w:tcW w:w="403" w:type="dxa"/>
            <w:shd w:val="clear" w:color="auto" w:fill="7F7F7F" w:themeFill="text1" w:themeFillTint="80"/>
          </w:tcPr>
          <w:p w14:paraId="266844B9" w14:textId="77777777" w:rsidR="0023325B" w:rsidRDefault="0023325B" w:rsidP="00D45D9B"/>
        </w:tc>
        <w:tc>
          <w:tcPr>
            <w:tcW w:w="403" w:type="dxa"/>
          </w:tcPr>
          <w:p w14:paraId="092132BF" w14:textId="77777777" w:rsidR="0023325B" w:rsidRDefault="0023325B" w:rsidP="00D45D9B"/>
        </w:tc>
        <w:tc>
          <w:tcPr>
            <w:tcW w:w="403" w:type="dxa"/>
          </w:tcPr>
          <w:p w14:paraId="59A46C14" w14:textId="77777777" w:rsidR="0023325B" w:rsidRDefault="0023325B" w:rsidP="00D45D9B">
            <w:pPr>
              <w:jc w:val="center"/>
            </w:pPr>
          </w:p>
        </w:tc>
        <w:tc>
          <w:tcPr>
            <w:tcW w:w="1117" w:type="dxa"/>
          </w:tcPr>
          <w:p w14:paraId="13D318EE" w14:textId="77777777" w:rsidR="0023325B" w:rsidRDefault="0023325B" w:rsidP="00D45D9B">
            <w:pPr>
              <w:jc w:val="center"/>
            </w:pPr>
            <w:r>
              <w:t>7</w:t>
            </w:r>
          </w:p>
        </w:tc>
      </w:tr>
      <w:tr w:rsidR="0023325B" w14:paraId="7FB4637A" w14:textId="77777777" w:rsidTr="00D45D9B">
        <w:tc>
          <w:tcPr>
            <w:tcW w:w="2245" w:type="dxa"/>
          </w:tcPr>
          <w:p w14:paraId="7B51267E" w14:textId="77777777" w:rsidR="0023325B" w:rsidRPr="00EB32C9" w:rsidRDefault="0023325B" w:rsidP="00D45D9B">
            <w:pPr>
              <w:rPr>
                <w:color w:val="000000" w:themeColor="text1"/>
                <w:sz w:val="21"/>
                <w:szCs w:val="21"/>
              </w:rPr>
            </w:pPr>
            <w:r w:rsidRPr="00EB32C9">
              <w:rPr>
                <w:color w:val="000000" w:themeColor="text1"/>
                <w:sz w:val="21"/>
                <w:szCs w:val="21"/>
              </w:rPr>
              <w:t>Regular week</w:t>
            </w:r>
          </w:p>
        </w:tc>
        <w:tc>
          <w:tcPr>
            <w:tcW w:w="403" w:type="dxa"/>
          </w:tcPr>
          <w:p w14:paraId="733EB777" w14:textId="77777777" w:rsidR="0023325B" w:rsidRPr="0072083C" w:rsidRDefault="0023325B" w:rsidP="00D45D9B"/>
        </w:tc>
        <w:tc>
          <w:tcPr>
            <w:tcW w:w="403" w:type="dxa"/>
          </w:tcPr>
          <w:p w14:paraId="48114EA2" w14:textId="77777777" w:rsidR="0023325B" w:rsidRPr="0072083C" w:rsidRDefault="0023325B" w:rsidP="00D45D9B">
            <w:pPr>
              <w:jc w:val="center"/>
            </w:pPr>
            <w:r w:rsidRPr="0072083C">
              <w:rPr>
                <w:rFonts w:cstheme="minorHAnsi"/>
              </w:rPr>
              <w:t>●</w:t>
            </w:r>
          </w:p>
        </w:tc>
        <w:tc>
          <w:tcPr>
            <w:tcW w:w="403" w:type="dxa"/>
            <w:tcBorders>
              <w:bottom w:val="single" w:sz="4" w:space="0" w:color="auto"/>
            </w:tcBorders>
          </w:tcPr>
          <w:p w14:paraId="5B02872C" w14:textId="77777777" w:rsidR="0023325B" w:rsidRPr="0072083C" w:rsidRDefault="0023325B" w:rsidP="00D45D9B"/>
        </w:tc>
        <w:tc>
          <w:tcPr>
            <w:tcW w:w="403" w:type="dxa"/>
            <w:tcBorders>
              <w:bottom w:val="single" w:sz="4" w:space="0" w:color="auto"/>
            </w:tcBorders>
          </w:tcPr>
          <w:p w14:paraId="0B089986" w14:textId="77777777" w:rsidR="0023325B" w:rsidRPr="0072083C" w:rsidRDefault="0023325B" w:rsidP="00D45D9B">
            <w:pPr>
              <w:jc w:val="center"/>
            </w:pPr>
          </w:p>
        </w:tc>
        <w:tc>
          <w:tcPr>
            <w:tcW w:w="403" w:type="dxa"/>
            <w:tcBorders>
              <w:bottom w:val="single" w:sz="4" w:space="0" w:color="auto"/>
            </w:tcBorders>
          </w:tcPr>
          <w:p w14:paraId="63F66ACA" w14:textId="77777777" w:rsidR="0023325B" w:rsidRPr="0072083C" w:rsidRDefault="0023325B" w:rsidP="00D45D9B"/>
        </w:tc>
        <w:tc>
          <w:tcPr>
            <w:tcW w:w="403" w:type="dxa"/>
            <w:shd w:val="clear" w:color="auto" w:fill="7F7F7F" w:themeFill="text1" w:themeFillTint="80"/>
          </w:tcPr>
          <w:p w14:paraId="7F6BC1AA" w14:textId="77777777" w:rsidR="0023325B" w:rsidRPr="0072083C" w:rsidRDefault="0023325B" w:rsidP="00D45D9B"/>
        </w:tc>
        <w:tc>
          <w:tcPr>
            <w:tcW w:w="403" w:type="dxa"/>
            <w:shd w:val="clear" w:color="auto" w:fill="7F7F7F" w:themeFill="text1" w:themeFillTint="80"/>
          </w:tcPr>
          <w:p w14:paraId="63F18161" w14:textId="77777777" w:rsidR="0023325B" w:rsidRPr="0072083C" w:rsidRDefault="0023325B" w:rsidP="00D45D9B"/>
        </w:tc>
        <w:tc>
          <w:tcPr>
            <w:tcW w:w="403" w:type="dxa"/>
          </w:tcPr>
          <w:p w14:paraId="42FD525C" w14:textId="77777777" w:rsidR="0023325B" w:rsidRPr="0072083C" w:rsidRDefault="0023325B" w:rsidP="00D45D9B">
            <w:pPr>
              <w:jc w:val="center"/>
            </w:pPr>
          </w:p>
        </w:tc>
        <w:tc>
          <w:tcPr>
            <w:tcW w:w="403" w:type="dxa"/>
          </w:tcPr>
          <w:p w14:paraId="0B4D7163" w14:textId="77777777" w:rsidR="0023325B" w:rsidRPr="0072083C" w:rsidRDefault="0023325B" w:rsidP="00D45D9B">
            <w:r w:rsidRPr="0072083C">
              <w:sym w:font="Wingdings" w:char="F0FC"/>
            </w:r>
          </w:p>
        </w:tc>
        <w:tc>
          <w:tcPr>
            <w:tcW w:w="403" w:type="dxa"/>
          </w:tcPr>
          <w:p w14:paraId="35038DE6" w14:textId="77777777" w:rsidR="0023325B" w:rsidRPr="0072083C" w:rsidRDefault="0023325B" w:rsidP="00D45D9B"/>
        </w:tc>
        <w:tc>
          <w:tcPr>
            <w:tcW w:w="403" w:type="dxa"/>
          </w:tcPr>
          <w:p w14:paraId="64678D77" w14:textId="77777777" w:rsidR="0023325B" w:rsidRPr="0072083C" w:rsidRDefault="0023325B" w:rsidP="00D45D9B">
            <w:pPr>
              <w:jc w:val="center"/>
            </w:pPr>
          </w:p>
        </w:tc>
        <w:tc>
          <w:tcPr>
            <w:tcW w:w="403" w:type="dxa"/>
          </w:tcPr>
          <w:p w14:paraId="73AAF10F" w14:textId="77777777" w:rsidR="0023325B" w:rsidRPr="0072083C" w:rsidRDefault="0023325B" w:rsidP="00D45D9B"/>
        </w:tc>
        <w:tc>
          <w:tcPr>
            <w:tcW w:w="403" w:type="dxa"/>
            <w:shd w:val="clear" w:color="auto" w:fill="7F7F7F" w:themeFill="text1" w:themeFillTint="80"/>
          </w:tcPr>
          <w:p w14:paraId="7FEEBCB0" w14:textId="77777777" w:rsidR="0023325B" w:rsidRPr="0072083C" w:rsidRDefault="0023325B" w:rsidP="00D45D9B"/>
        </w:tc>
        <w:tc>
          <w:tcPr>
            <w:tcW w:w="403" w:type="dxa"/>
            <w:shd w:val="clear" w:color="auto" w:fill="7F7F7F" w:themeFill="text1" w:themeFillTint="80"/>
          </w:tcPr>
          <w:p w14:paraId="04C9B00A" w14:textId="77777777" w:rsidR="0023325B" w:rsidRPr="0072083C" w:rsidRDefault="0023325B" w:rsidP="00D45D9B"/>
        </w:tc>
        <w:tc>
          <w:tcPr>
            <w:tcW w:w="403" w:type="dxa"/>
          </w:tcPr>
          <w:p w14:paraId="48732C1A" w14:textId="77777777" w:rsidR="0023325B" w:rsidRPr="0072083C" w:rsidRDefault="0023325B" w:rsidP="00D45D9B"/>
        </w:tc>
        <w:tc>
          <w:tcPr>
            <w:tcW w:w="403" w:type="dxa"/>
          </w:tcPr>
          <w:p w14:paraId="056FAB54" w14:textId="77777777" w:rsidR="0023325B" w:rsidRDefault="0023325B" w:rsidP="00D45D9B">
            <w:pPr>
              <w:jc w:val="center"/>
            </w:pPr>
          </w:p>
        </w:tc>
        <w:tc>
          <w:tcPr>
            <w:tcW w:w="1117" w:type="dxa"/>
          </w:tcPr>
          <w:p w14:paraId="280C6CBD" w14:textId="77777777" w:rsidR="0023325B" w:rsidRPr="0072083C" w:rsidRDefault="0023325B" w:rsidP="00D45D9B">
            <w:pPr>
              <w:jc w:val="center"/>
            </w:pPr>
            <w:r>
              <w:t>7</w:t>
            </w:r>
          </w:p>
        </w:tc>
      </w:tr>
      <w:tr w:rsidR="0023325B" w14:paraId="4DFDF1F6" w14:textId="77777777" w:rsidTr="00D45D9B">
        <w:tc>
          <w:tcPr>
            <w:tcW w:w="2245" w:type="dxa"/>
          </w:tcPr>
          <w:p w14:paraId="465930D6" w14:textId="77777777" w:rsidR="0023325B" w:rsidRPr="00EB32C9" w:rsidRDefault="0023325B" w:rsidP="00D45D9B">
            <w:pPr>
              <w:rPr>
                <w:color w:val="000000" w:themeColor="text1"/>
                <w:sz w:val="21"/>
                <w:szCs w:val="21"/>
              </w:rPr>
            </w:pPr>
            <w:r w:rsidRPr="00EB32C9">
              <w:rPr>
                <w:color w:val="000000" w:themeColor="text1"/>
                <w:sz w:val="21"/>
                <w:szCs w:val="21"/>
              </w:rPr>
              <w:t>Regular week</w:t>
            </w:r>
          </w:p>
        </w:tc>
        <w:tc>
          <w:tcPr>
            <w:tcW w:w="403" w:type="dxa"/>
          </w:tcPr>
          <w:p w14:paraId="66B362C6" w14:textId="77777777" w:rsidR="0023325B" w:rsidRPr="0072083C" w:rsidRDefault="0023325B" w:rsidP="00D45D9B">
            <w:pPr>
              <w:rPr>
                <w:color w:val="FF0000"/>
              </w:rPr>
            </w:pPr>
          </w:p>
        </w:tc>
        <w:tc>
          <w:tcPr>
            <w:tcW w:w="403" w:type="dxa"/>
          </w:tcPr>
          <w:p w14:paraId="0AE12864" w14:textId="77777777" w:rsidR="0023325B" w:rsidRPr="0072083C" w:rsidRDefault="0023325B" w:rsidP="00D45D9B">
            <w:pPr>
              <w:jc w:val="center"/>
              <w:rPr>
                <w:rFonts w:cstheme="minorHAnsi"/>
                <w:color w:val="FF0000"/>
              </w:rPr>
            </w:pPr>
          </w:p>
        </w:tc>
        <w:tc>
          <w:tcPr>
            <w:tcW w:w="403" w:type="dxa"/>
            <w:tcBorders>
              <w:bottom w:val="single" w:sz="4" w:space="0" w:color="auto"/>
            </w:tcBorders>
          </w:tcPr>
          <w:p w14:paraId="7AD72B5D" w14:textId="77777777" w:rsidR="0023325B" w:rsidRPr="0072083C" w:rsidRDefault="0023325B" w:rsidP="00D45D9B">
            <w:pPr>
              <w:rPr>
                <w:color w:val="FF0000"/>
              </w:rPr>
            </w:pPr>
          </w:p>
        </w:tc>
        <w:tc>
          <w:tcPr>
            <w:tcW w:w="403" w:type="dxa"/>
            <w:tcBorders>
              <w:bottom w:val="single" w:sz="4" w:space="0" w:color="auto"/>
            </w:tcBorders>
            <w:shd w:val="clear" w:color="auto" w:fill="FFFFFF" w:themeFill="background1"/>
          </w:tcPr>
          <w:p w14:paraId="2BA780FA" w14:textId="77777777" w:rsidR="0023325B" w:rsidRPr="0072083C" w:rsidRDefault="0023325B" w:rsidP="00D45D9B">
            <w:pPr>
              <w:rPr>
                <w:color w:val="FF0000"/>
              </w:rPr>
            </w:pPr>
          </w:p>
        </w:tc>
        <w:tc>
          <w:tcPr>
            <w:tcW w:w="403" w:type="dxa"/>
            <w:tcBorders>
              <w:bottom w:val="single" w:sz="4" w:space="0" w:color="auto"/>
            </w:tcBorders>
            <w:shd w:val="clear" w:color="auto" w:fill="FFFFFF" w:themeFill="background1"/>
          </w:tcPr>
          <w:p w14:paraId="540BC9C4" w14:textId="77777777" w:rsidR="0023325B" w:rsidRPr="0072083C" w:rsidRDefault="0023325B" w:rsidP="00D45D9B">
            <w:pPr>
              <w:rPr>
                <w:color w:val="FF0000"/>
              </w:rPr>
            </w:pPr>
          </w:p>
        </w:tc>
        <w:tc>
          <w:tcPr>
            <w:tcW w:w="403" w:type="dxa"/>
            <w:shd w:val="clear" w:color="auto" w:fill="7F7F7F" w:themeFill="text1" w:themeFillTint="80"/>
          </w:tcPr>
          <w:p w14:paraId="634840F6" w14:textId="77777777" w:rsidR="0023325B" w:rsidRPr="0072083C" w:rsidRDefault="0023325B" w:rsidP="00D45D9B">
            <w:pPr>
              <w:jc w:val="center"/>
              <w:rPr>
                <w:color w:val="FF0000"/>
              </w:rPr>
            </w:pPr>
            <w:r w:rsidRPr="00EB32C9">
              <w:rPr>
                <w:rFonts w:cstheme="minorHAnsi"/>
                <w:color w:val="000000" w:themeColor="text1"/>
              </w:rPr>
              <w:t>●</w:t>
            </w:r>
          </w:p>
        </w:tc>
        <w:tc>
          <w:tcPr>
            <w:tcW w:w="403" w:type="dxa"/>
            <w:shd w:val="clear" w:color="auto" w:fill="7F7F7F" w:themeFill="text1" w:themeFillTint="80"/>
          </w:tcPr>
          <w:p w14:paraId="65F1189F" w14:textId="77777777" w:rsidR="0023325B" w:rsidRPr="0072083C" w:rsidRDefault="0023325B" w:rsidP="00D45D9B">
            <w:pPr>
              <w:rPr>
                <w:color w:val="FF0000"/>
              </w:rPr>
            </w:pPr>
          </w:p>
        </w:tc>
        <w:tc>
          <w:tcPr>
            <w:tcW w:w="403" w:type="dxa"/>
          </w:tcPr>
          <w:p w14:paraId="6D4A843E" w14:textId="77777777" w:rsidR="0023325B" w:rsidRPr="0072083C" w:rsidRDefault="0023325B" w:rsidP="00D45D9B">
            <w:pPr>
              <w:rPr>
                <w:color w:val="FF0000"/>
              </w:rPr>
            </w:pPr>
          </w:p>
        </w:tc>
        <w:tc>
          <w:tcPr>
            <w:tcW w:w="403" w:type="dxa"/>
          </w:tcPr>
          <w:p w14:paraId="5EC041B9" w14:textId="77777777" w:rsidR="0023325B" w:rsidRPr="0072083C" w:rsidRDefault="0023325B" w:rsidP="00D45D9B">
            <w:pPr>
              <w:rPr>
                <w:color w:val="FF0000"/>
              </w:rPr>
            </w:pPr>
          </w:p>
        </w:tc>
        <w:tc>
          <w:tcPr>
            <w:tcW w:w="403" w:type="dxa"/>
          </w:tcPr>
          <w:p w14:paraId="10A63226" w14:textId="77777777" w:rsidR="0023325B" w:rsidRPr="0072083C" w:rsidRDefault="0023325B" w:rsidP="00D45D9B">
            <w:pPr>
              <w:jc w:val="center"/>
              <w:rPr>
                <w:color w:val="FF0000"/>
              </w:rPr>
            </w:pPr>
          </w:p>
        </w:tc>
        <w:tc>
          <w:tcPr>
            <w:tcW w:w="403" w:type="dxa"/>
          </w:tcPr>
          <w:p w14:paraId="52DE8A69" w14:textId="77777777" w:rsidR="0023325B" w:rsidRPr="0072083C" w:rsidRDefault="0023325B" w:rsidP="00D45D9B">
            <w:pPr>
              <w:rPr>
                <w:color w:val="FF0000"/>
              </w:rPr>
            </w:pPr>
          </w:p>
        </w:tc>
        <w:tc>
          <w:tcPr>
            <w:tcW w:w="403" w:type="dxa"/>
          </w:tcPr>
          <w:p w14:paraId="3E70B73C" w14:textId="77777777" w:rsidR="0023325B" w:rsidRPr="0072083C" w:rsidRDefault="0023325B" w:rsidP="00D45D9B">
            <w:pPr>
              <w:rPr>
                <w:color w:val="FF0000"/>
              </w:rPr>
            </w:pPr>
          </w:p>
        </w:tc>
        <w:tc>
          <w:tcPr>
            <w:tcW w:w="403" w:type="dxa"/>
            <w:shd w:val="clear" w:color="auto" w:fill="7F7F7F" w:themeFill="text1" w:themeFillTint="80"/>
          </w:tcPr>
          <w:p w14:paraId="05325184" w14:textId="77777777" w:rsidR="0023325B" w:rsidRPr="0072083C" w:rsidRDefault="0023325B" w:rsidP="00D45D9B">
            <w:pPr>
              <w:rPr>
                <w:color w:val="FF0000"/>
              </w:rPr>
            </w:pPr>
          </w:p>
        </w:tc>
        <w:tc>
          <w:tcPr>
            <w:tcW w:w="403" w:type="dxa"/>
            <w:shd w:val="clear" w:color="auto" w:fill="7F7F7F" w:themeFill="text1" w:themeFillTint="80"/>
          </w:tcPr>
          <w:p w14:paraId="766DEAD3" w14:textId="77777777" w:rsidR="0023325B" w:rsidRPr="0072083C" w:rsidRDefault="0023325B" w:rsidP="00D45D9B">
            <w:pPr>
              <w:rPr>
                <w:color w:val="FF0000"/>
              </w:rPr>
            </w:pPr>
          </w:p>
        </w:tc>
        <w:tc>
          <w:tcPr>
            <w:tcW w:w="403" w:type="dxa"/>
            <w:tcBorders>
              <w:bottom w:val="single" w:sz="4" w:space="0" w:color="auto"/>
            </w:tcBorders>
          </w:tcPr>
          <w:p w14:paraId="71D6917E" w14:textId="77777777" w:rsidR="0023325B" w:rsidRPr="0072083C" w:rsidRDefault="0023325B" w:rsidP="00D45D9B">
            <w:pPr>
              <w:rPr>
                <w:color w:val="FF0000"/>
              </w:rPr>
            </w:pPr>
            <w:r w:rsidRPr="0072083C">
              <w:sym w:font="Wingdings" w:char="F0FC"/>
            </w:r>
          </w:p>
        </w:tc>
        <w:tc>
          <w:tcPr>
            <w:tcW w:w="403" w:type="dxa"/>
            <w:tcBorders>
              <w:bottom w:val="single" w:sz="4" w:space="0" w:color="auto"/>
            </w:tcBorders>
          </w:tcPr>
          <w:p w14:paraId="4F987DE4" w14:textId="77777777" w:rsidR="0023325B" w:rsidRPr="00EB32C9" w:rsidRDefault="0023325B" w:rsidP="00D45D9B">
            <w:pPr>
              <w:jc w:val="center"/>
              <w:rPr>
                <w:color w:val="000000" w:themeColor="text1"/>
              </w:rPr>
            </w:pPr>
          </w:p>
        </w:tc>
        <w:tc>
          <w:tcPr>
            <w:tcW w:w="1117" w:type="dxa"/>
            <w:tcBorders>
              <w:bottom w:val="single" w:sz="4" w:space="0" w:color="auto"/>
            </w:tcBorders>
          </w:tcPr>
          <w:p w14:paraId="28227C0E" w14:textId="77777777" w:rsidR="0023325B" w:rsidRPr="0072083C" w:rsidRDefault="0023325B" w:rsidP="00D45D9B">
            <w:pPr>
              <w:jc w:val="center"/>
              <w:rPr>
                <w:color w:val="FF0000"/>
              </w:rPr>
            </w:pPr>
            <w:r w:rsidRPr="00EB32C9">
              <w:rPr>
                <w:color w:val="000000" w:themeColor="text1"/>
              </w:rPr>
              <w:t>9</w:t>
            </w:r>
          </w:p>
        </w:tc>
      </w:tr>
      <w:tr w:rsidR="0023325B" w14:paraId="1722E645" w14:textId="77777777" w:rsidTr="00D45D9B">
        <w:tc>
          <w:tcPr>
            <w:tcW w:w="2245" w:type="dxa"/>
          </w:tcPr>
          <w:p w14:paraId="22385225" w14:textId="77777777" w:rsidR="0023325B" w:rsidRPr="00EB32C9" w:rsidRDefault="0023325B" w:rsidP="00D45D9B">
            <w:pPr>
              <w:rPr>
                <w:color w:val="000000" w:themeColor="text1"/>
                <w:sz w:val="21"/>
                <w:szCs w:val="21"/>
              </w:rPr>
            </w:pPr>
            <w:r w:rsidRPr="00EB32C9">
              <w:rPr>
                <w:color w:val="000000" w:themeColor="text1"/>
                <w:sz w:val="21"/>
                <w:szCs w:val="21"/>
              </w:rPr>
              <w:t>3-day holiday weekend</w:t>
            </w:r>
          </w:p>
        </w:tc>
        <w:tc>
          <w:tcPr>
            <w:tcW w:w="403" w:type="dxa"/>
          </w:tcPr>
          <w:p w14:paraId="65B41EDF" w14:textId="77777777" w:rsidR="0023325B" w:rsidRPr="00EB32C9" w:rsidRDefault="0023325B" w:rsidP="00D45D9B">
            <w:pPr>
              <w:rPr>
                <w:color w:val="000000" w:themeColor="text1"/>
              </w:rPr>
            </w:pPr>
          </w:p>
        </w:tc>
        <w:tc>
          <w:tcPr>
            <w:tcW w:w="403" w:type="dxa"/>
          </w:tcPr>
          <w:p w14:paraId="4A112B26" w14:textId="77777777" w:rsidR="0023325B" w:rsidRPr="00EB32C9" w:rsidRDefault="0023325B" w:rsidP="00D45D9B">
            <w:pPr>
              <w:jc w:val="center"/>
              <w:rPr>
                <w:color w:val="000000" w:themeColor="text1"/>
              </w:rPr>
            </w:pPr>
            <w:r w:rsidRPr="00EB32C9">
              <w:rPr>
                <w:rFonts w:cstheme="minorHAnsi"/>
                <w:color w:val="000000" w:themeColor="text1"/>
              </w:rPr>
              <w:t>●</w:t>
            </w:r>
          </w:p>
        </w:tc>
        <w:tc>
          <w:tcPr>
            <w:tcW w:w="403" w:type="dxa"/>
            <w:tcBorders>
              <w:bottom w:val="single" w:sz="4" w:space="0" w:color="auto"/>
            </w:tcBorders>
          </w:tcPr>
          <w:p w14:paraId="0FB13E5A" w14:textId="77777777" w:rsidR="0023325B" w:rsidRPr="00EB32C9" w:rsidRDefault="0023325B" w:rsidP="00D45D9B">
            <w:pPr>
              <w:rPr>
                <w:color w:val="000000" w:themeColor="text1"/>
              </w:rPr>
            </w:pPr>
          </w:p>
        </w:tc>
        <w:tc>
          <w:tcPr>
            <w:tcW w:w="403" w:type="dxa"/>
            <w:tcBorders>
              <w:bottom w:val="single" w:sz="4" w:space="0" w:color="auto"/>
            </w:tcBorders>
          </w:tcPr>
          <w:p w14:paraId="1DB1CB9A" w14:textId="77777777" w:rsidR="0023325B" w:rsidRPr="00EB32C9" w:rsidRDefault="0023325B" w:rsidP="00D45D9B">
            <w:pPr>
              <w:rPr>
                <w:color w:val="000000" w:themeColor="text1"/>
              </w:rPr>
            </w:pPr>
          </w:p>
        </w:tc>
        <w:tc>
          <w:tcPr>
            <w:tcW w:w="403" w:type="dxa"/>
            <w:tcBorders>
              <w:bottom w:val="single" w:sz="4" w:space="0" w:color="auto"/>
            </w:tcBorders>
            <w:shd w:val="clear" w:color="auto" w:fill="7F7F7F" w:themeFill="text1" w:themeFillTint="80"/>
          </w:tcPr>
          <w:p w14:paraId="48DCA2AB" w14:textId="77777777" w:rsidR="0023325B" w:rsidRPr="00EB32C9" w:rsidRDefault="0023325B" w:rsidP="00D45D9B">
            <w:pPr>
              <w:rPr>
                <w:color w:val="000000" w:themeColor="text1"/>
              </w:rPr>
            </w:pPr>
          </w:p>
        </w:tc>
        <w:tc>
          <w:tcPr>
            <w:tcW w:w="403" w:type="dxa"/>
            <w:shd w:val="clear" w:color="auto" w:fill="7F7F7F" w:themeFill="text1" w:themeFillTint="80"/>
          </w:tcPr>
          <w:p w14:paraId="53595E26" w14:textId="77777777" w:rsidR="0023325B" w:rsidRPr="00EB32C9" w:rsidRDefault="0023325B" w:rsidP="00D45D9B">
            <w:pPr>
              <w:rPr>
                <w:color w:val="000000" w:themeColor="text1"/>
              </w:rPr>
            </w:pPr>
          </w:p>
        </w:tc>
        <w:tc>
          <w:tcPr>
            <w:tcW w:w="403" w:type="dxa"/>
            <w:shd w:val="clear" w:color="auto" w:fill="7F7F7F" w:themeFill="text1" w:themeFillTint="80"/>
          </w:tcPr>
          <w:p w14:paraId="267DC474" w14:textId="77777777" w:rsidR="0023325B" w:rsidRPr="00EB32C9" w:rsidRDefault="0023325B" w:rsidP="00D45D9B">
            <w:pPr>
              <w:rPr>
                <w:color w:val="000000" w:themeColor="text1"/>
              </w:rPr>
            </w:pPr>
          </w:p>
        </w:tc>
        <w:tc>
          <w:tcPr>
            <w:tcW w:w="403" w:type="dxa"/>
          </w:tcPr>
          <w:p w14:paraId="41E65827" w14:textId="77777777" w:rsidR="0023325B" w:rsidRPr="00EB32C9" w:rsidRDefault="0023325B" w:rsidP="00D45D9B">
            <w:pPr>
              <w:rPr>
                <w:color w:val="000000" w:themeColor="text1"/>
              </w:rPr>
            </w:pPr>
          </w:p>
        </w:tc>
        <w:tc>
          <w:tcPr>
            <w:tcW w:w="403" w:type="dxa"/>
          </w:tcPr>
          <w:p w14:paraId="3CD0AAFB" w14:textId="77777777" w:rsidR="0023325B" w:rsidRPr="00EB32C9" w:rsidRDefault="0023325B" w:rsidP="00D45D9B">
            <w:pPr>
              <w:jc w:val="center"/>
              <w:rPr>
                <w:color w:val="000000" w:themeColor="text1"/>
              </w:rPr>
            </w:pPr>
          </w:p>
        </w:tc>
        <w:tc>
          <w:tcPr>
            <w:tcW w:w="403" w:type="dxa"/>
          </w:tcPr>
          <w:p w14:paraId="2C3C3EB8" w14:textId="77777777" w:rsidR="0023325B" w:rsidRPr="00EB32C9" w:rsidRDefault="0023325B" w:rsidP="00D45D9B">
            <w:pPr>
              <w:jc w:val="center"/>
              <w:rPr>
                <w:color w:val="000000" w:themeColor="text1"/>
              </w:rPr>
            </w:pPr>
            <w:r w:rsidRPr="00EB32C9">
              <w:rPr>
                <w:color w:val="000000" w:themeColor="text1"/>
              </w:rPr>
              <w:sym w:font="Wingdings" w:char="F0FC"/>
            </w:r>
          </w:p>
        </w:tc>
        <w:tc>
          <w:tcPr>
            <w:tcW w:w="403" w:type="dxa"/>
          </w:tcPr>
          <w:p w14:paraId="1E3EE306" w14:textId="77777777" w:rsidR="0023325B" w:rsidRPr="00EB32C9" w:rsidRDefault="0023325B" w:rsidP="00D45D9B">
            <w:pPr>
              <w:rPr>
                <w:color w:val="000000" w:themeColor="text1"/>
              </w:rPr>
            </w:pPr>
          </w:p>
        </w:tc>
        <w:tc>
          <w:tcPr>
            <w:tcW w:w="403" w:type="dxa"/>
            <w:tcBorders>
              <w:bottom w:val="single" w:sz="4" w:space="0" w:color="auto"/>
            </w:tcBorders>
          </w:tcPr>
          <w:p w14:paraId="6D983046" w14:textId="77777777" w:rsidR="0023325B" w:rsidRPr="00EB32C9" w:rsidRDefault="0023325B" w:rsidP="00D45D9B">
            <w:pPr>
              <w:rPr>
                <w:color w:val="000000" w:themeColor="text1"/>
              </w:rPr>
            </w:pPr>
          </w:p>
        </w:tc>
        <w:tc>
          <w:tcPr>
            <w:tcW w:w="403" w:type="dxa"/>
            <w:tcBorders>
              <w:bottom w:val="single" w:sz="4" w:space="0" w:color="auto"/>
            </w:tcBorders>
            <w:shd w:val="clear" w:color="auto" w:fill="7F7F7F" w:themeFill="text1" w:themeFillTint="80"/>
          </w:tcPr>
          <w:p w14:paraId="0280D822" w14:textId="77777777" w:rsidR="0023325B" w:rsidRPr="00EB32C9" w:rsidRDefault="0023325B" w:rsidP="00D45D9B">
            <w:pPr>
              <w:rPr>
                <w:color w:val="000000" w:themeColor="text1"/>
              </w:rPr>
            </w:pPr>
          </w:p>
        </w:tc>
        <w:tc>
          <w:tcPr>
            <w:tcW w:w="403" w:type="dxa"/>
            <w:tcBorders>
              <w:bottom w:val="single" w:sz="4" w:space="0" w:color="auto"/>
            </w:tcBorders>
            <w:shd w:val="clear" w:color="auto" w:fill="7F7F7F" w:themeFill="text1" w:themeFillTint="80"/>
          </w:tcPr>
          <w:p w14:paraId="23F036A4" w14:textId="77777777" w:rsidR="0023325B" w:rsidRPr="00EB32C9" w:rsidRDefault="0023325B" w:rsidP="00D45D9B">
            <w:pPr>
              <w:rPr>
                <w:color w:val="000000" w:themeColor="text1"/>
              </w:rPr>
            </w:pPr>
          </w:p>
        </w:tc>
        <w:tc>
          <w:tcPr>
            <w:tcW w:w="403" w:type="dxa"/>
            <w:tcBorders>
              <w:bottom w:val="single" w:sz="4" w:space="0" w:color="auto"/>
            </w:tcBorders>
            <w:shd w:val="clear" w:color="auto" w:fill="FFFFFF" w:themeFill="background1"/>
          </w:tcPr>
          <w:p w14:paraId="516D0473" w14:textId="77777777" w:rsidR="0023325B" w:rsidRPr="00EB32C9" w:rsidRDefault="0023325B" w:rsidP="00D45D9B">
            <w:pPr>
              <w:rPr>
                <w:color w:val="000000" w:themeColor="text1"/>
              </w:rPr>
            </w:pPr>
          </w:p>
        </w:tc>
        <w:tc>
          <w:tcPr>
            <w:tcW w:w="403" w:type="dxa"/>
            <w:tcBorders>
              <w:bottom w:val="single" w:sz="4" w:space="0" w:color="auto"/>
            </w:tcBorders>
            <w:shd w:val="clear" w:color="auto" w:fill="FFFFFF" w:themeFill="background1"/>
          </w:tcPr>
          <w:p w14:paraId="5E509C92" w14:textId="77777777" w:rsidR="0023325B" w:rsidRPr="00EB32C9" w:rsidRDefault="0023325B" w:rsidP="00D45D9B">
            <w:pPr>
              <w:jc w:val="center"/>
              <w:rPr>
                <w:color w:val="000000" w:themeColor="text1"/>
              </w:rPr>
            </w:pPr>
          </w:p>
        </w:tc>
        <w:tc>
          <w:tcPr>
            <w:tcW w:w="1117" w:type="dxa"/>
            <w:tcBorders>
              <w:bottom w:val="single" w:sz="4" w:space="0" w:color="auto"/>
            </w:tcBorders>
            <w:shd w:val="clear" w:color="auto" w:fill="FFFFFF" w:themeFill="background1"/>
          </w:tcPr>
          <w:p w14:paraId="5593835A" w14:textId="77777777" w:rsidR="0023325B" w:rsidRPr="00EB32C9" w:rsidRDefault="0023325B" w:rsidP="00D45D9B">
            <w:pPr>
              <w:jc w:val="center"/>
              <w:rPr>
                <w:color w:val="000000" w:themeColor="text1"/>
              </w:rPr>
            </w:pPr>
            <w:r w:rsidRPr="00EB32C9">
              <w:rPr>
                <w:color w:val="000000" w:themeColor="text1"/>
              </w:rPr>
              <w:t>8</w:t>
            </w:r>
          </w:p>
        </w:tc>
      </w:tr>
      <w:tr w:rsidR="0023325B" w14:paraId="16AB5969" w14:textId="77777777" w:rsidTr="00D45D9B">
        <w:tc>
          <w:tcPr>
            <w:tcW w:w="2245" w:type="dxa"/>
          </w:tcPr>
          <w:p w14:paraId="30E89EFD" w14:textId="77777777" w:rsidR="0023325B" w:rsidRPr="00EB32C9" w:rsidRDefault="0023325B" w:rsidP="00D45D9B">
            <w:pPr>
              <w:rPr>
                <w:color w:val="000000" w:themeColor="text1"/>
                <w:sz w:val="21"/>
                <w:szCs w:val="21"/>
              </w:rPr>
            </w:pPr>
            <w:r w:rsidRPr="00EB32C9">
              <w:rPr>
                <w:color w:val="000000" w:themeColor="text1"/>
                <w:sz w:val="21"/>
                <w:szCs w:val="21"/>
              </w:rPr>
              <w:t>3-day holiday weekend</w:t>
            </w:r>
          </w:p>
        </w:tc>
        <w:tc>
          <w:tcPr>
            <w:tcW w:w="403" w:type="dxa"/>
          </w:tcPr>
          <w:p w14:paraId="6728130B" w14:textId="77777777" w:rsidR="0023325B" w:rsidRPr="00EB32C9" w:rsidRDefault="0023325B" w:rsidP="00D45D9B">
            <w:pPr>
              <w:rPr>
                <w:color w:val="000000" w:themeColor="text1"/>
              </w:rPr>
            </w:pPr>
          </w:p>
        </w:tc>
        <w:tc>
          <w:tcPr>
            <w:tcW w:w="403" w:type="dxa"/>
          </w:tcPr>
          <w:p w14:paraId="076F839D" w14:textId="77777777" w:rsidR="0023325B" w:rsidRPr="00EB32C9" w:rsidRDefault="0023325B" w:rsidP="00D45D9B">
            <w:pPr>
              <w:jc w:val="center"/>
              <w:rPr>
                <w:color w:val="000000" w:themeColor="text1"/>
              </w:rPr>
            </w:pPr>
          </w:p>
        </w:tc>
        <w:tc>
          <w:tcPr>
            <w:tcW w:w="403" w:type="dxa"/>
            <w:shd w:val="clear" w:color="auto" w:fill="FFFFFF" w:themeFill="background1"/>
          </w:tcPr>
          <w:p w14:paraId="5C18BFC0" w14:textId="77777777" w:rsidR="0023325B" w:rsidRPr="00EB32C9" w:rsidRDefault="0023325B" w:rsidP="00D45D9B">
            <w:pPr>
              <w:rPr>
                <w:color w:val="000000" w:themeColor="text1"/>
              </w:rPr>
            </w:pPr>
          </w:p>
        </w:tc>
        <w:tc>
          <w:tcPr>
            <w:tcW w:w="403" w:type="dxa"/>
            <w:shd w:val="clear" w:color="auto" w:fill="FFFFFF" w:themeFill="background1"/>
          </w:tcPr>
          <w:p w14:paraId="3C811EEA" w14:textId="77777777" w:rsidR="0023325B" w:rsidRPr="00EB32C9" w:rsidRDefault="0023325B" w:rsidP="00D45D9B">
            <w:pPr>
              <w:rPr>
                <w:color w:val="000000" w:themeColor="text1"/>
              </w:rPr>
            </w:pPr>
          </w:p>
        </w:tc>
        <w:tc>
          <w:tcPr>
            <w:tcW w:w="403" w:type="dxa"/>
            <w:shd w:val="clear" w:color="auto" w:fill="FFFFFF" w:themeFill="background1"/>
          </w:tcPr>
          <w:p w14:paraId="408BBBA4" w14:textId="77777777" w:rsidR="0023325B" w:rsidRPr="00EB32C9" w:rsidRDefault="0023325B" w:rsidP="00D45D9B">
            <w:pPr>
              <w:rPr>
                <w:color w:val="000000" w:themeColor="text1"/>
              </w:rPr>
            </w:pPr>
          </w:p>
        </w:tc>
        <w:tc>
          <w:tcPr>
            <w:tcW w:w="403" w:type="dxa"/>
            <w:shd w:val="clear" w:color="auto" w:fill="7F7F7F" w:themeFill="text1" w:themeFillTint="80"/>
          </w:tcPr>
          <w:p w14:paraId="4BAA6B1A" w14:textId="77777777" w:rsidR="0023325B" w:rsidRPr="00EB32C9" w:rsidRDefault="0023325B" w:rsidP="00D45D9B">
            <w:pPr>
              <w:jc w:val="center"/>
              <w:rPr>
                <w:color w:val="000000" w:themeColor="text1"/>
              </w:rPr>
            </w:pPr>
            <w:r w:rsidRPr="00EB32C9">
              <w:rPr>
                <w:rFonts w:cstheme="minorHAnsi"/>
                <w:color w:val="000000" w:themeColor="text1"/>
              </w:rPr>
              <w:t>●</w:t>
            </w:r>
          </w:p>
        </w:tc>
        <w:tc>
          <w:tcPr>
            <w:tcW w:w="403" w:type="dxa"/>
            <w:shd w:val="clear" w:color="auto" w:fill="7F7F7F" w:themeFill="text1" w:themeFillTint="80"/>
          </w:tcPr>
          <w:p w14:paraId="63DBAD31" w14:textId="77777777" w:rsidR="0023325B" w:rsidRPr="00EB32C9" w:rsidRDefault="0023325B" w:rsidP="00D45D9B">
            <w:pPr>
              <w:rPr>
                <w:color w:val="000000" w:themeColor="text1"/>
              </w:rPr>
            </w:pPr>
          </w:p>
        </w:tc>
        <w:tc>
          <w:tcPr>
            <w:tcW w:w="403" w:type="dxa"/>
          </w:tcPr>
          <w:p w14:paraId="7D902E74" w14:textId="77777777" w:rsidR="0023325B" w:rsidRPr="00EB32C9" w:rsidRDefault="0023325B" w:rsidP="00D45D9B">
            <w:pPr>
              <w:rPr>
                <w:color w:val="000000" w:themeColor="text1"/>
              </w:rPr>
            </w:pPr>
          </w:p>
        </w:tc>
        <w:tc>
          <w:tcPr>
            <w:tcW w:w="403" w:type="dxa"/>
          </w:tcPr>
          <w:p w14:paraId="1F53096F" w14:textId="77777777" w:rsidR="0023325B" w:rsidRPr="00EB32C9" w:rsidRDefault="0023325B" w:rsidP="00D45D9B">
            <w:pPr>
              <w:rPr>
                <w:color w:val="000000" w:themeColor="text1"/>
              </w:rPr>
            </w:pPr>
          </w:p>
        </w:tc>
        <w:tc>
          <w:tcPr>
            <w:tcW w:w="403" w:type="dxa"/>
          </w:tcPr>
          <w:p w14:paraId="4F9DB360" w14:textId="77777777" w:rsidR="0023325B" w:rsidRPr="00EB32C9" w:rsidRDefault="0023325B" w:rsidP="00D45D9B">
            <w:pPr>
              <w:jc w:val="center"/>
              <w:rPr>
                <w:color w:val="000000" w:themeColor="text1"/>
              </w:rPr>
            </w:pPr>
          </w:p>
        </w:tc>
        <w:tc>
          <w:tcPr>
            <w:tcW w:w="403" w:type="dxa"/>
          </w:tcPr>
          <w:p w14:paraId="6FF751B9" w14:textId="77777777" w:rsidR="0023325B" w:rsidRPr="00EB32C9" w:rsidRDefault="0023325B" w:rsidP="00D45D9B">
            <w:pPr>
              <w:rPr>
                <w:color w:val="000000" w:themeColor="text1"/>
              </w:rPr>
            </w:pPr>
          </w:p>
        </w:tc>
        <w:tc>
          <w:tcPr>
            <w:tcW w:w="403" w:type="dxa"/>
            <w:shd w:val="clear" w:color="auto" w:fill="7F7F7F" w:themeFill="text1" w:themeFillTint="80"/>
          </w:tcPr>
          <w:p w14:paraId="7E071CF7" w14:textId="77777777" w:rsidR="0023325B" w:rsidRPr="00EB32C9" w:rsidRDefault="0023325B" w:rsidP="00D45D9B">
            <w:pPr>
              <w:rPr>
                <w:color w:val="000000" w:themeColor="text1"/>
              </w:rPr>
            </w:pPr>
          </w:p>
        </w:tc>
        <w:tc>
          <w:tcPr>
            <w:tcW w:w="403" w:type="dxa"/>
            <w:shd w:val="clear" w:color="auto" w:fill="7F7F7F" w:themeFill="text1" w:themeFillTint="80"/>
          </w:tcPr>
          <w:p w14:paraId="71EF2C2F" w14:textId="77777777" w:rsidR="0023325B" w:rsidRPr="00EB32C9" w:rsidRDefault="0023325B" w:rsidP="00D45D9B">
            <w:pPr>
              <w:rPr>
                <w:color w:val="000000" w:themeColor="text1"/>
              </w:rPr>
            </w:pPr>
          </w:p>
        </w:tc>
        <w:tc>
          <w:tcPr>
            <w:tcW w:w="403" w:type="dxa"/>
            <w:shd w:val="clear" w:color="auto" w:fill="7F7F7F" w:themeFill="text1" w:themeFillTint="80"/>
          </w:tcPr>
          <w:p w14:paraId="7F7EFC09" w14:textId="77777777" w:rsidR="0023325B" w:rsidRPr="00EB32C9" w:rsidRDefault="0023325B" w:rsidP="00D45D9B">
            <w:pPr>
              <w:rPr>
                <w:color w:val="000000" w:themeColor="text1"/>
              </w:rPr>
            </w:pPr>
          </w:p>
        </w:tc>
        <w:tc>
          <w:tcPr>
            <w:tcW w:w="403" w:type="dxa"/>
            <w:shd w:val="clear" w:color="auto" w:fill="FFFFFF" w:themeFill="background1"/>
          </w:tcPr>
          <w:p w14:paraId="4597D3F0" w14:textId="77777777" w:rsidR="0023325B" w:rsidRPr="00EB32C9" w:rsidRDefault="0023325B" w:rsidP="00D45D9B">
            <w:pPr>
              <w:rPr>
                <w:color w:val="000000" w:themeColor="text1"/>
              </w:rPr>
            </w:pPr>
          </w:p>
        </w:tc>
        <w:tc>
          <w:tcPr>
            <w:tcW w:w="403" w:type="dxa"/>
            <w:shd w:val="clear" w:color="auto" w:fill="FFFFFF" w:themeFill="background1"/>
          </w:tcPr>
          <w:p w14:paraId="6CAA82F7" w14:textId="77777777" w:rsidR="0023325B" w:rsidRPr="00EB32C9" w:rsidRDefault="0023325B" w:rsidP="00D45D9B">
            <w:pPr>
              <w:jc w:val="center"/>
              <w:rPr>
                <w:color w:val="000000" w:themeColor="text1"/>
              </w:rPr>
            </w:pPr>
            <w:r w:rsidRPr="00EB32C9">
              <w:rPr>
                <w:color w:val="000000" w:themeColor="text1"/>
              </w:rPr>
              <w:sym w:font="Wingdings" w:char="F0FC"/>
            </w:r>
          </w:p>
        </w:tc>
        <w:tc>
          <w:tcPr>
            <w:tcW w:w="1117" w:type="dxa"/>
            <w:shd w:val="clear" w:color="auto" w:fill="FFFFFF" w:themeFill="background1"/>
          </w:tcPr>
          <w:p w14:paraId="646F2355" w14:textId="77777777" w:rsidR="0023325B" w:rsidRPr="00EB32C9" w:rsidRDefault="0023325B" w:rsidP="00D45D9B">
            <w:pPr>
              <w:jc w:val="center"/>
              <w:rPr>
                <w:color w:val="000000" w:themeColor="text1"/>
              </w:rPr>
            </w:pPr>
            <w:r w:rsidRPr="00EB32C9">
              <w:rPr>
                <w:color w:val="000000" w:themeColor="text1"/>
              </w:rPr>
              <w:t>10</w:t>
            </w:r>
          </w:p>
        </w:tc>
      </w:tr>
      <w:tr w:rsidR="0023325B" w14:paraId="58301331" w14:textId="77777777" w:rsidTr="00D45D9B">
        <w:tc>
          <w:tcPr>
            <w:tcW w:w="2245" w:type="dxa"/>
          </w:tcPr>
          <w:p w14:paraId="4691C957" w14:textId="77777777" w:rsidR="0023325B" w:rsidRPr="00EB32C9" w:rsidRDefault="0023325B" w:rsidP="00D45D9B">
            <w:pPr>
              <w:rPr>
                <w:color w:val="000000" w:themeColor="text1"/>
                <w:sz w:val="21"/>
                <w:szCs w:val="21"/>
              </w:rPr>
            </w:pPr>
            <w:r w:rsidRPr="00EB32C9">
              <w:rPr>
                <w:color w:val="000000" w:themeColor="text1"/>
                <w:sz w:val="21"/>
                <w:szCs w:val="21"/>
              </w:rPr>
              <w:t>Mid-week holiday</w:t>
            </w:r>
          </w:p>
        </w:tc>
        <w:tc>
          <w:tcPr>
            <w:tcW w:w="403" w:type="dxa"/>
          </w:tcPr>
          <w:p w14:paraId="61E5F149" w14:textId="77777777" w:rsidR="0023325B" w:rsidRPr="00EB32C9" w:rsidRDefault="0023325B" w:rsidP="00D45D9B">
            <w:pPr>
              <w:jc w:val="center"/>
              <w:rPr>
                <w:color w:val="000000" w:themeColor="text1"/>
              </w:rPr>
            </w:pPr>
            <w:r w:rsidRPr="00EB32C9">
              <w:rPr>
                <w:rFonts w:cstheme="minorHAnsi"/>
                <w:color w:val="000000" w:themeColor="text1"/>
              </w:rPr>
              <w:t>●</w:t>
            </w:r>
          </w:p>
        </w:tc>
        <w:tc>
          <w:tcPr>
            <w:tcW w:w="403" w:type="dxa"/>
          </w:tcPr>
          <w:p w14:paraId="4D665FD3" w14:textId="77777777" w:rsidR="0023325B" w:rsidRPr="00EB32C9" w:rsidRDefault="0023325B" w:rsidP="00D45D9B">
            <w:pPr>
              <w:rPr>
                <w:color w:val="000000" w:themeColor="text1"/>
              </w:rPr>
            </w:pPr>
          </w:p>
        </w:tc>
        <w:tc>
          <w:tcPr>
            <w:tcW w:w="403" w:type="dxa"/>
            <w:shd w:val="clear" w:color="auto" w:fill="7F7F7F" w:themeFill="text1" w:themeFillTint="80"/>
          </w:tcPr>
          <w:p w14:paraId="6B77077A" w14:textId="77777777" w:rsidR="0023325B" w:rsidRPr="00EB32C9" w:rsidRDefault="0023325B" w:rsidP="00D45D9B">
            <w:pPr>
              <w:rPr>
                <w:color w:val="000000" w:themeColor="text1"/>
              </w:rPr>
            </w:pPr>
          </w:p>
        </w:tc>
        <w:tc>
          <w:tcPr>
            <w:tcW w:w="403" w:type="dxa"/>
            <w:shd w:val="clear" w:color="auto" w:fill="FFFFFF" w:themeFill="background1"/>
          </w:tcPr>
          <w:p w14:paraId="5066CDC1" w14:textId="77777777" w:rsidR="0023325B" w:rsidRPr="00EB32C9" w:rsidRDefault="0023325B" w:rsidP="00D45D9B">
            <w:pPr>
              <w:rPr>
                <w:color w:val="000000" w:themeColor="text1"/>
              </w:rPr>
            </w:pPr>
          </w:p>
        </w:tc>
        <w:tc>
          <w:tcPr>
            <w:tcW w:w="403" w:type="dxa"/>
            <w:shd w:val="clear" w:color="auto" w:fill="FFFFFF" w:themeFill="background1"/>
          </w:tcPr>
          <w:p w14:paraId="12F03776" w14:textId="77777777" w:rsidR="0023325B" w:rsidRPr="00EB32C9" w:rsidRDefault="0023325B" w:rsidP="00D45D9B">
            <w:pPr>
              <w:rPr>
                <w:color w:val="000000" w:themeColor="text1"/>
              </w:rPr>
            </w:pPr>
          </w:p>
        </w:tc>
        <w:tc>
          <w:tcPr>
            <w:tcW w:w="403" w:type="dxa"/>
            <w:shd w:val="clear" w:color="auto" w:fill="7F7F7F" w:themeFill="text1" w:themeFillTint="80"/>
          </w:tcPr>
          <w:p w14:paraId="248C753F" w14:textId="77777777" w:rsidR="0023325B" w:rsidRPr="00EB32C9" w:rsidRDefault="0023325B" w:rsidP="00D45D9B">
            <w:pPr>
              <w:rPr>
                <w:color w:val="000000" w:themeColor="text1"/>
              </w:rPr>
            </w:pPr>
          </w:p>
        </w:tc>
        <w:tc>
          <w:tcPr>
            <w:tcW w:w="403" w:type="dxa"/>
            <w:shd w:val="clear" w:color="auto" w:fill="7F7F7F" w:themeFill="text1" w:themeFillTint="80"/>
          </w:tcPr>
          <w:p w14:paraId="3B7AC163" w14:textId="77777777" w:rsidR="0023325B" w:rsidRPr="00EB32C9" w:rsidRDefault="0023325B" w:rsidP="00D45D9B">
            <w:pPr>
              <w:rPr>
                <w:color w:val="000000" w:themeColor="text1"/>
              </w:rPr>
            </w:pPr>
          </w:p>
        </w:tc>
        <w:tc>
          <w:tcPr>
            <w:tcW w:w="403" w:type="dxa"/>
          </w:tcPr>
          <w:p w14:paraId="6F59C216" w14:textId="77777777" w:rsidR="0023325B" w:rsidRPr="00EB32C9" w:rsidRDefault="0023325B" w:rsidP="00D45D9B">
            <w:pPr>
              <w:jc w:val="center"/>
              <w:rPr>
                <w:color w:val="000000" w:themeColor="text1"/>
              </w:rPr>
            </w:pPr>
          </w:p>
        </w:tc>
        <w:tc>
          <w:tcPr>
            <w:tcW w:w="403" w:type="dxa"/>
          </w:tcPr>
          <w:p w14:paraId="6177BF00" w14:textId="77777777" w:rsidR="0023325B" w:rsidRPr="00EB32C9" w:rsidRDefault="0023325B" w:rsidP="00D45D9B">
            <w:pPr>
              <w:rPr>
                <w:color w:val="000000" w:themeColor="text1"/>
              </w:rPr>
            </w:pPr>
            <w:r w:rsidRPr="00EB32C9">
              <w:rPr>
                <w:color w:val="000000" w:themeColor="text1"/>
              </w:rPr>
              <w:sym w:font="Wingdings" w:char="F0FC"/>
            </w:r>
          </w:p>
        </w:tc>
        <w:tc>
          <w:tcPr>
            <w:tcW w:w="403" w:type="dxa"/>
          </w:tcPr>
          <w:p w14:paraId="49E74A53" w14:textId="77777777" w:rsidR="0023325B" w:rsidRPr="00EB32C9" w:rsidRDefault="0023325B" w:rsidP="00D45D9B">
            <w:pPr>
              <w:rPr>
                <w:color w:val="000000" w:themeColor="text1"/>
              </w:rPr>
            </w:pPr>
          </w:p>
        </w:tc>
        <w:tc>
          <w:tcPr>
            <w:tcW w:w="403" w:type="dxa"/>
          </w:tcPr>
          <w:p w14:paraId="491B3E80" w14:textId="77777777" w:rsidR="0023325B" w:rsidRPr="00EB32C9" w:rsidRDefault="0023325B" w:rsidP="00D45D9B">
            <w:pPr>
              <w:rPr>
                <w:color w:val="000000" w:themeColor="text1"/>
              </w:rPr>
            </w:pPr>
          </w:p>
        </w:tc>
        <w:tc>
          <w:tcPr>
            <w:tcW w:w="403" w:type="dxa"/>
          </w:tcPr>
          <w:p w14:paraId="35398101" w14:textId="77777777" w:rsidR="0023325B" w:rsidRPr="00EB32C9" w:rsidRDefault="0023325B" w:rsidP="00D45D9B">
            <w:pPr>
              <w:rPr>
                <w:color w:val="000000" w:themeColor="text1"/>
              </w:rPr>
            </w:pPr>
          </w:p>
        </w:tc>
        <w:tc>
          <w:tcPr>
            <w:tcW w:w="403" w:type="dxa"/>
            <w:shd w:val="clear" w:color="auto" w:fill="7F7F7F" w:themeFill="text1" w:themeFillTint="80"/>
          </w:tcPr>
          <w:p w14:paraId="7A16C84B" w14:textId="77777777" w:rsidR="0023325B" w:rsidRPr="00EB32C9" w:rsidRDefault="0023325B" w:rsidP="00D45D9B">
            <w:pPr>
              <w:rPr>
                <w:color w:val="000000" w:themeColor="text1"/>
              </w:rPr>
            </w:pPr>
          </w:p>
        </w:tc>
        <w:tc>
          <w:tcPr>
            <w:tcW w:w="403" w:type="dxa"/>
            <w:shd w:val="clear" w:color="auto" w:fill="7F7F7F" w:themeFill="text1" w:themeFillTint="80"/>
          </w:tcPr>
          <w:p w14:paraId="570EE9A5" w14:textId="77777777" w:rsidR="0023325B" w:rsidRPr="00EB32C9" w:rsidRDefault="0023325B" w:rsidP="00D45D9B">
            <w:pPr>
              <w:rPr>
                <w:color w:val="000000" w:themeColor="text1"/>
              </w:rPr>
            </w:pPr>
          </w:p>
        </w:tc>
        <w:tc>
          <w:tcPr>
            <w:tcW w:w="403" w:type="dxa"/>
          </w:tcPr>
          <w:p w14:paraId="72263747" w14:textId="77777777" w:rsidR="0023325B" w:rsidRPr="00EB32C9" w:rsidRDefault="0023325B" w:rsidP="00D45D9B">
            <w:pPr>
              <w:rPr>
                <w:color w:val="000000" w:themeColor="text1"/>
              </w:rPr>
            </w:pPr>
          </w:p>
        </w:tc>
        <w:tc>
          <w:tcPr>
            <w:tcW w:w="403" w:type="dxa"/>
          </w:tcPr>
          <w:p w14:paraId="3F23A4EA" w14:textId="77777777" w:rsidR="0023325B" w:rsidRPr="00EB32C9" w:rsidRDefault="0023325B" w:rsidP="00D45D9B">
            <w:pPr>
              <w:jc w:val="center"/>
              <w:rPr>
                <w:color w:val="000000" w:themeColor="text1"/>
              </w:rPr>
            </w:pPr>
          </w:p>
        </w:tc>
        <w:tc>
          <w:tcPr>
            <w:tcW w:w="1117" w:type="dxa"/>
          </w:tcPr>
          <w:p w14:paraId="557A843E" w14:textId="77777777" w:rsidR="0023325B" w:rsidRPr="00EB32C9" w:rsidRDefault="0023325B" w:rsidP="00D45D9B">
            <w:pPr>
              <w:jc w:val="center"/>
              <w:rPr>
                <w:color w:val="000000" w:themeColor="text1"/>
              </w:rPr>
            </w:pPr>
            <w:r w:rsidRPr="00EB32C9">
              <w:rPr>
                <w:color w:val="000000" w:themeColor="text1"/>
              </w:rPr>
              <w:t>8</w:t>
            </w:r>
          </w:p>
        </w:tc>
      </w:tr>
      <w:tr w:rsidR="0023325B" w14:paraId="7E36D0A0" w14:textId="77777777" w:rsidTr="00D45D9B">
        <w:tc>
          <w:tcPr>
            <w:tcW w:w="2245" w:type="dxa"/>
          </w:tcPr>
          <w:p w14:paraId="475D2261" w14:textId="77777777" w:rsidR="0023325B" w:rsidRPr="00EB32C9" w:rsidRDefault="0023325B" w:rsidP="00D45D9B">
            <w:pPr>
              <w:rPr>
                <w:color w:val="000000" w:themeColor="text1"/>
                <w:sz w:val="21"/>
                <w:szCs w:val="21"/>
              </w:rPr>
            </w:pPr>
            <w:r w:rsidRPr="00EB32C9">
              <w:rPr>
                <w:color w:val="000000" w:themeColor="text1"/>
                <w:sz w:val="21"/>
                <w:szCs w:val="21"/>
              </w:rPr>
              <w:t>Thanksgiving weekend</w:t>
            </w:r>
          </w:p>
        </w:tc>
        <w:tc>
          <w:tcPr>
            <w:tcW w:w="403" w:type="dxa"/>
          </w:tcPr>
          <w:p w14:paraId="5AFCCC70" w14:textId="77777777" w:rsidR="0023325B" w:rsidRPr="00C31C4B" w:rsidRDefault="0023325B" w:rsidP="00D45D9B"/>
        </w:tc>
        <w:tc>
          <w:tcPr>
            <w:tcW w:w="403" w:type="dxa"/>
          </w:tcPr>
          <w:p w14:paraId="2F3BBF6D" w14:textId="77777777" w:rsidR="0023325B" w:rsidRPr="00C31C4B" w:rsidRDefault="0023325B" w:rsidP="00D45D9B"/>
        </w:tc>
        <w:tc>
          <w:tcPr>
            <w:tcW w:w="403" w:type="dxa"/>
            <w:tcBorders>
              <w:bottom w:val="single" w:sz="4" w:space="0" w:color="auto"/>
            </w:tcBorders>
          </w:tcPr>
          <w:p w14:paraId="222B912A" w14:textId="77777777" w:rsidR="0023325B" w:rsidRPr="00C31C4B" w:rsidRDefault="0023325B" w:rsidP="00D45D9B">
            <w:pPr>
              <w:jc w:val="center"/>
            </w:pPr>
            <w:r w:rsidRPr="00C31C4B">
              <w:rPr>
                <w:rFonts w:cstheme="minorHAnsi"/>
              </w:rPr>
              <w:t>●</w:t>
            </w:r>
          </w:p>
        </w:tc>
        <w:tc>
          <w:tcPr>
            <w:tcW w:w="403" w:type="dxa"/>
            <w:tcBorders>
              <w:bottom w:val="single" w:sz="4" w:space="0" w:color="auto"/>
            </w:tcBorders>
            <w:shd w:val="clear" w:color="auto" w:fill="7F7F7F" w:themeFill="text1" w:themeFillTint="80"/>
          </w:tcPr>
          <w:p w14:paraId="7C6CC68E" w14:textId="77777777" w:rsidR="0023325B" w:rsidRPr="00C31C4B" w:rsidRDefault="0023325B" w:rsidP="00D45D9B"/>
        </w:tc>
        <w:tc>
          <w:tcPr>
            <w:tcW w:w="403" w:type="dxa"/>
            <w:tcBorders>
              <w:bottom w:val="single" w:sz="4" w:space="0" w:color="auto"/>
            </w:tcBorders>
            <w:shd w:val="clear" w:color="auto" w:fill="7F7F7F" w:themeFill="text1" w:themeFillTint="80"/>
          </w:tcPr>
          <w:p w14:paraId="740A2EAB" w14:textId="77777777" w:rsidR="0023325B" w:rsidRPr="00C31C4B" w:rsidRDefault="0023325B" w:rsidP="00D45D9B"/>
        </w:tc>
        <w:tc>
          <w:tcPr>
            <w:tcW w:w="403" w:type="dxa"/>
            <w:shd w:val="clear" w:color="auto" w:fill="7F7F7F" w:themeFill="text1" w:themeFillTint="80"/>
          </w:tcPr>
          <w:p w14:paraId="45AD4457" w14:textId="77777777" w:rsidR="0023325B" w:rsidRPr="00C31C4B" w:rsidRDefault="0023325B" w:rsidP="00D45D9B"/>
        </w:tc>
        <w:tc>
          <w:tcPr>
            <w:tcW w:w="403" w:type="dxa"/>
            <w:shd w:val="clear" w:color="auto" w:fill="7F7F7F" w:themeFill="text1" w:themeFillTint="80"/>
          </w:tcPr>
          <w:p w14:paraId="23239EF0" w14:textId="77777777" w:rsidR="0023325B" w:rsidRPr="00C31C4B" w:rsidRDefault="0023325B" w:rsidP="00D45D9B"/>
        </w:tc>
        <w:tc>
          <w:tcPr>
            <w:tcW w:w="403" w:type="dxa"/>
          </w:tcPr>
          <w:p w14:paraId="28953528" w14:textId="77777777" w:rsidR="0023325B" w:rsidRPr="00C31C4B" w:rsidRDefault="0023325B" w:rsidP="00D45D9B"/>
        </w:tc>
        <w:tc>
          <w:tcPr>
            <w:tcW w:w="403" w:type="dxa"/>
          </w:tcPr>
          <w:p w14:paraId="7F24FC72" w14:textId="77777777" w:rsidR="0023325B" w:rsidRPr="00C31C4B" w:rsidRDefault="0023325B" w:rsidP="00D45D9B"/>
        </w:tc>
        <w:tc>
          <w:tcPr>
            <w:tcW w:w="403" w:type="dxa"/>
          </w:tcPr>
          <w:p w14:paraId="48F5951A" w14:textId="77777777" w:rsidR="0023325B" w:rsidRPr="00C31C4B" w:rsidRDefault="0023325B" w:rsidP="00D45D9B"/>
        </w:tc>
        <w:tc>
          <w:tcPr>
            <w:tcW w:w="403" w:type="dxa"/>
            <w:tcBorders>
              <w:bottom w:val="single" w:sz="4" w:space="0" w:color="auto"/>
            </w:tcBorders>
          </w:tcPr>
          <w:p w14:paraId="1065F1AC" w14:textId="77777777" w:rsidR="0023325B" w:rsidRPr="00C31C4B" w:rsidRDefault="0023325B" w:rsidP="00D45D9B"/>
        </w:tc>
        <w:tc>
          <w:tcPr>
            <w:tcW w:w="403" w:type="dxa"/>
            <w:tcBorders>
              <w:bottom w:val="single" w:sz="4" w:space="0" w:color="auto"/>
            </w:tcBorders>
          </w:tcPr>
          <w:p w14:paraId="31F50430" w14:textId="77777777" w:rsidR="0023325B" w:rsidRPr="00C31C4B" w:rsidRDefault="0023325B" w:rsidP="00D45D9B">
            <w:pPr>
              <w:jc w:val="center"/>
            </w:pPr>
            <w:r w:rsidRPr="00C31C4B">
              <w:sym w:font="Wingdings" w:char="F0FC"/>
            </w:r>
          </w:p>
        </w:tc>
        <w:tc>
          <w:tcPr>
            <w:tcW w:w="403" w:type="dxa"/>
            <w:shd w:val="clear" w:color="auto" w:fill="7F7F7F" w:themeFill="text1" w:themeFillTint="80"/>
          </w:tcPr>
          <w:p w14:paraId="1FAE81D4" w14:textId="77777777" w:rsidR="0023325B" w:rsidRPr="00C31C4B" w:rsidRDefault="0023325B" w:rsidP="00D45D9B"/>
        </w:tc>
        <w:tc>
          <w:tcPr>
            <w:tcW w:w="403" w:type="dxa"/>
            <w:shd w:val="clear" w:color="auto" w:fill="7F7F7F" w:themeFill="text1" w:themeFillTint="80"/>
          </w:tcPr>
          <w:p w14:paraId="04B75412" w14:textId="77777777" w:rsidR="0023325B" w:rsidRPr="00C31C4B" w:rsidRDefault="0023325B" w:rsidP="00D45D9B"/>
        </w:tc>
        <w:tc>
          <w:tcPr>
            <w:tcW w:w="403" w:type="dxa"/>
          </w:tcPr>
          <w:p w14:paraId="0820F6E8" w14:textId="77777777" w:rsidR="0023325B" w:rsidRPr="00C31C4B" w:rsidRDefault="0023325B" w:rsidP="00D45D9B"/>
        </w:tc>
        <w:tc>
          <w:tcPr>
            <w:tcW w:w="403" w:type="dxa"/>
          </w:tcPr>
          <w:p w14:paraId="73ACD6E1" w14:textId="77777777" w:rsidR="0023325B" w:rsidRDefault="0023325B" w:rsidP="00D45D9B">
            <w:pPr>
              <w:jc w:val="center"/>
            </w:pPr>
          </w:p>
        </w:tc>
        <w:tc>
          <w:tcPr>
            <w:tcW w:w="1117" w:type="dxa"/>
          </w:tcPr>
          <w:p w14:paraId="48BC6335" w14:textId="77777777" w:rsidR="0023325B" w:rsidRPr="00C31C4B" w:rsidRDefault="0023325B" w:rsidP="00D45D9B">
            <w:pPr>
              <w:jc w:val="center"/>
            </w:pPr>
            <w:r>
              <w:t>9</w:t>
            </w:r>
          </w:p>
        </w:tc>
      </w:tr>
      <w:tr w:rsidR="0023325B" w14:paraId="70433702" w14:textId="77777777" w:rsidTr="00D45D9B">
        <w:tc>
          <w:tcPr>
            <w:tcW w:w="2245" w:type="dxa"/>
          </w:tcPr>
          <w:p w14:paraId="17EE8B4E" w14:textId="77777777" w:rsidR="0023325B" w:rsidRPr="00EB32C9" w:rsidRDefault="0023325B" w:rsidP="00D45D9B">
            <w:pPr>
              <w:rPr>
                <w:color w:val="000000" w:themeColor="text1"/>
                <w:sz w:val="21"/>
                <w:szCs w:val="21"/>
              </w:rPr>
            </w:pPr>
            <w:r w:rsidRPr="00EB32C9">
              <w:rPr>
                <w:color w:val="000000" w:themeColor="text1"/>
                <w:sz w:val="21"/>
                <w:szCs w:val="21"/>
              </w:rPr>
              <w:t>Thanksgiving weekend</w:t>
            </w:r>
          </w:p>
        </w:tc>
        <w:tc>
          <w:tcPr>
            <w:tcW w:w="403" w:type="dxa"/>
          </w:tcPr>
          <w:p w14:paraId="3562E882" w14:textId="77777777" w:rsidR="0023325B" w:rsidRPr="00C31C4B" w:rsidRDefault="0023325B" w:rsidP="00D45D9B"/>
        </w:tc>
        <w:tc>
          <w:tcPr>
            <w:tcW w:w="403" w:type="dxa"/>
          </w:tcPr>
          <w:p w14:paraId="2E7E8D68" w14:textId="77777777" w:rsidR="0023325B" w:rsidRPr="00C31C4B" w:rsidRDefault="0023325B" w:rsidP="00D45D9B"/>
        </w:tc>
        <w:tc>
          <w:tcPr>
            <w:tcW w:w="403" w:type="dxa"/>
            <w:shd w:val="clear" w:color="auto" w:fill="FFFFFF" w:themeFill="background1"/>
          </w:tcPr>
          <w:p w14:paraId="4803A1E0" w14:textId="77777777" w:rsidR="0023325B" w:rsidRPr="00C31C4B" w:rsidRDefault="0023325B" w:rsidP="00D45D9B">
            <w:pPr>
              <w:jc w:val="center"/>
              <w:rPr>
                <w:rFonts w:cstheme="minorHAnsi"/>
              </w:rPr>
            </w:pPr>
          </w:p>
        </w:tc>
        <w:tc>
          <w:tcPr>
            <w:tcW w:w="403" w:type="dxa"/>
            <w:shd w:val="clear" w:color="auto" w:fill="FFFFFF" w:themeFill="background1"/>
          </w:tcPr>
          <w:p w14:paraId="4E65F913" w14:textId="77777777" w:rsidR="0023325B" w:rsidRPr="00C31C4B" w:rsidRDefault="0023325B" w:rsidP="00D45D9B">
            <w:r w:rsidRPr="00C31C4B">
              <w:rPr>
                <w:rFonts w:cstheme="minorHAnsi"/>
              </w:rPr>
              <w:t>●</w:t>
            </w:r>
          </w:p>
        </w:tc>
        <w:tc>
          <w:tcPr>
            <w:tcW w:w="403" w:type="dxa"/>
            <w:shd w:val="clear" w:color="auto" w:fill="FFFFFF" w:themeFill="background1"/>
          </w:tcPr>
          <w:p w14:paraId="39111A8E" w14:textId="77777777" w:rsidR="0023325B" w:rsidRPr="00C31C4B" w:rsidRDefault="0023325B" w:rsidP="00D45D9B">
            <w:pPr>
              <w:jc w:val="center"/>
            </w:pPr>
          </w:p>
        </w:tc>
        <w:tc>
          <w:tcPr>
            <w:tcW w:w="403" w:type="dxa"/>
            <w:shd w:val="clear" w:color="auto" w:fill="7F7F7F" w:themeFill="text1" w:themeFillTint="80"/>
          </w:tcPr>
          <w:p w14:paraId="60348C74" w14:textId="77777777" w:rsidR="0023325B" w:rsidRPr="00C31C4B" w:rsidRDefault="0023325B" w:rsidP="00D45D9B"/>
        </w:tc>
        <w:tc>
          <w:tcPr>
            <w:tcW w:w="403" w:type="dxa"/>
            <w:shd w:val="clear" w:color="auto" w:fill="7F7F7F" w:themeFill="text1" w:themeFillTint="80"/>
          </w:tcPr>
          <w:p w14:paraId="5AFD3A4C" w14:textId="77777777" w:rsidR="0023325B" w:rsidRPr="00C31C4B" w:rsidRDefault="0023325B" w:rsidP="00D45D9B"/>
        </w:tc>
        <w:tc>
          <w:tcPr>
            <w:tcW w:w="403" w:type="dxa"/>
          </w:tcPr>
          <w:p w14:paraId="3FB24EA0" w14:textId="77777777" w:rsidR="0023325B" w:rsidRPr="00C31C4B" w:rsidRDefault="0023325B" w:rsidP="00D45D9B"/>
        </w:tc>
        <w:tc>
          <w:tcPr>
            <w:tcW w:w="403" w:type="dxa"/>
          </w:tcPr>
          <w:p w14:paraId="367F21DF" w14:textId="77777777" w:rsidR="0023325B" w:rsidRPr="00C31C4B" w:rsidRDefault="0023325B" w:rsidP="00D45D9B"/>
        </w:tc>
        <w:tc>
          <w:tcPr>
            <w:tcW w:w="403" w:type="dxa"/>
          </w:tcPr>
          <w:p w14:paraId="4643485F" w14:textId="77777777" w:rsidR="0023325B" w:rsidRPr="00C31C4B" w:rsidRDefault="0023325B" w:rsidP="00D45D9B"/>
        </w:tc>
        <w:tc>
          <w:tcPr>
            <w:tcW w:w="403" w:type="dxa"/>
            <w:shd w:val="clear" w:color="auto" w:fill="7F7F7F" w:themeFill="text1" w:themeFillTint="80"/>
          </w:tcPr>
          <w:p w14:paraId="1E3C2E9E" w14:textId="77777777" w:rsidR="0023325B" w:rsidRPr="00C31C4B" w:rsidRDefault="0023325B" w:rsidP="00D45D9B"/>
        </w:tc>
        <w:tc>
          <w:tcPr>
            <w:tcW w:w="403" w:type="dxa"/>
            <w:shd w:val="clear" w:color="auto" w:fill="7F7F7F" w:themeFill="text1" w:themeFillTint="80"/>
          </w:tcPr>
          <w:p w14:paraId="05D52F88" w14:textId="77777777" w:rsidR="0023325B" w:rsidRPr="00C31C4B" w:rsidRDefault="0023325B" w:rsidP="00D45D9B">
            <w:pPr>
              <w:jc w:val="center"/>
            </w:pPr>
          </w:p>
        </w:tc>
        <w:tc>
          <w:tcPr>
            <w:tcW w:w="403" w:type="dxa"/>
            <w:shd w:val="clear" w:color="auto" w:fill="7F7F7F" w:themeFill="text1" w:themeFillTint="80"/>
          </w:tcPr>
          <w:p w14:paraId="5E8D167F" w14:textId="77777777" w:rsidR="0023325B" w:rsidRPr="00C31C4B" w:rsidRDefault="0023325B" w:rsidP="00D45D9B"/>
        </w:tc>
        <w:tc>
          <w:tcPr>
            <w:tcW w:w="403" w:type="dxa"/>
            <w:shd w:val="clear" w:color="auto" w:fill="7F7F7F" w:themeFill="text1" w:themeFillTint="80"/>
          </w:tcPr>
          <w:p w14:paraId="65A4F8C6" w14:textId="77777777" w:rsidR="0023325B" w:rsidRPr="00C31C4B" w:rsidRDefault="0023325B" w:rsidP="00D45D9B"/>
        </w:tc>
        <w:tc>
          <w:tcPr>
            <w:tcW w:w="403" w:type="dxa"/>
          </w:tcPr>
          <w:p w14:paraId="04E8C0B0" w14:textId="77777777" w:rsidR="0023325B" w:rsidRPr="00C31C4B" w:rsidRDefault="0023325B" w:rsidP="00D45D9B">
            <w:r w:rsidRPr="00C31C4B">
              <w:sym w:font="Wingdings" w:char="F0FC"/>
            </w:r>
          </w:p>
        </w:tc>
        <w:tc>
          <w:tcPr>
            <w:tcW w:w="403" w:type="dxa"/>
          </w:tcPr>
          <w:p w14:paraId="7034E3F8" w14:textId="77777777" w:rsidR="0023325B" w:rsidRDefault="0023325B" w:rsidP="00D45D9B">
            <w:pPr>
              <w:jc w:val="center"/>
            </w:pPr>
          </w:p>
        </w:tc>
        <w:tc>
          <w:tcPr>
            <w:tcW w:w="1117" w:type="dxa"/>
          </w:tcPr>
          <w:p w14:paraId="381A9E99" w14:textId="77777777" w:rsidR="0023325B" w:rsidRPr="00C31C4B" w:rsidRDefault="0023325B" w:rsidP="00D45D9B">
            <w:pPr>
              <w:jc w:val="center"/>
            </w:pPr>
            <w:r>
              <w:t>11</w:t>
            </w:r>
          </w:p>
        </w:tc>
      </w:tr>
    </w:tbl>
    <w:p w14:paraId="5DA2495A" w14:textId="77777777" w:rsidR="0023325B" w:rsidRDefault="0023325B" w:rsidP="0023325B">
      <w:pPr>
        <w:spacing w:after="0" w:line="240" w:lineRule="auto"/>
        <w:ind w:left="1080"/>
      </w:pPr>
    </w:p>
    <w:p w14:paraId="35E4E4D4" w14:textId="77777777" w:rsidR="0023325B" w:rsidRDefault="0023325B" w:rsidP="0023325B">
      <w:pPr>
        <w:spacing w:after="0" w:line="240" w:lineRule="auto"/>
        <w:ind w:left="1080"/>
      </w:pPr>
      <w:r>
        <w:t>Legend</w:t>
      </w:r>
    </w:p>
    <w:p w14:paraId="292B5868" w14:textId="77777777" w:rsidR="0023325B" w:rsidRDefault="0023325B" w:rsidP="0023325B">
      <w:pPr>
        <w:spacing w:after="0" w:line="240" w:lineRule="auto"/>
        <w:ind w:left="1080"/>
        <w:rPr>
          <w:rFonts w:cstheme="minorHAnsi"/>
        </w:rPr>
      </w:pPr>
      <w:r>
        <w:rPr>
          <w:rFonts w:cstheme="minorHAnsi"/>
        </w:rPr>
        <w:t xml:space="preserve">  ● Designation request submitted by 11am PST</w:t>
      </w:r>
    </w:p>
    <w:p w14:paraId="7EEB5AE1" w14:textId="179E3541" w:rsidR="0023325B" w:rsidRDefault="0023325B" w:rsidP="0023325B">
      <w:pPr>
        <w:spacing w:after="0" w:line="240" w:lineRule="auto"/>
        <w:ind w:left="1080"/>
      </w:pPr>
      <w:r>
        <w:rPr>
          <w:rFonts w:cstheme="minorHAnsi"/>
        </w:rPr>
        <w:t xml:space="preserve">  </w:t>
      </w:r>
      <w:r>
        <w:sym w:font="Wingdings" w:char="F0FC"/>
      </w:r>
      <w:r>
        <w:t xml:space="preserve"> Effective start date for standard designations</w:t>
      </w:r>
    </w:p>
    <w:p w14:paraId="651A373C" w14:textId="77777777" w:rsidR="0023325B" w:rsidRDefault="0023325B" w:rsidP="0023325B">
      <w:pPr>
        <w:spacing w:after="0" w:line="240" w:lineRule="auto"/>
        <w:ind w:left="1080"/>
        <w:rPr>
          <w:u w:val="single"/>
        </w:rPr>
      </w:pPr>
    </w:p>
    <w:p w14:paraId="39C5DBED" w14:textId="77777777" w:rsidR="0023325B" w:rsidRDefault="0023325B" w:rsidP="0023325B">
      <w:pPr>
        <w:spacing w:after="0" w:line="240" w:lineRule="auto"/>
        <w:ind w:left="1080"/>
      </w:pPr>
      <w:r>
        <w:rPr>
          <w:u w:val="single"/>
        </w:rPr>
        <w:t>Specific Instructions for W</w:t>
      </w:r>
      <w:r w:rsidRPr="000F6314">
        <w:rPr>
          <w:u w:val="single"/>
        </w:rPr>
        <w:t>EIM BAAs</w:t>
      </w:r>
      <w:r>
        <w:rPr>
          <w:u w:val="single"/>
        </w:rPr>
        <w:t xml:space="preserve"> for Standard Designation</w:t>
      </w:r>
      <w:r>
        <w:t xml:space="preserve">: </w:t>
      </w:r>
    </w:p>
    <w:p w14:paraId="7692F8D9" w14:textId="77777777" w:rsidR="0023325B" w:rsidRDefault="0023325B" w:rsidP="0023325B">
      <w:pPr>
        <w:spacing w:after="0" w:line="240" w:lineRule="auto"/>
        <w:ind w:left="1080"/>
      </w:pPr>
    </w:p>
    <w:p w14:paraId="7F61904B" w14:textId="5AE203E9" w:rsidR="0023325B" w:rsidRDefault="0023325B" w:rsidP="0023325B">
      <w:pPr>
        <w:spacing w:after="0" w:line="240" w:lineRule="auto"/>
        <w:ind w:left="1080"/>
      </w:pPr>
      <w:r>
        <w:t>Standard assistance energy designation requests</w:t>
      </w:r>
      <w:r w:rsidRPr="001B5788">
        <w:t xml:space="preserve"> must be submitted via </w:t>
      </w:r>
      <w:r>
        <w:t xml:space="preserve">the CAISO’s customer inquiry, dispute and information system (CIDI) </w:t>
      </w:r>
      <w:r w:rsidRPr="001B5788">
        <w:t xml:space="preserve">by </w:t>
      </w:r>
      <w:r>
        <w:t>11</w:t>
      </w:r>
      <w:r w:rsidRPr="001B5788">
        <w:t xml:space="preserve">:00 AM Pacific Time </w:t>
      </w:r>
      <w:r>
        <w:t>at least 5 business days in advance of the effective start date for recording in the Master File, as described above</w:t>
      </w:r>
      <w:r w:rsidRPr="001B5788">
        <w:t xml:space="preserve">. The </w:t>
      </w:r>
      <w:r>
        <w:t>WEIM entity</w:t>
      </w:r>
      <w:r w:rsidRPr="001B5788">
        <w:t xml:space="preserve"> </w:t>
      </w:r>
      <w:r w:rsidR="00EB28A7" w:rsidRPr="00EB28A7">
        <w:t xml:space="preserve">must submit a CIDI Inquiry Ticket in the production environment and select </w:t>
      </w:r>
      <w:r w:rsidR="006E01E8">
        <w:t xml:space="preserve">the Submission Type of </w:t>
      </w:r>
      <w:r w:rsidR="00EB28A7" w:rsidRPr="00EB28A7">
        <w:t>“</w:t>
      </w:r>
      <w:r w:rsidR="006E01E8">
        <w:t>A</w:t>
      </w:r>
      <w:r w:rsidR="00EB28A7" w:rsidRPr="00EB28A7">
        <w:t xml:space="preserve">ssistance </w:t>
      </w:r>
      <w:r w:rsidR="006E01E8">
        <w:t>E</w:t>
      </w:r>
      <w:r w:rsidR="00EB28A7" w:rsidRPr="00EB28A7">
        <w:t xml:space="preserve">nergy </w:t>
      </w:r>
      <w:r w:rsidR="006E01E8">
        <w:t>D</w:t>
      </w:r>
      <w:r w:rsidR="00EB28A7" w:rsidRPr="00EB28A7">
        <w:t xml:space="preserve">esignation </w:t>
      </w:r>
      <w:r w:rsidR="006E01E8">
        <w:t>R</w:t>
      </w:r>
      <w:r w:rsidR="00EB28A7" w:rsidRPr="00EB28A7">
        <w:t>equest</w:t>
      </w:r>
      <w:r w:rsidR="006E01E8">
        <w:t xml:space="preserve"> </w:t>
      </w:r>
      <w:r w:rsidRPr="001B5788">
        <w:t xml:space="preserve"> to ensure the timely processing of the request. The CIDI ticket must include the following information in order to be considered a</w:t>
      </w:r>
      <w:r>
        <w:t>n assistance energy designation request:</w:t>
      </w:r>
      <w:r w:rsidRPr="001B5788">
        <w:t xml:space="preserve"> </w:t>
      </w:r>
    </w:p>
    <w:p w14:paraId="5CE98A00" w14:textId="77777777" w:rsidR="0023325B" w:rsidRPr="00C2098F" w:rsidRDefault="0023325B" w:rsidP="0023325B">
      <w:pPr>
        <w:pStyle w:val="ListParagraph"/>
        <w:numPr>
          <w:ilvl w:val="0"/>
          <w:numId w:val="112"/>
        </w:numPr>
        <w:spacing w:after="0" w:line="240" w:lineRule="auto"/>
        <w:ind w:left="1800"/>
      </w:pPr>
      <w:r w:rsidRPr="00C2098F">
        <w:t>Either “opt-in” or “opt-out”</w:t>
      </w:r>
    </w:p>
    <w:p w14:paraId="06600C7A" w14:textId="77777777" w:rsidR="0023325B" w:rsidRPr="00C2098F" w:rsidRDefault="0023325B" w:rsidP="0023325B">
      <w:pPr>
        <w:pStyle w:val="ListParagraph"/>
        <w:numPr>
          <w:ilvl w:val="0"/>
          <w:numId w:val="112"/>
        </w:numPr>
        <w:spacing w:after="0" w:line="240" w:lineRule="auto"/>
        <w:ind w:left="1800"/>
      </w:pPr>
      <w:r>
        <w:t>S</w:t>
      </w:r>
      <w:r w:rsidRPr="00C2098F">
        <w:t>tart date</w:t>
      </w:r>
    </w:p>
    <w:p w14:paraId="2DCB5C12" w14:textId="77777777" w:rsidR="0023325B" w:rsidRPr="00C2098F" w:rsidRDefault="0023325B" w:rsidP="0023325B">
      <w:pPr>
        <w:pStyle w:val="ListParagraph"/>
        <w:numPr>
          <w:ilvl w:val="0"/>
          <w:numId w:val="112"/>
        </w:numPr>
        <w:spacing w:after="0" w:line="240" w:lineRule="auto"/>
        <w:ind w:left="1800"/>
      </w:pPr>
      <w:r w:rsidRPr="00C2098F">
        <w:t>End date</w:t>
      </w:r>
    </w:p>
    <w:p w14:paraId="6D97D768" w14:textId="77777777" w:rsidR="0023325B" w:rsidRDefault="0023325B" w:rsidP="0023325B">
      <w:pPr>
        <w:spacing w:after="0" w:line="240" w:lineRule="auto"/>
        <w:ind w:left="1080"/>
        <w:rPr>
          <w:u w:val="single"/>
        </w:rPr>
      </w:pPr>
    </w:p>
    <w:p w14:paraId="752FABD0" w14:textId="77777777" w:rsidR="0023325B" w:rsidRDefault="0023325B" w:rsidP="0023325B">
      <w:pPr>
        <w:spacing w:after="0" w:line="240" w:lineRule="auto"/>
        <w:ind w:left="1080"/>
        <w:rPr>
          <w:u w:val="single"/>
        </w:rPr>
      </w:pPr>
      <w:r>
        <w:rPr>
          <w:u w:val="single"/>
        </w:rPr>
        <w:t>Specific Instructions for CAISO</w:t>
      </w:r>
      <w:r w:rsidRPr="000F6314">
        <w:rPr>
          <w:u w:val="single"/>
        </w:rPr>
        <w:t xml:space="preserve"> BAA</w:t>
      </w:r>
      <w:r>
        <w:rPr>
          <w:u w:val="single"/>
        </w:rPr>
        <w:t xml:space="preserve"> for Standard Designation</w:t>
      </w:r>
    </w:p>
    <w:p w14:paraId="40DF2E4B" w14:textId="77777777" w:rsidR="0023325B" w:rsidRDefault="0023325B" w:rsidP="0023325B">
      <w:pPr>
        <w:spacing w:after="0" w:line="240" w:lineRule="auto"/>
        <w:ind w:left="1080"/>
        <w:rPr>
          <w:u w:val="single"/>
        </w:rPr>
      </w:pPr>
    </w:p>
    <w:p w14:paraId="4CFFC418" w14:textId="3D432DCB" w:rsidR="0023325B" w:rsidRDefault="0023325B" w:rsidP="0023325B">
      <w:pPr>
        <w:spacing w:after="0" w:line="240" w:lineRule="auto"/>
        <w:ind w:left="1080"/>
      </w:pPr>
      <w:r>
        <w:t>Assistance energy designation requests</w:t>
      </w:r>
      <w:r w:rsidRPr="001B5788">
        <w:t xml:space="preserve"> must be submitted by </w:t>
      </w:r>
      <w:r>
        <w:t>11</w:t>
      </w:r>
      <w:r w:rsidRPr="001B5788">
        <w:t xml:space="preserve">:00 AM Pacific Time </w:t>
      </w:r>
      <w:r>
        <w:t xml:space="preserve">at least 5 business days in advance of the effective start date for recording in the Master File. The designation request must include the following </w:t>
      </w:r>
      <w:r w:rsidRPr="001B5788">
        <w:t>information in order to be considered a</w:t>
      </w:r>
      <w:r>
        <w:t>n assistance energy designation request:</w:t>
      </w:r>
      <w:r w:rsidRPr="001B5788">
        <w:t xml:space="preserve"> </w:t>
      </w:r>
    </w:p>
    <w:p w14:paraId="0B12A630" w14:textId="77777777" w:rsidR="0023325B" w:rsidRPr="00C2098F" w:rsidRDefault="0023325B" w:rsidP="0023325B">
      <w:pPr>
        <w:pStyle w:val="ListParagraph"/>
        <w:numPr>
          <w:ilvl w:val="0"/>
          <w:numId w:val="112"/>
        </w:numPr>
        <w:spacing w:after="0" w:line="240" w:lineRule="auto"/>
        <w:ind w:left="1800"/>
      </w:pPr>
      <w:r w:rsidRPr="00C2098F">
        <w:t>Either “opt-in” or “opt-out”</w:t>
      </w:r>
    </w:p>
    <w:p w14:paraId="657E2E44" w14:textId="77777777" w:rsidR="0023325B" w:rsidRPr="00C2098F" w:rsidRDefault="0023325B" w:rsidP="0023325B">
      <w:pPr>
        <w:pStyle w:val="ListParagraph"/>
        <w:numPr>
          <w:ilvl w:val="0"/>
          <w:numId w:val="112"/>
        </w:numPr>
        <w:spacing w:after="0" w:line="240" w:lineRule="auto"/>
        <w:ind w:left="1800"/>
      </w:pPr>
      <w:r>
        <w:t>S</w:t>
      </w:r>
      <w:r w:rsidRPr="00C2098F">
        <w:t>tart date</w:t>
      </w:r>
    </w:p>
    <w:p w14:paraId="34C1D4B3" w14:textId="77777777" w:rsidR="0023325B" w:rsidRPr="00C2098F" w:rsidRDefault="0023325B" w:rsidP="0023325B">
      <w:pPr>
        <w:pStyle w:val="ListParagraph"/>
        <w:numPr>
          <w:ilvl w:val="0"/>
          <w:numId w:val="112"/>
        </w:numPr>
        <w:spacing w:after="0" w:line="240" w:lineRule="auto"/>
        <w:ind w:left="1800"/>
      </w:pPr>
      <w:r w:rsidRPr="00C2098F">
        <w:t>End date</w:t>
      </w:r>
    </w:p>
    <w:p w14:paraId="0B09A362" w14:textId="77777777" w:rsidR="0023325B" w:rsidRDefault="0023325B" w:rsidP="0023325B">
      <w:pPr>
        <w:spacing w:after="0" w:line="240" w:lineRule="auto"/>
        <w:ind w:left="1080"/>
        <w:rPr>
          <w:u w:val="single"/>
        </w:rPr>
      </w:pPr>
    </w:p>
    <w:p w14:paraId="0BCD9D9A" w14:textId="77777777" w:rsidR="0023325B" w:rsidRPr="00C2098F" w:rsidRDefault="0023325B" w:rsidP="0023325B">
      <w:pPr>
        <w:spacing w:after="0" w:line="240" w:lineRule="auto"/>
        <w:ind w:left="1080"/>
      </w:pPr>
      <w:r>
        <w:t>When the CAISO BAA submits an assistance energy designation request, it must simultaneously issue a market notification service to make the action transparent and public.</w:t>
      </w:r>
    </w:p>
    <w:p w14:paraId="6A23DCDB" w14:textId="77777777" w:rsidR="0023325B" w:rsidRDefault="0023325B" w:rsidP="0023325B"/>
    <w:p w14:paraId="3B0F9785" w14:textId="77777777" w:rsidR="0023325B" w:rsidRDefault="0023325B" w:rsidP="0023325B">
      <w:pPr>
        <w:spacing w:after="0" w:line="240" w:lineRule="auto"/>
        <w:ind w:left="1080"/>
      </w:pPr>
    </w:p>
    <w:p w14:paraId="678AFF3B" w14:textId="77777777" w:rsidR="00084859" w:rsidRDefault="00084859" w:rsidP="00084859">
      <w:pPr>
        <w:spacing w:after="0" w:line="240" w:lineRule="auto"/>
        <w:ind w:left="1080"/>
        <w:rPr>
          <w:b/>
        </w:rPr>
      </w:pPr>
      <w:r>
        <w:rPr>
          <w:b/>
        </w:rPr>
        <w:t>Assistance Energy Transfer Designations of the</w:t>
      </w:r>
      <w:r w:rsidRPr="00C2098F">
        <w:rPr>
          <w:b/>
        </w:rPr>
        <w:t xml:space="preserve"> CAISO BAA</w:t>
      </w:r>
      <w:r>
        <w:rPr>
          <w:b/>
        </w:rPr>
        <w:t xml:space="preserve"> </w:t>
      </w:r>
    </w:p>
    <w:p w14:paraId="5A6E62E2" w14:textId="77777777" w:rsidR="00084859" w:rsidRDefault="00084859" w:rsidP="00084859">
      <w:pPr>
        <w:spacing w:after="0" w:line="240" w:lineRule="auto"/>
        <w:ind w:left="1080"/>
        <w:rPr>
          <w:b/>
        </w:rPr>
      </w:pPr>
    </w:p>
    <w:p w14:paraId="57D459E2" w14:textId="77777777" w:rsidR="00084859" w:rsidRDefault="00084859" w:rsidP="00084859">
      <w:pPr>
        <w:spacing w:after="0" w:line="240" w:lineRule="auto"/>
        <w:ind w:left="1080"/>
        <w:rPr>
          <w:b/>
          <w:u w:val="single"/>
        </w:rPr>
      </w:pPr>
      <w:r>
        <w:rPr>
          <w:b/>
          <w:u w:val="single"/>
        </w:rPr>
        <w:t xml:space="preserve">CAISO BAA’s </w:t>
      </w:r>
      <w:r w:rsidRPr="000E708A">
        <w:rPr>
          <w:b/>
          <w:u w:val="single"/>
        </w:rPr>
        <w:t>Seasonal Elections</w:t>
      </w:r>
      <w:r>
        <w:rPr>
          <w:b/>
          <w:u w:val="single"/>
        </w:rPr>
        <w:t xml:space="preserve"> </w:t>
      </w:r>
    </w:p>
    <w:p w14:paraId="08890E85" w14:textId="77777777" w:rsidR="00084859" w:rsidRPr="000E708A" w:rsidRDefault="00084859" w:rsidP="00084859">
      <w:pPr>
        <w:spacing w:after="0" w:line="240" w:lineRule="auto"/>
        <w:ind w:left="1440"/>
        <w:rPr>
          <w:b/>
        </w:rPr>
      </w:pPr>
    </w:p>
    <w:p w14:paraId="0CFEA883" w14:textId="77777777" w:rsidR="00084859" w:rsidRDefault="00084859" w:rsidP="00084859">
      <w:pPr>
        <w:spacing w:after="0" w:line="240" w:lineRule="auto"/>
        <w:ind w:left="1080"/>
      </w:pPr>
      <w:r>
        <w:t>During the summer season (</w:t>
      </w:r>
      <w:r>
        <w:rPr>
          <w:i/>
        </w:rPr>
        <w:t xml:space="preserve">e.g., </w:t>
      </w:r>
      <w:r>
        <w:t>July – September), the CAISO BAA will opt-in to receive Assistance Energy Transfers during the summer months unless system conditions and operator experience indicate that doing so will not further system reliability.  When the CAISO BAA submits an Assistance Energy Transfer designation request for the summer season it will simultaneously issue a market notification service to make the action transparent and public.</w:t>
      </w:r>
    </w:p>
    <w:p w14:paraId="209352CD" w14:textId="77777777" w:rsidR="00084859" w:rsidRDefault="00084859" w:rsidP="00084859">
      <w:pPr>
        <w:spacing w:after="0" w:line="240" w:lineRule="auto"/>
        <w:ind w:left="1080"/>
      </w:pPr>
    </w:p>
    <w:p w14:paraId="4EDC5891" w14:textId="77777777" w:rsidR="00084859" w:rsidRDefault="00084859" w:rsidP="00084859">
      <w:pPr>
        <w:spacing w:after="0" w:line="240" w:lineRule="auto"/>
        <w:ind w:left="1080"/>
      </w:pPr>
      <w:r>
        <w:t>For the winter season (</w:t>
      </w:r>
      <w:r>
        <w:rPr>
          <w:i/>
        </w:rPr>
        <w:t xml:space="preserve">e.g., </w:t>
      </w:r>
      <w:r>
        <w:t>November – March), the CAISO will only opt-in when operational conditions indicate that it is prudent to do so for a specific timeframe, including but not limited to analysis of the daily factors specified below.  If the CAISO BAA submits an Assistance Energy Transfer designation request during the winter season, it will simultaneously issue a market notification service to make the action transparent and public.</w:t>
      </w:r>
    </w:p>
    <w:p w14:paraId="763E8133" w14:textId="77777777" w:rsidR="00084859" w:rsidRDefault="00084859" w:rsidP="00084859">
      <w:pPr>
        <w:spacing w:after="0" w:line="240" w:lineRule="auto"/>
        <w:ind w:left="1080"/>
      </w:pPr>
    </w:p>
    <w:p w14:paraId="56EF6927" w14:textId="77777777" w:rsidR="00084859" w:rsidRDefault="00084859" w:rsidP="00084859">
      <w:pPr>
        <w:spacing w:after="0" w:line="240" w:lineRule="auto"/>
        <w:ind w:left="1080"/>
      </w:pPr>
      <w:r>
        <w:t xml:space="preserve">During the spring and fall shoulder seasons, the CAISO BAA may opt-in via a seasonal election based on operational conditions, including </w:t>
      </w:r>
      <w:r w:rsidRPr="000E708A">
        <w:t>but not limited to</w:t>
      </w:r>
      <w:r>
        <w:t xml:space="preserve"> reliance on the daily analysis specified below.  If the CAISO BAA submits an Assistance Energy Transfer designation request during the spring or fall shoulder seasons it will simultaneously issue a market notification service to make the action transparent and public.</w:t>
      </w:r>
    </w:p>
    <w:p w14:paraId="39A1DF1A" w14:textId="77777777" w:rsidR="00084859" w:rsidRDefault="00084859" w:rsidP="00084859">
      <w:pPr>
        <w:spacing w:after="0" w:line="240" w:lineRule="auto"/>
        <w:ind w:left="1440"/>
      </w:pPr>
    </w:p>
    <w:p w14:paraId="11F8AB6F" w14:textId="77777777" w:rsidR="00084859" w:rsidRPr="00C2098F" w:rsidRDefault="00084859" w:rsidP="00084859">
      <w:pPr>
        <w:spacing w:after="0" w:line="240" w:lineRule="auto"/>
        <w:ind w:left="1080"/>
        <w:rPr>
          <w:b/>
        </w:rPr>
      </w:pPr>
      <w:r>
        <w:t xml:space="preserve">For avoidance of doubt, the CAISO BAA retains the ability to opt-out of Assistance Energy Transfers at any time based on system conditions, operator experience, and observed market results.  </w:t>
      </w:r>
    </w:p>
    <w:p w14:paraId="272B4FBB" w14:textId="77777777" w:rsidR="00084859" w:rsidRDefault="00084859" w:rsidP="0023325B">
      <w:pPr>
        <w:spacing w:after="0" w:line="240" w:lineRule="auto"/>
        <w:ind w:left="1080"/>
      </w:pPr>
    </w:p>
    <w:p w14:paraId="1FCABD7C" w14:textId="1DDDFF2A" w:rsidR="00084859" w:rsidRPr="00084859" w:rsidRDefault="00084859" w:rsidP="0023325B">
      <w:pPr>
        <w:spacing w:after="0" w:line="240" w:lineRule="auto"/>
        <w:ind w:left="1080"/>
        <w:rPr>
          <w:b/>
          <w:bCs/>
        </w:rPr>
      </w:pPr>
      <w:r w:rsidRPr="00084859">
        <w:rPr>
          <w:b/>
          <w:bCs/>
        </w:rPr>
        <w:t>CAISO BAA’s Daily Elections</w:t>
      </w:r>
    </w:p>
    <w:p w14:paraId="23F84873" w14:textId="77777777" w:rsidR="00084859" w:rsidRDefault="00084859" w:rsidP="0023325B">
      <w:pPr>
        <w:spacing w:after="0" w:line="240" w:lineRule="auto"/>
        <w:ind w:left="1080"/>
      </w:pPr>
    </w:p>
    <w:p w14:paraId="6034AF71" w14:textId="5C35F71F" w:rsidR="0023325B" w:rsidRDefault="00084859" w:rsidP="0023325B">
      <w:pPr>
        <w:spacing w:after="0" w:line="240" w:lineRule="auto"/>
        <w:ind w:left="1080"/>
      </w:pPr>
      <w:r>
        <w:t xml:space="preserve">When the CAISO BAA has not utilized a seasonal election, as specified above, then the CAISO may review a look-ahead </w:t>
      </w:r>
      <w:r w:rsidR="0023325B">
        <w:t xml:space="preserve">to compare the projected real-time energy output from RA resources, including wind and solar resources, against the forecasted load and reserve requirements, with an accounting for uncertainty. Subject to input from CAISO operations based on system conditions and operator experience, the CAISO BAA </w:t>
      </w:r>
      <w:r>
        <w:t>may submit</w:t>
      </w:r>
      <w:r w:rsidR="0023325B">
        <w:t xml:space="preserve"> a standard assistance energy designation request if there is a real-time insufficient supply alert.  A real-time insufficient supply alert is generated if available intra-hour RA supply projections are less than forecasted gross load, a 6% reserve requirement, and the applicable seasonal uncertainty adder as illustrated through the following three criteria:</w:t>
      </w:r>
    </w:p>
    <w:p w14:paraId="603B71FE" w14:textId="77777777" w:rsidR="0023325B" w:rsidRDefault="0023325B" w:rsidP="0023325B">
      <w:pPr>
        <w:spacing w:after="0" w:line="240" w:lineRule="auto"/>
        <w:ind w:left="1080"/>
      </w:pPr>
    </w:p>
    <w:p w14:paraId="63910559" w14:textId="372602FA" w:rsidR="0023325B" w:rsidRDefault="0023325B" w:rsidP="0023325B">
      <w:pPr>
        <w:pStyle w:val="ListParagraph"/>
        <w:numPr>
          <w:ilvl w:val="0"/>
          <w:numId w:val="111"/>
        </w:numPr>
        <w:spacing w:after="0" w:line="240" w:lineRule="auto"/>
        <w:ind w:left="1800"/>
      </w:pPr>
      <w:r>
        <w:t xml:space="preserve">Where today is day 1: if any hour of day 8 has (RA capacity + RA credits) forecast &lt; (demand forecast + contingency reserve requirement + regulation reserve + seasonal uncertainty, in MW), then the CAISO BAA has the authority to submit an “opt-in” assistance energy designation request for day 8. </w:t>
      </w:r>
    </w:p>
    <w:p w14:paraId="4D870CA2" w14:textId="77777777" w:rsidR="0023325B" w:rsidRDefault="0023325B" w:rsidP="0023325B">
      <w:pPr>
        <w:pStyle w:val="ListParagraph"/>
        <w:ind w:left="1800"/>
      </w:pPr>
    </w:p>
    <w:p w14:paraId="50FC92DE" w14:textId="4C18042A" w:rsidR="0023325B" w:rsidRDefault="0023325B" w:rsidP="0023325B">
      <w:pPr>
        <w:pStyle w:val="ListParagraph"/>
        <w:numPr>
          <w:ilvl w:val="0"/>
          <w:numId w:val="111"/>
        </w:numPr>
        <w:spacing w:after="0" w:line="240" w:lineRule="auto"/>
        <w:ind w:left="1800"/>
      </w:pPr>
      <w:r>
        <w:t xml:space="preserve">Where today is day 1: if any hour of day 8 has (net RA capacity + RA credits) forecast &lt; (net demand forecast + contingency reserve requirement + regulation reserve + seasonal uncertainty, in MW), then the CAISO BAA has the authority to submit an “opt-in” assistance energy designation request for day 8. </w:t>
      </w:r>
    </w:p>
    <w:p w14:paraId="049B3DB2" w14:textId="77777777" w:rsidR="0023325B" w:rsidRDefault="0023325B" w:rsidP="0023325B">
      <w:pPr>
        <w:pStyle w:val="ListParagraph"/>
        <w:ind w:left="1800"/>
      </w:pPr>
    </w:p>
    <w:p w14:paraId="529A907B" w14:textId="3F3AFB47" w:rsidR="0023325B" w:rsidRDefault="0023325B" w:rsidP="0023325B">
      <w:pPr>
        <w:pStyle w:val="ListParagraph"/>
        <w:numPr>
          <w:ilvl w:val="0"/>
          <w:numId w:val="111"/>
        </w:numPr>
        <w:spacing w:after="0" w:line="240" w:lineRule="auto"/>
        <w:ind w:left="1800"/>
      </w:pPr>
      <w:r>
        <w:t xml:space="preserve">Where today is day 1: if a standard designation  “opt-in” assistance energy designation request for day 8 may be submitted by the CAISO BAA </w:t>
      </w:r>
      <w:r w:rsidRPr="00D12ED9">
        <w:rPr>
          <w:u w:val="single"/>
        </w:rPr>
        <w:t>and</w:t>
      </w:r>
      <w:r>
        <w:t xml:space="preserve"> day 8 is a Friday or a day that directly precedes one or more non-business days, then the CAISO BAA also has the authority to submit an “opt-in” assistance energy designation request for those non-business days that directly follow day 8.</w:t>
      </w:r>
    </w:p>
    <w:p w14:paraId="0EA5AF14" w14:textId="77777777" w:rsidR="0023325B" w:rsidRDefault="0023325B" w:rsidP="0023325B"/>
    <w:p w14:paraId="053A576E" w14:textId="77777777" w:rsidR="0023325B" w:rsidRPr="00671832" w:rsidRDefault="0023325B" w:rsidP="0023325B">
      <w:pPr>
        <w:spacing w:after="0" w:line="240" w:lineRule="auto"/>
        <w:ind w:left="1080"/>
        <w:rPr>
          <w:u w:val="single"/>
        </w:rPr>
      </w:pPr>
      <w:r w:rsidRPr="00671832">
        <w:rPr>
          <w:u w:val="single"/>
        </w:rPr>
        <w:t>Note</w:t>
      </w:r>
    </w:p>
    <w:p w14:paraId="2A38BD2D" w14:textId="570F742C" w:rsidR="0023325B" w:rsidRPr="00187E14" w:rsidRDefault="0023325B" w:rsidP="0023325B">
      <w:pPr>
        <w:ind w:left="1080"/>
      </w:pPr>
      <w:r>
        <w:lastRenderedPageBreak/>
        <w:t>The terms in criteria “A” and “B” above are based on similar information that is presented the ISO’s RA Capacity Trend data that is published to Today’s Outlook on the CAISO’s website,</w:t>
      </w:r>
      <w:r>
        <w:rPr>
          <w:rStyle w:val="FootnoteReference"/>
        </w:rPr>
        <w:footnoteReference w:id="5"/>
      </w:r>
      <w:r>
        <w:t xml:space="preserve"> with an additional MWs to reflect uncertainty.  . </w:t>
      </w:r>
    </w:p>
    <w:p w14:paraId="5DBE3340" w14:textId="77777777" w:rsidR="0023325B" w:rsidRPr="00192FA0" w:rsidRDefault="0023325B" w:rsidP="0023325B">
      <w:pPr>
        <w:pStyle w:val="ListParagraph"/>
        <w:numPr>
          <w:ilvl w:val="0"/>
          <w:numId w:val="100"/>
        </w:numPr>
        <w:rPr>
          <w:rFonts w:eastAsia="Calibri"/>
          <w:b/>
        </w:rPr>
      </w:pPr>
      <w:r w:rsidRPr="00192FA0">
        <w:rPr>
          <w:rFonts w:eastAsia="Calibri"/>
          <w:b/>
        </w:rPr>
        <w:t>Emergency Opt-In</w:t>
      </w:r>
      <w:r>
        <w:rPr>
          <w:rFonts w:eastAsia="Calibri"/>
          <w:b/>
        </w:rPr>
        <w:t xml:space="preserve"> Designation Requests for the WEIM Area </w:t>
      </w:r>
    </w:p>
    <w:p w14:paraId="64C0F829" w14:textId="77777777" w:rsidR="0023325B" w:rsidRDefault="0023325B" w:rsidP="0023325B">
      <w:pPr>
        <w:ind w:left="1080"/>
        <w:rPr>
          <w:rFonts w:eastAsia="Calibri"/>
        </w:rPr>
      </w:pPr>
      <w:r w:rsidRPr="00192FA0">
        <w:rPr>
          <w:rFonts w:eastAsia="Calibri"/>
        </w:rPr>
        <w:t xml:space="preserve">For the CAISO, the current process for opting-into Assistance Energy Transfer involves an assessment based on the preset criteria (above), operator judgement, and good utility practice, and providing notification through the Market Notification Service.  However, should system conditions or uncertainty deviate and reliability necessitates, an Emergency Opt-in process may be utilized by the CAISO, as well as WEIM entities.  As this process relies on manual efforts potentially outside of normal business hours, the CAISO and WEIM entities should be mindful of resource constraints and should not plan to use this Emergency Opt-In process as part of a regular pattern or course of business.  While the CAISO will accommodate all emergency opt-in decisions if possible, entities utilizing this Emergency Opt-In process should follow the CIDI ticket submission process described above </w:t>
      </w:r>
      <w:r w:rsidRPr="00796B1E">
        <w:rPr>
          <w:rFonts w:eastAsia="Calibri"/>
          <w:b/>
          <w:i/>
          <w:u w:val="single"/>
        </w:rPr>
        <w:t>and</w:t>
      </w:r>
      <w:r w:rsidRPr="00192FA0">
        <w:rPr>
          <w:rFonts w:eastAsia="Calibri"/>
        </w:rPr>
        <w:t xml:space="preserve"> must confirm with CAISO client services prior to 11 am on the Day Submitted.  For CAISO and WEIM entities, an Emergency Opt-in change should be received prior to 11am on the following schedule, which shows if the day of the week (Day Submitted); emergency elections outside of this timeline may be accommodated if feasible.  All other submission requirements of an Opt-in are the same as the normal process.    </w:t>
      </w:r>
    </w:p>
    <w:p w14:paraId="59FD3BE6" w14:textId="77777777" w:rsidR="0023325B" w:rsidRDefault="0023325B" w:rsidP="0023325B">
      <w:pPr>
        <w:ind w:left="1080"/>
        <w:rPr>
          <w:color w:val="000000" w:themeColor="text1"/>
        </w:rPr>
      </w:pPr>
      <w:r>
        <w:rPr>
          <w:color w:val="000000" w:themeColor="text1"/>
        </w:rPr>
        <w:t xml:space="preserve">Emergency Designation Request Submission Time:  </w:t>
      </w:r>
    </w:p>
    <w:p w14:paraId="62EFBBD2" w14:textId="77777777" w:rsidR="0023325B" w:rsidRPr="00192FA0" w:rsidRDefault="0023325B" w:rsidP="0023325B">
      <w:pPr>
        <w:ind w:left="1080"/>
        <w:rPr>
          <w:color w:val="000000" w:themeColor="text1"/>
        </w:rPr>
      </w:pPr>
      <w:r w:rsidRPr="00192FA0">
        <w:rPr>
          <w:color w:val="000000" w:themeColor="text1"/>
        </w:rPr>
        <w:t> </w:t>
      </w:r>
      <w:r w:rsidRPr="00192FA0">
        <w:rPr>
          <w:b/>
          <w:bCs/>
          <w:color w:val="000000" w:themeColor="text1"/>
        </w:rPr>
        <w:t>Day Submitted</w:t>
      </w:r>
      <w:r w:rsidRPr="00192FA0">
        <w:rPr>
          <w:b/>
          <w:bCs/>
          <w:color w:val="000000" w:themeColor="text1"/>
        </w:rPr>
        <w:tab/>
        <w:t>Days Advance Notice</w:t>
      </w:r>
      <w:r w:rsidRPr="00192FA0">
        <w:rPr>
          <w:b/>
          <w:bCs/>
          <w:color w:val="000000" w:themeColor="text1"/>
        </w:rPr>
        <w:tab/>
        <w:t>Opt-in Change Trade Day</w:t>
      </w:r>
    </w:p>
    <w:p w14:paraId="22055C41" w14:textId="77777777" w:rsidR="0023325B" w:rsidRPr="00192FA0" w:rsidRDefault="0023325B" w:rsidP="0023325B">
      <w:pPr>
        <w:spacing w:after="0" w:line="240" w:lineRule="auto"/>
        <w:ind w:left="1080"/>
        <w:rPr>
          <w:color w:val="000000" w:themeColor="text1"/>
        </w:rPr>
      </w:pPr>
      <w:r w:rsidRPr="00192FA0">
        <w:rPr>
          <w:color w:val="000000" w:themeColor="text1"/>
        </w:rPr>
        <w:t>Friday</w:t>
      </w:r>
      <w:r w:rsidRPr="00192FA0">
        <w:rPr>
          <w:color w:val="000000" w:themeColor="text1"/>
        </w:rPr>
        <w:tab/>
      </w:r>
      <w:r w:rsidRPr="00192FA0">
        <w:rPr>
          <w:color w:val="000000" w:themeColor="text1"/>
        </w:rPr>
        <w:tab/>
        <w:t>Three Days</w:t>
      </w:r>
      <w:r w:rsidRPr="00192FA0">
        <w:rPr>
          <w:color w:val="000000" w:themeColor="text1"/>
        </w:rPr>
        <w:tab/>
      </w:r>
      <w:r w:rsidRPr="00192FA0">
        <w:rPr>
          <w:color w:val="000000" w:themeColor="text1"/>
        </w:rPr>
        <w:tab/>
        <w:t>Monday opt-in</w:t>
      </w:r>
    </w:p>
    <w:p w14:paraId="42B0F1D8" w14:textId="77777777" w:rsidR="0023325B" w:rsidRPr="00192FA0" w:rsidRDefault="0023325B" w:rsidP="0023325B">
      <w:pPr>
        <w:spacing w:after="0" w:line="240" w:lineRule="auto"/>
        <w:ind w:left="1080"/>
        <w:rPr>
          <w:color w:val="000000" w:themeColor="text1"/>
        </w:rPr>
      </w:pPr>
      <w:r w:rsidRPr="00192FA0">
        <w:rPr>
          <w:color w:val="000000" w:themeColor="text1"/>
        </w:rPr>
        <w:t>Friday</w:t>
      </w:r>
      <w:r w:rsidRPr="00192FA0">
        <w:rPr>
          <w:color w:val="000000" w:themeColor="text1"/>
        </w:rPr>
        <w:tab/>
      </w:r>
      <w:r w:rsidRPr="00192FA0">
        <w:rPr>
          <w:color w:val="000000" w:themeColor="text1"/>
        </w:rPr>
        <w:tab/>
        <w:t>Four Days</w:t>
      </w:r>
      <w:r w:rsidRPr="00192FA0">
        <w:rPr>
          <w:color w:val="000000" w:themeColor="text1"/>
        </w:rPr>
        <w:tab/>
      </w:r>
      <w:r w:rsidRPr="00192FA0">
        <w:rPr>
          <w:color w:val="000000" w:themeColor="text1"/>
        </w:rPr>
        <w:tab/>
        <w:t>Tuesday opt-in</w:t>
      </w:r>
      <w:r>
        <w:rPr>
          <w:color w:val="000000" w:themeColor="text1"/>
        </w:rPr>
        <w:t>, where Monday is a holiday</w:t>
      </w:r>
    </w:p>
    <w:p w14:paraId="193AC935" w14:textId="77777777" w:rsidR="0023325B" w:rsidRPr="00192FA0" w:rsidRDefault="0023325B" w:rsidP="0023325B">
      <w:pPr>
        <w:spacing w:after="0" w:line="240" w:lineRule="auto"/>
        <w:ind w:left="1080"/>
        <w:rPr>
          <w:color w:val="000000" w:themeColor="text1"/>
        </w:rPr>
      </w:pPr>
      <w:r w:rsidRPr="00192FA0">
        <w:rPr>
          <w:color w:val="000000" w:themeColor="text1"/>
        </w:rPr>
        <w:t>Monday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Wednesday opt-in</w:t>
      </w:r>
    </w:p>
    <w:p w14:paraId="7F45B2A4" w14:textId="77777777" w:rsidR="0023325B" w:rsidRPr="00192FA0" w:rsidRDefault="0023325B" w:rsidP="0023325B">
      <w:pPr>
        <w:spacing w:after="0" w:line="240" w:lineRule="auto"/>
        <w:ind w:left="1080"/>
        <w:rPr>
          <w:color w:val="000000" w:themeColor="text1"/>
        </w:rPr>
      </w:pPr>
      <w:r w:rsidRPr="00192FA0">
        <w:rPr>
          <w:color w:val="000000" w:themeColor="text1"/>
        </w:rPr>
        <w:t>Tuesday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Thursday opt-in</w:t>
      </w:r>
    </w:p>
    <w:p w14:paraId="2FE34D38" w14:textId="253A7872" w:rsidR="0023325B" w:rsidRPr="00192FA0" w:rsidRDefault="0023325B" w:rsidP="0023325B">
      <w:pPr>
        <w:spacing w:after="0" w:line="240" w:lineRule="auto"/>
        <w:ind w:left="1080"/>
        <w:rPr>
          <w:color w:val="000000" w:themeColor="text1"/>
        </w:rPr>
      </w:pPr>
      <w:r w:rsidRPr="00192FA0">
        <w:rPr>
          <w:color w:val="000000" w:themeColor="text1"/>
        </w:rPr>
        <w:t>Wednesday</w:t>
      </w:r>
      <w:r w:rsidRPr="00192FA0">
        <w:rPr>
          <w:color w:val="000000" w:themeColor="text1"/>
        </w:rPr>
        <w:tab/>
        <w:t>Two Days</w:t>
      </w:r>
      <w:r w:rsidRPr="00192FA0">
        <w:rPr>
          <w:color w:val="000000" w:themeColor="text1"/>
        </w:rPr>
        <w:tab/>
      </w:r>
      <w:r w:rsidRPr="00192FA0">
        <w:rPr>
          <w:color w:val="000000" w:themeColor="text1"/>
        </w:rPr>
        <w:tab/>
        <w:t>Friday opt-in</w:t>
      </w:r>
    </w:p>
    <w:p w14:paraId="3E1618C3" w14:textId="77777777" w:rsidR="0023325B" w:rsidRPr="00192FA0" w:rsidRDefault="0023325B" w:rsidP="0023325B">
      <w:pPr>
        <w:spacing w:after="0" w:line="240" w:lineRule="auto"/>
        <w:ind w:left="1080"/>
        <w:rPr>
          <w:color w:val="000000" w:themeColor="text1"/>
        </w:rPr>
      </w:pPr>
      <w:r w:rsidRPr="00192FA0">
        <w:rPr>
          <w:color w:val="000000" w:themeColor="text1"/>
        </w:rPr>
        <w:t>Thursday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Saturday opt-in</w:t>
      </w:r>
    </w:p>
    <w:p w14:paraId="70C0CC40" w14:textId="77777777" w:rsidR="0023325B" w:rsidRPr="00192FA0" w:rsidRDefault="0023325B" w:rsidP="0023325B">
      <w:pPr>
        <w:spacing w:after="0" w:line="240" w:lineRule="auto"/>
        <w:ind w:left="1080"/>
        <w:rPr>
          <w:color w:val="000000" w:themeColor="text1"/>
        </w:rPr>
      </w:pPr>
      <w:r w:rsidRPr="00192FA0">
        <w:rPr>
          <w:color w:val="000000" w:themeColor="text1"/>
        </w:rPr>
        <w:t>Friday</w:t>
      </w:r>
      <w:r w:rsidRPr="00192FA0">
        <w:rPr>
          <w:color w:val="000000" w:themeColor="text1"/>
        </w:rPr>
        <w:tab/>
      </w:r>
      <w:r w:rsidRPr="00192FA0">
        <w:rPr>
          <w:color w:val="000000" w:themeColor="text1"/>
        </w:rPr>
        <w:tab/>
        <w:t>Two Days</w:t>
      </w:r>
      <w:r w:rsidRPr="00192FA0">
        <w:rPr>
          <w:color w:val="000000" w:themeColor="text1"/>
        </w:rPr>
        <w:tab/>
      </w:r>
      <w:r w:rsidRPr="00192FA0">
        <w:rPr>
          <w:color w:val="000000" w:themeColor="text1"/>
        </w:rPr>
        <w:tab/>
        <w:t>Sunday opt-in</w:t>
      </w:r>
    </w:p>
    <w:p w14:paraId="2F68A42B" w14:textId="77777777" w:rsidR="0023325B" w:rsidRDefault="0023325B" w:rsidP="0023325B"/>
    <w:p w14:paraId="68754657" w14:textId="77777777" w:rsidR="00192FA0" w:rsidRPr="00192FA0" w:rsidRDefault="00192FA0" w:rsidP="00192FA0">
      <w:pPr>
        <w:ind w:left="1080"/>
        <w:rPr>
          <w:rFonts w:eastAsia="Calibri"/>
        </w:rPr>
      </w:pPr>
    </w:p>
    <w:p w14:paraId="4F93D567" w14:textId="77777777" w:rsidR="00192FA0" w:rsidRPr="00192FA0" w:rsidRDefault="006571FF" w:rsidP="00192FA0">
      <w:pPr>
        <w:pStyle w:val="ListParagraph"/>
        <w:numPr>
          <w:ilvl w:val="0"/>
          <w:numId w:val="100"/>
        </w:numPr>
      </w:pPr>
      <w:r w:rsidRPr="00192FA0">
        <w:rPr>
          <w:rFonts w:eastAsia="Calibri"/>
          <w:b/>
          <w:bCs/>
        </w:rPr>
        <w:t xml:space="preserve">Under-Scheduling and Over-Scheduling Penalties and Resource Balancing Provisions (WEIM Entity BAAs):  </w:t>
      </w:r>
    </w:p>
    <w:p w14:paraId="0AD8B3F0" w14:textId="157E40D3" w:rsidR="006571FF" w:rsidRPr="002966D9" w:rsidRDefault="006571FF" w:rsidP="00192FA0">
      <w:pPr>
        <w:pStyle w:val="ListParagraph"/>
        <w:ind w:left="1080"/>
      </w:pPr>
      <w:r>
        <w:t>For each trade hour, the WEIM Balancing Test determines whether the BAA’s sum of base schedules (generation and net scheduled interchange, including base transfers) is within a 1% margin (over or under) of the hourly demand forecast. The hourly imbalance values are calculated based on the absolute difference between the sum of base schedules</w:t>
      </w:r>
      <w:r w:rsidDel="003F3CBA">
        <w:t xml:space="preserve"> </w:t>
      </w:r>
      <w:r>
        <w:t>and the hourly demand forecast in the over or under direction.</w:t>
      </w:r>
      <w:r w:rsidRPr="00192FA0">
        <w:rPr>
          <w:rFonts w:eastAsia="Calibri"/>
          <w:b/>
          <w:bCs/>
        </w:rPr>
        <w:t xml:space="preserve"> </w:t>
      </w:r>
      <w:r w:rsidRPr="00192FA0">
        <w:rPr>
          <w:rFonts w:eastAsia="Calibri"/>
        </w:rPr>
        <w:t xml:space="preserve">If </w:t>
      </w:r>
      <w:r w:rsidR="00153940">
        <w:rPr>
          <w:rFonts w:eastAsia="Calibri"/>
        </w:rPr>
        <w:t>a WEIM</w:t>
      </w:r>
      <w:r w:rsidRPr="00192FA0">
        <w:rPr>
          <w:rFonts w:eastAsia="Calibri"/>
        </w:rPr>
        <w:t xml:space="preserve"> balancing authority elects to use the CAISO Demand Forecast and does not schedule resources within one percent of CAISO Demand Forecast</w:t>
      </w:r>
      <w:r w:rsidRPr="00192FA0">
        <w:rPr>
          <w:color w:val="FF0000"/>
        </w:rPr>
        <w:t xml:space="preserve"> </w:t>
      </w:r>
      <w:r w:rsidRPr="007B25BB">
        <w:t>or the</w:t>
      </w:r>
      <w:r>
        <w:t xml:space="preserve"> WEIM </w:t>
      </w:r>
      <w:r w:rsidRPr="007B25BB">
        <w:t>Entity elects their own demand forecast</w:t>
      </w:r>
      <w:r w:rsidRPr="00192FA0">
        <w:rPr>
          <w:rFonts w:eastAsia="Calibri"/>
        </w:rPr>
        <w:t xml:space="preserve">, then the WEIM balancing authority will be subject to over-scheduling or under-scheduling assessment.  If the over-scheduling or under-scheduling assessment determines the WEIM balancing authority metered load is five percent more or less than its load Base Schedule for that hour, over-scheduling or under-scheduling penalties will be applied. If </w:t>
      </w:r>
      <w:r w:rsidR="00153940">
        <w:rPr>
          <w:rFonts w:eastAsia="Calibri"/>
        </w:rPr>
        <w:t>a WEIM</w:t>
      </w:r>
      <w:r w:rsidRPr="00192FA0">
        <w:rPr>
          <w:rFonts w:eastAsia="Calibri"/>
        </w:rPr>
        <w:t xml:space="preserve"> balancing authority does not use CAISO’s forecast, then it will be subject to over-scheduling or under-scheduling penalties for actual load imbalances. The penalties collected will be allocated to the other balancing authorities who have not incurred a scheduling penalty for the Operating Day, excluding the CAISO BAA.</w:t>
      </w:r>
    </w:p>
    <w:p w14:paraId="367BBEDA" w14:textId="77777777" w:rsidR="006571FF" w:rsidRDefault="006571FF" w:rsidP="006571FF">
      <w:pPr>
        <w:ind w:left="1080"/>
        <w:rPr>
          <w:rFonts w:eastAsia="Calibri"/>
        </w:rPr>
      </w:pPr>
      <w:r>
        <w:rPr>
          <w:rFonts w:eastAsia="Calibri"/>
        </w:rPr>
        <w:t>Examples:</w:t>
      </w:r>
    </w:p>
    <w:tbl>
      <w:tblPr>
        <w:tblStyle w:val="TableGrid"/>
        <w:tblW w:w="0" w:type="auto"/>
        <w:tblLook w:val="04A0" w:firstRow="1" w:lastRow="0" w:firstColumn="1" w:lastColumn="0" w:noHBand="0" w:noVBand="1"/>
      </w:tblPr>
      <w:tblGrid>
        <w:gridCol w:w="568"/>
        <w:gridCol w:w="3450"/>
        <w:gridCol w:w="5332"/>
      </w:tblGrid>
      <w:tr w:rsidR="006571FF" w14:paraId="689FD16E" w14:textId="77777777" w:rsidTr="007172ED">
        <w:trPr>
          <w:cantSplit/>
          <w:trHeight w:val="449"/>
          <w:tblHeader/>
        </w:trPr>
        <w:tc>
          <w:tcPr>
            <w:tcW w:w="0" w:type="auto"/>
            <w:shd w:val="clear" w:color="auto" w:fill="F2F2F2" w:themeFill="background1" w:themeFillShade="F2"/>
          </w:tcPr>
          <w:p w14:paraId="445581AB" w14:textId="77777777" w:rsidR="006571FF" w:rsidRDefault="006571FF" w:rsidP="007172ED">
            <w:pPr>
              <w:jc w:val="center"/>
              <w:rPr>
                <w:rFonts w:cs="Arial"/>
                <w:b/>
                <w:bCs/>
              </w:rPr>
            </w:pPr>
            <w:r>
              <w:rPr>
                <w:rFonts w:cs="Arial"/>
                <w:b/>
                <w:bCs/>
              </w:rPr>
              <w:t>No.</w:t>
            </w:r>
          </w:p>
        </w:tc>
        <w:tc>
          <w:tcPr>
            <w:tcW w:w="0" w:type="auto"/>
            <w:shd w:val="clear" w:color="auto" w:fill="F2F2F2" w:themeFill="background1" w:themeFillShade="F2"/>
          </w:tcPr>
          <w:p w14:paraId="1F5C5A1C" w14:textId="77777777" w:rsidR="006571FF" w:rsidRDefault="006571FF" w:rsidP="007172ED">
            <w:pPr>
              <w:rPr>
                <w:rFonts w:cs="Arial"/>
                <w:b/>
                <w:bCs/>
              </w:rPr>
            </w:pPr>
            <w:r>
              <w:rPr>
                <w:rFonts w:cs="Arial"/>
                <w:b/>
                <w:bCs/>
              </w:rPr>
              <w:t>Scenario Description</w:t>
            </w:r>
          </w:p>
        </w:tc>
        <w:tc>
          <w:tcPr>
            <w:tcW w:w="0" w:type="auto"/>
            <w:shd w:val="clear" w:color="auto" w:fill="F2F2F2" w:themeFill="background1" w:themeFillShade="F2"/>
          </w:tcPr>
          <w:p w14:paraId="34F9A79C" w14:textId="77777777" w:rsidR="006571FF" w:rsidRDefault="006571FF" w:rsidP="007172ED">
            <w:pPr>
              <w:rPr>
                <w:rFonts w:cs="Arial"/>
                <w:b/>
                <w:bCs/>
              </w:rPr>
            </w:pPr>
            <w:r>
              <w:rPr>
                <w:rFonts w:cs="Arial"/>
                <w:b/>
                <w:bCs/>
              </w:rPr>
              <w:t>Expected Results</w:t>
            </w:r>
          </w:p>
        </w:tc>
      </w:tr>
      <w:tr w:rsidR="006571FF" w14:paraId="22F76AB6" w14:textId="77777777" w:rsidTr="007172ED">
        <w:trPr>
          <w:cantSplit/>
          <w:trHeight w:val="2332"/>
        </w:trPr>
        <w:tc>
          <w:tcPr>
            <w:tcW w:w="0" w:type="auto"/>
          </w:tcPr>
          <w:p w14:paraId="563246EC" w14:textId="77777777" w:rsidR="006571FF" w:rsidRDefault="006571FF" w:rsidP="007172ED">
            <w:pPr>
              <w:jc w:val="center"/>
              <w:rPr>
                <w:rFonts w:cs="Arial"/>
                <w:b/>
                <w:bCs/>
              </w:rPr>
            </w:pPr>
            <w:r>
              <w:rPr>
                <w:rFonts w:cs="Arial"/>
                <w:b/>
                <w:bCs/>
              </w:rPr>
              <w:t>1</w:t>
            </w:r>
          </w:p>
        </w:tc>
        <w:tc>
          <w:tcPr>
            <w:tcW w:w="0" w:type="auto"/>
          </w:tcPr>
          <w:p w14:paraId="61D79D08" w14:textId="77777777" w:rsidR="006571FF" w:rsidRDefault="006571FF" w:rsidP="007172ED">
            <w:pPr>
              <w:rPr>
                <w:rFonts w:cs="Arial"/>
                <w:bCs/>
              </w:rPr>
            </w:pPr>
            <w:r w:rsidRPr="00767A7E">
              <w:rPr>
                <w:rFonts w:cs="Arial"/>
                <w:bCs/>
              </w:rPr>
              <w:t xml:space="preserve">EIM Balancing Test result </w:t>
            </w:r>
            <w:r>
              <w:rPr>
                <w:rFonts w:cs="Arial"/>
                <w:bCs/>
              </w:rPr>
              <w:t>fails (over):</w:t>
            </w:r>
          </w:p>
          <w:p w14:paraId="27B018D2" w14:textId="77777777" w:rsidR="006571FF" w:rsidRPr="00231A69" w:rsidRDefault="006571FF" w:rsidP="006571FF">
            <w:pPr>
              <w:pStyle w:val="ListParagraph"/>
              <w:numPr>
                <w:ilvl w:val="0"/>
                <w:numId w:val="77"/>
              </w:numPr>
              <w:spacing w:before="120" w:after="120" w:line="240" w:lineRule="exact"/>
              <w:ind w:left="158" w:hanging="158"/>
              <w:jc w:val="left"/>
              <w:rPr>
                <w:rFonts w:cs="Arial"/>
                <w:bCs/>
                <w:sz w:val="16"/>
              </w:rPr>
            </w:pPr>
            <w:r w:rsidRPr="00231A69">
              <w:rPr>
                <w:rFonts w:cs="Arial"/>
                <w:bCs/>
                <w:sz w:val="16"/>
              </w:rPr>
              <w:t xml:space="preserve">BAA </w:t>
            </w:r>
            <w:r>
              <w:t>sum of base schedules</w:t>
            </w:r>
            <w:r w:rsidRPr="00231A69" w:rsidDel="003F3CBA">
              <w:rPr>
                <w:rFonts w:cs="Arial"/>
                <w:bCs/>
                <w:sz w:val="16"/>
              </w:rPr>
              <w:t xml:space="preserve"> </w:t>
            </w:r>
            <w:r>
              <w:rPr>
                <w:rFonts w:cs="Arial"/>
                <w:bCs/>
                <w:sz w:val="16"/>
              </w:rPr>
              <w:t>= 3500 MW</w:t>
            </w:r>
          </w:p>
          <w:p w14:paraId="29B4ECC2" w14:textId="77777777" w:rsidR="006571FF" w:rsidRPr="00767A7E" w:rsidRDefault="006571FF" w:rsidP="006571FF">
            <w:pPr>
              <w:pStyle w:val="ListParagraph"/>
              <w:numPr>
                <w:ilvl w:val="0"/>
                <w:numId w:val="77"/>
              </w:numPr>
              <w:spacing w:before="120" w:after="120" w:line="240" w:lineRule="exact"/>
              <w:ind w:left="158" w:hanging="158"/>
              <w:jc w:val="left"/>
              <w:rPr>
                <w:rFonts w:cs="Arial"/>
                <w:bCs/>
              </w:rPr>
            </w:pPr>
            <w:r w:rsidRPr="00231A69">
              <w:rPr>
                <w:rFonts w:cs="Arial"/>
                <w:bCs/>
                <w:sz w:val="16"/>
              </w:rPr>
              <w:t>BAA Hourly Demand Forecast</w:t>
            </w:r>
            <w:r>
              <w:rPr>
                <w:rFonts w:cs="Arial"/>
                <w:bCs/>
                <w:sz w:val="16"/>
              </w:rPr>
              <w:t xml:space="preserve"> = 3580 MW</w:t>
            </w:r>
          </w:p>
        </w:tc>
        <w:tc>
          <w:tcPr>
            <w:tcW w:w="0" w:type="auto"/>
          </w:tcPr>
          <w:p w14:paraId="1CEB985C" w14:textId="77777777" w:rsidR="006571FF" w:rsidRPr="00DB5207" w:rsidRDefault="006571FF" w:rsidP="007172ED">
            <w:pPr>
              <w:pStyle w:val="NoSpacing"/>
            </w:pPr>
            <w:r w:rsidRPr="00DB5207">
              <w:t>Since absolute (3500 MW – 3580 MW) &gt; 0.01 * 3580 MW,</w:t>
            </w:r>
          </w:p>
          <w:p w14:paraId="1540B8A6" w14:textId="77777777" w:rsidR="006571FF" w:rsidRPr="00DB5207" w:rsidRDefault="006571FF" w:rsidP="007172ED">
            <w:pPr>
              <w:pStyle w:val="NoSpacing"/>
            </w:pPr>
            <w:r w:rsidRPr="00DB5207">
              <w:t>CMRI results shall provide records as follows:</w:t>
            </w:r>
          </w:p>
          <w:p w14:paraId="6EF866C2" w14:textId="77777777" w:rsidR="006571FF" w:rsidRDefault="006571FF" w:rsidP="006571FF">
            <w:pPr>
              <w:pStyle w:val="NoSpacing"/>
              <w:numPr>
                <w:ilvl w:val="0"/>
                <w:numId w:val="78"/>
              </w:numPr>
              <w:spacing w:before="120" w:after="0" w:line="240" w:lineRule="exact"/>
              <w:jc w:val="left"/>
              <w:rPr>
                <w:sz w:val="16"/>
                <w:szCs w:val="16"/>
              </w:rPr>
            </w:pPr>
            <w:r>
              <w:rPr>
                <w:sz w:val="16"/>
                <w:szCs w:val="16"/>
              </w:rPr>
              <w:t>Test Result:  Fail</w:t>
            </w:r>
          </w:p>
          <w:p w14:paraId="4A8B11FE" w14:textId="77777777" w:rsidR="006571FF" w:rsidRPr="00DB5207" w:rsidRDefault="006571FF" w:rsidP="006571FF">
            <w:pPr>
              <w:pStyle w:val="NoSpacing"/>
              <w:numPr>
                <w:ilvl w:val="0"/>
                <w:numId w:val="78"/>
              </w:numPr>
              <w:spacing w:before="120" w:after="0" w:line="240" w:lineRule="exact"/>
              <w:jc w:val="left"/>
              <w:rPr>
                <w:sz w:val="16"/>
              </w:rPr>
            </w:pPr>
            <w:r w:rsidRPr="00DB5207">
              <w:rPr>
                <w:sz w:val="16"/>
              </w:rPr>
              <w:t>Imbalance Direction:  UNDER</w:t>
            </w:r>
          </w:p>
          <w:p w14:paraId="543E1E4E" w14:textId="77777777" w:rsidR="006571FF" w:rsidRPr="00DB5207" w:rsidRDefault="006571FF" w:rsidP="006571FF">
            <w:pPr>
              <w:pStyle w:val="NoSpacing"/>
              <w:numPr>
                <w:ilvl w:val="0"/>
                <w:numId w:val="78"/>
              </w:numPr>
              <w:spacing w:before="120" w:after="0" w:line="240" w:lineRule="exact"/>
              <w:jc w:val="left"/>
              <w:rPr>
                <w:sz w:val="16"/>
              </w:rPr>
            </w:pPr>
            <w:r w:rsidRPr="00DB5207">
              <w:rPr>
                <w:sz w:val="16"/>
              </w:rPr>
              <w:t>Imbalance Amount (MW):  80.0</w:t>
            </w:r>
          </w:p>
          <w:p w14:paraId="6E1D78CA" w14:textId="77777777" w:rsidR="006571FF" w:rsidRPr="00DB5207" w:rsidRDefault="006571FF" w:rsidP="006571FF">
            <w:pPr>
              <w:pStyle w:val="NoSpacing"/>
              <w:numPr>
                <w:ilvl w:val="0"/>
                <w:numId w:val="78"/>
              </w:numPr>
              <w:spacing w:before="120" w:after="0" w:line="240" w:lineRule="exact"/>
              <w:jc w:val="left"/>
              <w:rPr>
                <w:sz w:val="16"/>
                <w:szCs w:val="16"/>
              </w:rPr>
            </w:pPr>
            <w:r w:rsidRPr="00DB5207">
              <w:rPr>
                <w:sz w:val="16"/>
                <w:szCs w:val="16"/>
              </w:rPr>
              <w:t>Imbalance Percentage (%):  2.23</w:t>
            </w:r>
          </w:p>
          <w:p w14:paraId="7BAFD125" w14:textId="77777777" w:rsidR="006571FF" w:rsidRPr="00DB5207" w:rsidRDefault="006571FF" w:rsidP="006571FF">
            <w:pPr>
              <w:pStyle w:val="NoSpacing"/>
              <w:numPr>
                <w:ilvl w:val="0"/>
                <w:numId w:val="78"/>
              </w:numPr>
              <w:spacing w:before="120" w:after="0" w:line="240" w:lineRule="exact"/>
              <w:jc w:val="left"/>
              <w:rPr>
                <w:sz w:val="16"/>
                <w:szCs w:val="16"/>
              </w:rPr>
            </w:pPr>
            <w:r w:rsidRPr="00DB5207">
              <w:rPr>
                <w:sz w:val="16"/>
                <w:szCs w:val="16"/>
              </w:rPr>
              <w:t>Requirement Amount (MW):  3,580.0</w:t>
            </w:r>
          </w:p>
        </w:tc>
      </w:tr>
      <w:tr w:rsidR="006571FF" w14:paraId="4DE39AF4" w14:textId="77777777" w:rsidTr="007172ED">
        <w:trPr>
          <w:cantSplit/>
          <w:trHeight w:val="2332"/>
        </w:trPr>
        <w:tc>
          <w:tcPr>
            <w:tcW w:w="0" w:type="auto"/>
          </w:tcPr>
          <w:p w14:paraId="08C57BBF" w14:textId="77777777" w:rsidR="006571FF" w:rsidRDefault="006571FF" w:rsidP="007172ED">
            <w:pPr>
              <w:jc w:val="center"/>
              <w:rPr>
                <w:rFonts w:cs="Arial"/>
                <w:b/>
                <w:bCs/>
              </w:rPr>
            </w:pPr>
            <w:r>
              <w:rPr>
                <w:rFonts w:cs="Arial"/>
                <w:b/>
                <w:bCs/>
              </w:rPr>
              <w:lastRenderedPageBreak/>
              <w:t>2</w:t>
            </w:r>
          </w:p>
        </w:tc>
        <w:tc>
          <w:tcPr>
            <w:tcW w:w="0" w:type="auto"/>
          </w:tcPr>
          <w:p w14:paraId="1B2907A2" w14:textId="77777777" w:rsidR="006571FF" w:rsidRDefault="006571FF" w:rsidP="007172ED">
            <w:pPr>
              <w:rPr>
                <w:rFonts w:cs="Arial"/>
                <w:bCs/>
              </w:rPr>
            </w:pPr>
            <w:r w:rsidRPr="00767A7E">
              <w:rPr>
                <w:rFonts w:cs="Arial"/>
                <w:bCs/>
              </w:rPr>
              <w:t xml:space="preserve">EIM Balancing Test result </w:t>
            </w:r>
            <w:r>
              <w:rPr>
                <w:rFonts w:cs="Arial"/>
                <w:bCs/>
              </w:rPr>
              <w:t>fails (over):</w:t>
            </w:r>
          </w:p>
          <w:p w14:paraId="1016A301" w14:textId="77777777" w:rsidR="006571FF" w:rsidRDefault="006571FF" w:rsidP="006571FF">
            <w:pPr>
              <w:pStyle w:val="ListParagraph"/>
              <w:numPr>
                <w:ilvl w:val="0"/>
                <w:numId w:val="77"/>
              </w:numPr>
              <w:spacing w:before="120" w:after="120" w:line="240" w:lineRule="exact"/>
              <w:ind w:left="158" w:hanging="158"/>
              <w:jc w:val="left"/>
              <w:rPr>
                <w:rFonts w:cs="Arial"/>
                <w:bCs/>
                <w:sz w:val="16"/>
              </w:rPr>
            </w:pPr>
            <w:r w:rsidRPr="00231A69">
              <w:rPr>
                <w:rFonts w:cs="Arial"/>
                <w:bCs/>
                <w:sz w:val="16"/>
              </w:rPr>
              <w:t xml:space="preserve">BAA </w:t>
            </w:r>
            <w:r>
              <w:t>sum of base schedules</w:t>
            </w:r>
            <w:r w:rsidRPr="00231A69" w:rsidDel="003F3CBA">
              <w:rPr>
                <w:rFonts w:cs="Arial"/>
                <w:bCs/>
                <w:sz w:val="16"/>
              </w:rPr>
              <w:t xml:space="preserve"> </w:t>
            </w:r>
            <w:r>
              <w:rPr>
                <w:rFonts w:cs="Arial"/>
                <w:bCs/>
                <w:sz w:val="16"/>
              </w:rPr>
              <w:t>= 3500 MW</w:t>
            </w:r>
          </w:p>
          <w:p w14:paraId="4F7805F9" w14:textId="77777777" w:rsidR="006571FF" w:rsidRDefault="006571FF" w:rsidP="006571FF">
            <w:pPr>
              <w:pStyle w:val="ListParagraph"/>
              <w:numPr>
                <w:ilvl w:val="0"/>
                <w:numId w:val="77"/>
              </w:numPr>
              <w:spacing w:before="120" w:after="120" w:line="240" w:lineRule="exact"/>
              <w:ind w:left="158" w:hanging="158"/>
              <w:jc w:val="left"/>
              <w:rPr>
                <w:rFonts w:cs="Arial"/>
                <w:bCs/>
              </w:rPr>
            </w:pPr>
            <w:r w:rsidRPr="00231A69">
              <w:rPr>
                <w:rFonts w:cs="Arial"/>
                <w:bCs/>
                <w:sz w:val="16"/>
              </w:rPr>
              <w:t>BAA Hourly Demand Forecast</w:t>
            </w:r>
            <w:r>
              <w:rPr>
                <w:rFonts w:cs="Arial"/>
                <w:bCs/>
                <w:sz w:val="16"/>
              </w:rPr>
              <w:t xml:space="preserve"> = 3400 MW</w:t>
            </w:r>
          </w:p>
        </w:tc>
        <w:tc>
          <w:tcPr>
            <w:tcW w:w="0" w:type="auto"/>
          </w:tcPr>
          <w:p w14:paraId="4A8A0C87" w14:textId="77777777" w:rsidR="006571FF" w:rsidRPr="00DB5207" w:rsidRDefault="006571FF" w:rsidP="007172ED">
            <w:pPr>
              <w:pStyle w:val="NoSpacing"/>
            </w:pPr>
            <w:r w:rsidRPr="00DB5207">
              <w:t>Since absolute (3500 MW – 3400 MW) &gt; 0.01 * 3400 MW,</w:t>
            </w:r>
          </w:p>
          <w:p w14:paraId="2D0F868A" w14:textId="77777777" w:rsidR="006571FF" w:rsidRPr="00DB5207" w:rsidRDefault="006571FF" w:rsidP="007172ED">
            <w:pPr>
              <w:pStyle w:val="NoSpacing"/>
            </w:pPr>
            <w:r w:rsidRPr="00DB5207">
              <w:t>CMRI results shall provide records as follows:</w:t>
            </w:r>
          </w:p>
          <w:p w14:paraId="47A91A66" w14:textId="77777777" w:rsidR="006571FF" w:rsidRDefault="006571FF" w:rsidP="006571FF">
            <w:pPr>
              <w:pStyle w:val="NoSpacing"/>
              <w:numPr>
                <w:ilvl w:val="0"/>
                <w:numId w:val="79"/>
              </w:numPr>
              <w:spacing w:before="120" w:after="0" w:line="240" w:lineRule="exact"/>
              <w:jc w:val="left"/>
              <w:rPr>
                <w:sz w:val="16"/>
                <w:szCs w:val="16"/>
              </w:rPr>
            </w:pPr>
            <w:r>
              <w:rPr>
                <w:sz w:val="16"/>
                <w:szCs w:val="16"/>
              </w:rPr>
              <w:t>Test Result:  Fail</w:t>
            </w:r>
          </w:p>
          <w:p w14:paraId="3D6692B9"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Imbalance Direction:  OVER</w:t>
            </w:r>
          </w:p>
          <w:p w14:paraId="23178A9E"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Imbalance Amount (MW):  100.0</w:t>
            </w:r>
          </w:p>
          <w:p w14:paraId="592D86D8"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Imbalance Percentage (%):  2.94</w:t>
            </w:r>
          </w:p>
          <w:p w14:paraId="429AF631" w14:textId="77777777" w:rsidR="006571FF" w:rsidRPr="00DB5207" w:rsidRDefault="006571FF" w:rsidP="006571FF">
            <w:pPr>
              <w:pStyle w:val="NoSpacing"/>
              <w:numPr>
                <w:ilvl w:val="0"/>
                <w:numId w:val="79"/>
              </w:numPr>
              <w:spacing w:before="120" w:after="0" w:line="240" w:lineRule="exact"/>
              <w:jc w:val="left"/>
              <w:rPr>
                <w:sz w:val="16"/>
                <w:szCs w:val="16"/>
              </w:rPr>
            </w:pPr>
            <w:r w:rsidRPr="00DB5207">
              <w:rPr>
                <w:sz w:val="16"/>
                <w:szCs w:val="16"/>
              </w:rPr>
              <w:t>Requirement Amount (MW):  3,400.0</w:t>
            </w:r>
          </w:p>
        </w:tc>
      </w:tr>
      <w:tr w:rsidR="006571FF" w14:paraId="5184131A" w14:textId="77777777" w:rsidTr="007172ED">
        <w:trPr>
          <w:cantSplit/>
          <w:trHeight w:val="2332"/>
        </w:trPr>
        <w:tc>
          <w:tcPr>
            <w:tcW w:w="0" w:type="auto"/>
          </w:tcPr>
          <w:p w14:paraId="2FBC64B9" w14:textId="77777777" w:rsidR="006571FF" w:rsidRDefault="006571FF" w:rsidP="007172ED">
            <w:pPr>
              <w:jc w:val="center"/>
              <w:rPr>
                <w:rFonts w:cs="Arial"/>
                <w:b/>
                <w:bCs/>
              </w:rPr>
            </w:pPr>
            <w:r>
              <w:rPr>
                <w:rFonts w:cs="Arial"/>
                <w:b/>
                <w:bCs/>
              </w:rPr>
              <w:t>3</w:t>
            </w:r>
          </w:p>
        </w:tc>
        <w:tc>
          <w:tcPr>
            <w:tcW w:w="0" w:type="auto"/>
          </w:tcPr>
          <w:p w14:paraId="6970DE21" w14:textId="77777777" w:rsidR="006571FF" w:rsidRPr="002B79C3" w:rsidRDefault="006571FF" w:rsidP="007172ED">
            <w:pPr>
              <w:rPr>
                <w:rFonts w:cs="Arial"/>
                <w:bCs/>
                <w:sz w:val="16"/>
                <w:szCs w:val="16"/>
              </w:rPr>
            </w:pPr>
            <w:r w:rsidRPr="002B79C3">
              <w:rPr>
                <w:rFonts w:cs="Arial"/>
                <w:bCs/>
                <w:sz w:val="16"/>
                <w:szCs w:val="16"/>
              </w:rPr>
              <w:t>EIM Balancing Test result passes (over or under):</w:t>
            </w:r>
          </w:p>
          <w:p w14:paraId="2A06786C" w14:textId="77777777" w:rsidR="006571FF" w:rsidRPr="002B79C3" w:rsidRDefault="006571FF" w:rsidP="006571FF">
            <w:pPr>
              <w:pStyle w:val="ListParagraph"/>
              <w:numPr>
                <w:ilvl w:val="0"/>
                <w:numId w:val="77"/>
              </w:numPr>
              <w:spacing w:before="120" w:after="120" w:line="240" w:lineRule="exact"/>
              <w:ind w:left="158" w:hanging="158"/>
              <w:jc w:val="left"/>
              <w:rPr>
                <w:rFonts w:cs="Arial"/>
                <w:bCs/>
                <w:sz w:val="16"/>
                <w:szCs w:val="16"/>
              </w:rPr>
            </w:pPr>
            <w:r w:rsidRPr="002B79C3">
              <w:rPr>
                <w:rFonts w:cs="Arial"/>
                <w:bCs/>
                <w:sz w:val="16"/>
                <w:szCs w:val="16"/>
              </w:rPr>
              <w:t xml:space="preserve">BAA </w:t>
            </w:r>
            <w:r>
              <w:t>sum of base schedules</w:t>
            </w:r>
            <w:r w:rsidRPr="002B79C3" w:rsidDel="003F3CBA">
              <w:rPr>
                <w:rFonts w:cs="Arial"/>
                <w:bCs/>
                <w:sz w:val="16"/>
                <w:szCs w:val="16"/>
              </w:rPr>
              <w:t xml:space="preserve"> </w:t>
            </w:r>
            <w:r w:rsidRPr="002B79C3">
              <w:rPr>
                <w:rFonts w:cs="Arial"/>
                <w:bCs/>
                <w:sz w:val="16"/>
                <w:szCs w:val="16"/>
              </w:rPr>
              <w:t>= 3500 MW</w:t>
            </w:r>
          </w:p>
          <w:p w14:paraId="5546984E" w14:textId="77777777" w:rsidR="006571FF" w:rsidRPr="002B79C3" w:rsidRDefault="006571FF" w:rsidP="006571FF">
            <w:pPr>
              <w:pStyle w:val="ListParagraph"/>
              <w:numPr>
                <w:ilvl w:val="0"/>
                <w:numId w:val="77"/>
              </w:numPr>
              <w:spacing w:before="120" w:after="120" w:line="240" w:lineRule="exact"/>
              <w:ind w:left="158" w:hanging="158"/>
              <w:jc w:val="left"/>
              <w:rPr>
                <w:rFonts w:cs="Arial"/>
                <w:bCs/>
                <w:sz w:val="16"/>
                <w:szCs w:val="16"/>
              </w:rPr>
            </w:pPr>
            <w:r w:rsidRPr="002B79C3">
              <w:rPr>
                <w:rFonts w:cs="Arial"/>
                <w:bCs/>
                <w:sz w:val="16"/>
                <w:szCs w:val="16"/>
              </w:rPr>
              <w:t>BAA Hourly Demand Forecast = 34</w:t>
            </w:r>
            <w:r>
              <w:rPr>
                <w:rFonts w:cs="Arial"/>
                <w:bCs/>
                <w:sz w:val="16"/>
                <w:szCs w:val="16"/>
              </w:rPr>
              <w:t>8</w:t>
            </w:r>
            <w:r w:rsidRPr="002B79C3">
              <w:rPr>
                <w:rFonts w:cs="Arial"/>
                <w:bCs/>
                <w:sz w:val="16"/>
                <w:szCs w:val="16"/>
              </w:rPr>
              <w:t>0 MW</w:t>
            </w:r>
          </w:p>
        </w:tc>
        <w:tc>
          <w:tcPr>
            <w:tcW w:w="0" w:type="auto"/>
          </w:tcPr>
          <w:p w14:paraId="104DD6B5" w14:textId="77777777" w:rsidR="006571FF" w:rsidRPr="00DB5207" w:rsidRDefault="006571FF" w:rsidP="007172ED">
            <w:pPr>
              <w:pStyle w:val="NoSpacing"/>
              <w:rPr>
                <w:szCs w:val="16"/>
              </w:rPr>
            </w:pPr>
            <w:r w:rsidRPr="00DB5207">
              <w:rPr>
                <w:szCs w:val="16"/>
              </w:rPr>
              <w:t>Since absolute (3500 MW – 3480 MW) &lt; 0.01 * 3480 MW,</w:t>
            </w:r>
          </w:p>
          <w:p w14:paraId="1532A696" w14:textId="77777777" w:rsidR="006571FF" w:rsidRPr="00DB5207" w:rsidRDefault="006571FF" w:rsidP="007172ED">
            <w:pPr>
              <w:pStyle w:val="NoSpacing"/>
              <w:rPr>
                <w:szCs w:val="16"/>
              </w:rPr>
            </w:pPr>
            <w:r w:rsidRPr="00DB5207">
              <w:rPr>
                <w:szCs w:val="16"/>
              </w:rPr>
              <w:t>CMRI results shall provide records as follows:</w:t>
            </w:r>
          </w:p>
          <w:p w14:paraId="532D913F" w14:textId="77777777" w:rsidR="006571FF" w:rsidRDefault="006571FF" w:rsidP="006571FF">
            <w:pPr>
              <w:pStyle w:val="NoSpacing"/>
              <w:numPr>
                <w:ilvl w:val="0"/>
                <w:numId w:val="80"/>
              </w:numPr>
              <w:spacing w:before="120" w:after="0" w:line="240" w:lineRule="exact"/>
              <w:jc w:val="left"/>
              <w:rPr>
                <w:sz w:val="16"/>
                <w:szCs w:val="16"/>
              </w:rPr>
            </w:pPr>
            <w:r>
              <w:rPr>
                <w:sz w:val="16"/>
                <w:szCs w:val="16"/>
              </w:rPr>
              <w:t>Test Result:  Pass</w:t>
            </w:r>
          </w:p>
          <w:p w14:paraId="162A060A"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Imbalance Direction:  OVER</w:t>
            </w:r>
          </w:p>
          <w:p w14:paraId="6536738A"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Imbalance Amount (MW):  20.0</w:t>
            </w:r>
          </w:p>
          <w:p w14:paraId="74FB6107"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Imbalance Percentage (%):  0.57</w:t>
            </w:r>
          </w:p>
          <w:p w14:paraId="6AC638F6" w14:textId="77777777" w:rsidR="006571FF" w:rsidRPr="00DB5207" w:rsidRDefault="006571FF" w:rsidP="006571FF">
            <w:pPr>
              <w:pStyle w:val="NoSpacing"/>
              <w:numPr>
                <w:ilvl w:val="0"/>
                <w:numId w:val="80"/>
              </w:numPr>
              <w:spacing w:before="120" w:after="0" w:line="240" w:lineRule="exact"/>
              <w:jc w:val="left"/>
              <w:rPr>
                <w:sz w:val="16"/>
                <w:szCs w:val="16"/>
              </w:rPr>
            </w:pPr>
            <w:r w:rsidRPr="00DB5207">
              <w:rPr>
                <w:sz w:val="16"/>
                <w:szCs w:val="16"/>
              </w:rPr>
              <w:t>Requirement Amount (MW):  3,480.0</w:t>
            </w:r>
          </w:p>
        </w:tc>
      </w:tr>
    </w:tbl>
    <w:p w14:paraId="52DDAF46" w14:textId="77777777" w:rsidR="006571FF" w:rsidRDefault="006571FF" w:rsidP="006571FF"/>
    <w:p w14:paraId="1D9A00AD" w14:textId="77777777" w:rsidR="006571FF" w:rsidRDefault="006571FF" w:rsidP="006571FF">
      <w:pPr>
        <w:pStyle w:val="ListParagraph"/>
        <w:ind w:left="1080"/>
      </w:pPr>
    </w:p>
    <w:p w14:paraId="3818A412" w14:textId="77777777" w:rsidR="006571FF" w:rsidRPr="002966D9" w:rsidRDefault="006571FF" w:rsidP="006571FF">
      <w:pPr>
        <w:pStyle w:val="ListParagraph"/>
        <w:numPr>
          <w:ilvl w:val="0"/>
          <w:numId w:val="12"/>
        </w:numPr>
        <w:rPr>
          <w:rFonts w:eastAsia="Calibri"/>
        </w:rPr>
      </w:pPr>
      <w:r>
        <w:t>CAISO shall set the histogram values described in Section 7.1.3 of the Market Operations BPM to ensure the flexible ramp requirements stay within a reasonable level for a transitional period following implementation. This histogram value will be used until the ISO is able to collect sufficient production-quality data to accurately calculate the flexible requirements based on the historical information gathered from Production. These initial thresholds may be adjusted according to each balancing authority area’s conditions including factors and data observed during market simulation and parallel operations.  These thresholds will allow the Flexible Ramping Requirements to stay within a reasonable band during the transitional period until an accurate histogram can be calculated from Production data for the balancing authority area.</w:t>
      </w:r>
    </w:p>
    <w:p w14:paraId="245B1B5C" w14:textId="77777777" w:rsidR="006571FF" w:rsidRDefault="006571FF" w:rsidP="006571FF">
      <w:pPr>
        <w:spacing w:after="0" w:line="240" w:lineRule="auto"/>
        <w:rPr>
          <w:rFonts w:ascii="Calibri" w:hAnsi="Calibri" w:cs="Calibri"/>
        </w:rPr>
      </w:pPr>
    </w:p>
    <w:p w14:paraId="56356393" w14:textId="403F59C0" w:rsidR="006571FF" w:rsidRDefault="006571FF" w:rsidP="006571FF">
      <w:pPr>
        <w:numPr>
          <w:ilvl w:val="0"/>
          <w:numId w:val="12"/>
        </w:numPr>
        <w:rPr>
          <w:rFonts w:eastAsia="Calibri"/>
        </w:rPr>
      </w:pPr>
      <w:r w:rsidRPr="008817D0">
        <w:rPr>
          <w:rFonts w:eastAsia="Calibri"/>
          <w:b/>
          <w:bCs/>
        </w:rPr>
        <w:t xml:space="preserve">Capacity Test:  </w:t>
      </w:r>
      <w:r w:rsidRPr="003E1F12">
        <w:rPr>
          <w:rFonts w:ascii="Arial" w:eastAsia="Times New Roman" w:hAnsi="Arial" w:cs="Arial"/>
          <w:iCs/>
          <w:color w:val="000000"/>
          <w:sz w:val="20"/>
          <w:szCs w:val="20"/>
        </w:rPr>
        <w:t xml:space="preserve">At T-75, T-55, and T-40 </w:t>
      </w:r>
      <w:r>
        <w:rPr>
          <w:rFonts w:ascii="Arial" w:eastAsia="Times New Roman" w:hAnsi="Arial" w:cs="Arial"/>
          <w:iCs/>
          <w:color w:val="000000"/>
          <w:sz w:val="20"/>
          <w:szCs w:val="20"/>
        </w:rPr>
        <w:t>minutes</w:t>
      </w:r>
      <w:r w:rsidRPr="008817D0">
        <w:rPr>
          <w:rFonts w:eastAsia="Calibri"/>
          <w:b/>
          <w:bCs/>
        </w:rPr>
        <w:t xml:space="preserve"> </w:t>
      </w:r>
      <w:r>
        <w:rPr>
          <w:rFonts w:eastAsia="Calibri"/>
        </w:rPr>
        <w:t xml:space="preserve">prior to the start of the next trading hour, </w:t>
      </w:r>
      <w:r w:rsidRPr="008817D0">
        <w:rPr>
          <w:rFonts w:eastAsia="Calibri"/>
        </w:rPr>
        <w:t xml:space="preserve">CAISO will </w:t>
      </w:r>
      <w:r>
        <w:rPr>
          <w:rFonts w:eastAsia="Calibri"/>
        </w:rPr>
        <w:t xml:space="preserve">independently evaluate all 15-minute intervals within the next trading hour for sufficient bid range capacity for both over and under capacity </w:t>
      </w:r>
      <w:r>
        <w:rPr>
          <w:rFonts w:eastAsia="Calibri"/>
        </w:rPr>
        <w:lastRenderedPageBreak/>
        <w:t>requirements.</w:t>
      </w:r>
      <w:r w:rsidRPr="008817D0">
        <w:rPr>
          <w:rFonts w:eastAsia="Calibri"/>
        </w:rPr>
        <w:t xml:space="preserve"> There must be a </w:t>
      </w:r>
      <w:r>
        <w:rPr>
          <w:rFonts w:eastAsia="Calibri"/>
        </w:rPr>
        <w:t>sufficient WEIM Participating R</w:t>
      </w:r>
      <w:r w:rsidRPr="008817D0">
        <w:rPr>
          <w:rFonts w:eastAsia="Calibri"/>
        </w:rPr>
        <w:t xml:space="preserve">esource capacity bid </w:t>
      </w:r>
      <w:r>
        <w:rPr>
          <w:rFonts w:eastAsia="Calibri"/>
        </w:rPr>
        <w:t xml:space="preserve">range </w:t>
      </w:r>
      <w:r w:rsidRPr="008817D0">
        <w:rPr>
          <w:rFonts w:eastAsia="Calibri"/>
        </w:rPr>
        <w:t>in the</w:t>
      </w:r>
      <w:r>
        <w:rPr>
          <w:rFonts w:eastAsia="Calibri"/>
        </w:rPr>
        <w:t xml:space="preserve"> WEIM </w:t>
      </w:r>
      <w:r w:rsidRPr="008817D0">
        <w:rPr>
          <w:rFonts w:eastAsia="Calibri"/>
        </w:rPr>
        <w:t xml:space="preserve">through incremental or decremental </w:t>
      </w:r>
      <w:r>
        <w:rPr>
          <w:rFonts w:eastAsia="Calibri"/>
        </w:rPr>
        <w:t>energy bids above or below the Base S</w:t>
      </w:r>
      <w:r w:rsidRPr="008817D0">
        <w:rPr>
          <w:rFonts w:eastAsia="Calibri"/>
        </w:rPr>
        <w:t xml:space="preserve">chedules </w:t>
      </w:r>
      <w:r>
        <w:rPr>
          <w:rFonts w:eastAsia="Calibri"/>
        </w:rPr>
        <w:t xml:space="preserve">or the CAISO equivalent </w:t>
      </w:r>
      <w:r w:rsidRPr="008817D0">
        <w:rPr>
          <w:rFonts w:eastAsia="Calibri"/>
        </w:rPr>
        <w:t>to meet the imbalance</w:t>
      </w:r>
      <w:r>
        <w:rPr>
          <w:rFonts w:eastAsia="Calibri"/>
        </w:rPr>
        <w:t>.</w:t>
      </w:r>
      <w:r w:rsidRPr="008817D0" w:rsidDel="002C7077">
        <w:rPr>
          <w:rFonts w:eastAsia="Calibri"/>
        </w:rPr>
        <w:t xml:space="preserve"> </w:t>
      </w:r>
      <w:r>
        <w:rPr>
          <w:rFonts w:eastAsia="Calibri"/>
        </w:rPr>
        <w:t xml:space="preserve"> WEIM The capacity test is applicable to the CAISO BAA. </w:t>
      </w:r>
    </w:p>
    <w:p w14:paraId="5939DF5C" w14:textId="25E8E8FC" w:rsidR="006571FF" w:rsidRPr="001A0CA2" w:rsidRDefault="006571FF" w:rsidP="006571FF">
      <w:pPr>
        <w:pStyle w:val="ListParagraph"/>
        <w:numPr>
          <w:ilvl w:val="0"/>
          <w:numId w:val="12"/>
        </w:numPr>
        <w:spacing w:after="0" w:line="240" w:lineRule="auto"/>
        <w:contextualSpacing/>
      </w:pPr>
      <w:r w:rsidRPr="001A0CA2">
        <w:rPr>
          <w:b/>
          <w:bCs/>
        </w:rPr>
        <w:t>Accounting for Offline Short-Start Resources.</w:t>
      </w:r>
      <w:r w:rsidRPr="001A0CA2">
        <w:t xml:space="preserve">  Specific to the RSE Capacity Test, an offline Short-Start </w:t>
      </w:r>
      <w:r>
        <w:t>Unit</w:t>
      </w:r>
      <w:r w:rsidRPr="001A0CA2">
        <w:t xml:space="preserve"> (i.e., a resource where the sum of Start-up Time and Minimum Up Times &lt;=255 minutes) will be considered as available (online) supply in the forthcoming RSE evaluation hour when the following conditions are met:</w:t>
      </w:r>
    </w:p>
    <w:p w14:paraId="1C3AA7E9" w14:textId="77777777" w:rsidR="006571FF" w:rsidRPr="001A0CA2" w:rsidRDefault="006571FF" w:rsidP="006571FF">
      <w:pPr>
        <w:pStyle w:val="ListParagraph"/>
        <w:spacing w:after="0"/>
        <w:ind w:left="1080"/>
        <w:contextualSpacing/>
      </w:pPr>
    </w:p>
    <w:p w14:paraId="1148672B" w14:textId="77777777" w:rsidR="006571FF" w:rsidRPr="001A0CA2" w:rsidRDefault="006571FF" w:rsidP="006571FF">
      <w:pPr>
        <w:pStyle w:val="ListParagraph"/>
        <w:numPr>
          <w:ilvl w:val="1"/>
          <w:numId w:val="12"/>
        </w:numPr>
        <w:spacing w:after="0" w:line="240" w:lineRule="auto"/>
        <w:contextualSpacing/>
      </w:pPr>
      <w:r w:rsidRPr="001A0CA2">
        <w:t>The resource</w:t>
      </w:r>
      <w:r>
        <w:t xml:space="preserve"> or resource configuration</w:t>
      </w:r>
      <w:r w:rsidRPr="001A0CA2">
        <w:t xml:space="preserve"> has a real-time bid for the testing hour;</w:t>
      </w:r>
    </w:p>
    <w:p w14:paraId="21AAA813" w14:textId="77777777" w:rsidR="006571FF" w:rsidRPr="001A0CA2" w:rsidRDefault="006571FF" w:rsidP="006571FF">
      <w:pPr>
        <w:pStyle w:val="ListParagraph"/>
        <w:numPr>
          <w:ilvl w:val="1"/>
          <w:numId w:val="12"/>
        </w:numPr>
        <w:spacing w:after="0" w:line="240" w:lineRule="auto"/>
        <w:contextualSpacing/>
      </w:pPr>
      <w:r w:rsidRPr="001A0CA2">
        <w:t>The resource has remaining start-ups (i.e., Max Daily Starts constraint not been reached);</w:t>
      </w:r>
    </w:p>
    <w:p w14:paraId="2AFEB75F" w14:textId="77777777" w:rsidR="006571FF" w:rsidRPr="001A0CA2" w:rsidRDefault="006571FF" w:rsidP="006571FF">
      <w:pPr>
        <w:pStyle w:val="ListParagraph"/>
        <w:numPr>
          <w:ilvl w:val="1"/>
          <w:numId w:val="12"/>
        </w:numPr>
        <w:spacing w:after="0" w:line="240" w:lineRule="auto"/>
        <w:contextualSpacing/>
      </w:pPr>
      <w:r w:rsidRPr="001A0CA2">
        <w:t>The resource is a participating generation type including PDR and Pump Storage.</w:t>
      </w:r>
    </w:p>
    <w:p w14:paraId="08CD8285" w14:textId="77777777" w:rsidR="006571FF" w:rsidRPr="001A0CA2" w:rsidRDefault="006571FF" w:rsidP="006571FF">
      <w:pPr>
        <w:pStyle w:val="ListParagraph"/>
        <w:spacing w:after="0"/>
        <w:ind w:left="1800"/>
        <w:contextualSpacing/>
      </w:pPr>
    </w:p>
    <w:p w14:paraId="4F14D4F9" w14:textId="733ED1C0" w:rsidR="006571FF" w:rsidRDefault="006571FF" w:rsidP="006571FF">
      <w:pPr>
        <w:pStyle w:val="ListParagraph"/>
        <w:spacing w:after="0"/>
        <w:ind w:left="1080"/>
        <w:contextualSpacing/>
      </w:pPr>
      <w:r w:rsidRPr="001A0CA2">
        <w:t>The intent of this consideration is to recognize that although the resource is currently offline</w:t>
      </w:r>
      <w:r>
        <w:t xml:space="preserve"> or transitioned to a lower state</w:t>
      </w:r>
      <w:r w:rsidRPr="001A0CA2">
        <w:t xml:space="preserve">, and even if the resource could not physically be started </w:t>
      </w:r>
      <w:r>
        <w:t xml:space="preserve">or transitioned </w:t>
      </w:r>
      <w:r w:rsidRPr="001A0CA2">
        <w:t>in time</w:t>
      </w:r>
      <w:r>
        <w:t xml:space="preserve"> f</w:t>
      </w:r>
      <w:r w:rsidRPr="001A0CA2">
        <w:t xml:space="preserve">or the next RSE evaluation hour, prior RTPD market run(s) </w:t>
      </w:r>
      <w:r w:rsidRPr="001A0CA2">
        <w:rPr>
          <w:u w:val="single"/>
        </w:rPr>
        <w:t>could</w:t>
      </w:r>
      <w:r w:rsidRPr="001A0CA2">
        <w:t xml:space="preserve"> have started the resource with sufficient time.  The resultant amount of capacity determined is equal to the capacity if the resource had been started. </w:t>
      </w:r>
    </w:p>
    <w:p w14:paraId="6D3B382F" w14:textId="77777777" w:rsidR="006571FF" w:rsidRDefault="006571FF" w:rsidP="006571FF">
      <w:pPr>
        <w:spacing w:before="120" w:after="120" w:line="240" w:lineRule="auto"/>
      </w:pPr>
    </w:p>
    <w:p w14:paraId="13E75A37" w14:textId="795D5F3F" w:rsidR="006571FF" w:rsidRDefault="006571FF" w:rsidP="006571FF">
      <w:pPr>
        <w:pStyle w:val="ListParagraph"/>
        <w:numPr>
          <w:ilvl w:val="0"/>
          <w:numId w:val="102"/>
        </w:numPr>
      </w:pPr>
      <w:r>
        <w:rPr>
          <w:b/>
        </w:rPr>
        <w:t xml:space="preserve">State-of-Charge (SOC) Consideration:  </w:t>
      </w:r>
      <w:r w:rsidRPr="00C6698F">
        <w:t>S</w:t>
      </w:r>
      <w:r w:rsidRPr="001A769D">
        <w:t xml:space="preserve">torage resources (e.g., batteries) State-of-Charge </w:t>
      </w:r>
      <w:r>
        <w:t>(SOC) is calculated from the most recent RTPD run at T-7.5’ in the Balancing Test, Capacity Test, and upward and downward Flexible Ramping Sufficiency Tests. In the Capacity Test and Flexible Ramping Sufficiency Tests, 1 MWh of SOC will provide 1 MW of upward capacity for all 4 intervals, and the same principle applies in the downward direction. This also includes accounting for maintaining 30-minutes for SOC for Ancillary Service schedules in the market optimization, as shown in the following example:</w:t>
      </w:r>
    </w:p>
    <w:p w14:paraId="2D7C9C44" w14:textId="77777777" w:rsidR="006571FF" w:rsidRDefault="006571FF" w:rsidP="00FD1751">
      <w:pPr>
        <w:pStyle w:val="ListParagraph"/>
        <w:ind w:left="1080"/>
      </w:pPr>
      <w:r>
        <w:rPr>
          <w:rFonts w:ascii="Arial" w:hAnsi="Arial" w:cs="Arial"/>
          <w:color w:val="0033CC"/>
          <w:sz w:val="20"/>
          <w:szCs w:val="20"/>
        </w:rPr>
        <w:t xml:space="preserve">Note: </w:t>
      </w:r>
      <w:r w:rsidRPr="00177A54">
        <w:rPr>
          <w:rFonts w:ascii="Arial" w:hAnsi="Arial" w:cs="Arial"/>
          <w:color w:val="0033CC"/>
          <w:sz w:val="20"/>
          <w:szCs w:val="20"/>
        </w:rPr>
        <w:t>This includes accounting for maintaining 30-minutes for SOC for Ancillary Service schedules in the market optimization</w:t>
      </w:r>
      <w:r w:rsidRPr="00177A54">
        <w:rPr>
          <w:rFonts w:ascii="Arial" w:hAnsi="Arial" w:cs="Arial"/>
          <w:color w:val="FF0000"/>
          <w:sz w:val="20"/>
          <w:szCs w:val="20"/>
          <w:u w:val="single"/>
        </w:rPr>
        <w:t>, but only for storage resources in the CAISO BAA</w:t>
      </w:r>
      <w:r w:rsidRPr="00177A54">
        <w:rPr>
          <w:rFonts w:ascii="Times New Roman" w:hAnsi="Times New Roman" w:cs="Times New Roman"/>
          <w:color w:val="0033CC"/>
        </w:rPr>
        <w:t>.</w:t>
      </w:r>
    </w:p>
    <w:p w14:paraId="20839D98" w14:textId="77777777" w:rsidR="006571FF" w:rsidRPr="00201140" w:rsidRDefault="006571FF" w:rsidP="00FD1751">
      <w:pPr>
        <w:pStyle w:val="ListParagraph"/>
        <w:ind w:left="1080"/>
      </w:pPr>
    </w:p>
    <w:p w14:paraId="74418F3B" w14:textId="77777777" w:rsidR="006571FF" w:rsidRPr="00070325" w:rsidRDefault="006571FF" w:rsidP="006571FF">
      <w:pPr>
        <w:pStyle w:val="Heading4"/>
        <w:numPr>
          <w:ilvl w:val="0"/>
          <w:numId w:val="0"/>
        </w:numPr>
        <w:ind w:left="1944" w:hanging="864"/>
        <w:rPr>
          <w:rStyle w:val="Emphasis"/>
          <w:rFonts w:cs="Arial"/>
          <w:b w:val="0"/>
          <w:sz w:val="20"/>
        </w:rPr>
      </w:pPr>
      <w:r w:rsidRPr="00070325">
        <w:rPr>
          <w:rStyle w:val="Emphasis"/>
          <w:rFonts w:cs="Arial"/>
          <w:b w:val="0"/>
          <w:sz w:val="20"/>
        </w:rPr>
        <w:lastRenderedPageBreak/>
        <w:t>SOC Example</w:t>
      </w:r>
    </w:p>
    <w:p w14:paraId="1220C16C" w14:textId="77777777" w:rsidR="006571FF" w:rsidRPr="00070325" w:rsidRDefault="006571FF" w:rsidP="006571FF">
      <w:pPr>
        <w:pStyle w:val="ListParagraph"/>
        <w:numPr>
          <w:ilvl w:val="0"/>
          <w:numId w:val="98"/>
        </w:numPr>
        <w:spacing w:before="120" w:after="120" w:line="240" w:lineRule="auto"/>
        <w:ind w:left="2160"/>
        <w:rPr>
          <w:rStyle w:val="Emphasis"/>
          <w:b/>
          <w:i w:val="0"/>
          <w:sz w:val="20"/>
        </w:rPr>
      </w:pPr>
      <w:r w:rsidRPr="00070325">
        <w:rPr>
          <w:rStyle w:val="Emphasis"/>
          <w:sz w:val="20"/>
        </w:rPr>
        <w:t>1 MW En base/self-schedule</w:t>
      </w:r>
    </w:p>
    <w:p w14:paraId="0DA910CC"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10 MWh initial SOC</w:t>
      </w:r>
    </w:p>
    <w:p w14:paraId="29F61D4E"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Bid charge max charge limit is 70</w:t>
      </w:r>
      <w:r>
        <w:rPr>
          <w:rStyle w:val="Emphasis"/>
          <w:sz w:val="20"/>
        </w:rPr>
        <w:t xml:space="preserve"> MWh</w:t>
      </w:r>
      <w:r w:rsidRPr="00070325">
        <w:rPr>
          <w:rStyle w:val="Emphasis"/>
          <w:sz w:val="20"/>
        </w:rPr>
        <w:t>, bid in low charge limit is 2</w:t>
      </w:r>
      <w:r>
        <w:rPr>
          <w:rStyle w:val="Emphasis"/>
          <w:sz w:val="20"/>
        </w:rPr>
        <w:t xml:space="preserve"> MWh</w:t>
      </w:r>
    </w:p>
    <w:p w14:paraId="61CEFFD7"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En bid in max is 30 MW</w:t>
      </w:r>
    </w:p>
    <w:p w14:paraId="5D39D862"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En Bid in min is -80</w:t>
      </w:r>
    </w:p>
    <w:p w14:paraId="0F2F1C6B"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Max(RU+SR+NR): 4 MW</w:t>
      </w:r>
    </w:p>
    <w:p w14:paraId="1D61EF2B" w14:textId="77777777" w:rsidR="006571FF"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Max(RD):10 MW</w:t>
      </w:r>
    </w:p>
    <w:p w14:paraId="5121043C" w14:textId="77777777" w:rsidR="006571FF"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Charging efficiency is 1</w:t>
      </w:r>
    </w:p>
    <w:p w14:paraId="7AAC53CD" w14:textId="77777777"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30 minute for reserve SOC for AS</w:t>
      </w:r>
    </w:p>
    <w:p w14:paraId="4017CFCA" w14:textId="32B24BE9" w:rsidR="006571FF" w:rsidRPr="00070325" w:rsidRDefault="006571FF" w:rsidP="006571FF">
      <w:pPr>
        <w:pStyle w:val="ListParagraph"/>
        <w:numPr>
          <w:ilvl w:val="0"/>
          <w:numId w:val="98"/>
        </w:numPr>
        <w:spacing w:before="120" w:after="120" w:line="240" w:lineRule="auto"/>
        <w:ind w:left="2160"/>
        <w:rPr>
          <w:rStyle w:val="Emphasis"/>
          <w:i w:val="0"/>
          <w:sz w:val="20"/>
        </w:rPr>
      </w:pPr>
      <w:r w:rsidRPr="00070325">
        <w:rPr>
          <w:rStyle w:val="Emphasis"/>
          <w:sz w:val="20"/>
        </w:rPr>
        <w:t>Adjusted SOC in this case = max(0, 10-2-30/60*4) = 6 MW</w:t>
      </w:r>
      <w:r>
        <w:rPr>
          <w:rStyle w:val="Emphasis"/>
          <w:sz w:val="20"/>
        </w:rPr>
        <w:t>h</w:t>
      </w:r>
      <w:r w:rsidRPr="00070325">
        <w:rPr>
          <w:rStyle w:val="Emphasis"/>
          <w:sz w:val="20"/>
        </w:rPr>
        <w:t xml:space="preserve"> for all 4 intervals, 1 MW will be reported as E</w:t>
      </w:r>
      <w:r>
        <w:rPr>
          <w:rStyle w:val="Emphasis"/>
          <w:sz w:val="20"/>
        </w:rPr>
        <w:t xml:space="preserve">nergy </w:t>
      </w:r>
      <w:r w:rsidRPr="00070325">
        <w:rPr>
          <w:rStyle w:val="Emphasis"/>
          <w:sz w:val="20"/>
        </w:rPr>
        <w:t>base schedule for this resource</w:t>
      </w:r>
      <w:r>
        <w:rPr>
          <w:rStyle w:val="Emphasis"/>
          <w:sz w:val="20"/>
        </w:rPr>
        <w:t>. Available</w:t>
      </w:r>
      <w:r w:rsidRPr="00070325">
        <w:rPr>
          <w:rStyle w:val="Emphasis"/>
          <w:sz w:val="20"/>
        </w:rPr>
        <w:t xml:space="preserve"> UPCA</w:t>
      </w:r>
      <w:r>
        <w:rPr>
          <w:rStyle w:val="Emphasis"/>
          <w:sz w:val="20"/>
        </w:rPr>
        <w:t>PA</w:t>
      </w:r>
      <w:r w:rsidRPr="00070325">
        <w:rPr>
          <w:rStyle w:val="Emphasis"/>
          <w:sz w:val="20"/>
        </w:rPr>
        <w:t>CITY = max(0, m</w:t>
      </w:r>
      <w:r>
        <w:rPr>
          <w:rStyle w:val="Emphasis"/>
          <w:sz w:val="20"/>
        </w:rPr>
        <w:t>in</w:t>
      </w:r>
      <w:r w:rsidRPr="00070325">
        <w:rPr>
          <w:rStyle w:val="Emphasis"/>
          <w:sz w:val="20"/>
        </w:rPr>
        <w:t xml:space="preserve">(6, 30-4)-1) = 5 MW </w:t>
      </w:r>
      <w:r>
        <w:rPr>
          <w:rStyle w:val="Emphasis"/>
          <w:sz w:val="20"/>
        </w:rPr>
        <w:t>in each interval</w:t>
      </w:r>
      <w:r w:rsidRPr="00070325">
        <w:rPr>
          <w:rStyle w:val="Emphasis"/>
          <w:sz w:val="20"/>
        </w:rPr>
        <w:t xml:space="preserve">; </w:t>
      </w:r>
    </w:p>
    <w:p w14:paraId="397C13C2" w14:textId="7DEAFD75" w:rsidR="006571FF" w:rsidRPr="00070325" w:rsidRDefault="006571FF" w:rsidP="006571FF">
      <w:pPr>
        <w:pStyle w:val="ListParagraph"/>
        <w:numPr>
          <w:ilvl w:val="0"/>
          <w:numId w:val="98"/>
        </w:numPr>
        <w:tabs>
          <w:tab w:val="left" w:pos="10260"/>
        </w:tabs>
        <w:spacing w:after="0" w:line="240" w:lineRule="auto"/>
        <w:ind w:left="2160"/>
        <w:contextualSpacing/>
        <w:rPr>
          <w:rStyle w:val="Emphasis"/>
          <w:i w:val="0"/>
          <w:sz w:val="20"/>
        </w:rPr>
      </w:pPr>
      <w:r w:rsidRPr="00070325">
        <w:rPr>
          <w:rStyle w:val="Emphasis"/>
          <w:sz w:val="20"/>
        </w:rPr>
        <w:t>Adjusted SOC room = max(0, (70-30/60*10*1 – 10)</w:t>
      </w:r>
      <w:r>
        <w:rPr>
          <w:rStyle w:val="Emphasis"/>
          <w:sz w:val="20"/>
        </w:rPr>
        <w:t xml:space="preserve"> </w:t>
      </w:r>
      <w:r w:rsidRPr="00070325">
        <w:rPr>
          <w:rStyle w:val="Emphasis"/>
          <w:sz w:val="20"/>
        </w:rPr>
        <w:t>=</w:t>
      </w:r>
      <w:r>
        <w:rPr>
          <w:rStyle w:val="Emphasis"/>
          <w:sz w:val="20"/>
        </w:rPr>
        <w:t xml:space="preserve"> </w:t>
      </w:r>
      <w:r w:rsidRPr="00070325">
        <w:rPr>
          <w:rStyle w:val="Emphasis"/>
          <w:sz w:val="20"/>
        </w:rPr>
        <w:t>55 MW</w:t>
      </w:r>
      <w:r>
        <w:rPr>
          <w:rStyle w:val="Emphasis"/>
          <w:sz w:val="20"/>
        </w:rPr>
        <w:t>h</w:t>
      </w:r>
      <w:r w:rsidRPr="00070325">
        <w:rPr>
          <w:rStyle w:val="Emphasis"/>
          <w:sz w:val="20"/>
        </w:rPr>
        <w:t xml:space="preserve"> for all 4 intervals, 1 MW is reported as EN base schedule. Available D</w:t>
      </w:r>
      <w:r>
        <w:rPr>
          <w:rStyle w:val="Emphasis"/>
          <w:sz w:val="20"/>
        </w:rPr>
        <w:t>NCAPACITY =</w:t>
      </w:r>
      <w:r w:rsidRPr="00070325">
        <w:rPr>
          <w:rStyle w:val="Emphasis"/>
          <w:sz w:val="20"/>
        </w:rPr>
        <w:t xml:space="preserve"> max(0, min(1+55/1, 1-(-80+10)) = 56</w:t>
      </w:r>
      <w:r>
        <w:rPr>
          <w:rStyle w:val="Emphasis"/>
          <w:sz w:val="20"/>
        </w:rPr>
        <w:t xml:space="preserve"> MW in each interval</w:t>
      </w:r>
      <w:r w:rsidRPr="00070325">
        <w:rPr>
          <w:rStyle w:val="Emphasis"/>
          <w:sz w:val="20"/>
        </w:rPr>
        <w:t>.</w:t>
      </w:r>
    </w:p>
    <w:p w14:paraId="680EC108" w14:textId="77777777" w:rsidR="006571FF" w:rsidRPr="00AF6A94" w:rsidRDefault="006571FF" w:rsidP="006571FF">
      <w:pPr>
        <w:pStyle w:val="ListParagraph"/>
        <w:spacing w:before="120" w:after="120" w:line="240" w:lineRule="auto"/>
        <w:ind w:left="1080"/>
      </w:pPr>
    </w:p>
    <w:p w14:paraId="19103BA8" w14:textId="179FA233" w:rsidR="006571FF" w:rsidRDefault="006571FF" w:rsidP="006571FF">
      <w:pPr>
        <w:ind w:left="1080"/>
        <w:rPr>
          <w:rFonts w:eastAsia="Calibri"/>
        </w:rPr>
      </w:pPr>
      <w:r>
        <w:rPr>
          <w:rFonts w:eastAsia="Calibri"/>
        </w:rPr>
        <w:t xml:space="preserve">Regardless of the capacity test pass/fail results, CAISO will publish all the interval results of the trade hour for each insufficiency direction. </w:t>
      </w:r>
    </w:p>
    <w:p w14:paraId="1ECD5727" w14:textId="77777777" w:rsidR="006571FF" w:rsidRDefault="006571FF" w:rsidP="006571FF">
      <w:pPr>
        <w:ind w:left="1080"/>
        <w:rPr>
          <w:rFonts w:eastAsia="Calibri"/>
        </w:rPr>
      </w:pPr>
      <w:r>
        <w:rPr>
          <w:rFonts w:eastAsia="Calibri"/>
        </w:rPr>
        <w:t>Examples:</w:t>
      </w:r>
    </w:p>
    <w:tbl>
      <w:tblPr>
        <w:tblStyle w:val="TableGrid11"/>
        <w:tblW w:w="10255" w:type="dxa"/>
        <w:tblLook w:val="04A0" w:firstRow="1" w:lastRow="0" w:firstColumn="1" w:lastColumn="0" w:noHBand="0" w:noVBand="1"/>
      </w:tblPr>
      <w:tblGrid>
        <w:gridCol w:w="568"/>
        <w:gridCol w:w="5243"/>
        <w:gridCol w:w="4444"/>
      </w:tblGrid>
      <w:tr w:rsidR="006571FF" w14:paraId="66455577" w14:textId="77777777" w:rsidTr="007172ED">
        <w:trPr>
          <w:cantSplit/>
          <w:tblHeader/>
        </w:trPr>
        <w:tc>
          <w:tcPr>
            <w:tcW w:w="0" w:type="auto"/>
            <w:shd w:val="clear" w:color="auto" w:fill="F2F2F2" w:themeFill="background1" w:themeFillShade="F2"/>
          </w:tcPr>
          <w:p w14:paraId="469532B5" w14:textId="77777777" w:rsidR="006571FF" w:rsidRDefault="006571FF" w:rsidP="007172ED">
            <w:pPr>
              <w:jc w:val="center"/>
              <w:rPr>
                <w:rFonts w:cs="Arial"/>
                <w:b/>
                <w:bCs/>
              </w:rPr>
            </w:pPr>
            <w:r>
              <w:rPr>
                <w:rFonts w:cs="Arial"/>
                <w:b/>
                <w:bCs/>
              </w:rPr>
              <w:lastRenderedPageBreak/>
              <w:t>No.</w:t>
            </w:r>
          </w:p>
        </w:tc>
        <w:tc>
          <w:tcPr>
            <w:tcW w:w="5243" w:type="dxa"/>
            <w:shd w:val="clear" w:color="auto" w:fill="F2F2F2" w:themeFill="background1" w:themeFillShade="F2"/>
          </w:tcPr>
          <w:p w14:paraId="64C724CA" w14:textId="77777777" w:rsidR="006571FF" w:rsidRDefault="006571FF" w:rsidP="007172ED">
            <w:pPr>
              <w:rPr>
                <w:rFonts w:cs="Arial"/>
                <w:b/>
                <w:bCs/>
              </w:rPr>
            </w:pPr>
            <w:r>
              <w:rPr>
                <w:rFonts w:cs="Arial"/>
                <w:b/>
                <w:bCs/>
              </w:rPr>
              <w:t>Scenario Description</w:t>
            </w:r>
          </w:p>
        </w:tc>
        <w:tc>
          <w:tcPr>
            <w:tcW w:w="4501" w:type="dxa"/>
            <w:shd w:val="clear" w:color="auto" w:fill="F2F2F2" w:themeFill="background1" w:themeFillShade="F2"/>
          </w:tcPr>
          <w:p w14:paraId="46DB4DD2" w14:textId="77777777" w:rsidR="006571FF" w:rsidRDefault="006571FF" w:rsidP="007172ED">
            <w:pPr>
              <w:rPr>
                <w:rFonts w:cs="Arial"/>
                <w:b/>
                <w:bCs/>
              </w:rPr>
            </w:pPr>
            <w:r>
              <w:rPr>
                <w:rFonts w:cs="Arial"/>
                <w:b/>
                <w:bCs/>
              </w:rPr>
              <w:t>Expected Results</w:t>
            </w:r>
          </w:p>
        </w:tc>
      </w:tr>
      <w:tr w:rsidR="006571FF" w:rsidRPr="007A014B" w14:paraId="26A6A9F2" w14:textId="77777777" w:rsidTr="007172ED">
        <w:trPr>
          <w:cantSplit/>
        </w:trPr>
        <w:tc>
          <w:tcPr>
            <w:tcW w:w="0" w:type="auto"/>
          </w:tcPr>
          <w:p w14:paraId="0CECB0D1" w14:textId="77777777" w:rsidR="006571FF" w:rsidRDefault="006571FF" w:rsidP="007172ED">
            <w:pPr>
              <w:jc w:val="center"/>
              <w:rPr>
                <w:rFonts w:cs="Arial"/>
                <w:b/>
                <w:bCs/>
              </w:rPr>
            </w:pPr>
            <w:r>
              <w:rPr>
                <w:rFonts w:cs="Arial"/>
                <w:b/>
                <w:bCs/>
              </w:rPr>
              <w:t>1</w:t>
            </w:r>
          </w:p>
        </w:tc>
        <w:tc>
          <w:tcPr>
            <w:tcW w:w="5243" w:type="dxa"/>
          </w:tcPr>
          <w:p w14:paraId="6F47FBB1" w14:textId="77777777" w:rsidR="006571FF" w:rsidRDefault="006571FF" w:rsidP="007172ED">
            <w:pPr>
              <w:rPr>
                <w:rFonts w:cs="Arial"/>
                <w:bCs/>
                <w:sz w:val="16"/>
                <w:szCs w:val="16"/>
              </w:rPr>
            </w:pPr>
            <w:r>
              <w:rPr>
                <w:rFonts w:cs="Arial"/>
                <w:bCs/>
                <w:sz w:val="16"/>
                <w:szCs w:val="16"/>
              </w:rPr>
              <w:t xml:space="preserve">BAA’s WEIM </w:t>
            </w:r>
            <w:r w:rsidRPr="007A014B">
              <w:rPr>
                <w:rFonts w:cs="Arial"/>
                <w:bCs/>
                <w:sz w:val="16"/>
                <w:szCs w:val="16"/>
              </w:rPr>
              <w:t xml:space="preserve">Capacity Test result fails for </w:t>
            </w:r>
            <w:r>
              <w:rPr>
                <w:rFonts w:cs="Arial"/>
                <w:bCs/>
                <w:sz w:val="16"/>
                <w:szCs w:val="16"/>
              </w:rPr>
              <w:t>a single</w:t>
            </w:r>
            <w:r w:rsidRPr="007A014B">
              <w:rPr>
                <w:rFonts w:cs="Arial"/>
                <w:bCs/>
                <w:sz w:val="16"/>
                <w:szCs w:val="16"/>
              </w:rPr>
              <w:t xml:space="preserve"> 15-min interval</w:t>
            </w:r>
            <w:r>
              <w:rPr>
                <w:rFonts w:cs="Arial"/>
                <w:bCs/>
                <w:sz w:val="16"/>
                <w:szCs w:val="16"/>
              </w:rPr>
              <w:t>, where the following conditions occur for trade hour</w:t>
            </w:r>
            <w:r w:rsidRPr="007A014B">
              <w:rPr>
                <w:rFonts w:cs="Arial"/>
                <w:bCs/>
                <w:sz w:val="16"/>
                <w:szCs w:val="16"/>
              </w:rPr>
              <w:t>:</w:t>
            </w:r>
          </w:p>
          <w:tbl>
            <w:tblPr>
              <w:tblW w:w="4806" w:type="dxa"/>
              <w:tblLook w:val="04A0" w:firstRow="1" w:lastRow="0" w:firstColumn="1" w:lastColumn="0" w:noHBand="0" w:noVBand="1"/>
            </w:tblPr>
            <w:tblGrid>
              <w:gridCol w:w="1806"/>
              <w:gridCol w:w="750"/>
              <w:gridCol w:w="750"/>
              <w:gridCol w:w="661"/>
              <w:gridCol w:w="839"/>
            </w:tblGrid>
            <w:tr w:rsidR="006571FF" w:rsidRPr="007243F6" w14:paraId="03D16B05" w14:textId="77777777" w:rsidTr="007172ED">
              <w:trPr>
                <w:trHeight w:val="297"/>
              </w:trPr>
              <w:tc>
                <w:tcPr>
                  <w:tcW w:w="180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78FB73A" w14:textId="77777777" w:rsidR="006571FF" w:rsidRPr="007243F6" w:rsidRDefault="006571FF" w:rsidP="007172ED">
                  <w:pPr>
                    <w:spacing w:after="0" w:line="240" w:lineRule="auto"/>
                    <w:jc w:val="both"/>
                    <w:rPr>
                      <w:rFonts w:ascii="Arial" w:eastAsia="Times New Roman" w:hAnsi="Arial" w:cs="Arial"/>
                      <w:color w:val="000000"/>
                      <w:sz w:val="16"/>
                      <w:szCs w:val="16"/>
                    </w:rPr>
                  </w:pPr>
                  <w:r w:rsidRPr="007243F6">
                    <w:rPr>
                      <w:rFonts w:ascii="Arial" w:eastAsia="Times New Roman" w:hAnsi="Arial" w:cs="Arial"/>
                      <w:color w:val="000000"/>
                      <w:sz w:val="16"/>
                      <w:szCs w:val="16"/>
                    </w:rPr>
                    <w:t>Value</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1F7504B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67428F62"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:30</w:t>
                  </w:r>
                </w:p>
              </w:tc>
              <w:tc>
                <w:tcPr>
                  <w:tcW w:w="661" w:type="dxa"/>
                  <w:tcBorders>
                    <w:top w:val="single" w:sz="8" w:space="0" w:color="auto"/>
                    <w:left w:val="nil"/>
                    <w:bottom w:val="single" w:sz="8" w:space="0" w:color="auto"/>
                    <w:right w:val="single" w:sz="8" w:space="0" w:color="auto"/>
                  </w:tcBorders>
                  <w:shd w:val="clear" w:color="000000" w:fill="F2F2F2"/>
                  <w:vAlign w:val="center"/>
                  <w:hideMark/>
                </w:tcPr>
                <w:p w14:paraId="7F839790"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:45</w:t>
                  </w:r>
                </w:p>
              </w:tc>
              <w:tc>
                <w:tcPr>
                  <w:tcW w:w="839" w:type="dxa"/>
                  <w:tcBorders>
                    <w:top w:val="single" w:sz="8" w:space="0" w:color="auto"/>
                    <w:left w:val="nil"/>
                    <w:bottom w:val="single" w:sz="8" w:space="0" w:color="auto"/>
                    <w:right w:val="single" w:sz="8" w:space="0" w:color="auto"/>
                  </w:tcBorders>
                  <w:shd w:val="clear" w:color="000000" w:fill="F2F2F2"/>
                  <w:vAlign w:val="center"/>
                  <w:hideMark/>
                </w:tcPr>
                <w:p w14:paraId="765A5DE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:60</w:t>
                  </w:r>
                </w:p>
              </w:tc>
            </w:tr>
            <w:tr w:rsidR="006571FF" w:rsidRPr="007243F6" w14:paraId="3EC79536"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14035B49"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Sum of Base</w:t>
                  </w:r>
                  <w:r w:rsidRPr="007243F6">
                    <w:rPr>
                      <w:rFonts w:ascii="Arial" w:eastAsia="Times New Roman" w:hAnsi="Arial" w:cs="Arial"/>
                      <w:color w:val="000000"/>
                      <w:sz w:val="20"/>
                      <w:szCs w:val="20"/>
                    </w:rPr>
                    <w:t xml:space="preserve"> </w:t>
                  </w:r>
                  <w:r w:rsidRPr="007243F6">
                    <w:rPr>
                      <w:rFonts w:ascii="Arial" w:eastAsia="Times New Roman" w:hAnsi="Arial" w:cs="Arial"/>
                      <w:color w:val="000000"/>
                      <w:sz w:val="16"/>
                      <w:szCs w:val="16"/>
                    </w:rPr>
                    <w:t>Schedules</w:t>
                  </w:r>
                </w:p>
              </w:tc>
              <w:tc>
                <w:tcPr>
                  <w:tcW w:w="750" w:type="dxa"/>
                  <w:tcBorders>
                    <w:top w:val="nil"/>
                    <w:left w:val="nil"/>
                    <w:bottom w:val="single" w:sz="8" w:space="0" w:color="auto"/>
                    <w:right w:val="single" w:sz="8" w:space="0" w:color="auto"/>
                  </w:tcBorders>
                  <w:vAlign w:val="center"/>
                  <w:hideMark/>
                </w:tcPr>
                <w:p w14:paraId="5FD1C96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0E282BA5"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c>
                <w:tcPr>
                  <w:tcW w:w="661" w:type="dxa"/>
                  <w:tcBorders>
                    <w:top w:val="nil"/>
                    <w:left w:val="nil"/>
                    <w:bottom w:val="single" w:sz="8" w:space="0" w:color="auto"/>
                    <w:right w:val="single" w:sz="8" w:space="0" w:color="auto"/>
                  </w:tcBorders>
                  <w:vAlign w:val="center"/>
                  <w:hideMark/>
                </w:tcPr>
                <w:p w14:paraId="361F076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c>
                <w:tcPr>
                  <w:tcW w:w="839" w:type="dxa"/>
                  <w:tcBorders>
                    <w:top w:val="nil"/>
                    <w:left w:val="nil"/>
                    <w:bottom w:val="single" w:sz="8" w:space="0" w:color="auto"/>
                    <w:right w:val="single" w:sz="8" w:space="0" w:color="auto"/>
                  </w:tcBorders>
                  <w:vAlign w:val="center"/>
                  <w:hideMark/>
                </w:tcPr>
                <w:p w14:paraId="5F6B9F35"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1100</w:t>
                  </w:r>
                </w:p>
              </w:tc>
            </w:tr>
            <w:tr w:rsidR="006571FF" w:rsidRPr="007243F6" w14:paraId="0FF47702"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09B4141C"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15-minute Demand Forecast</w:t>
                  </w:r>
                </w:p>
              </w:tc>
              <w:tc>
                <w:tcPr>
                  <w:tcW w:w="750" w:type="dxa"/>
                  <w:tcBorders>
                    <w:top w:val="nil"/>
                    <w:left w:val="nil"/>
                    <w:bottom w:val="single" w:sz="8" w:space="0" w:color="auto"/>
                    <w:right w:val="single" w:sz="8" w:space="0" w:color="auto"/>
                  </w:tcBorders>
                  <w:vAlign w:val="center"/>
                  <w:hideMark/>
                </w:tcPr>
                <w:p w14:paraId="5C742154"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975</w:t>
                  </w:r>
                </w:p>
              </w:tc>
              <w:tc>
                <w:tcPr>
                  <w:tcW w:w="750" w:type="dxa"/>
                  <w:tcBorders>
                    <w:top w:val="nil"/>
                    <w:left w:val="nil"/>
                    <w:bottom w:val="single" w:sz="8" w:space="0" w:color="auto"/>
                    <w:right w:val="single" w:sz="8" w:space="0" w:color="auto"/>
                  </w:tcBorders>
                  <w:vAlign w:val="center"/>
                  <w:hideMark/>
                </w:tcPr>
                <w:p w14:paraId="6E2F8554"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1050</w:t>
                  </w:r>
                </w:p>
              </w:tc>
              <w:tc>
                <w:tcPr>
                  <w:tcW w:w="661" w:type="dxa"/>
                  <w:tcBorders>
                    <w:top w:val="nil"/>
                    <w:left w:val="nil"/>
                    <w:bottom w:val="single" w:sz="8" w:space="0" w:color="auto"/>
                    <w:right w:val="single" w:sz="8" w:space="0" w:color="auto"/>
                  </w:tcBorders>
                  <w:vAlign w:val="center"/>
                  <w:hideMark/>
                </w:tcPr>
                <w:p w14:paraId="301AE459"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1125</w:t>
                  </w:r>
                </w:p>
              </w:tc>
              <w:tc>
                <w:tcPr>
                  <w:tcW w:w="839" w:type="dxa"/>
                  <w:tcBorders>
                    <w:top w:val="nil"/>
                    <w:left w:val="nil"/>
                    <w:bottom w:val="single" w:sz="8" w:space="0" w:color="auto"/>
                    <w:right w:val="single" w:sz="8" w:space="0" w:color="auto"/>
                  </w:tcBorders>
                  <w:vAlign w:val="center"/>
                  <w:hideMark/>
                </w:tcPr>
                <w:p w14:paraId="12B6F57D"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1025</w:t>
                  </w:r>
                </w:p>
              </w:tc>
            </w:tr>
            <w:tr w:rsidR="006571FF" w:rsidRPr="007243F6" w14:paraId="28D948B8" w14:textId="77777777" w:rsidTr="007172ED">
              <w:trPr>
                <w:trHeight w:val="297"/>
              </w:trPr>
              <w:tc>
                <w:tcPr>
                  <w:tcW w:w="480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30863CDA"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Down Direction (over insufficiency direction in CMRI)</w:t>
                  </w:r>
                </w:p>
              </w:tc>
            </w:tr>
            <w:tr w:rsidR="006571FF" w:rsidRPr="007243F6" w14:paraId="229260CE"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2D799FAE"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Total Down Requirement</w:t>
                  </w:r>
                </w:p>
              </w:tc>
              <w:tc>
                <w:tcPr>
                  <w:tcW w:w="750" w:type="dxa"/>
                  <w:tcBorders>
                    <w:top w:val="nil"/>
                    <w:left w:val="nil"/>
                    <w:bottom w:val="single" w:sz="8" w:space="0" w:color="auto"/>
                    <w:right w:val="single" w:sz="8" w:space="0" w:color="auto"/>
                  </w:tcBorders>
                  <w:vAlign w:val="center"/>
                  <w:hideMark/>
                </w:tcPr>
                <w:p w14:paraId="2DEFAF87" w14:textId="621E2B08"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w:t>
                  </w:r>
                  <w:r>
                    <w:rPr>
                      <w:rFonts w:ascii="Arial" w:eastAsia="Times New Roman" w:hAnsi="Arial" w:cs="Arial"/>
                      <w:color w:val="000000"/>
                      <w:sz w:val="16"/>
                      <w:szCs w:val="16"/>
                    </w:rPr>
                    <w:t>2</w:t>
                  </w:r>
                  <w:r w:rsidRPr="007243F6">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5F2D954C" w14:textId="3A65CE10"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Pr="007243F6">
                    <w:rPr>
                      <w:rFonts w:ascii="Arial" w:eastAsia="Times New Roman" w:hAnsi="Arial" w:cs="Arial"/>
                      <w:color w:val="000000"/>
                      <w:sz w:val="16"/>
                      <w:szCs w:val="16"/>
                    </w:rPr>
                    <w:t>0</w:t>
                  </w:r>
                </w:p>
              </w:tc>
              <w:tc>
                <w:tcPr>
                  <w:tcW w:w="661" w:type="dxa"/>
                  <w:tcBorders>
                    <w:top w:val="nil"/>
                    <w:left w:val="nil"/>
                    <w:bottom w:val="single" w:sz="8" w:space="0" w:color="auto"/>
                    <w:right w:val="single" w:sz="8" w:space="0" w:color="auto"/>
                  </w:tcBorders>
                  <w:vAlign w:val="center"/>
                  <w:hideMark/>
                </w:tcPr>
                <w:p w14:paraId="72C57AD8" w14:textId="77777777"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Pr="007243F6">
                    <w:rPr>
                      <w:rFonts w:ascii="Arial" w:eastAsia="Times New Roman" w:hAnsi="Arial" w:cs="Arial"/>
                      <w:color w:val="000000"/>
                      <w:sz w:val="16"/>
                      <w:szCs w:val="16"/>
                    </w:rPr>
                    <w:t>5</w:t>
                  </w:r>
                </w:p>
              </w:tc>
              <w:tc>
                <w:tcPr>
                  <w:tcW w:w="839" w:type="dxa"/>
                  <w:tcBorders>
                    <w:top w:val="nil"/>
                    <w:left w:val="nil"/>
                    <w:bottom w:val="single" w:sz="8" w:space="0" w:color="auto"/>
                    <w:right w:val="single" w:sz="8" w:space="0" w:color="auto"/>
                  </w:tcBorders>
                  <w:vAlign w:val="center"/>
                  <w:hideMark/>
                </w:tcPr>
                <w:p w14:paraId="1D06A270" w14:textId="6E9F14D3"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75</w:t>
                  </w:r>
                </w:p>
              </w:tc>
            </w:tr>
            <w:tr w:rsidR="006571FF" w:rsidRPr="007243F6" w14:paraId="73742847"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64988890"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Bid Range Capacity (Down)</w:t>
                  </w:r>
                </w:p>
              </w:tc>
              <w:tc>
                <w:tcPr>
                  <w:tcW w:w="750" w:type="dxa"/>
                  <w:tcBorders>
                    <w:top w:val="nil"/>
                    <w:left w:val="nil"/>
                    <w:bottom w:val="single" w:sz="8" w:space="0" w:color="auto"/>
                    <w:right w:val="single" w:sz="8" w:space="0" w:color="auto"/>
                  </w:tcBorders>
                  <w:vAlign w:val="center"/>
                  <w:hideMark/>
                </w:tcPr>
                <w:p w14:paraId="4ABBF25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274C373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661" w:type="dxa"/>
                  <w:tcBorders>
                    <w:top w:val="nil"/>
                    <w:left w:val="nil"/>
                    <w:bottom w:val="single" w:sz="8" w:space="0" w:color="auto"/>
                    <w:right w:val="single" w:sz="8" w:space="0" w:color="auto"/>
                  </w:tcBorders>
                  <w:vAlign w:val="center"/>
                  <w:hideMark/>
                </w:tcPr>
                <w:p w14:paraId="31EF036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839" w:type="dxa"/>
                  <w:tcBorders>
                    <w:top w:val="nil"/>
                    <w:left w:val="nil"/>
                    <w:bottom w:val="single" w:sz="8" w:space="0" w:color="auto"/>
                    <w:right w:val="single" w:sz="8" w:space="0" w:color="auto"/>
                  </w:tcBorders>
                  <w:vAlign w:val="center"/>
                  <w:hideMark/>
                </w:tcPr>
                <w:p w14:paraId="3961AE9A"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r>
            <w:tr w:rsidR="006571FF" w:rsidRPr="007243F6" w14:paraId="78C98EE0"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4A3A1FEE" w14:textId="77777777" w:rsidR="006571FF" w:rsidRPr="007243F6" w:rsidRDefault="006571FF" w:rsidP="007172E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Down Direction I</w:t>
                  </w:r>
                  <w:r w:rsidRPr="007243F6">
                    <w:rPr>
                      <w:rFonts w:ascii="Arial" w:eastAsia="Times New Roman" w:hAnsi="Arial" w:cs="Arial"/>
                      <w:color w:val="000000"/>
                      <w:sz w:val="16"/>
                      <w:szCs w:val="16"/>
                    </w:rPr>
                    <w:t>nsufficiency</w:t>
                  </w:r>
                </w:p>
              </w:tc>
              <w:tc>
                <w:tcPr>
                  <w:tcW w:w="750" w:type="dxa"/>
                  <w:tcBorders>
                    <w:top w:val="nil"/>
                    <w:left w:val="nil"/>
                    <w:bottom w:val="single" w:sz="8" w:space="0" w:color="auto"/>
                    <w:right w:val="single" w:sz="8" w:space="0" w:color="auto"/>
                  </w:tcBorders>
                  <w:vAlign w:val="center"/>
                  <w:hideMark/>
                </w:tcPr>
                <w:p w14:paraId="32E7DC48" w14:textId="67EEDAC3"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Pr="007243F6">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03FA8270" w14:textId="514B4B46"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50</w:t>
                  </w:r>
                </w:p>
              </w:tc>
              <w:tc>
                <w:tcPr>
                  <w:tcW w:w="661" w:type="dxa"/>
                  <w:tcBorders>
                    <w:top w:val="nil"/>
                    <w:left w:val="nil"/>
                    <w:bottom w:val="single" w:sz="8" w:space="0" w:color="auto"/>
                    <w:right w:val="single" w:sz="8" w:space="0" w:color="auto"/>
                  </w:tcBorders>
                  <w:vAlign w:val="center"/>
                  <w:hideMark/>
                </w:tcPr>
                <w:p w14:paraId="3C6AB2B8" w14:textId="50938D80"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125</w:t>
                  </w:r>
                </w:p>
              </w:tc>
              <w:tc>
                <w:tcPr>
                  <w:tcW w:w="839" w:type="dxa"/>
                  <w:tcBorders>
                    <w:top w:val="nil"/>
                    <w:left w:val="nil"/>
                    <w:bottom w:val="single" w:sz="8" w:space="0" w:color="auto"/>
                    <w:right w:val="single" w:sz="8" w:space="0" w:color="auto"/>
                  </w:tcBorders>
                  <w:vAlign w:val="center"/>
                  <w:hideMark/>
                </w:tcPr>
                <w:p w14:paraId="645700E0" w14:textId="47A855DF"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r>
            <w:tr w:rsidR="006571FF" w:rsidRPr="007243F6" w14:paraId="6A91FCA8"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677B3117"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Down Direction Result</w:t>
                  </w:r>
                </w:p>
              </w:tc>
              <w:tc>
                <w:tcPr>
                  <w:tcW w:w="750" w:type="dxa"/>
                  <w:tcBorders>
                    <w:top w:val="nil"/>
                    <w:left w:val="nil"/>
                    <w:bottom w:val="single" w:sz="8" w:space="0" w:color="auto"/>
                    <w:right w:val="single" w:sz="8" w:space="0" w:color="auto"/>
                  </w:tcBorders>
                  <w:vAlign w:val="center"/>
                  <w:hideMark/>
                </w:tcPr>
                <w:p w14:paraId="7C173A29"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Fail</w:t>
                  </w:r>
                </w:p>
              </w:tc>
              <w:tc>
                <w:tcPr>
                  <w:tcW w:w="750" w:type="dxa"/>
                  <w:tcBorders>
                    <w:top w:val="nil"/>
                    <w:left w:val="nil"/>
                    <w:bottom w:val="single" w:sz="8" w:space="0" w:color="auto"/>
                    <w:right w:val="single" w:sz="8" w:space="0" w:color="auto"/>
                  </w:tcBorders>
                  <w:vAlign w:val="center"/>
                  <w:hideMark/>
                </w:tcPr>
                <w:p w14:paraId="221F2BEF"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661" w:type="dxa"/>
                  <w:tcBorders>
                    <w:top w:val="nil"/>
                    <w:left w:val="nil"/>
                    <w:bottom w:val="single" w:sz="8" w:space="0" w:color="auto"/>
                    <w:right w:val="single" w:sz="8" w:space="0" w:color="auto"/>
                  </w:tcBorders>
                  <w:vAlign w:val="center"/>
                  <w:hideMark/>
                </w:tcPr>
                <w:p w14:paraId="20E53F2D"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839" w:type="dxa"/>
                  <w:tcBorders>
                    <w:top w:val="nil"/>
                    <w:left w:val="nil"/>
                    <w:bottom w:val="single" w:sz="8" w:space="0" w:color="auto"/>
                    <w:right w:val="single" w:sz="8" w:space="0" w:color="auto"/>
                  </w:tcBorders>
                  <w:vAlign w:val="center"/>
                  <w:hideMark/>
                </w:tcPr>
                <w:p w14:paraId="15B5628A" w14:textId="1FF314D8"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Pass</w:t>
                  </w:r>
                </w:p>
              </w:tc>
            </w:tr>
            <w:tr w:rsidR="006571FF" w:rsidRPr="007243F6" w14:paraId="167310D5" w14:textId="77777777" w:rsidTr="007172ED">
              <w:trPr>
                <w:trHeight w:val="297"/>
              </w:trPr>
              <w:tc>
                <w:tcPr>
                  <w:tcW w:w="480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7D969F88"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Up Direction (under insuffic</w:t>
                  </w:r>
                  <w:r>
                    <w:rPr>
                      <w:rFonts w:ascii="Arial" w:eastAsia="Times New Roman" w:hAnsi="Arial" w:cs="Arial"/>
                      <w:color w:val="000000"/>
                      <w:sz w:val="16"/>
                      <w:szCs w:val="16"/>
                    </w:rPr>
                    <w:t>i</w:t>
                  </w:r>
                  <w:r w:rsidRPr="007243F6">
                    <w:rPr>
                      <w:rFonts w:ascii="Arial" w:eastAsia="Times New Roman" w:hAnsi="Arial" w:cs="Arial"/>
                      <w:color w:val="000000"/>
                      <w:sz w:val="16"/>
                      <w:szCs w:val="16"/>
                    </w:rPr>
                    <w:t>ency direction in CMRI)</w:t>
                  </w:r>
                </w:p>
              </w:tc>
            </w:tr>
            <w:tr w:rsidR="006571FF" w:rsidRPr="007243F6" w14:paraId="045B7B83"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169B9E88"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Total Up Requirement</w:t>
                  </w:r>
                </w:p>
              </w:tc>
              <w:tc>
                <w:tcPr>
                  <w:tcW w:w="750" w:type="dxa"/>
                  <w:tcBorders>
                    <w:top w:val="nil"/>
                    <w:left w:val="nil"/>
                    <w:bottom w:val="single" w:sz="8" w:space="0" w:color="auto"/>
                    <w:right w:val="single" w:sz="8" w:space="0" w:color="auto"/>
                  </w:tcBorders>
                  <w:vAlign w:val="center"/>
                  <w:hideMark/>
                </w:tcPr>
                <w:p w14:paraId="6B1D86B8" w14:textId="4B736B39"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w:t>
                  </w: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66C62D56" w14:textId="69822AD4"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p>
              </w:tc>
              <w:tc>
                <w:tcPr>
                  <w:tcW w:w="661" w:type="dxa"/>
                  <w:tcBorders>
                    <w:top w:val="nil"/>
                    <w:left w:val="nil"/>
                    <w:bottom w:val="single" w:sz="8" w:space="0" w:color="auto"/>
                    <w:right w:val="single" w:sz="8" w:space="0" w:color="auto"/>
                  </w:tcBorders>
                  <w:vAlign w:val="center"/>
                  <w:hideMark/>
                </w:tcPr>
                <w:p w14:paraId="5BC63D0B" w14:textId="182E777A" w:rsidR="006571FF" w:rsidRPr="007243F6"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c>
                <w:tcPr>
                  <w:tcW w:w="839" w:type="dxa"/>
                  <w:tcBorders>
                    <w:top w:val="nil"/>
                    <w:left w:val="nil"/>
                    <w:bottom w:val="single" w:sz="8" w:space="0" w:color="auto"/>
                    <w:right w:val="single" w:sz="8" w:space="0" w:color="auto"/>
                  </w:tcBorders>
                  <w:vAlign w:val="center"/>
                  <w:hideMark/>
                </w:tcPr>
                <w:p w14:paraId="5F20B20D" w14:textId="224FBE6C"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75</w:t>
                  </w:r>
                </w:p>
              </w:tc>
            </w:tr>
            <w:tr w:rsidR="006571FF" w:rsidRPr="007243F6" w14:paraId="59CCFA48"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449DFB73" w14:textId="77777777" w:rsidR="006571FF" w:rsidRPr="007243F6" w:rsidRDefault="006571FF" w:rsidP="007172ED">
                  <w:pPr>
                    <w:spacing w:after="0" w:line="240" w:lineRule="auto"/>
                    <w:rPr>
                      <w:rFonts w:ascii="Arial" w:eastAsia="Times New Roman" w:hAnsi="Arial" w:cs="Arial"/>
                      <w:color w:val="000000"/>
                      <w:sz w:val="16"/>
                      <w:szCs w:val="16"/>
                    </w:rPr>
                  </w:pPr>
                  <w:r w:rsidRPr="007243F6">
                    <w:rPr>
                      <w:rFonts w:ascii="Arial" w:eastAsia="Times New Roman" w:hAnsi="Arial" w:cs="Arial"/>
                      <w:color w:val="000000"/>
                      <w:sz w:val="16"/>
                      <w:szCs w:val="16"/>
                    </w:rPr>
                    <w:t>Bid Range Capacity (Up)</w:t>
                  </w:r>
                </w:p>
              </w:tc>
              <w:tc>
                <w:tcPr>
                  <w:tcW w:w="750" w:type="dxa"/>
                  <w:tcBorders>
                    <w:top w:val="nil"/>
                    <w:left w:val="nil"/>
                    <w:bottom w:val="single" w:sz="8" w:space="0" w:color="auto"/>
                    <w:right w:val="single" w:sz="8" w:space="0" w:color="auto"/>
                  </w:tcBorders>
                  <w:vAlign w:val="center"/>
                  <w:hideMark/>
                </w:tcPr>
                <w:p w14:paraId="7BC440B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32F3B9CC"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661" w:type="dxa"/>
                  <w:tcBorders>
                    <w:top w:val="nil"/>
                    <w:left w:val="nil"/>
                    <w:bottom w:val="single" w:sz="8" w:space="0" w:color="auto"/>
                    <w:right w:val="single" w:sz="8" w:space="0" w:color="auto"/>
                  </w:tcBorders>
                  <w:vAlign w:val="center"/>
                  <w:hideMark/>
                </w:tcPr>
                <w:p w14:paraId="4B2B90C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c>
                <w:tcPr>
                  <w:tcW w:w="839" w:type="dxa"/>
                  <w:tcBorders>
                    <w:top w:val="nil"/>
                    <w:left w:val="nil"/>
                    <w:bottom w:val="single" w:sz="8" w:space="0" w:color="auto"/>
                    <w:right w:val="single" w:sz="8" w:space="0" w:color="auto"/>
                  </w:tcBorders>
                  <w:vAlign w:val="center"/>
                  <w:hideMark/>
                </w:tcPr>
                <w:p w14:paraId="615D77E2"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100</w:t>
                  </w:r>
                </w:p>
              </w:tc>
            </w:tr>
            <w:tr w:rsidR="006571FF" w:rsidRPr="007243F6" w14:paraId="57612C61"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27AA8C8D" w14:textId="77777777" w:rsidR="006571FF" w:rsidRPr="007243F6" w:rsidRDefault="006571FF" w:rsidP="007172E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Up Direction I</w:t>
                  </w:r>
                  <w:r w:rsidRPr="007243F6">
                    <w:rPr>
                      <w:rFonts w:ascii="Arial" w:eastAsia="Times New Roman" w:hAnsi="Arial" w:cs="Arial"/>
                      <w:color w:val="000000"/>
                      <w:sz w:val="16"/>
                      <w:szCs w:val="16"/>
                    </w:rPr>
                    <w:t xml:space="preserve">nsufficiency </w:t>
                  </w:r>
                </w:p>
              </w:tc>
              <w:tc>
                <w:tcPr>
                  <w:tcW w:w="750" w:type="dxa"/>
                  <w:tcBorders>
                    <w:top w:val="nil"/>
                    <w:left w:val="nil"/>
                    <w:bottom w:val="single" w:sz="8" w:space="0" w:color="auto"/>
                    <w:right w:val="single" w:sz="8" w:space="0" w:color="auto"/>
                  </w:tcBorders>
                  <w:vAlign w:val="center"/>
                  <w:hideMark/>
                </w:tcPr>
                <w:p w14:paraId="54DEC261" w14:textId="6848F033"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-2</w:t>
                  </w: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00D3F62F" w14:textId="4C2CFED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-1</w:t>
                  </w:r>
                  <w:r>
                    <w:rPr>
                      <w:rFonts w:ascii="Arial" w:eastAsia="Times New Roman" w:hAnsi="Arial" w:cs="Arial"/>
                      <w:color w:val="000000"/>
                      <w:sz w:val="16"/>
                      <w:szCs w:val="16"/>
                    </w:rPr>
                    <w:t>50</w:t>
                  </w:r>
                </w:p>
              </w:tc>
              <w:tc>
                <w:tcPr>
                  <w:tcW w:w="661" w:type="dxa"/>
                  <w:tcBorders>
                    <w:top w:val="nil"/>
                    <w:left w:val="nil"/>
                    <w:bottom w:val="single" w:sz="8" w:space="0" w:color="auto"/>
                    <w:right w:val="single" w:sz="8" w:space="0" w:color="auto"/>
                  </w:tcBorders>
                  <w:vAlign w:val="center"/>
                  <w:hideMark/>
                </w:tcPr>
                <w:p w14:paraId="5E980E9D" w14:textId="320FA62F"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7</w:t>
                  </w:r>
                  <w:r w:rsidRPr="007243F6">
                    <w:rPr>
                      <w:rFonts w:ascii="Arial" w:eastAsia="Times New Roman" w:hAnsi="Arial" w:cs="Arial"/>
                      <w:color w:val="000000"/>
                      <w:sz w:val="16"/>
                      <w:szCs w:val="16"/>
                    </w:rPr>
                    <w:t>5</w:t>
                  </w:r>
                </w:p>
              </w:tc>
              <w:tc>
                <w:tcPr>
                  <w:tcW w:w="839" w:type="dxa"/>
                  <w:tcBorders>
                    <w:top w:val="nil"/>
                    <w:left w:val="nil"/>
                    <w:bottom w:val="single" w:sz="8" w:space="0" w:color="auto"/>
                    <w:right w:val="single" w:sz="8" w:space="0" w:color="auto"/>
                  </w:tcBorders>
                  <w:vAlign w:val="center"/>
                  <w:hideMark/>
                </w:tcPr>
                <w:p w14:paraId="0A7576F4" w14:textId="1AB1915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w:t>
                  </w:r>
                  <w:r>
                    <w:rPr>
                      <w:rFonts w:ascii="Arial" w:eastAsia="Times New Roman" w:hAnsi="Arial" w:cs="Arial"/>
                      <w:color w:val="000000"/>
                      <w:sz w:val="16"/>
                      <w:szCs w:val="16"/>
                    </w:rPr>
                    <w:t>175</w:t>
                  </w:r>
                </w:p>
              </w:tc>
            </w:tr>
            <w:tr w:rsidR="006571FF" w:rsidRPr="007243F6" w14:paraId="1FB89257" w14:textId="77777777" w:rsidTr="007172ED">
              <w:trPr>
                <w:trHeight w:val="297"/>
              </w:trPr>
              <w:tc>
                <w:tcPr>
                  <w:tcW w:w="1806" w:type="dxa"/>
                  <w:tcBorders>
                    <w:top w:val="nil"/>
                    <w:left w:val="single" w:sz="8" w:space="0" w:color="auto"/>
                    <w:bottom w:val="single" w:sz="8" w:space="0" w:color="auto"/>
                    <w:right w:val="single" w:sz="8" w:space="0" w:color="auto"/>
                  </w:tcBorders>
                  <w:vAlign w:val="center"/>
                  <w:hideMark/>
                </w:tcPr>
                <w:p w14:paraId="45F078DA" w14:textId="77777777" w:rsidR="006571FF" w:rsidRPr="007243F6" w:rsidRDefault="006571FF" w:rsidP="007172ED">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Up Direction R</w:t>
                  </w:r>
                  <w:r w:rsidRPr="007243F6">
                    <w:rPr>
                      <w:rFonts w:ascii="Arial" w:eastAsia="Times New Roman" w:hAnsi="Arial" w:cs="Arial"/>
                      <w:color w:val="000000"/>
                      <w:sz w:val="16"/>
                      <w:szCs w:val="16"/>
                    </w:rPr>
                    <w:t>esult</w:t>
                  </w:r>
                </w:p>
              </w:tc>
              <w:tc>
                <w:tcPr>
                  <w:tcW w:w="750" w:type="dxa"/>
                  <w:tcBorders>
                    <w:top w:val="nil"/>
                    <w:left w:val="nil"/>
                    <w:bottom w:val="single" w:sz="8" w:space="0" w:color="auto"/>
                    <w:right w:val="single" w:sz="8" w:space="0" w:color="auto"/>
                  </w:tcBorders>
                  <w:vAlign w:val="center"/>
                  <w:hideMark/>
                </w:tcPr>
                <w:p w14:paraId="35592773"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384B41F7"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661" w:type="dxa"/>
                  <w:tcBorders>
                    <w:top w:val="nil"/>
                    <w:left w:val="nil"/>
                    <w:bottom w:val="single" w:sz="8" w:space="0" w:color="auto"/>
                    <w:right w:val="single" w:sz="8" w:space="0" w:color="auto"/>
                  </w:tcBorders>
                  <w:vAlign w:val="center"/>
                  <w:hideMark/>
                </w:tcPr>
                <w:p w14:paraId="3A2E7CBE"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c>
                <w:tcPr>
                  <w:tcW w:w="839" w:type="dxa"/>
                  <w:tcBorders>
                    <w:top w:val="nil"/>
                    <w:left w:val="nil"/>
                    <w:bottom w:val="single" w:sz="8" w:space="0" w:color="auto"/>
                    <w:right w:val="single" w:sz="8" w:space="0" w:color="auto"/>
                  </w:tcBorders>
                  <w:vAlign w:val="center"/>
                  <w:hideMark/>
                </w:tcPr>
                <w:p w14:paraId="247460F6" w14:textId="77777777" w:rsidR="006571FF" w:rsidRPr="007243F6" w:rsidRDefault="006571FF" w:rsidP="007172ED">
                  <w:pPr>
                    <w:spacing w:after="0" w:line="240" w:lineRule="auto"/>
                    <w:jc w:val="center"/>
                    <w:rPr>
                      <w:rFonts w:ascii="Arial" w:eastAsia="Times New Roman" w:hAnsi="Arial" w:cs="Arial"/>
                      <w:color w:val="000000"/>
                      <w:sz w:val="16"/>
                      <w:szCs w:val="16"/>
                    </w:rPr>
                  </w:pPr>
                  <w:r w:rsidRPr="007243F6">
                    <w:rPr>
                      <w:rFonts w:ascii="Arial" w:eastAsia="Times New Roman" w:hAnsi="Arial" w:cs="Arial"/>
                      <w:color w:val="000000"/>
                      <w:sz w:val="16"/>
                      <w:szCs w:val="16"/>
                    </w:rPr>
                    <w:t>Pass</w:t>
                  </w:r>
                </w:p>
              </w:tc>
            </w:tr>
          </w:tbl>
          <w:p w14:paraId="06D2C656" w14:textId="77777777" w:rsidR="006571FF" w:rsidRPr="007A014B" w:rsidRDefault="006571FF" w:rsidP="007172ED">
            <w:pPr>
              <w:rPr>
                <w:rFonts w:cs="Arial"/>
                <w:bCs/>
                <w:sz w:val="16"/>
                <w:szCs w:val="16"/>
              </w:rPr>
            </w:pPr>
          </w:p>
          <w:p w14:paraId="5F0F8398" w14:textId="2921648A" w:rsidR="006571FF" w:rsidRPr="007A014B" w:rsidRDefault="006571FF" w:rsidP="007172ED">
            <w:pPr>
              <w:rPr>
                <w:rFonts w:cs="Arial"/>
                <w:bCs/>
                <w:sz w:val="16"/>
                <w:szCs w:val="16"/>
              </w:rPr>
            </w:pPr>
          </w:p>
        </w:tc>
        <w:tc>
          <w:tcPr>
            <w:tcW w:w="4501" w:type="dxa"/>
          </w:tcPr>
          <w:p w14:paraId="71383A74" w14:textId="77777777" w:rsidR="006571FF" w:rsidRDefault="006571FF" w:rsidP="007172ED">
            <w:pPr>
              <w:rPr>
                <w:rFonts w:cs="Arial"/>
                <w:bCs/>
                <w:sz w:val="16"/>
                <w:szCs w:val="16"/>
              </w:rPr>
            </w:pPr>
            <w:r>
              <w:rPr>
                <w:rFonts w:cs="Arial"/>
                <w:bCs/>
                <w:sz w:val="16"/>
                <w:szCs w:val="16"/>
              </w:rPr>
              <w:t xml:space="preserve">CMRI reports will now provide Bid Range Capacity test results for both over and under directions each trade hour.  In each direction, the most-insufficient 15-minute interval result (presented in </w:t>
            </w:r>
            <w:r w:rsidRPr="000A1BA1">
              <w:rPr>
                <w:rFonts w:cs="Arial"/>
                <w:bCs/>
                <w:color w:val="0000FF"/>
                <w:sz w:val="16"/>
                <w:szCs w:val="16"/>
              </w:rPr>
              <w:t>blue text</w:t>
            </w:r>
            <w:r>
              <w:rPr>
                <w:rFonts w:cs="Arial"/>
                <w:bCs/>
                <w:sz w:val="16"/>
                <w:szCs w:val="16"/>
              </w:rPr>
              <w:t>) will displayed and broadcasted (e.g. :15 for the over direction, :45 for the under direction).  Only the intervals’ trade hour will be identified in the report.</w:t>
            </w:r>
          </w:p>
          <w:tbl>
            <w:tblPr>
              <w:tblStyle w:val="TableGrid11"/>
              <w:tblW w:w="0" w:type="auto"/>
              <w:tblLook w:val="04A0" w:firstRow="1" w:lastRow="0" w:firstColumn="1" w:lastColumn="0" w:noHBand="0" w:noVBand="1"/>
            </w:tblPr>
            <w:tblGrid>
              <w:gridCol w:w="1610"/>
              <w:gridCol w:w="652"/>
              <w:gridCol w:w="652"/>
              <w:gridCol w:w="652"/>
              <w:gridCol w:w="652"/>
            </w:tblGrid>
            <w:tr w:rsidR="006571FF" w14:paraId="6B816564" w14:textId="77777777" w:rsidTr="007172ED">
              <w:tc>
                <w:tcPr>
                  <w:tcW w:w="2566" w:type="dxa"/>
                  <w:tcBorders>
                    <w:bottom w:val="single" w:sz="12" w:space="0" w:color="auto"/>
                  </w:tcBorders>
                  <w:shd w:val="clear" w:color="auto" w:fill="F2F2F2" w:themeFill="background1" w:themeFillShade="F2"/>
                </w:tcPr>
                <w:p w14:paraId="152764FC" w14:textId="77777777" w:rsidR="006571FF" w:rsidRPr="007A014B" w:rsidRDefault="006571FF" w:rsidP="007172ED">
                  <w:pPr>
                    <w:pStyle w:val="NoSpacing"/>
                    <w:rPr>
                      <w:sz w:val="16"/>
                      <w:szCs w:val="16"/>
                    </w:rPr>
                  </w:pPr>
                  <w:r>
                    <w:rPr>
                      <w:sz w:val="16"/>
                      <w:szCs w:val="16"/>
                    </w:rPr>
                    <w:t>Value Description</w:t>
                  </w:r>
                </w:p>
              </w:tc>
              <w:tc>
                <w:tcPr>
                  <w:tcW w:w="652" w:type="dxa"/>
                  <w:tcBorders>
                    <w:bottom w:val="single" w:sz="18" w:space="0" w:color="auto"/>
                  </w:tcBorders>
                  <w:shd w:val="clear" w:color="auto" w:fill="F2F2F2" w:themeFill="background1" w:themeFillShade="F2"/>
                </w:tcPr>
                <w:p w14:paraId="2359E04E" w14:textId="77777777" w:rsidR="006571FF" w:rsidRPr="00E82371" w:rsidRDefault="006571FF" w:rsidP="007172ED">
                  <w:pPr>
                    <w:pStyle w:val="NoSpacing"/>
                    <w:jc w:val="center"/>
                    <w:rPr>
                      <w:color w:val="0000FF"/>
                      <w:sz w:val="16"/>
                      <w:szCs w:val="16"/>
                    </w:rPr>
                  </w:pPr>
                  <w:r w:rsidRPr="00E82371">
                    <w:rPr>
                      <w:color w:val="0000FF"/>
                      <w:sz w:val="16"/>
                      <w:szCs w:val="16"/>
                    </w:rPr>
                    <w:t>:15</w:t>
                  </w:r>
                </w:p>
              </w:tc>
              <w:tc>
                <w:tcPr>
                  <w:tcW w:w="652" w:type="dxa"/>
                  <w:tcBorders>
                    <w:bottom w:val="single" w:sz="12" w:space="0" w:color="auto"/>
                  </w:tcBorders>
                  <w:shd w:val="clear" w:color="auto" w:fill="F2F2F2" w:themeFill="background1" w:themeFillShade="F2"/>
                </w:tcPr>
                <w:p w14:paraId="49FED21F" w14:textId="77777777" w:rsidR="006571FF" w:rsidRPr="007A014B" w:rsidRDefault="006571FF" w:rsidP="007172ED">
                  <w:pPr>
                    <w:pStyle w:val="NoSpacing"/>
                    <w:jc w:val="center"/>
                    <w:rPr>
                      <w:sz w:val="16"/>
                      <w:szCs w:val="16"/>
                    </w:rPr>
                  </w:pPr>
                  <w:r>
                    <w:rPr>
                      <w:sz w:val="16"/>
                      <w:szCs w:val="16"/>
                    </w:rPr>
                    <w:t>:30</w:t>
                  </w:r>
                </w:p>
              </w:tc>
              <w:tc>
                <w:tcPr>
                  <w:tcW w:w="652" w:type="dxa"/>
                  <w:tcBorders>
                    <w:bottom w:val="single" w:sz="12" w:space="0" w:color="auto"/>
                  </w:tcBorders>
                  <w:shd w:val="clear" w:color="auto" w:fill="F2F2F2" w:themeFill="background1" w:themeFillShade="F2"/>
                </w:tcPr>
                <w:p w14:paraId="4FCFDB88" w14:textId="77777777" w:rsidR="006571FF" w:rsidRPr="00E82371" w:rsidRDefault="006571FF" w:rsidP="007172ED">
                  <w:pPr>
                    <w:pStyle w:val="NoSpacing"/>
                    <w:jc w:val="center"/>
                    <w:rPr>
                      <w:color w:val="0000FF"/>
                      <w:sz w:val="16"/>
                      <w:szCs w:val="16"/>
                    </w:rPr>
                  </w:pPr>
                  <w:r w:rsidRPr="00E82371">
                    <w:rPr>
                      <w:color w:val="0000FF"/>
                      <w:sz w:val="16"/>
                      <w:szCs w:val="16"/>
                    </w:rPr>
                    <w:t>:45</w:t>
                  </w:r>
                </w:p>
              </w:tc>
              <w:tc>
                <w:tcPr>
                  <w:tcW w:w="652" w:type="dxa"/>
                  <w:tcBorders>
                    <w:bottom w:val="single" w:sz="12" w:space="0" w:color="auto"/>
                  </w:tcBorders>
                  <w:shd w:val="clear" w:color="auto" w:fill="F2F2F2" w:themeFill="background1" w:themeFillShade="F2"/>
                </w:tcPr>
                <w:p w14:paraId="7425DC4D" w14:textId="77777777" w:rsidR="006571FF" w:rsidRPr="007A014B" w:rsidRDefault="006571FF" w:rsidP="007172ED">
                  <w:pPr>
                    <w:pStyle w:val="NoSpacing"/>
                    <w:jc w:val="center"/>
                    <w:rPr>
                      <w:sz w:val="16"/>
                      <w:szCs w:val="16"/>
                    </w:rPr>
                  </w:pPr>
                  <w:r>
                    <w:rPr>
                      <w:sz w:val="16"/>
                      <w:szCs w:val="16"/>
                    </w:rPr>
                    <w:t>:60</w:t>
                  </w:r>
                </w:p>
              </w:tc>
            </w:tr>
            <w:tr w:rsidR="006571FF" w14:paraId="39BC1A51" w14:textId="77777777" w:rsidTr="007172ED">
              <w:tc>
                <w:tcPr>
                  <w:tcW w:w="2566" w:type="dxa"/>
                  <w:tcBorders>
                    <w:top w:val="single" w:sz="12" w:space="0" w:color="auto"/>
                    <w:right w:val="single" w:sz="18" w:space="0" w:color="auto"/>
                  </w:tcBorders>
                </w:tcPr>
                <w:p w14:paraId="5E1B8B10" w14:textId="77777777" w:rsidR="006571FF" w:rsidRDefault="006571FF" w:rsidP="007172ED">
                  <w:pPr>
                    <w:pStyle w:val="NoSpacing"/>
                    <w:rPr>
                      <w:sz w:val="16"/>
                      <w:szCs w:val="16"/>
                    </w:rPr>
                  </w:pPr>
                  <w:r>
                    <w:rPr>
                      <w:sz w:val="16"/>
                      <w:szCs w:val="16"/>
                    </w:rPr>
                    <w:t>Test Status (Over)</w:t>
                  </w:r>
                </w:p>
              </w:tc>
              <w:tc>
                <w:tcPr>
                  <w:tcW w:w="652" w:type="dxa"/>
                  <w:tcBorders>
                    <w:top w:val="single" w:sz="18" w:space="0" w:color="auto"/>
                    <w:left w:val="single" w:sz="18" w:space="0" w:color="auto"/>
                    <w:right w:val="single" w:sz="18" w:space="0" w:color="auto"/>
                  </w:tcBorders>
                </w:tcPr>
                <w:p w14:paraId="61B2C7A4" w14:textId="77777777" w:rsidR="006571FF" w:rsidRPr="00E82371" w:rsidRDefault="006571FF" w:rsidP="007172ED">
                  <w:pPr>
                    <w:pStyle w:val="NoSpacing"/>
                    <w:jc w:val="center"/>
                    <w:rPr>
                      <w:color w:val="0000FF"/>
                      <w:sz w:val="16"/>
                      <w:szCs w:val="16"/>
                    </w:rPr>
                  </w:pPr>
                  <w:r w:rsidRPr="00E82371">
                    <w:rPr>
                      <w:color w:val="0000FF"/>
                      <w:sz w:val="16"/>
                      <w:szCs w:val="16"/>
                    </w:rPr>
                    <w:t>Fail</w:t>
                  </w:r>
                </w:p>
              </w:tc>
              <w:tc>
                <w:tcPr>
                  <w:tcW w:w="652" w:type="dxa"/>
                  <w:tcBorders>
                    <w:top w:val="single" w:sz="12" w:space="0" w:color="auto"/>
                    <w:left w:val="single" w:sz="18" w:space="0" w:color="auto"/>
                  </w:tcBorders>
                </w:tcPr>
                <w:p w14:paraId="22A1CED3" w14:textId="77777777" w:rsidR="006571FF" w:rsidRDefault="006571FF" w:rsidP="007172ED">
                  <w:pPr>
                    <w:pStyle w:val="NoSpacing"/>
                    <w:jc w:val="center"/>
                    <w:rPr>
                      <w:sz w:val="16"/>
                      <w:szCs w:val="16"/>
                    </w:rPr>
                  </w:pPr>
                  <w:r>
                    <w:rPr>
                      <w:sz w:val="16"/>
                      <w:szCs w:val="16"/>
                    </w:rPr>
                    <w:t>Pass</w:t>
                  </w:r>
                </w:p>
              </w:tc>
              <w:tc>
                <w:tcPr>
                  <w:tcW w:w="652" w:type="dxa"/>
                  <w:tcBorders>
                    <w:top w:val="single" w:sz="12" w:space="0" w:color="auto"/>
                  </w:tcBorders>
                </w:tcPr>
                <w:p w14:paraId="34882BE0" w14:textId="77777777" w:rsidR="006571FF" w:rsidRDefault="006571FF" w:rsidP="007172ED">
                  <w:pPr>
                    <w:pStyle w:val="NoSpacing"/>
                    <w:jc w:val="center"/>
                    <w:rPr>
                      <w:sz w:val="16"/>
                      <w:szCs w:val="16"/>
                    </w:rPr>
                  </w:pPr>
                  <w:r>
                    <w:rPr>
                      <w:sz w:val="16"/>
                      <w:szCs w:val="16"/>
                    </w:rPr>
                    <w:t>Pass</w:t>
                  </w:r>
                </w:p>
              </w:tc>
              <w:tc>
                <w:tcPr>
                  <w:tcW w:w="652" w:type="dxa"/>
                  <w:tcBorders>
                    <w:top w:val="single" w:sz="12" w:space="0" w:color="auto"/>
                  </w:tcBorders>
                </w:tcPr>
                <w:p w14:paraId="67080531" w14:textId="011AC2E0" w:rsidR="006571FF" w:rsidRDefault="006571FF" w:rsidP="007172ED">
                  <w:pPr>
                    <w:pStyle w:val="NoSpacing"/>
                    <w:jc w:val="center"/>
                    <w:rPr>
                      <w:sz w:val="16"/>
                      <w:szCs w:val="16"/>
                    </w:rPr>
                  </w:pPr>
                  <w:r>
                    <w:rPr>
                      <w:sz w:val="16"/>
                      <w:szCs w:val="16"/>
                    </w:rPr>
                    <w:t>Pass</w:t>
                  </w:r>
                </w:p>
              </w:tc>
            </w:tr>
            <w:tr w:rsidR="006571FF" w14:paraId="42F52614" w14:textId="77777777" w:rsidTr="007172ED">
              <w:tc>
                <w:tcPr>
                  <w:tcW w:w="2566" w:type="dxa"/>
                  <w:tcBorders>
                    <w:right w:val="single" w:sz="18" w:space="0" w:color="auto"/>
                  </w:tcBorders>
                </w:tcPr>
                <w:p w14:paraId="004A7663" w14:textId="77777777" w:rsidR="006571FF" w:rsidRPr="007A014B" w:rsidRDefault="006571FF" w:rsidP="007172ED">
                  <w:pPr>
                    <w:pStyle w:val="NoSpacing"/>
                    <w:rPr>
                      <w:sz w:val="16"/>
                      <w:szCs w:val="16"/>
                    </w:rPr>
                  </w:pPr>
                  <w:r>
                    <w:rPr>
                      <w:sz w:val="16"/>
                      <w:szCs w:val="16"/>
                    </w:rPr>
                    <w:t>Insufficiency Direction (Over)</w:t>
                  </w:r>
                </w:p>
              </w:tc>
              <w:tc>
                <w:tcPr>
                  <w:tcW w:w="652" w:type="dxa"/>
                  <w:tcBorders>
                    <w:left w:val="single" w:sz="18" w:space="0" w:color="auto"/>
                    <w:right w:val="single" w:sz="18" w:space="0" w:color="auto"/>
                  </w:tcBorders>
                </w:tcPr>
                <w:p w14:paraId="43AC6917" w14:textId="77777777" w:rsidR="006571FF" w:rsidRPr="00E82371" w:rsidRDefault="006571FF" w:rsidP="007172ED">
                  <w:pPr>
                    <w:pStyle w:val="NoSpacing"/>
                    <w:jc w:val="center"/>
                    <w:rPr>
                      <w:color w:val="0000FF"/>
                      <w:sz w:val="16"/>
                      <w:szCs w:val="16"/>
                    </w:rPr>
                  </w:pPr>
                  <w:r w:rsidRPr="00E82371">
                    <w:rPr>
                      <w:color w:val="0000FF"/>
                      <w:sz w:val="16"/>
                      <w:szCs w:val="16"/>
                    </w:rPr>
                    <w:t>Over</w:t>
                  </w:r>
                </w:p>
              </w:tc>
              <w:tc>
                <w:tcPr>
                  <w:tcW w:w="652" w:type="dxa"/>
                  <w:tcBorders>
                    <w:left w:val="single" w:sz="18" w:space="0" w:color="auto"/>
                  </w:tcBorders>
                </w:tcPr>
                <w:p w14:paraId="484868E1" w14:textId="77777777" w:rsidR="006571FF" w:rsidRPr="007A014B" w:rsidRDefault="006571FF" w:rsidP="007172ED">
                  <w:pPr>
                    <w:pStyle w:val="NoSpacing"/>
                    <w:jc w:val="center"/>
                    <w:rPr>
                      <w:sz w:val="16"/>
                      <w:szCs w:val="16"/>
                    </w:rPr>
                  </w:pPr>
                  <w:r>
                    <w:rPr>
                      <w:sz w:val="16"/>
                      <w:szCs w:val="16"/>
                    </w:rPr>
                    <w:t>Over</w:t>
                  </w:r>
                </w:p>
              </w:tc>
              <w:tc>
                <w:tcPr>
                  <w:tcW w:w="652" w:type="dxa"/>
                </w:tcPr>
                <w:p w14:paraId="1CEC5994" w14:textId="77777777" w:rsidR="006571FF" w:rsidRPr="007A014B" w:rsidRDefault="006571FF" w:rsidP="007172ED">
                  <w:pPr>
                    <w:pStyle w:val="NoSpacing"/>
                    <w:jc w:val="center"/>
                    <w:rPr>
                      <w:sz w:val="16"/>
                      <w:szCs w:val="16"/>
                    </w:rPr>
                  </w:pPr>
                  <w:r>
                    <w:rPr>
                      <w:sz w:val="16"/>
                      <w:szCs w:val="16"/>
                    </w:rPr>
                    <w:t>Over</w:t>
                  </w:r>
                </w:p>
              </w:tc>
              <w:tc>
                <w:tcPr>
                  <w:tcW w:w="652" w:type="dxa"/>
                </w:tcPr>
                <w:p w14:paraId="32355470" w14:textId="77777777" w:rsidR="006571FF" w:rsidRPr="007A014B" w:rsidRDefault="006571FF" w:rsidP="007172ED">
                  <w:pPr>
                    <w:pStyle w:val="NoSpacing"/>
                    <w:jc w:val="center"/>
                    <w:rPr>
                      <w:sz w:val="16"/>
                      <w:szCs w:val="16"/>
                    </w:rPr>
                  </w:pPr>
                  <w:r>
                    <w:rPr>
                      <w:sz w:val="16"/>
                      <w:szCs w:val="16"/>
                    </w:rPr>
                    <w:t>Over</w:t>
                  </w:r>
                </w:p>
              </w:tc>
            </w:tr>
            <w:tr w:rsidR="006571FF" w14:paraId="1AB7FA82" w14:textId="77777777" w:rsidTr="007172ED">
              <w:tc>
                <w:tcPr>
                  <w:tcW w:w="2566" w:type="dxa"/>
                  <w:tcBorders>
                    <w:bottom w:val="single" w:sz="4" w:space="0" w:color="auto"/>
                    <w:right w:val="single" w:sz="18" w:space="0" w:color="auto"/>
                  </w:tcBorders>
                </w:tcPr>
                <w:p w14:paraId="51C29B7D" w14:textId="77777777" w:rsidR="006571FF" w:rsidRPr="007A014B" w:rsidRDefault="006571FF" w:rsidP="007172ED">
                  <w:pPr>
                    <w:pStyle w:val="NoSpacing"/>
                    <w:rPr>
                      <w:sz w:val="16"/>
                      <w:szCs w:val="16"/>
                    </w:rPr>
                  </w:pPr>
                  <w:r>
                    <w:rPr>
                      <w:sz w:val="16"/>
                      <w:szCs w:val="16"/>
                    </w:rPr>
                    <w:t>Insufficiency Percentage (%)</w:t>
                  </w:r>
                </w:p>
              </w:tc>
              <w:tc>
                <w:tcPr>
                  <w:tcW w:w="652" w:type="dxa"/>
                  <w:tcBorders>
                    <w:left w:val="single" w:sz="18" w:space="0" w:color="auto"/>
                    <w:bottom w:val="single" w:sz="4" w:space="0" w:color="auto"/>
                    <w:right w:val="single" w:sz="18" w:space="0" w:color="auto"/>
                  </w:tcBorders>
                </w:tcPr>
                <w:p w14:paraId="31D3FC87" w14:textId="7AB2BC73" w:rsidR="006571FF" w:rsidRPr="00E82371" w:rsidRDefault="006571FF" w:rsidP="007172ED">
                  <w:pPr>
                    <w:pStyle w:val="NoSpacing"/>
                    <w:jc w:val="center"/>
                    <w:rPr>
                      <w:color w:val="0000FF"/>
                      <w:sz w:val="14"/>
                      <w:szCs w:val="14"/>
                    </w:rPr>
                  </w:pPr>
                  <w:r>
                    <w:rPr>
                      <w:color w:val="0000FF"/>
                      <w:sz w:val="14"/>
                      <w:szCs w:val="14"/>
                    </w:rPr>
                    <w:t>25</w:t>
                  </w:r>
                  <w:r w:rsidRPr="00E82371">
                    <w:rPr>
                      <w:color w:val="0000FF"/>
                      <w:sz w:val="14"/>
                      <w:szCs w:val="14"/>
                    </w:rPr>
                    <w:t>.0</w:t>
                  </w:r>
                </w:p>
              </w:tc>
              <w:tc>
                <w:tcPr>
                  <w:tcW w:w="652" w:type="dxa"/>
                  <w:tcBorders>
                    <w:left w:val="single" w:sz="18" w:space="0" w:color="auto"/>
                    <w:bottom w:val="single" w:sz="4" w:space="0" w:color="auto"/>
                  </w:tcBorders>
                </w:tcPr>
                <w:p w14:paraId="2C8B9306" w14:textId="35F48702" w:rsidR="006571FF" w:rsidRPr="00E82371" w:rsidRDefault="006571FF" w:rsidP="007172ED">
                  <w:pPr>
                    <w:pStyle w:val="NoSpacing"/>
                    <w:jc w:val="center"/>
                    <w:rPr>
                      <w:sz w:val="14"/>
                      <w:szCs w:val="14"/>
                    </w:rPr>
                  </w:pPr>
                  <w:r w:rsidRPr="00E82371">
                    <w:rPr>
                      <w:sz w:val="14"/>
                      <w:szCs w:val="14"/>
                    </w:rPr>
                    <w:t>-</w:t>
                  </w:r>
                  <w:r>
                    <w:rPr>
                      <w:sz w:val="14"/>
                      <w:szCs w:val="14"/>
                    </w:rPr>
                    <w:t>50</w:t>
                  </w:r>
                  <w:r w:rsidRPr="00E82371">
                    <w:rPr>
                      <w:sz w:val="14"/>
                      <w:szCs w:val="14"/>
                    </w:rPr>
                    <w:t>.0</w:t>
                  </w:r>
                </w:p>
              </w:tc>
              <w:tc>
                <w:tcPr>
                  <w:tcW w:w="652" w:type="dxa"/>
                  <w:tcBorders>
                    <w:bottom w:val="single" w:sz="4" w:space="0" w:color="auto"/>
                  </w:tcBorders>
                </w:tcPr>
                <w:p w14:paraId="019407B4" w14:textId="00EC2714" w:rsidR="006571FF" w:rsidRPr="00E82371" w:rsidRDefault="006571FF" w:rsidP="007172ED">
                  <w:pPr>
                    <w:pStyle w:val="NoSpacing"/>
                    <w:jc w:val="center"/>
                    <w:rPr>
                      <w:sz w:val="14"/>
                      <w:szCs w:val="14"/>
                    </w:rPr>
                  </w:pPr>
                  <w:r w:rsidRPr="00E82371">
                    <w:rPr>
                      <w:sz w:val="14"/>
                      <w:szCs w:val="14"/>
                    </w:rPr>
                    <w:t>-</w:t>
                  </w:r>
                  <w:r>
                    <w:rPr>
                      <w:sz w:val="14"/>
                      <w:szCs w:val="14"/>
                    </w:rPr>
                    <w:t>125</w:t>
                  </w:r>
                  <w:r w:rsidRPr="00E82371">
                    <w:rPr>
                      <w:sz w:val="14"/>
                      <w:szCs w:val="14"/>
                    </w:rPr>
                    <w:t>.0</w:t>
                  </w:r>
                </w:p>
              </w:tc>
              <w:tc>
                <w:tcPr>
                  <w:tcW w:w="652" w:type="dxa"/>
                  <w:tcBorders>
                    <w:bottom w:val="single" w:sz="4" w:space="0" w:color="auto"/>
                  </w:tcBorders>
                </w:tcPr>
                <w:p w14:paraId="26F8328C" w14:textId="77777777" w:rsidR="006571FF" w:rsidRPr="00E82371" w:rsidRDefault="006571FF" w:rsidP="007172ED">
                  <w:pPr>
                    <w:pStyle w:val="NoSpacing"/>
                    <w:jc w:val="center"/>
                    <w:rPr>
                      <w:sz w:val="14"/>
                      <w:szCs w:val="14"/>
                    </w:rPr>
                  </w:pPr>
                  <w:r>
                    <w:rPr>
                      <w:sz w:val="14"/>
                      <w:szCs w:val="14"/>
                    </w:rPr>
                    <w:t>-25</w:t>
                  </w:r>
                  <w:r w:rsidRPr="00E82371">
                    <w:rPr>
                      <w:sz w:val="14"/>
                      <w:szCs w:val="14"/>
                    </w:rPr>
                    <w:t>.0</w:t>
                  </w:r>
                </w:p>
              </w:tc>
            </w:tr>
            <w:tr w:rsidR="006571FF" w14:paraId="3A83DD27" w14:textId="77777777" w:rsidTr="007172ED">
              <w:tc>
                <w:tcPr>
                  <w:tcW w:w="2566" w:type="dxa"/>
                  <w:tcBorders>
                    <w:bottom w:val="single" w:sz="12" w:space="0" w:color="auto"/>
                    <w:right w:val="single" w:sz="18" w:space="0" w:color="auto"/>
                  </w:tcBorders>
                </w:tcPr>
                <w:p w14:paraId="1F11FD72" w14:textId="77777777" w:rsidR="006571FF" w:rsidRPr="007A014B" w:rsidRDefault="006571FF" w:rsidP="007172ED">
                  <w:pPr>
                    <w:pStyle w:val="NoSpacing"/>
                    <w:rPr>
                      <w:sz w:val="16"/>
                      <w:szCs w:val="16"/>
                    </w:rPr>
                  </w:pPr>
                  <w:r>
                    <w:rPr>
                      <w:sz w:val="16"/>
                      <w:szCs w:val="16"/>
                    </w:rPr>
                    <w:t>Insufficiency Amount (MW)</w:t>
                  </w:r>
                </w:p>
              </w:tc>
              <w:tc>
                <w:tcPr>
                  <w:tcW w:w="652" w:type="dxa"/>
                  <w:tcBorders>
                    <w:left w:val="single" w:sz="18" w:space="0" w:color="auto"/>
                    <w:bottom w:val="single" w:sz="18" w:space="0" w:color="auto"/>
                    <w:right w:val="single" w:sz="18" w:space="0" w:color="auto"/>
                  </w:tcBorders>
                </w:tcPr>
                <w:p w14:paraId="1034C0B1" w14:textId="7EA3EB73" w:rsidR="006571FF" w:rsidRPr="00E82371" w:rsidRDefault="006571FF" w:rsidP="007172ED">
                  <w:pPr>
                    <w:pStyle w:val="NoSpacing"/>
                    <w:jc w:val="center"/>
                    <w:rPr>
                      <w:color w:val="0000FF"/>
                      <w:sz w:val="16"/>
                      <w:szCs w:val="16"/>
                    </w:rPr>
                  </w:pPr>
                  <w:r>
                    <w:rPr>
                      <w:color w:val="0000FF"/>
                      <w:sz w:val="16"/>
                      <w:szCs w:val="16"/>
                    </w:rPr>
                    <w:t>25</w:t>
                  </w:r>
                </w:p>
              </w:tc>
              <w:tc>
                <w:tcPr>
                  <w:tcW w:w="652" w:type="dxa"/>
                  <w:tcBorders>
                    <w:left w:val="single" w:sz="18" w:space="0" w:color="auto"/>
                    <w:bottom w:val="single" w:sz="12" w:space="0" w:color="auto"/>
                  </w:tcBorders>
                </w:tcPr>
                <w:p w14:paraId="52D0FFF5" w14:textId="718C9C07" w:rsidR="006571FF" w:rsidRPr="007A014B" w:rsidRDefault="006571FF" w:rsidP="007172ED">
                  <w:pPr>
                    <w:pStyle w:val="NoSpacing"/>
                    <w:jc w:val="center"/>
                    <w:rPr>
                      <w:sz w:val="16"/>
                      <w:szCs w:val="16"/>
                    </w:rPr>
                  </w:pPr>
                  <w:r>
                    <w:rPr>
                      <w:sz w:val="16"/>
                      <w:szCs w:val="16"/>
                    </w:rPr>
                    <w:t>-50</w:t>
                  </w:r>
                </w:p>
              </w:tc>
              <w:tc>
                <w:tcPr>
                  <w:tcW w:w="652" w:type="dxa"/>
                  <w:tcBorders>
                    <w:bottom w:val="single" w:sz="18" w:space="0" w:color="auto"/>
                  </w:tcBorders>
                </w:tcPr>
                <w:p w14:paraId="36F83E4C" w14:textId="3A4AAAA9" w:rsidR="006571FF" w:rsidRPr="007A014B" w:rsidRDefault="006571FF" w:rsidP="007172ED">
                  <w:pPr>
                    <w:pStyle w:val="NoSpacing"/>
                    <w:jc w:val="center"/>
                    <w:rPr>
                      <w:sz w:val="16"/>
                      <w:szCs w:val="16"/>
                    </w:rPr>
                  </w:pPr>
                  <w:r>
                    <w:rPr>
                      <w:sz w:val="16"/>
                      <w:szCs w:val="16"/>
                    </w:rPr>
                    <w:t>-125</w:t>
                  </w:r>
                </w:p>
              </w:tc>
              <w:tc>
                <w:tcPr>
                  <w:tcW w:w="652" w:type="dxa"/>
                  <w:tcBorders>
                    <w:bottom w:val="single" w:sz="12" w:space="0" w:color="auto"/>
                  </w:tcBorders>
                </w:tcPr>
                <w:p w14:paraId="6C7AB522" w14:textId="77777777" w:rsidR="006571FF" w:rsidRPr="007A014B" w:rsidRDefault="006571FF" w:rsidP="007172ED">
                  <w:pPr>
                    <w:pStyle w:val="NoSpacing"/>
                    <w:jc w:val="center"/>
                    <w:rPr>
                      <w:sz w:val="16"/>
                      <w:szCs w:val="16"/>
                    </w:rPr>
                  </w:pPr>
                  <w:r>
                    <w:rPr>
                      <w:sz w:val="16"/>
                      <w:szCs w:val="16"/>
                    </w:rPr>
                    <w:t>-25</w:t>
                  </w:r>
                </w:p>
              </w:tc>
            </w:tr>
            <w:tr w:rsidR="006571FF" w14:paraId="151F9D75" w14:textId="77777777" w:rsidTr="007172ED">
              <w:tc>
                <w:tcPr>
                  <w:tcW w:w="2566" w:type="dxa"/>
                  <w:tcBorders>
                    <w:top w:val="single" w:sz="12" w:space="0" w:color="auto"/>
                  </w:tcBorders>
                </w:tcPr>
                <w:p w14:paraId="6FC7E81F" w14:textId="77777777" w:rsidR="006571FF" w:rsidRDefault="006571FF" w:rsidP="007172ED">
                  <w:pPr>
                    <w:pStyle w:val="NoSpacing"/>
                    <w:rPr>
                      <w:sz w:val="16"/>
                      <w:szCs w:val="16"/>
                    </w:rPr>
                  </w:pPr>
                  <w:r>
                    <w:rPr>
                      <w:sz w:val="16"/>
                      <w:szCs w:val="16"/>
                    </w:rPr>
                    <w:t>Test Status (Under)</w:t>
                  </w:r>
                </w:p>
              </w:tc>
              <w:tc>
                <w:tcPr>
                  <w:tcW w:w="652" w:type="dxa"/>
                  <w:tcBorders>
                    <w:top w:val="single" w:sz="18" w:space="0" w:color="auto"/>
                  </w:tcBorders>
                </w:tcPr>
                <w:p w14:paraId="6320EDFD" w14:textId="77777777" w:rsidR="006571FF" w:rsidRDefault="006571FF" w:rsidP="007172ED">
                  <w:pPr>
                    <w:pStyle w:val="NoSpacing"/>
                    <w:jc w:val="center"/>
                    <w:rPr>
                      <w:sz w:val="16"/>
                      <w:szCs w:val="16"/>
                    </w:rPr>
                  </w:pPr>
                  <w:r>
                    <w:rPr>
                      <w:sz w:val="16"/>
                      <w:szCs w:val="16"/>
                    </w:rPr>
                    <w:t>Pass</w:t>
                  </w:r>
                </w:p>
              </w:tc>
              <w:tc>
                <w:tcPr>
                  <w:tcW w:w="652" w:type="dxa"/>
                  <w:tcBorders>
                    <w:top w:val="single" w:sz="12" w:space="0" w:color="auto"/>
                    <w:right w:val="single" w:sz="18" w:space="0" w:color="auto"/>
                  </w:tcBorders>
                </w:tcPr>
                <w:p w14:paraId="0156DF27" w14:textId="77777777" w:rsidR="006571FF" w:rsidRDefault="006571FF" w:rsidP="007172ED">
                  <w:pPr>
                    <w:pStyle w:val="NoSpacing"/>
                    <w:jc w:val="center"/>
                    <w:rPr>
                      <w:sz w:val="16"/>
                      <w:szCs w:val="16"/>
                    </w:rPr>
                  </w:pPr>
                  <w:r>
                    <w:rPr>
                      <w:sz w:val="16"/>
                      <w:szCs w:val="16"/>
                    </w:rPr>
                    <w:t>Pass</w:t>
                  </w:r>
                </w:p>
              </w:tc>
              <w:tc>
                <w:tcPr>
                  <w:tcW w:w="652" w:type="dxa"/>
                  <w:tcBorders>
                    <w:top w:val="single" w:sz="18" w:space="0" w:color="auto"/>
                    <w:left w:val="single" w:sz="18" w:space="0" w:color="auto"/>
                    <w:right w:val="single" w:sz="18" w:space="0" w:color="auto"/>
                  </w:tcBorders>
                </w:tcPr>
                <w:p w14:paraId="7CBB7F48" w14:textId="77777777" w:rsidR="006571FF" w:rsidRPr="00E82371" w:rsidRDefault="006571FF" w:rsidP="007172ED">
                  <w:pPr>
                    <w:pStyle w:val="NoSpacing"/>
                    <w:jc w:val="center"/>
                    <w:rPr>
                      <w:color w:val="0000FF"/>
                      <w:sz w:val="16"/>
                      <w:szCs w:val="16"/>
                    </w:rPr>
                  </w:pPr>
                  <w:r w:rsidRPr="00E82371">
                    <w:rPr>
                      <w:color w:val="0000FF"/>
                      <w:sz w:val="16"/>
                      <w:szCs w:val="16"/>
                    </w:rPr>
                    <w:t>Pass</w:t>
                  </w:r>
                </w:p>
              </w:tc>
              <w:tc>
                <w:tcPr>
                  <w:tcW w:w="652" w:type="dxa"/>
                  <w:tcBorders>
                    <w:top w:val="single" w:sz="12" w:space="0" w:color="auto"/>
                    <w:left w:val="single" w:sz="18" w:space="0" w:color="auto"/>
                  </w:tcBorders>
                </w:tcPr>
                <w:p w14:paraId="400EDC20" w14:textId="77777777" w:rsidR="006571FF" w:rsidRDefault="006571FF" w:rsidP="007172ED">
                  <w:pPr>
                    <w:pStyle w:val="NoSpacing"/>
                    <w:jc w:val="center"/>
                    <w:rPr>
                      <w:sz w:val="16"/>
                      <w:szCs w:val="16"/>
                    </w:rPr>
                  </w:pPr>
                  <w:r>
                    <w:rPr>
                      <w:sz w:val="16"/>
                      <w:szCs w:val="16"/>
                    </w:rPr>
                    <w:t>Pass</w:t>
                  </w:r>
                </w:p>
              </w:tc>
            </w:tr>
            <w:tr w:rsidR="006571FF" w14:paraId="3AEB01DE" w14:textId="77777777" w:rsidTr="007172ED">
              <w:tc>
                <w:tcPr>
                  <w:tcW w:w="2566" w:type="dxa"/>
                </w:tcPr>
                <w:p w14:paraId="78E83F35" w14:textId="77777777" w:rsidR="006571FF" w:rsidRDefault="006571FF" w:rsidP="007172ED">
                  <w:pPr>
                    <w:pStyle w:val="NoSpacing"/>
                    <w:rPr>
                      <w:sz w:val="16"/>
                      <w:szCs w:val="16"/>
                    </w:rPr>
                  </w:pPr>
                  <w:r>
                    <w:rPr>
                      <w:sz w:val="16"/>
                      <w:szCs w:val="16"/>
                    </w:rPr>
                    <w:t>Insufficiency Direction (Under)</w:t>
                  </w:r>
                </w:p>
              </w:tc>
              <w:tc>
                <w:tcPr>
                  <w:tcW w:w="652" w:type="dxa"/>
                </w:tcPr>
                <w:p w14:paraId="00CDCCD1" w14:textId="77777777" w:rsidR="006571FF" w:rsidRDefault="006571FF" w:rsidP="007172ED">
                  <w:pPr>
                    <w:pStyle w:val="NoSpacing"/>
                    <w:jc w:val="center"/>
                    <w:rPr>
                      <w:sz w:val="16"/>
                      <w:szCs w:val="16"/>
                    </w:rPr>
                  </w:pPr>
                  <w:r>
                    <w:rPr>
                      <w:sz w:val="16"/>
                      <w:szCs w:val="16"/>
                    </w:rPr>
                    <w:t>Under</w:t>
                  </w:r>
                </w:p>
              </w:tc>
              <w:tc>
                <w:tcPr>
                  <w:tcW w:w="652" w:type="dxa"/>
                  <w:tcBorders>
                    <w:right w:val="single" w:sz="18" w:space="0" w:color="auto"/>
                  </w:tcBorders>
                </w:tcPr>
                <w:p w14:paraId="72372B70" w14:textId="77777777" w:rsidR="006571FF" w:rsidRDefault="006571FF" w:rsidP="007172ED">
                  <w:pPr>
                    <w:pStyle w:val="NoSpacing"/>
                    <w:jc w:val="center"/>
                    <w:rPr>
                      <w:sz w:val="16"/>
                      <w:szCs w:val="16"/>
                    </w:rPr>
                  </w:pPr>
                  <w:r>
                    <w:rPr>
                      <w:sz w:val="16"/>
                      <w:szCs w:val="16"/>
                    </w:rPr>
                    <w:t>Under</w:t>
                  </w:r>
                </w:p>
              </w:tc>
              <w:tc>
                <w:tcPr>
                  <w:tcW w:w="652" w:type="dxa"/>
                  <w:tcBorders>
                    <w:left w:val="single" w:sz="18" w:space="0" w:color="auto"/>
                    <w:right w:val="single" w:sz="18" w:space="0" w:color="auto"/>
                  </w:tcBorders>
                </w:tcPr>
                <w:p w14:paraId="498A6CC3" w14:textId="77777777" w:rsidR="006571FF" w:rsidRPr="00E82371" w:rsidRDefault="006571FF" w:rsidP="007172ED">
                  <w:pPr>
                    <w:pStyle w:val="NoSpacing"/>
                    <w:jc w:val="center"/>
                    <w:rPr>
                      <w:color w:val="0000FF"/>
                      <w:sz w:val="16"/>
                      <w:szCs w:val="16"/>
                    </w:rPr>
                  </w:pPr>
                  <w:r w:rsidRPr="00E82371">
                    <w:rPr>
                      <w:color w:val="0000FF"/>
                      <w:sz w:val="16"/>
                      <w:szCs w:val="16"/>
                    </w:rPr>
                    <w:t>Under</w:t>
                  </w:r>
                </w:p>
              </w:tc>
              <w:tc>
                <w:tcPr>
                  <w:tcW w:w="652" w:type="dxa"/>
                  <w:tcBorders>
                    <w:left w:val="single" w:sz="18" w:space="0" w:color="auto"/>
                  </w:tcBorders>
                </w:tcPr>
                <w:p w14:paraId="5E7B4AA2" w14:textId="77777777" w:rsidR="006571FF" w:rsidRDefault="006571FF" w:rsidP="007172ED">
                  <w:pPr>
                    <w:pStyle w:val="NoSpacing"/>
                    <w:jc w:val="center"/>
                    <w:rPr>
                      <w:sz w:val="16"/>
                      <w:szCs w:val="16"/>
                    </w:rPr>
                  </w:pPr>
                  <w:r>
                    <w:rPr>
                      <w:sz w:val="16"/>
                      <w:szCs w:val="16"/>
                    </w:rPr>
                    <w:t>Under</w:t>
                  </w:r>
                </w:p>
              </w:tc>
            </w:tr>
            <w:tr w:rsidR="006571FF" w14:paraId="0706D9D6" w14:textId="77777777" w:rsidTr="007172ED">
              <w:tc>
                <w:tcPr>
                  <w:tcW w:w="2566" w:type="dxa"/>
                  <w:tcBorders>
                    <w:bottom w:val="single" w:sz="4" w:space="0" w:color="auto"/>
                  </w:tcBorders>
                </w:tcPr>
                <w:p w14:paraId="64B37365" w14:textId="77777777" w:rsidR="006571FF" w:rsidRDefault="006571FF" w:rsidP="007172ED">
                  <w:pPr>
                    <w:pStyle w:val="NoSpacing"/>
                    <w:rPr>
                      <w:sz w:val="16"/>
                      <w:szCs w:val="16"/>
                    </w:rPr>
                  </w:pPr>
                  <w:r>
                    <w:rPr>
                      <w:sz w:val="16"/>
                      <w:szCs w:val="16"/>
                    </w:rPr>
                    <w:t>Insufficiency Percentage (%)</w:t>
                  </w:r>
                </w:p>
              </w:tc>
              <w:tc>
                <w:tcPr>
                  <w:tcW w:w="652" w:type="dxa"/>
                  <w:tcBorders>
                    <w:bottom w:val="single" w:sz="4" w:space="0" w:color="auto"/>
                  </w:tcBorders>
                </w:tcPr>
                <w:p w14:paraId="535ECA0C" w14:textId="15A0931B" w:rsidR="006571FF" w:rsidRPr="00E82371" w:rsidRDefault="006571FF" w:rsidP="007172ED">
                  <w:pPr>
                    <w:pStyle w:val="NoSpacing"/>
                    <w:jc w:val="center"/>
                    <w:rPr>
                      <w:sz w:val="14"/>
                      <w:szCs w:val="14"/>
                    </w:rPr>
                  </w:pPr>
                  <w:r w:rsidRPr="00E82371">
                    <w:rPr>
                      <w:sz w:val="14"/>
                      <w:szCs w:val="14"/>
                    </w:rPr>
                    <w:t>-</w:t>
                  </w:r>
                  <w:r>
                    <w:rPr>
                      <w:sz w:val="14"/>
                      <w:szCs w:val="14"/>
                    </w:rPr>
                    <w:t>225</w:t>
                  </w:r>
                </w:p>
              </w:tc>
              <w:tc>
                <w:tcPr>
                  <w:tcW w:w="652" w:type="dxa"/>
                  <w:tcBorders>
                    <w:bottom w:val="single" w:sz="4" w:space="0" w:color="auto"/>
                    <w:right w:val="single" w:sz="18" w:space="0" w:color="auto"/>
                  </w:tcBorders>
                </w:tcPr>
                <w:p w14:paraId="767A1ED3" w14:textId="208EF6CA" w:rsidR="006571FF" w:rsidRPr="00E82371" w:rsidRDefault="006571FF" w:rsidP="007172ED">
                  <w:pPr>
                    <w:pStyle w:val="NoSpacing"/>
                    <w:jc w:val="center"/>
                    <w:rPr>
                      <w:sz w:val="14"/>
                      <w:szCs w:val="14"/>
                    </w:rPr>
                  </w:pPr>
                  <w:r w:rsidRPr="00E82371">
                    <w:rPr>
                      <w:sz w:val="14"/>
                      <w:szCs w:val="14"/>
                    </w:rPr>
                    <w:t>-</w:t>
                  </w:r>
                  <w:r>
                    <w:rPr>
                      <w:sz w:val="14"/>
                      <w:szCs w:val="14"/>
                    </w:rPr>
                    <w:t>150.0</w:t>
                  </w:r>
                </w:p>
              </w:tc>
              <w:tc>
                <w:tcPr>
                  <w:tcW w:w="652" w:type="dxa"/>
                  <w:tcBorders>
                    <w:left w:val="single" w:sz="18" w:space="0" w:color="auto"/>
                    <w:bottom w:val="single" w:sz="4" w:space="0" w:color="auto"/>
                    <w:right w:val="single" w:sz="18" w:space="0" w:color="auto"/>
                  </w:tcBorders>
                </w:tcPr>
                <w:p w14:paraId="45FD7725" w14:textId="6528077A" w:rsidR="006571FF" w:rsidRPr="00E82371" w:rsidRDefault="006571FF" w:rsidP="007172ED">
                  <w:pPr>
                    <w:pStyle w:val="NoSpacing"/>
                    <w:jc w:val="center"/>
                    <w:rPr>
                      <w:color w:val="0000FF"/>
                      <w:sz w:val="14"/>
                      <w:szCs w:val="14"/>
                    </w:rPr>
                  </w:pPr>
                  <w:r>
                    <w:rPr>
                      <w:color w:val="0000FF"/>
                      <w:sz w:val="14"/>
                      <w:szCs w:val="14"/>
                    </w:rPr>
                    <w:t>-75</w:t>
                  </w:r>
                  <w:r w:rsidRPr="00E82371">
                    <w:rPr>
                      <w:color w:val="0000FF"/>
                      <w:sz w:val="14"/>
                      <w:szCs w:val="14"/>
                    </w:rPr>
                    <w:t>.0</w:t>
                  </w:r>
                </w:p>
              </w:tc>
              <w:tc>
                <w:tcPr>
                  <w:tcW w:w="652" w:type="dxa"/>
                  <w:tcBorders>
                    <w:left w:val="single" w:sz="18" w:space="0" w:color="auto"/>
                    <w:bottom w:val="single" w:sz="4" w:space="0" w:color="auto"/>
                  </w:tcBorders>
                </w:tcPr>
                <w:p w14:paraId="27D08EE6" w14:textId="4734E480" w:rsidR="006571FF" w:rsidRPr="00E82371" w:rsidRDefault="006571FF" w:rsidP="007172ED">
                  <w:pPr>
                    <w:pStyle w:val="NoSpacing"/>
                    <w:jc w:val="center"/>
                    <w:rPr>
                      <w:sz w:val="14"/>
                      <w:szCs w:val="14"/>
                    </w:rPr>
                  </w:pPr>
                  <w:r w:rsidRPr="00E82371">
                    <w:rPr>
                      <w:sz w:val="14"/>
                      <w:szCs w:val="14"/>
                    </w:rPr>
                    <w:t>-1</w:t>
                  </w:r>
                  <w:r>
                    <w:rPr>
                      <w:sz w:val="14"/>
                      <w:szCs w:val="14"/>
                    </w:rPr>
                    <w:t>75</w:t>
                  </w:r>
                  <w:r w:rsidRPr="00E82371">
                    <w:rPr>
                      <w:sz w:val="14"/>
                      <w:szCs w:val="14"/>
                    </w:rPr>
                    <w:t>.0</w:t>
                  </w:r>
                </w:p>
              </w:tc>
            </w:tr>
            <w:tr w:rsidR="006571FF" w14:paraId="255494E5" w14:textId="77777777" w:rsidTr="007172ED">
              <w:tc>
                <w:tcPr>
                  <w:tcW w:w="2566" w:type="dxa"/>
                  <w:tcBorders>
                    <w:bottom w:val="single" w:sz="12" w:space="0" w:color="auto"/>
                  </w:tcBorders>
                </w:tcPr>
                <w:p w14:paraId="2CDF96C6" w14:textId="77777777" w:rsidR="006571FF" w:rsidRDefault="006571FF" w:rsidP="007172ED">
                  <w:pPr>
                    <w:pStyle w:val="NoSpacing"/>
                    <w:rPr>
                      <w:sz w:val="16"/>
                      <w:szCs w:val="16"/>
                    </w:rPr>
                  </w:pPr>
                  <w:r>
                    <w:rPr>
                      <w:sz w:val="16"/>
                      <w:szCs w:val="16"/>
                    </w:rPr>
                    <w:t>Insufficiency Amount (MW)</w:t>
                  </w:r>
                </w:p>
              </w:tc>
              <w:tc>
                <w:tcPr>
                  <w:tcW w:w="652" w:type="dxa"/>
                  <w:tcBorders>
                    <w:bottom w:val="single" w:sz="12" w:space="0" w:color="auto"/>
                  </w:tcBorders>
                </w:tcPr>
                <w:p w14:paraId="18A7EDF8" w14:textId="532EDD9D" w:rsidR="006571FF" w:rsidRDefault="006571FF" w:rsidP="007172ED">
                  <w:pPr>
                    <w:pStyle w:val="NoSpacing"/>
                    <w:jc w:val="center"/>
                    <w:rPr>
                      <w:sz w:val="16"/>
                      <w:szCs w:val="16"/>
                    </w:rPr>
                  </w:pPr>
                  <w:r>
                    <w:rPr>
                      <w:sz w:val="16"/>
                      <w:szCs w:val="16"/>
                    </w:rPr>
                    <w:t>-225</w:t>
                  </w:r>
                </w:p>
              </w:tc>
              <w:tc>
                <w:tcPr>
                  <w:tcW w:w="652" w:type="dxa"/>
                  <w:tcBorders>
                    <w:bottom w:val="single" w:sz="12" w:space="0" w:color="auto"/>
                    <w:right w:val="single" w:sz="18" w:space="0" w:color="auto"/>
                  </w:tcBorders>
                </w:tcPr>
                <w:p w14:paraId="7D60F3DE" w14:textId="28E1D053" w:rsidR="006571FF" w:rsidRDefault="006571FF" w:rsidP="007172ED">
                  <w:pPr>
                    <w:pStyle w:val="NoSpacing"/>
                    <w:jc w:val="center"/>
                    <w:rPr>
                      <w:sz w:val="16"/>
                      <w:szCs w:val="16"/>
                    </w:rPr>
                  </w:pPr>
                  <w:r>
                    <w:rPr>
                      <w:sz w:val="16"/>
                      <w:szCs w:val="16"/>
                    </w:rPr>
                    <w:t>-150</w:t>
                  </w:r>
                </w:p>
              </w:tc>
              <w:tc>
                <w:tcPr>
                  <w:tcW w:w="652" w:type="dxa"/>
                  <w:tcBorders>
                    <w:left w:val="single" w:sz="18" w:space="0" w:color="auto"/>
                    <w:bottom w:val="single" w:sz="18" w:space="0" w:color="auto"/>
                    <w:right w:val="single" w:sz="18" w:space="0" w:color="auto"/>
                  </w:tcBorders>
                </w:tcPr>
                <w:p w14:paraId="0B78955F" w14:textId="727A46F4" w:rsidR="006571FF" w:rsidRPr="00E82371" w:rsidRDefault="006571FF" w:rsidP="007172ED">
                  <w:pPr>
                    <w:pStyle w:val="NoSpacing"/>
                    <w:jc w:val="center"/>
                    <w:rPr>
                      <w:color w:val="0000FF"/>
                      <w:sz w:val="16"/>
                      <w:szCs w:val="16"/>
                    </w:rPr>
                  </w:pPr>
                  <w:r w:rsidRPr="00E82371">
                    <w:rPr>
                      <w:color w:val="0000FF"/>
                      <w:sz w:val="16"/>
                      <w:szCs w:val="16"/>
                    </w:rPr>
                    <w:t>-</w:t>
                  </w:r>
                  <w:r>
                    <w:rPr>
                      <w:color w:val="0000FF"/>
                      <w:sz w:val="16"/>
                      <w:szCs w:val="16"/>
                    </w:rPr>
                    <w:t>75</w:t>
                  </w:r>
                </w:p>
              </w:tc>
              <w:tc>
                <w:tcPr>
                  <w:tcW w:w="652" w:type="dxa"/>
                  <w:tcBorders>
                    <w:left w:val="single" w:sz="18" w:space="0" w:color="auto"/>
                    <w:bottom w:val="single" w:sz="12" w:space="0" w:color="auto"/>
                  </w:tcBorders>
                </w:tcPr>
                <w:p w14:paraId="2C070B98" w14:textId="39519563" w:rsidR="006571FF" w:rsidRDefault="006571FF" w:rsidP="007172ED">
                  <w:pPr>
                    <w:pStyle w:val="NoSpacing"/>
                    <w:jc w:val="center"/>
                    <w:rPr>
                      <w:sz w:val="16"/>
                      <w:szCs w:val="16"/>
                    </w:rPr>
                  </w:pPr>
                  <w:r>
                    <w:rPr>
                      <w:sz w:val="16"/>
                      <w:szCs w:val="16"/>
                    </w:rPr>
                    <w:t>-175</w:t>
                  </w:r>
                </w:p>
              </w:tc>
            </w:tr>
          </w:tbl>
          <w:p w14:paraId="38E0E464" w14:textId="68A8ECF4" w:rsidR="006571FF" w:rsidRPr="007A014B" w:rsidRDefault="006571FF" w:rsidP="007172ED">
            <w:pPr>
              <w:rPr>
                <w:rFonts w:cs="Arial"/>
                <w:bCs/>
                <w:sz w:val="16"/>
                <w:szCs w:val="16"/>
              </w:rPr>
            </w:pPr>
            <w:r>
              <w:rPr>
                <w:rFonts w:cs="Arial"/>
                <w:bCs/>
                <w:sz w:val="16"/>
                <w:szCs w:val="16"/>
              </w:rPr>
              <w:t>Since the BAA failed the “over” capacity test in the first interval, the BAA’s import WEIM transfer limit is reduced in that interval.</w:t>
            </w:r>
            <w:r w:rsidDel="00D4166A">
              <w:rPr>
                <w:rFonts w:cs="Arial"/>
                <w:bCs/>
                <w:sz w:val="16"/>
                <w:szCs w:val="16"/>
              </w:rPr>
              <w:t xml:space="preserve"> </w:t>
            </w:r>
            <w:r>
              <w:rPr>
                <w:rFonts w:cs="Arial"/>
                <w:bCs/>
                <w:sz w:val="16"/>
                <w:szCs w:val="16"/>
              </w:rPr>
              <w:t xml:space="preserve"> WEIM </w:t>
            </w:r>
          </w:p>
        </w:tc>
      </w:tr>
      <w:tr w:rsidR="006571FF" w:rsidRPr="00767A7E" w14:paraId="15039A72" w14:textId="77777777" w:rsidTr="007172ED">
        <w:tc>
          <w:tcPr>
            <w:tcW w:w="0" w:type="auto"/>
          </w:tcPr>
          <w:p w14:paraId="62D265AE" w14:textId="77777777" w:rsidR="006571FF" w:rsidRDefault="006571FF" w:rsidP="007172ED">
            <w:pPr>
              <w:jc w:val="center"/>
              <w:rPr>
                <w:rFonts w:cs="Arial"/>
                <w:b/>
                <w:bCs/>
              </w:rPr>
            </w:pPr>
            <w:r>
              <w:rPr>
                <w:rFonts w:cs="Arial"/>
                <w:b/>
                <w:bCs/>
              </w:rPr>
              <w:t>2</w:t>
            </w:r>
          </w:p>
        </w:tc>
        <w:tc>
          <w:tcPr>
            <w:tcW w:w="5243" w:type="dxa"/>
          </w:tcPr>
          <w:p w14:paraId="3C93A9F7" w14:textId="77777777" w:rsidR="006571FF" w:rsidRDefault="006571FF" w:rsidP="007172ED">
            <w:pPr>
              <w:rPr>
                <w:rFonts w:cs="Arial"/>
                <w:bCs/>
                <w:sz w:val="16"/>
                <w:szCs w:val="16"/>
              </w:rPr>
            </w:pPr>
            <w:r>
              <w:rPr>
                <w:rFonts w:cs="Arial"/>
                <w:bCs/>
                <w:sz w:val="16"/>
                <w:szCs w:val="16"/>
              </w:rPr>
              <w:t xml:space="preserve">BAA’s WEIM </w:t>
            </w:r>
            <w:r w:rsidRPr="007A014B">
              <w:rPr>
                <w:rFonts w:cs="Arial"/>
                <w:bCs/>
                <w:sz w:val="16"/>
                <w:szCs w:val="16"/>
              </w:rPr>
              <w:t xml:space="preserve">Capacity Test result fails for </w:t>
            </w:r>
            <w:r>
              <w:rPr>
                <w:rFonts w:cs="Arial"/>
                <w:bCs/>
                <w:sz w:val="16"/>
                <w:szCs w:val="16"/>
              </w:rPr>
              <w:t>at least one 15-minute interval for each direction in same trade hour, where the following conditions occur</w:t>
            </w:r>
            <w:r w:rsidRPr="007A014B">
              <w:rPr>
                <w:rFonts w:cs="Arial"/>
                <w:bCs/>
                <w:sz w:val="16"/>
                <w:szCs w:val="16"/>
              </w:rPr>
              <w:t>:</w:t>
            </w:r>
          </w:p>
          <w:tbl>
            <w:tblPr>
              <w:tblW w:w="4909" w:type="dxa"/>
              <w:tblLook w:val="04A0" w:firstRow="1" w:lastRow="0" w:firstColumn="1" w:lastColumn="0" w:noHBand="0" w:noVBand="1"/>
            </w:tblPr>
            <w:tblGrid>
              <w:gridCol w:w="1731"/>
              <w:gridCol w:w="750"/>
              <w:gridCol w:w="750"/>
              <w:gridCol w:w="750"/>
              <w:gridCol w:w="928"/>
            </w:tblGrid>
            <w:tr w:rsidR="006571FF" w:rsidRPr="00B56EC1" w14:paraId="714C6012" w14:textId="77777777" w:rsidTr="007172ED">
              <w:trPr>
                <w:trHeight w:val="268"/>
              </w:trPr>
              <w:tc>
                <w:tcPr>
                  <w:tcW w:w="173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7EC35D6"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Value</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0BDA02B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45A64A1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:30</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177555FC"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:45</w:t>
                  </w:r>
                </w:p>
              </w:tc>
              <w:tc>
                <w:tcPr>
                  <w:tcW w:w="928" w:type="dxa"/>
                  <w:tcBorders>
                    <w:top w:val="single" w:sz="8" w:space="0" w:color="auto"/>
                    <w:left w:val="nil"/>
                    <w:bottom w:val="single" w:sz="8" w:space="0" w:color="auto"/>
                    <w:right w:val="single" w:sz="8" w:space="0" w:color="auto"/>
                  </w:tcBorders>
                  <w:shd w:val="clear" w:color="000000" w:fill="F2F2F2"/>
                  <w:vAlign w:val="center"/>
                  <w:hideMark/>
                </w:tcPr>
                <w:p w14:paraId="0B70612B"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:60</w:t>
                  </w:r>
                </w:p>
              </w:tc>
            </w:tr>
            <w:tr w:rsidR="006571FF" w:rsidRPr="00B56EC1" w14:paraId="3A6A7FE3"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1A0E8E40"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Sum of Base Schedules</w:t>
                  </w:r>
                </w:p>
              </w:tc>
              <w:tc>
                <w:tcPr>
                  <w:tcW w:w="750" w:type="dxa"/>
                  <w:tcBorders>
                    <w:top w:val="nil"/>
                    <w:left w:val="nil"/>
                    <w:bottom w:val="single" w:sz="8" w:space="0" w:color="auto"/>
                    <w:right w:val="single" w:sz="8" w:space="0" w:color="auto"/>
                  </w:tcBorders>
                  <w:vAlign w:val="center"/>
                  <w:hideMark/>
                </w:tcPr>
                <w:p w14:paraId="3B73DC8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66E0187B"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3E182709"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c>
                <w:tcPr>
                  <w:tcW w:w="928" w:type="dxa"/>
                  <w:tcBorders>
                    <w:top w:val="nil"/>
                    <w:left w:val="nil"/>
                    <w:bottom w:val="single" w:sz="8" w:space="0" w:color="auto"/>
                    <w:right w:val="single" w:sz="8" w:space="0" w:color="auto"/>
                  </w:tcBorders>
                  <w:vAlign w:val="center"/>
                  <w:hideMark/>
                </w:tcPr>
                <w:p w14:paraId="3F9E63E1"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1100</w:t>
                  </w:r>
                </w:p>
              </w:tc>
            </w:tr>
            <w:tr w:rsidR="006571FF" w:rsidRPr="00B56EC1" w14:paraId="0EAF8CC9"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22B8F671"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15-minute Demand Forecast</w:t>
                  </w:r>
                </w:p>
              </w:tc>
              <w:tc>
                <w:tcPr>
                  <w:tcW w:w="750" w:type="dxa"/>
                  <w:tcBorders>
                    <w:top w:val="nil"/>
                    <w:left w:val="nil"/>
                    <w:bottom w:val="single" w:sz="8" w:space="0" w:color="auto"/>
                    <w:right w:val="single" w:sz="8" w:space="0" w:color="auto"/>
                  </w:tcBorders>
                  <w:vAlign w:val="center"/>
                  <w:hideMark/>
                </w:tcPr>
                <w:p w14:paraId="2CD311C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975</w:t>
                  </w:r>
                </w:p>
              </w:tc>
              <w:tc>
                <w:tcPr>
                  <w:tcW w:w="750" w:type="dxa"/>
                  <w:tcBorders>
                    <w:top w:val="nil"/>
                    <w:left w:val="nil"/>
                    <w:bottom w:val="single" w:sz="8" w:space="0" w:color="auto"/>
                    <w:right w:val="single" w:sz="8" w:space="0" w:color="auto"/>
                  </w:tcBorders>
                  <w:vAlign w:val="center"/>
                  <w:hideMark/>
                </w:tcPr>
                <w:p w14:paraId="385D2EF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950</w:t>
                  </w:r>
                </w:p>
              </w:tc>
              <w:tc>
                <w:tcPr>
                  <w:tcW w:w="750" w:type="dxa"/>
                  <w:tcBorders>
                    <w:top w:val="nil"/>
                    <w:left w:val="nil"/>
                    <w:bottom w:val="single" w:sz="8" w:space="0" w:color="auto"/>
                    <w:right w:val="single" w:sz="8" w:space="0" w:color="auto"/>
                  </w:tcBorders>
                  <w:vAlign w:val="center"/>
                  <w:hideMark/>
                </w:tcPr>
                <w:p w14:paraId="69DFC4B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1110</w:t>
                  </w:r>
                </w:p>
              </w:tc>
              <w:tc>
                <w:tcPr>
                  <w:tcW w:w="928" w:type="dxa"/>
                  <w:tcBorders>
                    <w:top w:val="nil"/>
                    <w:left w:val="nil"/>
                    <w:bottom w:val="single" w:sz="8" w:space="0" w:color="auto"/>
                    <w:right w:val="single" w:sz="8" w:space="0" w:color="auto"/>
                  </w:tcBorders>
                  <w:vAlign w:val="center"/>
                  <w:hideMark/>
                </w:tcPr>
                <w:p w14:paraId="488AC4DF"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1225</w:t>
                  </w:r>
                </w:p>
              </w:tc>
            </w:tr>
            <w:tr w:rsidR="006571FF" w:rsidRPr="00B56EC1" w14:paraId="6BA368F4" w14:textId="77777777" w:rsidTr="007172ED">
              <w:trPr>
                <w:trHeight w:val="268"/>
              </w:trPr>
              <w:tc>
                <w:tcPr>
                  <w:tcW w:w="4909"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7FB8B277"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Down Direction (over insufficiency direction in CMRI)</w:t>
                  </w:r>
                </w:p>
              </w:tc>
            </w:tr>
            <w:tr w:rsidR="006571FF" w:rsidRPr="00B56EC1" w14:paraId="3FF77DD5"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5176EBCB"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Total Down Requirement</w:t>
                  </w:r>
                </w:p>
              </w:tc>
              <w:tc>
                <w:tcPr>
                  <w:tcW w:w="750" w:type="dxa"/>
                  <w:tcBorders>
                    <w:top w:val="nil"/>
                    <w:left w:val="nil"/>
                    <w:bottom w:val="single" w:sz="8" w:space="0" w:color="auto"/>
                    <w:right w:val="single" w:sz="8" w:space="0" w:color="auto"/>
                  </w:tcBorders>
                  <w:vAlign w:val="center"/>
                  <w:hideMark/>
                </w:tcPr>
                <w:p w14:paraId="5A40AD47" w14:textId="339736AA"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125</w:t>
                  </w:r>
                </w:p>
              </w:tc>
              <w:tc>
                <w:tcPr>
                  <w:tcW w:w="750" w:type="dxa"/>
                  <w:tcBorders>
                    <w:top w:val="nil"/>
                    <w:left w:val="nil"/>
                    <w:bottom w:val="single" w:sz="8" w:space="0" w:color="auto"/>
                    <w:right w:val="single" w:sz="8" w:space="0" w:color="auto"/>
                  </w:tcBorders>
                  <w:vAlign w:val="center"/>
                  <w:hideMark/>
                </w:tcPr>
                <w:p w14:paraId="7E445129" w14:textId="4B18F26C"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50</w:t>
                  </w:r>
                </w:p>
              </w:tc>
              <w:tc>
                <w:tcPr>
                  <w:tcW w:w="750" w:type="dxa"/>
                  <w:tcBorders>
                    <w:top w:val="nil"/>
                    <w:left w:val="nil"/>
                    <w:bottom w:val="single" w:sz="8" w:space="0" w:color="auto"/>
                    <w:right w:val="single" w:sz="8" w:space="0" w:color="auto"/>
                  </w:tcBorders>
                  <w:vAlign w:val="center"/>
                  <w:hideMark/>
                </w:tcPr>
                <w:p w14:paraId="1DEA7FF7" w14:textId="31F5BFCD"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w:t>
                  </w:r>
                </w:p>
              </w:tc>
              <w:tc>
                <w:tcPr>
                  <w:tcW w:w="928" w:type="dxa"/>
                  <w:tcBorders>
                    <w:top w:val="nil"/>
                    <w:left w:val="nil"/>
                    <w:bottom w:val="single" w:sz="8" w:space="0" w:color="auto"/>
                    <w:right w:val="single" w:sz="8" w:space="0" w:color="auto"/>
                  </w:tcBorders>
                  <w:vAlign w:val="center"/>
                  <w:hideMark/>
                </w:tcPr>
                <w:p w14:paraId="483BFA20" w14:textId="3BCBEDD2"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25</w:t>
                  </w:r>
                </w:p>
              </w:tc>
            </w:tr>
            <w:tr w:rsidR="006571FF" w:rsidRPr="00B56EC1" w14:paraId="3EC53012"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14A336EA"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Bid Range Capacity (Down)</w:t>
                  </w:r>
                </w:p>
              </w:tc>
              <w:tc>
                <w:tcPr>
                  <w:tcW w:w="750" w:type="dxa"/>
                  <w:tcBorders>
                    <w:top w:val="nil"/>
                    <w:left w:val="nil"/>
                    <w:bottom w:val="single" w:sz="8" w:space="0" w:color="auto"/>
                    <w:right w:val="single" w:sz="8" w:space="0" w:color="auto"/>
                  </w:tcBorders>
                  <w:vAlign w:val="center"/>
                  <w:hideMark/>
                </w:tcPr>
                <w:p w14:paraId="547E5D0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0EC32A2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70353A36"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928" w:type="dxa"/>
                  <w:tcBorders>
                    <w:top w:val="nil"/>
                    <w:left w:val="nil"/>
                    <w:bottom w:val="single" w:sz="8" w:space="0" w:color="auto"/>
                    <w:right w:val="single" w:sz="8" w:space="0" w:color="auto"/>
                  </w:tcBorders>
                  <w:vAlign w:val="center"/>
                  <w:hideMark/>
                </w:tcPr>
                <w:p w14:paraId="4507293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r>
            <w:tr w:rsidR="006571FF" w:rsidRPr="00B56EC1" w14:paraId="6708A245"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2DD1FD81"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Down Direction Insufficiency</w:t>
                  </w:r>
                </w:p>
              </w:tc>
              <w:tc>
                <w:tcPr>
                  <w:tcW w:w="750" w:type="dxa"/>
                  <w:tcBorders>
                    <w:top w:val="nil"/>
                    <w:left w:val="nil"/>
                    <w:bottom w:val="single" w:sz="8" w:space="0" w:color="auto"/>
                    <w:right w:val="single" w:sz="8" w:space="0" w:color="auto"/>
                  </w:tcBorders>
                  <w:vAlign w:val="center"/>
                  <w:hideMark/>
                </w:tcPr>
                <w:p w14:paraId="6BF704F8" w14:textId="196F5CAB"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7E868664" w14:textId="6042DB9E"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p>
              </w:tc>
              <w:tc>
                <w:tcPr>
                  <w:tcW w:w="750" w:type="dxa"/>
                  <w:tcBorders>
                    <w:top w:val="nil"/>
                    <w:left w:val="nil"/>
                    <w:bottom w:val="single" w:sz="8" w:space="0" w:color="auto"/>
                    <w:right w:val="single" w:sz="8" w:space="0" w:color="auto"/>
                  </w:tcBorders>
                  <w:vAlign w:val="center"/>
                  <w:hideMark/>
                </w:tcPr>
                <w:p w14:paraId="09DEA48A" w14:textId="45C2AD7F"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w:t>
                  </w:r>
                  <w:r>
                    <w:rPr>
                      <w:rFonts w:ascii="Arial" w:eastAsia="Times New Roman" w:hAnsi="Arial" w:cs="Arial"/>
                      <w:color w:val="000000"/>
                      <w:sz w:val="16"/>
                      <w:szCs w:val="16"/>
                    </w:rPr>
                    <w:t>110</w:t>
                  </w:r>
                </w:p>
              </w:tc>
              <w:tc>
                <w:tcPr>
                  <w:tcW w:w="928" w:type="dxa"/>
                  <w:tcBorders>
                    <w:top w:val="nil"/>
                    <w:left w:val="nil"/>
                    <w:bottom w:val="single" w:sz="8" w:space="0" w:color="auto"/>
                    <w:right w:val="single" w:sz="8" w:space="0" w:color="auto"/>
                  </w:tcBorders>
                  <w:vAlign w:val="center"/>
                  <w:hideMark/>
                </w:tcPr>
                <w:p w14:paraId="3D5AFF80" w14:textId="4685DA8C"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w:t>
                  </w:r>
                  <w:r>
                    <w:rPr>
                      <w:rFonts w:ascii="Arial" w:eastAsia="Times New Roman" w:hAnsi="Arial" w:cs="Arial"/>
                      <w:color w:val="000000"/>
                      <w:sz w:val="16"/>
                      <w:szCs w:val="16"/>
                    </w:rPr>
                    <w:t>225</w:t>
                  </w:r>
                </w:p>
              </w:tc>
            </w:tr>
            <w:tr w:rsidR="006571FF" w:rsidRPr="00B56EC1" w14:paraId="7246A10D"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514629ED"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Down Direction Result</w:t>
                  </w:r>
                </w:p>
              </w:tc>
              <w:tc>
                <w:tcPr>
                  <w:tcW w:w="750" w:type="dxa"/>
                  <w:tcBorders>
                    <w:top w:val="nil"/>
                    <w:left w:val="nil"/>
                    <w:bottom w:val="single" w:sz="8" w:space="0" w:color="auto"/>
                    <w:right w:val="single" w:sz="8" w:space="0" w:color="auto"/>
                  </w:tcBorders>
                  <w:vAlign w:val="center"/>
                  <w:hideMark/>
                </w:tcPr>
                <w:p w14:paraId="0BC3426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Fail</w:t>
                  </w:r>
                </w:p>
              </w:tc>
              <w:tc>
                <w:tcPr>
                  <w:tcW w:w="750" w:type="dxa"/>
                  <w:tcBorders>
                    <w:top w:val="nil"/>
                    <w:left w:val="nil"/>
                    <w:bottom w:val="single" w:sz="8" w:space="0" w:color="auto"/>
                    <w:right w:val="single" w:sz="8" w:space="0" w:color="auto"/>
                  </w:tcBorders>
                  <w:vAlign w:val="center"/>
                  <w:hideMark/>
                </w:tcPr>
                <w:p w14:paraId="5CD7A3C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Fail</w:t>
                  </w:r>
                </w:p>
              </w:tc>
              <w:tc>
                <w:tcPr>
                  <w:tcW w:w="750" w:type="dxa"/>
                  <w:tcBorders>
                    <w:top w:val="nil"/>
                    <w:left w:val="nil"/>
                    <w:bottom w:val="single" w:sz="8" w:space="0" w:color="auto"/>
                    <w:right w:val="single" w:sz="8" w:space="0" w:color="auto"/>
                  </w:tcBorders>
                  <w:vAlign w:val="center"/>
                  <w:hideMark/>
                </w:tcPr>
                <w:p w14:paraId="57B2661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928" w:type="dxa"/>
                  <w:tcBorders>
                    <w:top w:val="nil"/>
                    <w:left w:val="nil"/>
                    <w:bottom w:val="single" w:sz="8" w:space="0" w:color="auto"/>
                    <w:right w:val="single" w:sz="8" w:space="0" w:color="auto"/>
                  </w:tcBorders>
                  <w:vAlign w:val="center"/>
                  <w:hideMark/>
                </w:tcPr>
                <w:p w14:paraId="7202D8DE"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r>
            <w:tr w:rsidR="006571FF" w:rsidRPr="00B56EC1" w14:paraId="216650AE" w14:textId="77777777" w:rsidTr="007172ED">
              <w:trPr>
                <w:trHeight w:val="268"/>
              </w:trPr>
              <w:tc>
                <w:tcPr>
                  <w:tcW w:w="4909"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1A9D58D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Up Direction (under insuffic</w:t>
                  </w:r>
                  <w:r>
                    <w:rPr>
                      <w:rFonts w:ascii="Arial" w:eastAsia="Times New Roman" w:hAnsi="Arial" w:cs="Arial"/>
                      <w:color w:val="000000"/>
                      <w:sz w:val="16"/>
                      <w:szCs w:val="16"/>
                    </w:rPr>
                    <w:t>i</w:t>
                  </w:r>
                  <w:r w:rsidRPr="00B56EC1">
                    <w:rPr>
                      <w:rFonts w:ascii="Arial" w:eastAsia="Times New Roman" w:hAnsi="Arial" w:cs="Arial"/>
                      <w:color w:val="000000"/>
                      <w:sz w:val="16"/>
                      <w:szCs w:val="16"/>
                    </w:rPr>
                    <w:t>ency direction in CMRI)</w:t>
                  </w:r>
                </w:p>
              </w:tc>
            </w:tr>
            <w:tr w:rsidR="006571FF" w:rsidRPr="00B56EC1" w14:paraId="6CD013D3"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1FCF2B0A"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Total Up Requirement</w:t>
                  </w:r>
                </w:p>
              </w:tc>
              <w:tc>
                <w:tcPr>
                  <w:tcW w:w="750" w:type="dxa"/>
                  <w:tcBorders>
                    <w:top w:val="nil"/>
                    <w:left w:val="nil"/>
                    <w:bottom w:val="single" w:sz="8" w:space="0" w:color="auto"/>
                    <w:right w:val="single" w:sz="8" w:space="0" w:color="auto"/>
                  </w:tcBorders>
                  <w:vAlign w:val="center"/>
                  <w:hideMark/>
                </w:tcPr>
                <w:p w14:paraId="69B2D9AD" w14:textId="181E1829"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2</w:t>
                  </w:r>
                  <w:r w:rsidRPr="00B56EC1">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0D55A0C9" w14:textId="55919491"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5</w:t>
                  </w:r>
                  <w:r w:rsidRPr="00B56EC1">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2905F7D1" w14:textId="2DFD3458"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Pr="00B56EC1">
                    <w:rPr>
                      <w:rFonts w:ascii="Arial" w:eastAsia="Times New Roman" w:hAnsi="Arial" w:cs="Arial"/>
                      <w:color w:val="000000"/>
                      <w:sz w:val="16"/>
                      <w:szCs w:val="16"/>
                    </w:rPr>
                    <w:t>0</w:t>
                  </w:r>
                </w:p>
              </w:tc>
              <w:tc>
                <w:tcPr>
                  <w:tcW w:w="928" w:type="dxa"/>
                  <w:tcBorders>
                    <w:top w:val="nil"/>
                    <w:left w:val="nil"/>
                    <w:bottom w:val="single" w:sz="8" w:space="0" w:color="auto"/>
                    <w:right w:val="single" w:sz="8" w:space="0" w:color="auto"/>
                  </w:tcBorders>
                  <w:vAlign w:val="center"/>
                  <w:hideMark/>
                </w:tcPr>
                <w:p w14:paraId="6500DAA0" w14:textId="111503B8"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w:t>
                  </w:r>
                  <w:r>
                    <w:rPr>
                      <w:rFonts w:ascii="Arial" w:eastAsia="Times New Roman" w:hAnsi="Arial" w:cs="Arial"/>
                      <w:color w:val="000000"/>
                      <w:sz w:val="16"/>
                      <w:szCs w:val="16"/>
                    </w:rPr>
                    <w:t>25</w:t>
                  </w:r>
                </w:p>
              </w:tc>
            </w:tr>
            <w:tr w:rsidR="006571FF" w:rsidRPr="00B56EC1" w14:paraId="36EF0150"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05956E7B"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Bid Range Capacity (Up)</w:t>
                  </w:r>
                </w:p>
              </w:tc>
              <w:tc>
                <w:tcPr>
                  <w:tcW w:w="750" w:type="dxa"/>
                  <w:tcBorders>
                    <w:top w:val="nil"/>
                    <w:left w:val="nil"/>
                    <w:bottom w:val="single" w:sz="8" w:space="0" w:color="auto"/>
                    <w:right w:val="single" w:sz="8" w:space="0" w:color="auto"/>
                  </w:tcBorders>
                  <w:vAlign w:val="center"/>
                  <w:hideMark/>
                </w:tcPr>
                <w:p w14:paraId="50BC1CA8"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5BA426CE"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43719B81"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c>
                <w:tcPr>
                  <w:tcW w:w="928" w:type="dxa"/>
                  <w:tcBorders>
                    <w:top w:val="nil"/>
                    <w:left w:val="nil"/>
                    <w:bottom w:val="single" w:sz="8" w:space="0" w:color="auto"/>
                    <w:right w:val="single" w:sz="8" w:space="0" w:color="auto"/>
                  </w:tcBorders>
                  <w:vAlign w:val="center"/>
                  <w:hideMark/>
                </w:tcPr>
                <w:p w14:paraId="78678890"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100</w:t>
                  </w:r>
                </w:p>
              </w:tc>
            </w:tr>
            <w:tr w:rsidR="006571FF" w:rsidRPr="00B56EC1" w14:paraId="12C5A7D2"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0A121D6D"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 xml:space="preserve">Up Direction Insufficiency </w:t>
                  </w:r>
                </w:p>
              </w:tc>
              <w:tc>
                <w:tcPr>
                  <w:tcW w:w="750" w:type="dxa"/>
                  <w:tcBorders>
                    <w:top w:val="nil"/>
                    <w:left w:val="nil"/>
                    <w:bottom w:val="single" w:sz="8" w:space="0" w:color="auto"/>
                    <w:right w:val="single" w:sz="8" w:space="0" w:color="auto"/>
                  </w:tcBorders>
                  <w:vAlign w:val="center"/>
                  <w:hideMark/>
                </w:tcPr>
                <w:p w14:paraId="73FF9D62" w14:textId="6E3C5A2C"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-2</w:t>
                  </w:r>
                  <w:r>
                    <w:rPr>
                      <w:rFonts w:ascii="Arial" w:eastAsia="Times New Roman" w:hAnsi="Arial" w:cs="Arial"/>
                      <w:color w:val="000000"/>
                      <w:sz w:val="16"/>
                      <w:szCs w:val="16"/>
                    </w:rPr>
                    <w:t>2</w:t>
                  </w:r>
                  <w:r w:rsidRPr="00B56EC1">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3045C10C" w14:textId="1C5C29E5"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-2</w:t>
                  </w:r>
                  <w:r>
                    <w:rPr>
                      <w:rFonts w:ascii="Arial" w:eastAsia="Times New Roman" w:hAnsi="Arial" w:cs="Arial"/>
                      <w:color w:val="000000"/>
                      <w:sz w:val="16"/>
                      <w:szCs w:val="16"/>
                    </w:rPr>
                    <w:t>5</w:t>
                  </w:r>
                  <w:r w:rsidRPr="00B56EC1">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7F0BBA5A" w14:textId="5E53F5AF"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w:t>
                  </w:r>
                  <w:r>
                    <w:rPr>
                      <w:rFonts w:ascii="Arial" w:eastAsia="Times New Roman" w:hAnsi="Arial" w:cs="Arial"/>
                      <w:color w:val="000000"/>
                      <w:sz w:val="16"/>
                      <w:szCs w:val="16"/>
                    </w:rPr>
                    <w:t>9</w:t>
                  </w:r>
                  <w:r w:rsidRPr="00B56EC1">
                    <w:rPr>
                      <w:rFonts w:ascii="Arial" w:eastAsia="Times New Roman" w:hAnsi="Arial" w:cs="Arial"/>
                      <w:color w:val="000000"/>
                      <w:sz w:val="16"/>
                      <w:szCs w:val="16"/>
                    </w:rPr>
                    <w:t>0</w:t>
                  </w:r>
                </w:p>
              </w:tc>
              <w:tc>
                <w:tcPr>
                  <w:tcW w:w="928" w:type="dxa"/>
                  <w:tcBorders>
                    <w:top w:val="nil"/>
                    <w:left w:val="nil"/>
                    <w:bottom w:val="single" w:sz="8" w:space="0" w:color="auto"/>
                    <w:right w:val="single" w:sz="8" w:space="0" w:color="auto"/>
                  </w:tcBorders>
                  <w:vAlign w:val="center"/>
                  <w:hideMark/>
                </w:tcPr>
                <w:p w14:paraId="7FF91C75" w14:textId="1DBD3EC5" w:rsidR="006571FF" w:rsidRPr="00B56EC1"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r>
            <w:tr w:rsidR="006571FF" w:rsidRPr="00B56EC1" w14:paraId="5872E656" w14:textId="77777777" w:rsidTr="007172ED">
              <w:trPr>
                <w:trHeight w:val="268"/>
              </w:trPr>
              <w:tc>
                <w:tcPr>
                  <w:tcW w:w="1731" w:type="dxa"/>
                  <w:tcBorders>
                    <w:top w:val="nil"/>
                    <w:left w:val="single" w:sz="8" w:space="0" w:color="auto"/>
                    <w:bottom w:val="single" w:sz="8" w:space="0" w:color="auto"/>
                    <w:right w:val="single" w:sz="8" w:space="0" w:color="auto"/>
                  </w:tcBorders>
                  <w:vAlign w:val="center"/>
                  <w:hideMark/>
                </w:tcPr>
                <w:p w14:paraId="43C3EBBF" w14:textId="77777777" w:rsidR="006571FF" w:rsidRPr="00B56EC1" w:rsidRDefault="006571FF" w:rsidP="007172ED">
                  <w:pPr>
                    <w:spacing w:after="0" w:line="240" w:lineRule="auto"/>
                    <w:rPr>
                      <w:rFonts w:ascii="Arial" w:eastAsia="Times New Roman" w:hAnsi="Arial" w:cs="Arial"/>
                      <w:color w:val="000000"/>
                      <w:sz w:val="16"/>
                      <w:szCs w:val="16"/>
                    </w:rPr>
                  </w:pPr>
                  <w:r w:rsidRPr="00B56EC1">
                    <w:rPr>
                      <w:rFonts w:ascii="Arial" w:eastAsia="Times New Roman" w:hAnsi="Arial" w:cs="Arial"/>
                      <w:color w:val="000000"/>
                      <w:sz w:val="16"/>
                      <w:szCs w:val="16"/>
                    </w:rPr>
                    <w:t>Up Direction Result</w:t>
                  </w:r>
                </w:p>
              </w:tc>
              <w:tc>
                <w:tcPr>
                  <w:tcW w:w="750" w:type="dxa"/>
                  <w:tcBorders>
                    <w:top w:val="nil"/>
                    <w:left w:val="nil"/>
                    <w:bottom w:val="single" w:sz="8" w:space="0" w:color="auto"/>
                    <w:right w:val="single" w:sz="8" w:space="0" w:color="auto"/>
                  </w:tcBorders>
                  <w:vAlign w:val="center"/>
                  <w:hideMark/>
                </w:tcPr>
                <w:p w14:paraId="4E37CAAA"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4D66B226"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77CD4633"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Pass</w:t>
                  </w:r>
                </w:p>
              </w:tc>
              <w:tc>
                <w:tcPr>
                  <w:tcW w:w="928" w:type="dxa"/>
                  <w:tcBorders>
                    <w:top w:val="nil"/>
                    <w:left w:val="nil"/>
                    <w:bottom w:val="single" w:sz="8" w:space="0" w:color="auto"/>
                    <w:right w:val="single" w:sz="8" w:space="0" w:color="auto"/>
                  </w:tcBorders>
                  <w:vAlign w:val="center"/>
                  <w:hideMark/>
                </w:tcPr>
                <w:p w14:paraId="190B1009" w14:textId="77777777" w:rsidR="006571FF" w:rsidRPr="00B56EC1" w:rsidRDefault="006571FF" w:rsidP="007172ED">
                  <w:pPr>
                    <w:spacing w:after="0" w:line="240" w:lineRule="auto"/>
                    <w:jc w:val="center"/>
                    <w:rPr>
                      <w:rFonts w:ascii="Arial" w:eastAsia="Times New Roman" w:hAnsi="Arial" w:cs="Arial"/>
                      <w:color w:val="000000"/>
                      <w:sz w:val="16"/>
                      <w:szCs w:val="16"/>
                    </w:rPr>
                  </w:pPr>
                  <w:r w:rsidRPr="00B56EC1">
                    <w:rPr>
                      <w:rFonts w:ascii="Arial" w:eastAsia="Times New Roman" w:hAnsi="Arial" w:cs="Arial"/>
                      <w:color w:val="000000"/>
                      <w:sz w:val="16"/>
                      <w:szCs w:val="16"/>
                    </w:rPr>
                    <w:t>Fail</w:t>
                  </w:r>
                </w:p>
              </w:tc>
            </w:tr>
          </w:tbl>
          <w:p w14:paraId="4AFB4C81" w14:textId="77777777" w:rsidR="006571FF" w:rsidRPr="007A014B" w:rsidRDefault="006571FF" w:rsidP="007172ED">
            <w:pPr>
              <w:rPr>
                <w:rFonts w:cs="Arial"/>
                <w:bCs/>
                <w:sz w:val="16"/>
                <w:szCs w:val="16"/>
              </w:rPr>
            </w:pPr>
          </w:p>
          <w:p w14:paraId="25B2D3D8" w14:textId="1102F17D" w:rsidR="006571FF" w:rsidRPr="004C419C" w:rsidRDefault="006571FF" w:rsidP="007172ED">
            <w:pPr>
              <w:rPr>
                <w:rFonts w:cs="Arial"/>
                <w:bCs/>
              </w:rPr>
            </w:pPr>
          </w:p>
        </w:tc>
        <w:tc>
          <w:tcPr>
            <w:tcW w:w="4501" w:type="dxa"/>
          </w:tcPr>
          <w:p w14:paraId="5875DD49" w14:textId="77777777" w:rsidR="006571FF" w:rsidRDefault="006571FF" w:rsidP="007172ED">
            <w:pPr>
              <w:rPr>
                <w:rFonts w:cs="Arial"/>
                <w:bCs/>
                <w:sz w:val="16"/>
                <w:szCs w:val="16"/>
              </w:rPr>
            </w:pPr>
            <w:r>
              <w:rPr>
                <w:rFonts w:cs="Arial"/>
                <w:bCs/>
                <w:sz w:val="16"/>
                <w:szCs w:val="16"/>
              </w:rPr>
              <w:lastRenderedPageBreak/>
              <w:t>For this scenario, CMRI shall report the most-insufficient 15-minute interval results (</w:t>
            </w:r>
            <w:r w:rsidRPr="008A3981">
              <w:rPr>
                <w:rFonts w:cs="Arial"/>
                <w:bCs/>
                <w:color w:val="0000FF"/>
                <w:sz w:val="16"/>
                <w:szCs w:val="16"/>
              </w:rPr>
              <w:t>in blue text</w:t>
            </w:r>
            <w:r>
              <w:rPr>
                <w:rFonts w:cs="Arial"/>
                <w:bCs/>
                <w:sz w:val="16"/>
                <w:szCs w:val="16"/>
              </w:rPr>
              <w:t>) for interval :30 results for the “over” direction, and interval :60 results for the “under” direction.  Only the intervals’ trade hour will be identified in the report.</w:t>
            </w:r>
          </w:p>
          <w:tbl>
            <w:tblPr>
              <w:tblStyle w:val="TableGrid11"/>
              <w:tblW w:w="0" w:type="auto"/>
              <w:tblLook w:val="04A0" w:firstRow="1" w:lastRow="0" w:firstColumn="1" w:lastColumn="0" w:noHBand="0" w:noVBand="1"/>
            </w:tblPr>
            <w:tblGrid>
              <w:gridCol w:w="1610"/>
              <w:gridCol w:w="652"/>
              <w:gridCol w:w="652"/>
              <w:gridCol w:w="652"/>
              <w:gridCol w:w="652"/>
            </w:tblGrid>
            <w:tr w:rsidR="006571FF" w14:paraId="11A0C2CB" w14:textId="77777777" w:rsidTr="007172ED">
              <w:tc>
                <w:tcPr>
                  <w:tcW w:w="2566" w:type="dxa"/>
                  <w:tcBorders>
                    <w:bottom w:val="single" w:sz="12" w:space="0" w:color="auto"/>
                  </w:tcBorders>
                  <w:shd w:val="clear" w:color="auto" w:fill="F2F2F2" w:themeFill="background1" w:themeFillShade="F2"/>
                </w:tcPr>
                <w:p w14:paraId="3CB70EDD" w14:textId="77777777" w:rsidR="006571FF" w:rsidRPr="007A014B" w:rsidRDefault="006571FF" w:rsidP="007172ED">
                  <w:pPr>
                    <w:pStyle w:val="NoSpacing"/>
                    <w:rPr>
                      <w:sz w:val="16"/>
                      <w:szCs w:val="16"/>
                    </w:rPr>
                  </w:pPr>
                  <w:r>
                    <w:rPr>
                      <w:sz w:val="16"/>
                      <w:szCs w:val="16"/>
                    </w:rPr>
                    <w:t>Description</w:t>
                  </w:r>
                </w:p>
              </w:tc>
              <w:tc>
                <w:tcPr>
                  <w:tcW w:w="652" w:type="dxa"/>
                  <w:tcBorders>
                    <w:bottom w:val="single" w:sz="12" w:space="0" w:color="auto"/>
                  </w:tcBorders>
                  <w:shd w:val="clear" w:color="auto" w:fill="F2F2F2" w:themeFill="background1" w:themeFillShade="F2"/>
                </w:tcPr>
                <w:p w14:paraId="55C209DA"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:15</w:t>
                  </w:r>
                </w:p>
              </w:tc>
              <w:tc>
                <w:tcPr>
                  <w:tcW w:w="652" w:type="dxa"/>
                  <w:tcBorders>
                    <w:bottom w:val="single" w:sz="18" w:space="0" w:color="auto"/>
                  </w:tcBorders>
                  <w:shd w:val="clear" w:color="auto" w:fill="F2F2F2" w:themeFill="background1" w:themeFillShade="F2"/>
                </w:tcPr>
                <w:p w14:paraId="1000DAAC" w14:textId="77777777" w:rsidR="006571FF" w:rsidRPr="002C270B" w:rsidRDefault="006571FF" w:rsidP="007172ED">
                  <w:pPr>
                    <w:pStyle w:val="NoSpacing"/>
                    <w:jc w:val="center"/>
                    <w:rPr>
                      <w:color w:val="0000FF"/>
                      <w:sz w:val="16"/>
                      <w:szCs w:val="16"/>
                    </w:rPr>
                  </w:pPr>
                  <w:r w:rsidRPr="002C270B">
                    <w:rPr>
                      <w:color w:val="0000FF"/>
                      <w:sz w:val="16"/>
                      <w:szCs w:val="16"/>
                    </w:rPr>
                    <w:t>:30</w:t>
                  </w:r>
                </w:p>
              </w:tc>
              <w:tc>
                <w:tcPr>
                  <w:tcW w:w="652" w:type="dxa"/>
                  <w:tcBorders>
                    <w:bottom w:val="single" w:sz="12" w:space="0" w:color="auto"/>
                  </w:tcBorders>
                  <w:shd w:val="clear" w:color="auto" w:fill="F2F2F2" w:themeFill="background1" w:themeFillShade="F2"/>
                </w:tcPr>
                <w:p w14:paraId="0BD1B03C"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:45</w:t>
                  </w:r>
                </w:p>
              </w:tc>
              <w:tc>
                <w:tcPr>
                  <w:tcW w:w="652" w:type="dxa"/>
                  <w:tcBorders>
                    <w:bottom w:val="single" w:sz="12" w:space="0" w:color="auto"/>
                  </w:tcBorders>
                  <w:shd w:val="clear" w:color="auto" w:fill="F2F2F2" w:themeFill="background1" w:themeFillShade="F2"/>
                </w:tcPr>
                <w:p w14:paraId="0662A6AC" w14:textId="77777777" w:rsidR="006571FF" w:rsidRPr="002C270B" w:rsidRDefault="006571FF" w:rsidP="007172ED">
                  <w:pPr>
                    <w:pStyle w:val="NoSpacing"/>
                    <w:jc w:val="center"/>
                    <w:rPr>
                      <w:color w:val="0000FF"/>
                      <w:sz w:val="16"/>
                      <w:szCs w:val="16"/>
                    </w:rPr>
                  </w:pPr>
                  <w:r w:rsidRPr="002C270B">
                    <w:rPr>
                      <w:color w:val="0000FF"/>
                      <w:sz w:val="16"/>
                      <w:szCs w:val="16"/>
                    </w:rPr>
                    <w:t>:60</w:t>
                  </w:r>
                </w:p>
              </w:tc>
            </w:tr>
            <w:tr w:rsidR="006571FF" w14:paraId="4534A4B0" w14:textId="77777777" w:rsidTr="007172ED">
              <w:tc>
                <w:tcPr>
                  <w:tcW w:w="2566" w:type="dxa"/>
                  <w:tcBorders>
                    <w:top w:val="single" w:sz="12" w:space="0" w:color="auto"/>
                  </w:tcBorders>
                </w:tcPr>
                <w:p w14:paraId="5F5DA2F6" w14:textId="77777777" w:rsidR="006571FF" w:rsidRDefault="006571FF" w:rsidP="007172ED">
                  <w:pPr>
                    <w:pStyle w:val="NoSpacing"/>
                    <w:rPr>
                      <w:sz w:val="16"/>
                      <w:szCs w:val="16"/>
                    </w:rPr>
                  </w:pPr>
                  <w:r>
                    <w:rPr>
                      <w:sz w:val="16"/>
                      <w:szCs w:val="16"/>
                    </w:rPr>
                    <w:t>Test Status (Over)</w:t>
                  </w:r>
                </w:p>
              </w:tc>
              <w:tc>
                <w:tcPr>
                  <w:tcW w:w="652" w:type="dxa"/>
                  <w:tcBorders>
                    <w:top w:val="single" w:sz="12" w:space="0" w:color="auto"/>
                    <w:right w:val="single" w:sz="18" w:space="0" w:color="auto"/>
                  </w:tcBorders>
                </w:tcPr>
                <w:p w14:paraId="2641A092"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Fail</w:t>
                  </w:r>
                </w:p>
              </w:tc>
              <w:tc>
                <w:tcPr>
                  <w:tcW w:w="652" w:type="dxa"/>
                  <w:tcBorders>
                    <w:top w:val="single" w:sz="18" w:space="0" w:color="auto"/>
                    <w:left w:val="single" w:sz="18" w:space="0" w:color="auto"/>
                    <w:right w:val="single" w:sz="18" w:space="0" w:color="auto"/>
                  </w:tcBorders>
                </w:tcPr>
                <w:p w14:paraId="3EB9B56A" w14:textId="77777777" w:rsidR="006571FF" w:rsidRPr="002C270B" w:rsidRDefault="006571FF" w:rsidP="007172ED">
                  <w:pPr>
                    <w:pStyle w:val="NoSpacing"/>
                    <w:jc w:val="center"/>
                    <w:rPr>
                      <w:color w:val="0000FF"/>
                      <w:sz w:val="16"/>
                      <w:szCs w:val="16"/>
                    </w:rPr>
                  </w:pPr>
                  <w:r w:rsidRPr="002C270B">
                    <w:rPr>
                      <w:color w:val="0000FF"/>
                      <w:sz w:val="16"/>
                      <w:szCs w:val="16"/>
                    </w:rPr>
                    <w:t>Fail</w:t>
                  </w:r>
                </w:p>
              </w:tc>
              <w:tc>
                <w:tcPr>
                  <w:tcW w:w="652" w:type="dxa"/>
                  <w:tcBorders>
                    <w:top w:val="single" w:sz="12" w:space="0" w:color="auto"/>
                    <w:left w:val="single" w:sz="18" w:space="0" w:color="auto"/>
                  </w:tcBorders>
                </w:tcPr>
                <w:p w14:paraId="75717C12"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2" w:space="0" w:color="auto"/>
                  </w:tcBorders>
                </w:tcPr>
                <w:p w14:paraId="1DB1B334"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r>
            <w:tr w:rsidR="006571FF" w14:paraId="440B0EDC" w14:textId="77777777" w:rsidTr="007172ED">
              <w:tc>
                <w:tcPr>
                  <w:tcW w:w="2566" w:type="dxa"/>
                </w:tcPr>
                <w:p w14:paraId="0F9EC2C4" w14:textId="77777777" w:rsidR="006571FF" w:rsidRPr="007A014B" w:rsidRDefault="006571FF" w:rsidP="007172ED">
                  <w:pPr>
                    <w:pStyle w:val="NoSpacing"/>
                    <w:rPr>
                      <w:sz w:val="16"/>
                      <w:szCs w:val="16"/>
                    </w:rPr>
                  </w:pPr>
                  <w:r>
                    <w:rPr>
                      <w:sz w:val="16"/>
                      <w:szCs w:val="16"/>
                    </w:rPr>
                    <w:t>Insufficiency Direction (Over)</w:t>
                  </w:r>
                </w:p>
              </w:tc>
              <w:tc>
                <w:tcPr>
                  <w:tcW w:w="652" w:type="dxa"/>
                  <w:tcBorders>
                    <w:right w:val="single" w:sz="18" w:space="0" w:color="auto"/>
                  </w:tcBorders>
                </w:tcPr>
                <w:p w14:paraId="58A28FF9"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Over</w:t>
                  </w:r>
                </w:p>
              </w:tc>
              <w:tc>
                <w:tcPr>
                  <w:tcW w:w="652" w:type="dxa"/>
                  <w:tcBorders>
                    <w:left w:val="single" w:sz="18" w:space="0" w:color="auto"/>
                    <w:right w:val="single" w:sz="18" w:space="0" w:color="auto"/>
                  </w:tcBorders>
                </w:tcPr>
                <w:p w14:paraId="6F7A3B31" w14:textId="77777777" w:rsidR="006571FF" w:rsidRPr="002C270B" w:rsidRDefault="006571FF" w:rsidP="007172ED">
                  <w:pPr>
                    <w:pStyle w:val="NoSpacing"/>
                    <w:jc w:val="center"/>
                    <w:rPr>
                      <w:color w:val="0000FF"/>
                      <w:sz w:val="16"/>
                      <w:szCs w:val="16"/>
                    </w:rPr>
                  </w:pPr>
                  <w:r w:rsidRPr="002C270B">
                    <w:rPr>
                      <w:color w:val="0000FF"/>
                      <w:sz w:val="16"/>
                      <w:szCs w:val="16"/>
                    </w:rPr>
                    <w:t>Over</w:t>
                  </w:r>
                </w:p>
              </w:tc>
              <w:tc>
                <w:tcPr>
                  <w:tcW w:w="652" w:type="dxa"/>
                  <w:tcBorders>
                    <w:left w:val="single" w:sz="18" w:space="0" w:color="auto"/>
                  </w:tcBorders>
                </w:tcPr>
                <w:p w14:paraId="3F3DAAAE"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Over</w:t>
                  </w:r>
                </w:p>
              </w:tc>
              <w:tc>
                <w:tcPr>
                  <w:tcW w:w="652" w:type="dxa"/>
                </w:tcPr>
                <w:p w14:paraId="3BC9B3FF"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Over</w:t>
                  </w:r>
                </w:p>
              </w:tc>
            </w:tr>
            <w:tr w:rsidR="006571FF" w14:paraId="7AA9818A" w14:textId="77777777" w:rsidTr="007172ED">
              <w:tc>
                <w:tcPr>
                  <w:tcW w:w="2566" w:type="dxa"/>
                  <w:tcBorders>
                    <w:bottom w:val="single" w:sz="4" w:space="0" w:color="auto"/>
                  </w:tcBorders>
                </w:tcPr>
                <w:p w14:paraId="7745E3DD" w14:textId="77777777" w:rsidR="006571FF" w:rsidRPr="007A014B" w:rsidRDefault="006571FF" w:rsidP="007172ED">
                  <w:pPr>
                    <w:pStyle w:val="NoSpacing"/>
                    <w:rPr>
                      <w:sz w:val="16"/>
                      <w:szCs w:val="16"/>
                    </w:rPr>
                  </w:pPr>
                  <w:r>
                    <w:rPr>
                      <w:sz w:val="16"/>
                      <w:szCs w:val="16"/>
                    </w:rPr>
                    <w:t>Insufficiency Percentage (%)</w:t>
                  </w:r>
                </w:p>
              </w:tc>
              <w:tc>
                <w:tcPr>
                  <w:tcW w:w="652" w:type="dxa"/>
                  <w:tcBorders>
                    <w:bottom w:val="single" w:sz="4" w:space="0" w:color="auto"/>
                    <w:right w:val="single" w:sz="18" w:space="0" w:color="auto"/>
                  </w:tcBorders>
                </w:tcPr>
                <w:p w14:paraId="4F437C3C" w14:textId="38F709C0" w:rsidR="006571FF" w:rsidRPr="002C270B" w:rsidRDefault="006571FF" w:rsidP="007172ED">
                  <w:pPr>
                    <w:pStyle w:val="NoSpacing"/>
                    <w:jc w:val="center"/>
                    <w:rPr>
                      <w:color w:val="000000" w:themeColor="text1"/>
                      <w:sz w:val="14"/>
                      <w:szCs w:val="14"/>
                    </w:rPr>
                  </w:pPr>
                  <w:r>
                    <w:rPr>
                      <w:color w:val="000000" w:themeColor="text1"/>
                      <w:sz w:val="14"/>
                      <w:szCs w:val="14"/>
                    </w:rPr>
                    <w:t>25</w:t>
                  </w:r>
                  <w:r w:rsidRPr="002C270B">
                    <w:rPr>
                      <w:color w:val="000000" w:themeColor="text1"/>
                      <w:sz w:val="14"/>
                      <w:szCs w:val="14"/>
                    </w:rPr>
                    <w:t>.0</w:t>
                  </w:r>
                </w:p>
              </w:tc>
              <w:tc>
                <w:tcPr>
                  <w:tcW w:w="652" w:type="dxa"/>
                  <w:tcBorders>
                    <w:left w:val="single" w:sz="18" w:space="0" w:color="auto"/>
                    <w:bottom w:val="single" w:sz="4" w:space="0" w:color="auto"/>
                    <w:right w:val="single" w:sz="18" w:space="0" w:color="auto"/>
                  </w:tcBorders>
                </w:tcPr>
                <w:p w14:paraId="6B01F9D0" w14:textId="783DDB93" w:rsidR="006571FF" w:rsidRPr="002C270B" w:rsidRDefault="006571FF" w:rsidP="007172ED">
                  <w:pPr>
                    <w:pStyle w:val="NoSpacing"/>
                    <w:jc w:val="center"/>
                    <w:rPr>
                      <w:color w:val="0000FF"/>
                      <w:sz w:val="14"/>
                      <w:szCs w:val="14"/>
                    </w:rPr>
                  </w:pPr>
                  <w:r>
                    <w:rPr>
                      <w:color w:val="0000FF"/>
                      <w:sz w:val="14"/>
                      <w:szCs w:val="14"/>
                    </w:rPr>
                    <w:t>50</w:t>
                  </w:r>
                  <w:r w:rsidRPr="002C270B">
                    <w:rPr>
                      <w:color w:val="0000FF"/>
                      <w:sz w:val="14"/>
                      <w:szCs w:val="14"/>
                    </w:rPr>
                    <w:t>.0</w:t>
                  </w:r>
                </w:p>
              </w:tc>
              <w:tc>
                <w:tcPr>
                  <w:tcW w:w="652" w:type="dxa"/>
                  <w:tcBorders>
                    <w:left w:val="single" w:sz="18" w:space="0" w:color="auto"/>
                    <w:bottom w:val="single" w:sz="4" w:space="0" w:color="auto"/>
                  </w:tcBorders>
                </w:tcPr>
                <w:p w14:paraId="45D98F9B" w14:textId="2346FD20" w:rsidR="006571FF" w:rsidRPr="002C270B" w:rsidRDefault="006571FF" w:rsidP="007172ED">
                  <w:pPr>
                    <w:pStyle w:val="NoSpacing"/>
                    <w:jc w:val="center"/>
                    <w:rPr>
                      <w:color w:val="000000" w:themeColor="text1"/>
                      <w:sz w:val="14"/>
                      <w:szCs w:val="14"/>
                    </w:rPr>
                  </w:pPr>
                  <w:r>
                    <w:rPr>
                      <w:color w:val="000000" w:themeColor="text1"/>
                      <w:sz w:val="14"/>
                      <w:szCs w:val="14"/>
                    </w:rPr>
                    <w:t>-110.0</w:t>
                  </w:r>
                </w:p>
              </w:tc>
              <w:tc>
                <w:tcPr>
                  <w:tcW w:w="652" w:type="dxa"/>
                  <w:tcBorders>
                    <w:bottom w:val="single" w:sz="4" w:space="0" w:color="auto"/>
                  </w:tcBorders>
                </w:tcPr>
                <w:p w14:paraId="46670EA4" w14:textId="6A43E2AA" w:rsidR="006571FF" w:rsidRPr="002C270B" w:rsidRDefault="006571FF" w:rsidP="007172ED">
                  <w:pPr>
                    <w:pStyle w:val="NoSpacing"/>
                    <w:jc w:val="center"/>
                    <w:rPr>
                      <w:color w:val="000000" w:themeColor="text1"/>
                      <w:sz w:val="14"/>
                      <w:szCs w:val="14"/>
                    </w:rPr>
                  </w:pPr>
                  <w:r>
                    <w:rPr>
                      <w:color w:val="000000" w:themeColor="text1"/>
                      <w:sz w:val="14"/>
                      <w:szCs w:val="14"/>
                    </w:rPr>
                    <w:t>-225.0</w:t>
                  </w:r>
                </w:p>
              </w:tc>
            </w:tr>
            <w:tr w:rsidR="006571FF" w14:paraId="6D58E15A" w14:textId="77777777" w:rsidTr="007172ED">
              <w:tc>
                <w:tcPr>
                  <w:tcW w:w="2566" w:type="dxa"/>
                  <w:tcBorders>
                    <w:bottom w:val="single" w:sz="12" w:space="0" w:color="auto"/>
                  </w:tcBorders>
                </w:tcPr>
                <w:p w14:paraId="53DB94C6" w14:textId="77777777" w:rsidR="006571FF" w:rsidRPr="007A014B" w:rsidRDefault="006571FF" w:rsidP="007172ED">
                  <w:pPr>
                    <w:pStyle w:val="NoSpacing"/>
                    <w:rPr>
                      <w:sz w:val="16"/>
                      <w:szCs w:val="16"/>
                    </w:rPr>
                  </w:pPr>
                  <w:r>
                    <w:rPr>
                      <w:sz w:val="16"/>
                      <w:szCs w:val="16"/>
                    </w:rPr>
                    <w:t>Insufficiency Amount (MW)</w:t>
                  </w:r>
                </w:p>
              </w:tc>
              <w:tc>
                <w:tcPr>
                  <w:tcW w:w="652" w:type="dxa"/>
                  <w:tcBorders>
                    <w:bottom w:val="single" w:sz="12" w:space="0" w:color="auto"/>
                    <w:right w:val="single" w:sz="18" w:space="0" w:color="auto"/>
                  </w:tcBorders>
                </w:tcPr>
                <w:p w14:paraId="29E763B2" w14:textId="495B7B62" w:rsidR="006571FF" w:rsidRPr="002C270B" w:rsidRDefault="006571FF" w:rsidP="007172ED">
                  <w:pPr>
                    <w:pStyle w:val="NoSpacing"/>
                    <w:jc w:val="center"/>
                    <w:rPr>
                      <w:color w:val="000000" w:themeColor="text1"/>
                      <w:sz w:val="16"/>
                      <w:szCs w:val="16"/>
                    </w:rPr>
                  </w:pPr>
                  <w:r>
                    <w:rPr>
                      <w:color w:val="000000" w:themeColor="text1"/>
                      <w:sz w:val="16"/>
                      <w:szCs w:val="16"/>
                    </w:rPr>
                    <w:t>25</w:t>
                  </w:r>
                </w:p>
              </w:tc>
              <w:tc>
                <w:tcPr>
                  <w:tcW w:w="652" w:type="dxa"/>
                  <w:tcBorders>
                    <w:left w:val="single" w:sz="18" w:space="0" w:color="auto"/>
                    <w:bottom w:val="single" w:sz="18" w:space="0" w:color="auto"/>
                    <w:right w:val="single" w:sz="18" w:space="0" w:color="auto"/>
                  </w:tcBorders>
                </w:tcPr>
                <w:p w14:paraId="2CE86F7E" w14:textId="55994075" w:rsidR="006571FF" w:rsidRPr="002C270B" w:rsidRDefault="006571FF" w:rsidP="007172ED">
                  <w:pPr>
                    <w:pStyle w:val="NoSpacing"/>
                    <w:jc w:val="center"/>
                    <w:rPr>
                      <w:color w:val="0000FF"/>
                      <w:sz w:val="16"/>
                      <w:szCs w:val="16"/>
                    </w:rPr>
                  </w:pPr>
                  <w:r>
                    <w:rPr>
                      <w:color w:val="0000FF"/>
                      <w:sz w:val="16"/>
                      <w:szCs w:val="16"/>
                    </w:rPr>
                    <w:t>50</w:t>
                  </w:r>
                </w:p>
              </w:tc>
              <w:tc>
                <w:tcPr>
                  <w:tcW w:w="652" w:type="dxa"/>
                  <w:tcBorders>
                    <w:left w:val="single" w:sz="18" w:space="0" w:color="auto"/>
                    <w:bottom w:val="single" w:sz="12" w:space="0" w:color="auto"/>
                  </w:tcBorders>
                </w:tcPr>
                <w:p w14:paraId="6C0A07B7" w14:textId="128A8CE7" w:rsidR="006571FF" w:rsidRPr="002C270B" w:rsidRDefault="006571FF" w:rsidP="007172ED">
                  <w:pPr>
                    <w:pStyle w:val="NoSpacing"/>
                    <w:jc w:val="center"/>
                    <w:rPr>
                      <w:color w:val="000000" w:themeColor="text1"/>
                      <w:sz w:val="16"/>
                      <w:szCs w:val="16"/>
                    </w:rPr>
                  </w:pPr>
                  <w:r>
                    <w:rPr>
                      <w:color w:val="000000" w:themeColor="text1"/>
                      <w:sz w:val="16"/>
                      <w:szCs w:val="16"/>
                    </w:rPr>
                    <w:t>-110</w:t>
                  </w:r>
                </w:p>
              </w:tc>
              <w:tc>
                <w:tcPr>
                  <w:tcW w:w="652" w:type="dxa"/>
                  <w:tcBorders>
                    <w:bottom w:val="single" w:sz="18" w:space="0" w:color="auto"/>
                  </w:tcBorders>
                </w:tcPr>
                <w:p w14:paraId="57D6FA9B" w14:textId="7234289B" w:rsidR="006571FF" w:rsidRPr="002C270B" w:rsidRDefault="006571FF" w:rsidP="007172ED">
                  <w:pPr>
                    <w:pStyle w:val="NoSpacing"/>
                    <w:jc w:val="center"/>
                    <w:rPr>
                      <w:color w:val="000000" w:themeColor="text1"/>
                      <w:sz w:val="16"/>
                      <w:szCs w:val="16"/>
                    </w:rPr>
                  </w:pPr>
                  <w:r>
                    <w:rPr>
                      <w:color w:val="000000" w:themeColor="text1"/>
                      <w:sz w:val="16"/>
                      <w:szCs w:val="16"/>
                    </w:rPr>
                    <w:t>-225</w:t>
                  </w:r>
                </w:p>
              </w:tc>
            </w:tr>
            <w:tr w:rsidR="006571FF" w14:paraId="365006CF" w14:textId="77777777" w:rsidTr="007172ED">
              <w:tc>
                <w:tcPr>
                  <w:tcW w:w="2566" w:type="dxa"/>
                  <w:tcBorders>
                    <w:top w:val="single" w:sz="12" w:space="0" w:color="auto"/>
                  </w:tcBorders>
                </w:tcPr>
                <w:p w14:paraId="05CA19C2" w14:textId="77777777" w:rsidR="006571FF" w:rsidRDefault="006571FF" w:rsidP="007172ED">
                  <w:pPr>
                    <w:pStyle w:val="NoSpacing"/>
                    <w:rPr>
                      <w:sz w:val="16"/>
                      <w:szCs w:val="16"/>
                    </w:rPr>
                  </w:pPr>
                  <w:r>
                    <w:rPr>
                      <w:sz w:val="16"/>
                      <w:szCs w:val="16"/>
                    </w:rPr>
                    <w:t>Test Status (Under)</w:t>
                  </w:r>
                </w:p>
              </w:tc>
              <w:tc>
                <w:tcPr>
                  <w:tcW w:w="652" w:type="dxa"/>
                  <w:tcBorders>
                    <w:top w:val="single" w:sz="12" w:space="0" w:color="auto"/>
                  </w:tcBorders>
                </w:tcPr>
                <w:p w14:paraId="354AD5DC"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8" w:space="0" w:color="auto"/>
                  </w:tcBorders>
                </w:tcPr>
                <w:p w14:paraId="12FB1D1C"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2" w:space="0" w:color="auto"/>
                    <w:right w:val="single" w:sz="18" w:space="0" w:color="auto"/>
                  </w:tcBorders>
                </w:tcPr>
                <w:p w14:paraId="469879E3"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8" w:space="0" w:color="auto"/>
                    <w:left w:val="single" w:sz="18" w:space="0" w:color="auto"/>
                    <w:right w:val="single" w:sz="18" w:space="0" w:color="auto"/>
                  </w:tcBorders>
                </w:tcPr>
                <w:p w14:paraId="6288D493" w14:textId="77777777" w:rsidR="006571FF" w:rsidRPr="002C270B" w:rsidRDefault="006571FF" w:rsidP="007172ED">
                  <w:pPr>
                    <w:pStyle w:val="NoSpacing"/>
                    <w:jc w:val="center"/>
                    <w:rPr>
                      <w:color w:val="0000FF"/>
                      <w:sz w:val="16"/>
                      <w:szCs w:val="16"/>
                    </w:rPr>
                  </w:pPr>
                  <w:r>
                    <w:rPr>
                      <w:color w:val="0000FF"/>
                      <w:sz w:val="16"/>
                      <w:szCs w:val="16"/>
                    </w:rPr>
                    <w:t>Fail</w:t>
                  </w:r>
                </w:p>
              </w:tc>
            </w:tr>
            <w:tr w:rsidR="006571FF" w14:paraId="496BF05E" w14:textId="77777777" w:rsidTr="007172ED">
              <w:tc>
                <w:tcPr>
                  <w:tcW w:w="2566" w:type="dxa"/>
                </w:tcPr>
                <w:p w14:paraId="37221342" w14:textId="77777777" w:rsidR="006571FF" w:rsidRDefault="006571FF" w:rsidP="007172ED">
                  <w:pPr>
                    <w:pStyle w:val="NoSpacing"/>
                    <w:rPr>
                      <w:sz w:val="16"/>
                      <w:szCs w:val="16"/>
                    </w:rPr>
                  </w:pPr>
                  <w:r>
                    <w:rPr>
                      <w:sz w:val="16"/>
                      <w:szCs w:val="16"/>
                    </w:rPr>
                    <w:t>Insufficiency Direction (Under)</w:t>
                  </w:r>
                </w:p>
              </w:tc>
              <w:tc>
                <w:tcPr>
                  <w:tcW w:w="652" w:type="dxa"/>
                </w:tcPr>
                <w:p w14:paraId="31499F92"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Pr>
                <w:p w14:paraId="707B80A6"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Borders>
                    <w:right w:val="single" w:sz="18" w:space="0" w:color="auto"/>
                  </w:tcBorders>
                </w:tcPr>
                <w:p w14:paraId="4D034DA0"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Borders>
                    <w:left w:val="single" w:sz="18" w:space="0" w:color="auto"/>
                    <w:right w:val="single" w:sz="18" w:space="0" w:color="auto"/>
                  </w:tcBorders>
                </w:tcPr>
                <w:p w14:paraId="12C5CD91" w14:textId="77777777" w:rsidR="006571FF" w:rsidRPr="002C270B" w:rsidRDefault="006571FF" w:rsidP="007172ED">
                  <w:pPr>
                    <w:pStyle w:val="NoSpacing"/>
                    <w:jc w:val="center"/>
                    <w:rPr>
                      <w:color w:val="0000FF"/>
                      <w:sz w:val="16"/>
                      <w:szCs w:val="16"/>
                    </w:rPr>
                  </w:pPr>
                  <w:r w:rsidRPr="002C270B">
                    <w:rPr>
                      <w:color w:val="0000FF"/>
                      <w:sz w:val="16"/>
                      <w:szCs w:val="16"/>
                    </w:rPr>
                    <w:t>Under</w:t>
                  </w:r>
                </w:p>
              </w:tc>
            </w:tr>
            <w:tr w:rsidR="006571FF" w14:paraId="5167A984" w14:textId="77777777" w:rsidTr="007172ED">
              <w:tc>
                <w:tcPr>
                  <w:tcW w:w="2566" w:type="dxa"/>
                  <w:tcBorders>
                    <w:bottom w:val="single" w:sz="4" w:space="0" w:color="auto"/>
                  </w:tcBorders>
                </w:tcPr>
                <w:p w14:paraId="4CF124EF" w14:textId="77777777" w:rsidR="006571FF" w:rsidRDefault="006571FF" w:rsidP="007172ED">
                  <w:pPr>
                    <w:pStyle w:val="NoSpacing"/>
                    <w:rPr>
                      <w:sz w:val="16"/>
                      <w:szCs w:val="16"/>
                    </w:rPr>
                  </w:pPr>
                  <w:r>
                    <w:rPr>
                      <w:sz w:val="16"/>
                      <w:szCs w:val="16"/>
                    </w:rPr>
                    <w:t>Insufficiency Percentage (%)</w:t>
                  </w:r>
                </w:p>
              </w:tc>
              <w:tc>
                <w:tcPr>
                  <w:tcW w:w="652" w:type="dxa"/>
                  <w:tcBorders>
                    <w:bottom w:val="single" w:sz="4" w:space="0" w:color="auto"/>
                  </w:tcBorders>
                </w:tcPr>
                <w:p w14:paraId="5A22B60C" w14:textId="0823A7DD" w:rsidR="006571FF" w:rsidRPr="002C270B" w:rsidRDefault="006571FF" w:rsidP="007172ED">
                  <w:pPr>
                    <w:pStyle w:val="NoSpacing"/>
                    <w:jc w:val="center"/>
                    <w:rPr>
                      <w:color w:val="000000" w:themeColor="text1"/>
                      <w:sz w:val="14"/>
                      <w:szCs w:val="14"/>
                    </w:rPr>
                  </w:pPr>
                  <w:r w:rsidRPr="002C270B">
                    <w:rPr>
                      <w:color w:val="000000" w:themeColor="text1"/>
                      <w:sz w:val="14"/>
                      <w:szCs w:val="14"/>
                    </w:rPr>
                    <w:t>-2</w:t>
                  </w:r>
                  <w:r>
                    <w:rPr>
                      <w:color w:val="000000" w:themeColor="text1"/>
                      <w:sz w:val="14"/>
                      <w:szCs w:val="14"/>
                    </w:rPr>
                    <w:t>2</w:t>
                  </w:r>
                  <w:r w:rsidRPr="002C270B">
                    <w:rPr>
                      <w:color w:val="000000" w:themeColor="text1"/>
                      <w:sz w:val="14"/>
                      <w:szCs w:val="14"/>
                    </w:rPr>
                    <w:t>5.0</w:t>
                  </w:r>
                </w:p>
              </w:tc>
              <w:tc>
                <w:tcPr>
                  <w:tcW w:w="652" w:type="dxa"/>
                  <w:tcBorders>
                    <w:bottom w:val="single" w:sz="4" w:space="0" w:color="auto"/>
                  </w:tcBorders>
                </w:tcPr>
                <w:p w14:paraId="00AEC04E" w14:textId="5AEB72B8" w:rsidR="006571FF" w:rsidRPr="002C270B" w:rsidRDefault="006571FF" w:rsidP="007172ED">
                  <w:pPr>
                    <w:pStyle w:val="NoSpacing"/>
                    <w:jc w:val="center"/>
                    <w:rPr>
                      <w:color w:val="000000" w:themeColor="text1"/>
                      <w:sz w:val="14"/>
                      <w:szCs w:val="14"/>
                    </w:rPr>
                  </w:pPr>
                  <w:r>
                    <w:rPr>
                      <w:color w:val="000000" w:themeColor="text1"/>
                      <w:sz w:val="14"/>
                      <w:szCs w:val="14"/>
                    </w:rPr>
                    <w:t>-250.0</w:t>
                  </w:r>
                </w:p>
              </w:tc>
              <w:tc>
                <w:tcPr>
                  <w:tcW w:w="652" w:type="dxa"/>
                  <w:tcBorders>
                    <w:bottom w:val="single" w:sz="4" w:space="0" w:color="auto"/>
                    <w:right w:val="single" w:sz="18" w:space="0" w:color="auto"/>
                  </w:tcBorders>
                </w:tcPr>
                <w:p w14:paraId="4B1430EC" w14:textId="3F770BA1" w:rsidR="006571FF" w:rsidRPr="002C270B" w:rsidRDefault="006571FF" w:rsidP="007172ED">
                  <w:pPr>
                    <w:pStyle w:val="NoSpacing"/>
                    <w:jc w:val="center"/>
                    <w:rPr>
                      <w:color w:val="000000" w:themeColor="text1"/>
                      <w:sz w:val="14"/>
                      <w:szCs w:val="14"/>
                    </w:rPr>
                  </w:pPr>
                  <w:r>
                    <w:rPr>
                      <w:color w:val="000000" w:themeColor="text1"/>
                      <w:sz w:val="14"/>
                      <w:szCs w:val="14"/>
                    </w:rPr>
                    <w:t>-90.0</w:t>
                  </w:r>
                </w:p>
              </w:tc>
              <w:tc>
                <w:tcPr>
                  <w:tcW w:w="652" w:type="dxa"/>
                  <w:tcBorders>
                    <w:left w:val="single" w:sz="18" w:space="0" w:color="auto"/>
                    <w:bottom w:val="single" w:sz="4" w:space="0" w:color="auto"/>
                    <w:right w:val="single" w:sz="18" w:space="0" w:color="auto"/>
                  </w:tcBorders>
                </w:tcPr>
                <w:p w14:paraId="60A5BD9A" w14:textId="6300A411" w:rsidR="006571FF" w:rsidRPr="002C270B" w:rsidRDefault="006571FF" w:rsidP="007172ED">
                  <w:pPr>
                    <w:pStyle w:val="NoSpacing"/>
                    <w:jc w:val="center"/>
                    <w:rPr>
                      <w:color w:val="0000FF"/>
                      <w:sz w:val="14"/>
                      <w:szCs w:val="14"/>
                    </w:rPr>
                  </w:pPr>
                  <w:r>
                    <w:rPr>
                      <w:color w:val="0000FF"/>
                      <w:sz w:val="14"/>
                      <w:szCs w:val="14"/>
                    </w:rPr>
                    <w:t>2</w:t>
                  </w:r>
                  <w:r w:rsidRPr="002C270B">
                    <w:rPr>
                      <w:color w:val="0000FF"/>
                      <w:sz w:val="14"/>
                      <w:szCs w:val="14"/>
                    </w:rPr>
                    <w:t>5.0</w:t>
                  </w:r>
                </w:p>
              </w:tc>
            </w:tr>
            <w:tr w:rsidR="006571FF" w14:paraId="7E24B87C" w14:textId="77777777" w:rsidTr="007172ED">
              <w:tc>
                <w:tcPr>
                  <w:tcW w:w="2566" w:type="dxa"/>
                  <w:tcBorders>
                    <w:bottom w:val="single" w:sz="12" w:space="0" w:color="auto"/>
                  </w:tcBorders>
                </w:tcPr>
                <w:p w14:paraId="10DF0E5D" w14:textId="77777777" w:rsidR="006571FF" w:rsidRDefault="006571FF" w:rsidP="007172ED">
                  <w:pPr>
                    <w:pStyle w:val="NoSpacing"/>
                    <w:rPr>
                      <w:sz w:val="16"/>
                      <w:szCs w:val="16"/>
                    </w:rPr>
                  </w:pPr>
                  <w:r>
                    <w:rPr>
                      <w:sz w:val="16"/>
                      <w:szCs w:val="16"/>
                    </w:rPr>
                    <w:t>Insufficiency Amount (MW)</w:t>
                  </w:r>
                </w:p>
              </w:tc>
              <w:tc>
                <w:tcPr>
                  <w:tcW w:w="652" w:type="dxa"/>
                  <w:tcBorders>
                    <w:bottom w:val="single" w:sz="12" w:space="0" w:color="auto"/>
                  </w:tcBorders>
                </w:tcPr>
                <w:p w14:paraId="5836BE5B" w14:textId="09937A28" w:rsidR="006571FF" w:rsidRPr="002C270B" w:rsidRDefault="006571FF" w:rsidP="007172ED">
                  <w:pPr>
                    <w:pStyle w:val="NoSpacing"/>
                    <w:jc w:val="center"/>
                    <w:rPr>
                      <w:color w:val="000000" w:themeColor="text1"/>
                      <w:sz w:val="16"/>
                      <w:szCs w:val="16"/>
                    </w:rPr>
                  </w:pPr>
                  <w:r w:rsidRPr="002C270B">
                    <w:rPr>
                      <w:color w:val="000000" w:themeColor="text1"/>
                      <w:sz w:val="16"/>
                      <w:szCs w:val="16"/>
                    </w:rPr>
                    <w:t>-2</w:t>
                  </w:r>
                  <w:r>
                    <w:rPr>
                      <w:color w:val="000000" w:themeColor="text1"/>
                      <w:sz w:val="16"/>
                      <w:szCs w:val="16"/>
                    </w:rPr>
                    <w:t>2</w:t>
                  </w:r>
                  <w:r w:rsidRPr="002C270B">
                    <w:rPr>
                      <w:color w:val="000000" w:themeColor="text1"/>
                      <w:sz w:val="16"/>
                      <w:szCs w:val="16"/>
                    </w:rPr>
                    <w:t>5</w:t>
                  </w:r>
                </w:p>
              </w:tc>
              <w:tc>
                <w:tcPr>
                  <w:tcW w:w="652" w:type="dxa"/>
                  <w:tcBorders>
                    <w:bottom w:val="single" w:sz="12" w:space="0" w:color="auto"/>
                  </w:tcBorders>
                </w:tcPr>
                <w:p w14:paraId="47318838" w14:textId="79C2002F" w:rsidR="006571FF" w:rsidRPr="002C270B" w:rsidRDefault="006571FF" w:rsidP="007172ED">
                  <w:pPr>
                    <w:pStyle w:val="NoSpacing"/>
                    <w:jc w:val="center"/>
                    <w:rPr>
                      <w:color w:val="000000" w:themeColor="text1"/>
                      <w:sz w:val="16"/>
                      <w:szCs w:val="16"/>
                    </w:rPr>
                  </w:pPr>
                  <w:r>
                    <w:rPr>
                      <w:color w:val="000000" w:themeColor="text1"/>
                      <w:sz w:val="16"/>
                      <w:szCs w:val="16"/>
                    </w:rPr>
                    <w:t>-250</w:t>
                  </w:r>
                </w:p>
              </w:tc>
              <w:tc>
                <w:tcPr>
                  <w:tcW w:w="652" w:type="dxa"/>
                  <w:tcBorders>
                    <w:bottom w:val="single" w:sz="12" w:space="0" w:color="auto"/>
                    <w:right w:val="single" w:sz="18" w:space="0" w:color="auto"/>
                  </w:tcBorders>
                </w:tcPr>
                <w:p w14:paraId="52439A0B" w14:textId="3B961419" w:rsidR="006571FF" w:rsidRPr="002C270B" w:rsidRDefault="006571FF" w:rsidP="007172ED">
                  <w:pPr>
                    <w:pStyle w:val="NoSpacing"/>
                    <w:jc w:val="center"/>
                    <w:rPr>
                      <w:color w:val="000000" w:themeColor="text1"/>
                      <w:sz w:val="16"/>
                      <w:szCs w:val="16"/>
                    </w:rPr>
                  </w:pPr>
                  <w:r>
                    <w:rPr>
                      <w:color w:val="000000" w:themeColor="text1"/>
                      <w:sz w:val="16"/>
                      <w:szCs w:val="16"/>
                    </w:rPr>
                    <w:t>-90</w:t>
                  </w:r>
                </w:p>
              </w:tc>
              <w:tc>
                <w:tcPr>
                  <w:tcW w:w="652" w:type="dxa"/>
                  <w:tcBorders>
                    <w:left w:val="single" w:sz="18" w:space="0" w:color="auto"/>
                    <w:bottom w:val="single" w:sz="18" w:space="0" w:color="auto"/>
                    <w:right w:val="single" w:sz="18" w:space="0" w:color="auto"/>
                  </w:tcBorders>
                </w:tcPr>
                <w:p w14:paraId="06797FB3" w14:textId="64D1E467" w:rsidR="006571FF" w:rsidRPr="002C270B" w:rsidRDefault="006571FF" w:rsidP="007172ED">
                  <w:pPr>
                    <w:pStyle w:val="NoSpacing"/>
                    <w:jc w:val="center"/>
                    <w:rPr>
                      <w:color w:val="0000FF"/>
                      <w:sz w:val="16"/>
                      <w:szCs w:val="16"/>
                    </w:rPr>
                  </w:pPr>
                  <w:r>
                    <w:rPr>
                      <w:color w:val="0000FF"/>
                      <w:sz w:val="16"/>
                      <w:szCs w:val="16"/>
                    </w:rPr>
                    <w:t>2</w:t>
                  </w:r>
                  <w:r w:rsidRPr="002C270B">
                    <w:rPr>
                      <w:color w:val="0000FF"/>
                      <w:sz w:val="16"/>
                      <w:szCs w:val="16"/>
                    </w:rPr>
                    <w:t>5</w:t>
                  </w:r>
                </w:p>
              </w:tc>
            </w:tr>
          </w:tbl>
          <w:p w14:paraId="61C671AB" w14:textId="33DA1CC9" w:rsidR="006571FF" w:rsidRPr="004B47A2" w:rsidRDefault="006571FF" w:rsidP="007172ED">
            <w:pPr>
              <w:rPr>
                <w:rFonts w:cs="Arial"/>
                <w:sz w:val="16"/>
                <w:szCs w:val="16"/>
              </w:rPr>
            </w:pPr>
            <w:r>
              <w:rPr>
                <w:rFonts w:cs="Arial"/>
                <w:bCs/>
                <w:sz w:val="16"/>
                <w:szCs w:val="16"/>
              </w:rPr>
              <w:lastRenderedPageBreak/>
              <w:t>Since the BAA failed the “over” capacity test in the first and second intervals, the BAA’s import WEIM transfer is reduced in those intervals. Since the BAA failed the “under” capacity test in the fourth interval, the export WEIM transfer limit is reduced in that interval.</w:t>
            </w:r>
          </w:p>
        </w:tc>
      </w:tr>
      <w:tr w:rsidR="006571FF" w:rsidRPr="00767A7E" w14:paraId="0D7AEE4A" w14:textId="77777777" w:rsidTr="007172ED">
        <w:tc>
          <w:tcPr>
            <w:tcW w:w="0" w:type="auto"/>
          </w:tcPr>
          <w:p w14:paraId="4648BB6A" w14:textId="77777777" w:rsidR="006571FF" w:rsidRDefault="006571FF" w:rsidP="007172ED">
            <w:pPr>
              <w:jc w:val="center"/>
              <w:rPr>
                <w:rFonts w:cs="Arial"/>
                <w:b/>
                <w:bCs/>
              </w:rPr>
            </w:pPr>
            <w:r>
              <w:rPr>
                <w:rFonts w:cs="Arial"/>
                <w:b/>
                <w:bCs/>
              </w:rPr>
              <w:lastRenderedPageBreak/>
              <w:t>3</w:t>
            </w:r>
          </w:p>
        </w:tc>
        <w:tc>
          <w:tcPr>
            <w:tcW w:w="5243" w:type="dxa"/>
          </w:tcPr>
          <w:p w14:paraId="6F4AAD98" w14:textId="77777777" w:rsidR="006571FF" w:rsidRDefault="006571FF" w:rsidP="007172ED">
            <w:pPr>
              <w:rPr>
                <w:rFonts w:cs="Arial"/>
                <w:bCs/>
                <w:sz w:val="16"/>
                <w:szCs w:val="16"/>
              </w:rPr>
            </w:pPr>
            <w:r>
              <w:rPr>
                <w:rFonts w:cs="Arial"/>
                <w:bCs/>
                <w:sz w:val="16"/>
                <w:szCs w:val="16"/>
              </w:rPr>
              <w:t xml:space="preserve">BAA’s WEIM </w:t>
            </w:r>
            <w:r w:rsidRPr="007A014B">
              <w:rPr>
                <w:rFonts w:cs="Arial"/>
                <w:bCs/>
                <w:sz w:val="16"/>
                <w:szCs w:val="16"/>
              </w:rPr>
              <w:t xml:space="preserve">Capacity Test result </w:t>
            </w:r>
            <w:r>
              <w:rPr>
                <w:rFonts w:cs="Arial"/>
                <w:bCs/>
                <w:sz w:val="16"/>
                <w:szCs w:val="16"/>
              </w:rPr>
              <w:t>passe</w:t>
            </w:r>
            <w:r w:rsidRPr="007A014B">
              <w:rPr>
                <w:rFonts w:cs="Arial"/>
                <w:bCs/>
                <w:sz w:val="16"/>
                <w:szCs w:val="16"/>
              </w:rPr>
              <w:t xml:space="preserve">s for </w:t>
            </w:r>
            <w:r>
              <w:rPr>
                <w:rFonts w:cs="Arial"/>
                <w:bCs/>
                <w:sz w:val="16"/>
                <w:szCs w:val="16"/>
              </w:rPr>
              <w:t>all 15-minute interval for each direction in same trade hour, where the following conditions occur</w:t>
            </w:r>
            <w:r w:rsidRPr="007A014B">
              <w:rPr>
                <w:rFonts w:cs="Arial"/>
                <w:bCs/>
                <w:sz w:val="16"/>
                <w:szCs w:val="16"/>
              </w:rPr>
              <w:t>:</w:t>
            </w:r>
          </w:p>
          <w:tbl>
            <w:tblPr>
              <w:tblW w:w="5007" w:type="dxa"/>
              <w:tblLook w:val="04A0" w:firstRow="1" w:lastRow="0" w:firstColumn="1" w:lastColumn="0" w:noHBand="0" w:noVBand="1"/>
            </w:tblPr>
            <w:tblGrid>
              <w:gridCol w:w="2007"/>
              <w:gridCol w:w="750"/>
              <w:gridCol w:w="750"/>
              <w:gridCol w:w="750"/>
              <w:gridCol w:w="750"/>
            </w:tblGrid>
            <w:tr w:rsidR="006571FF" w:rsidRPr="00927EAD" w14:paraId="13019893" w14:textId="77777777" w:rsidTr="007172ED">
              <w:trPr>
                <w:trHeight w:val="251"/>
              </w:trPr>
              <w:tc>
                <w:tcPr>
                  <w:tcW w:w="200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EF28320"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Value</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589D3379"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21CC826C"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:30</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3DB43E6E"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:45</w:t>
                  </w:r>
                </w:p>
              </w:tc>
              <w:tc>
                <w:tcPr>
                  <w:tcW w:w="750" w:type="dxa"/>
                  <w:tcBorders>
                    <w:top w:val="single" w:sz="8" w:space="0" w:color="auto"/>
                    <w:left w:val="nil"/>
                    <w:bottom w:val="single" w:sz="8" w:space="0" w:color="auto"/>
                    <w:right w:val="single" w:sz="8" w:space="0" w:color="auto"/>
                  </w:tcBorders>
                  <w:shd w:val="clear" w:color="000000" w:fill="F2F2F2"/>
                  <w:vAlign w:val="center"/>
                  <w:hideMark/>
                </w:tcPr>
                <w:p w14:paraId="46CBC998"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:60</w:t>
                  </w:r>
                </w:p>
              </w:tc>
            </w:tr>
            <w:tr w:rsidR="006571FF" w:rsidRPr="00927EAD" w14:paraId="0D1C53E9"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3F46F666"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Sum of Base Schedules</w:t>
                  </w:r>
                </w:p>
              </w:tc>
              <w:tc>
                <w:tcPr>
                  <w:tcW w:w="750" w:type="dxa"/>
                  <w:tcBorders>
                    <w:top w:val="nil"/>
                    <w:left w:val="nil"/>
                    <w:bottom w:val="single" w:sz="8" w:space="0" w:color="auto"/>
                    <w:right w:val="single" w:sz="8" w:space="0" w:color="auto"/>
                  </w:tcBorders>
                  <w:vAlign w:val="center"/>
                  <w:hideMark/>
                </w:tcPr>
                <w:p w14:paraId="20678D56"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3FA5CD6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56C57B86"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c>
                <w:tcPr>
                  <w:tcW w:w="750" w:type="dxa"/>
                  <w:tcBorders>
                    <w:top w:val="nil"/>
                    <w:left w:val="nil"/>
                    <w:bottom w:val="single" w:sz="8" w:space="0" w:color="auto"/>
                    <w:right w:val="single" w:sz="8" w:space="0" w:color="auto"/>
                  </w:tcBorders>
                  <w:vAlign w:val="center"/>
                  <w:hideMark/>
                </w:tcPr>
                <w:p w14:paraId="7120A9BB"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1100</w:t>
                  </w:r>
                </w:p>
              </w:tc>
            </w:tr>
            <w:tr w:rsidR="006571FF" w:rsidRPr="00927EAD" w14:paraId="551A81C3"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12CBD78E"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15-minute Demand Forecast</w:t>
                  </w:r>
                </w:p>
              </w:tc>
              <w:tc>
                <w:tcPr>
                  <w:tcW w:w="750" w:type="dxa"/>
                  <w:tcBorders>
                    <w:top w:val="nil"/>
                    <w:left w:val="nil"/>
                    <w:bottom w:val="single" w:sz="8" w:space="0" w:color="auto"/>
                    <w:right w:val="single" w:sz="8" w:space="0" w:color="auto"/>
                  </w:tcBorders>
                  <w:vAlign w:val="center"/>
                  <w:hideMark/>
                </w:tcPr>
                <w:p w14:paraId="3119281F"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1050</w:t>
                  </w:r>
                </w:p>
              </w:tc>
              <w:tc>
                <w:tcPr>
                  <w:tcW w:w="750" w:type="dxa"/>
                  <w:tcBorders>
                    <w:top w:val="nil"/>
                    <w:left w:val="nil"/>
                    <w:bottom w:val="single" w:sz="8" w:space="0" w:color="auto"/>
                    <w:right w:val="single" w:sz="8" w:space="0" w:color="auto"/>
                  </w:tcBorders>
                  <w:vAlign w:val="center"/>
                  <w:hideMark/>
                </w:tcPr>
                <w:p w14:paraId="2D24F651"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1025</w:t>
                  </w:r>
                </w:p>
              </w:tc>
              <w:tc>
                <w:tcPr>
                  <w:tcW w:w="750" w:type="dxa"/>
                  <w:tcBorders>
                    <w:top w:val="nil"/>
                    <w:left w:val="nil"/>
                    <w:bottom w:val="single" w:sz="8" w:space="0" w:color="auto"/>
                    <w:right w:val="single" w:sz="8" w:space="0" w:color="auto"/>
                  </w:tcBorders>
                  <w:vAlign w:val="center"/>
                  <w:hideMark/>
                </w:tcPr>
                <w:p w14:paraId="7E0A5F1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1125</w:t>
                  </w:r>
                </w:p>
              </w:tc>
              <w:tc>
                <w:tcPr>
                  <w:tcW w:w="750" w:type="dxa"/>
                  <w:tcBorders>
                    <w:top w:val="nil"/>
                    <w:left w:val="nil"/>
                    <w:bottom w:val="single" w:sz="8" w:space="0" w:color="auto"/>
                    <w:right w:val="single" w:sz="8" w:space="0" w:color="auto"/>
                  </w:tcBorders>
                  <w:vAlign w:val="center"/>
                  <w:hideMark/>
                </w:tcPr>
                <w:p w14:paraId="6EEEAAC7"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1150</w:t>
                  </w:r>
                </w:p>
              </w:tc>
            </w:tr>
            <w:tr w:rsidR="006571FF" w:rsidRPr="00927EAD" w14:paraId="5C555ECB" w14:textId="77777777" w:rsidTr="007172ED">
              <w:trPr>
                <w:trHeight w:val="251"/>
              </w:trPr>
              <w:tc>
                <w:tcPr>
                  <w:tcW w:w="5007"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74F0FE36"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Down Direction (over insufficiency direction in CMRI)</w:t>
                  </w:r>
                </w:p>
              </w:tc>
            </w:tr>
            <w:tr w:rsidR="006571FF" w:rsidRPr="00927EAD" w14:paraId="69D005E2"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1FB075A3"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Total Down Requirement</w:t>
                  </w:r>
                </w:p>
              </w:tc>
              <w:tc>
                <w:tcPr>
                  <w:tcW w:w="750" w:type="dxa"/>
                  <w:tcBorders>
                    <w:top w:val="nil"/>
                    <w:left w:val="nil"/>
                    <w:bottom w:val="single" w:sz="8" w:space="0" w:color="auto"/>
                    <w:right w:val="single" w:sz="8" w:space="0" w:color="auto"/>
                  </w:tcBorders>
                  <w:vAlign w:val="center"/>
                  <w:hideMark/>
                </w:tcPr>
                <w:p w14:paraId="4F9DA0DE" w14:textId="3CEA72A9"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Pr="00927EAD">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6D313665" w14:textId="093D81F5"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w:t>
                  </w:r>
                  <w:r w:rsidRPr="00927EAD">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1400A10D" w14:textId="17AF4F33"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2</w:t>
                  </w:r>
                  <w:r w:rsidRPr="00927EAD">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772F39F9" w14:textId="7053162F"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w:t>
                  </w:r>
                  <w:r w:rsidRPr="00927EAD">
                    <w:rPr>
                      <w:rFonts w:ascii="Arial" w:eastAsia="Times New Roman" w:hAnsi="Arial" w:cs="Arial"/>
                      <w:color w:val="000000"/>
                      <w:sz w:val="16"/>
                      <w:szCs w:val="16"/>
                    </w:rPr>
                    <w:t>0</w:t>
                  </w:r>
                </w:p>
              </w:tc>
            </w:tr>
            <w:tr w:rsidR="006571FF" w:rsidRPr="00927EAD" w14:paraId="2B2D4C6F"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6C7E95D3"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Bid Range Capacity (Down)</w:t>
                  </w:r>
                </w:p>
              </w:tc>
              <w:tc>
                <w:tcPr>
                  <w:tcW w:w="750" w:type="dxa"/>
                  <w:tcBorders>
                    <w:top w:val="nil"/>
                    <w:left w:val="nil"/>
                    <w:bottom w:val="single" w:sz="8" w:space="0" w:color="auto"/>
                    <w:right w:val="single" w:sz="8" w:space="0" w:color="auto"/>
                  </w:tcBorders>
                  <w:vAlign w:val="center"/>
                  <w:hideMark/>
                </w:tcPr>
                <w:p w14:paraId="4F46C0FA"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68662470"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3190D2ED"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1BF899B4"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r>
            <w:tr w:rsidR="006571FF" w:rsidRPr="00927EAD" w14:paraId="1386ACB5"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03DA0117"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Down Direction Insufficiency</w:t>
                  </w:r>
                </w:p>
              </w:tc>
              <w:tc>
                <w:tcPr>
                  <w:tcW w:w="750" w:type="dxa"/>
                  <w:tcBorders>
                    <w:top w:val="nil"/>
                    <w:left w:val="nil"/>
                    <w:bottom w:val="single" w:sz="8" w:space="0" w:color="auto"/>
                    <w:right w:val="single" w:sz="8" w:space="0" w:color="auto"/>
                  </w:tcBorders>
                  <w:vAlign w:val="center"/>
                  <w:hideMark/>
                </w:tcPr>
                <w:p w14:paraId="5D687CC3" w14:textId="3E86FDE3"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w:t>
                  </w:r>
                  <w:r w:rsidRPr="00927EAD">
                    <w:rPr>
                      <w:rFonts w:ascii="Arial" w:eastAsia="Times New Roman" w:hAnsi="Arial" w:cs="Arial"/>
                      <w:color w:val="000000"/>
                      <w:sz w:val="16"/>
                      <w:szCs w:val="16"/>
                    </w:rPr>
                    <w:t>0</w:t>
                  </w:r>
                </w:p>
              </w:tc>
              <w:tc>
                <w:tcPr>
                  <w:tcW w:w="750" w:type="dxa"/>
                  <w:tcBorders>
                    <w:top w:val="nil"/>
                    <w:left w:val="nil"/>
                    <w:bottom w:val="single" w:sz="8" w:space="0" w:color="auto"/>
                    <w:right w:val="single" w:sz="8" w:space="0" w:color="auto"/>
                  </w:tcBorders>
                  <w:vAlign w:val="center"/>
                  <w:hideMark/>
                </w:tcPr>
                <w:p w14:paraId="0C872188" w14:textId="5BC6CE32"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2</w:t>
                  </w:r>
                  <w:r w:rsidRPr="00927EAD">
                    <w:rPr>
                      <w:rFonts w:ascii="Arial" w:eastAsia="Times New Roman" w:hAnsi="Arial" w:cs="Arial"/>
                      <w:color w:val="000000"/>
                      <w:sz w:val="16"/>
                      <w:szCs w:val="16"/>
                    </w:rPr>
                    <w:t>5</w:t>
                  </w:r>
                </w:p>
              </w:tc>
              <w:tc>
                <w:tcPr>
                  <w:tcW w:w="750" w:type="dxa"/>
                  <w:tcBorders>
                    <w:top w:val="nil"/>
                    <w:left w:val="nil"/>
                    <w:bottom w:val="single" w:sz="8" w:space="0" w:color="auto"/>
                    <w:right w:val="single" w:sz="8" w:space="0" w:color="auto"/>
                  </w:tcBorders>
                  <w:vAlign w:val="center"/>
                  <w:hideMark/>
                </w:tcPr>
                <w:p w14:paraId="371E05F8" w14:textId="008BAD10"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125</w:t>
                  </w:r>
                </w:p>
              </w:tc>
              <w:tc>
                <w:tcPr>
                  <w:tcW w:w="750" w:type="dxa"/>
                  <w:tcBorders>
                    <w:top w:val="nil"/>
                    <w:left w:val="nil"/>
                    <w:bottom w:val="single" w:sz="8" w:space="0" w:color="auto"/>
                    <w:right w:val="single" w:sz="8" w:space="0" w:color="auto"/>
                  </w:tcBorders>
                  <w:vAlign w:val="center"/>
                  <w:hideMark/>
                </w:tcPr>
                <w:p w14:paraId="15D7D157" w14:textId="4A5DAD32"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150</w:t>
                  </w:r>
                </w:p>
              </w:tc>
            </w:tr>
            <w:tr w:rsidR="006571FF" w:rsidRPr="00927EAD" w14:paraId="593063BE"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309C54C7"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Down Direction Result</w:t>
                  </w:r>
                </w:p>
              </w:tc>
              <w:tc>
                <w:tcPr>
                  <w:tcW w:w="750" w:type="dxa"/>
                  <w:tcBorders>
                    <w:top w:val="nil"/>
                    <w:left w:val="nil"/>
                    <w:bottom w:val="single" w:sz="8" w:space="0" w:color="auto"/>
                    <w:right w:val="single" w:sz="8" w:space="0" w:color="auto"/>
                  </w:tcBorders>
                  <w:vAlign w:val="center"/>
                  <w:hideMark/>
                </w:tcPr>
                <w:p w14:paraId="786D1288"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0B6CED1C"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6CD10ED4"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2B32DC0B"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r>
            <w:tr w:rsidR="006571FF" w:rsidRPr="00927EAD" w14:paraId="396B89B5" w14:textId="77777777" w:rsidTr="007172ED">
              <w:trPr>
                <w:trHeight w:val="251"/>
              </w:trPr>
              <w:tc>
                <w:tcPr>
                  <w:tcW w:w="5007"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306F5062"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Up Direction (under insuffic</w:t>
                  </w:r>
                  <w:r>
                    <w:rPr>
                      <w:rFonts w:ascii="Arial" w:eastAsia="Times New Roman" w:hAnsi="Arial" w:cs="Arial"/>
                      <w:color w:val="000000"/>
                      <w:sz w:val="16"/>
                      <w:szCs w:val="16"/>
                    </w:rPr>
                    <w:t>i</w:t>
                  </w:r>
                  <w:r w:rsidRPr="00927EAD">
                    <w:rPr>
                      <w:rFonts w:ascii="Arial" w:eastAsia="Times New Roman" w:hAnsi="Arial" w:cs="Arial"/>
                      <w:color w:val="000000"/>
                      <w:sz w:val="16"/>
                      <w:szCs w:val="16"/>
                    </w:rPr>
                    <w:t>ency direction in CMRI)</w:t>
                  </w:r>
                </w:p>
              </w:tc>
            </w:tr>
            <w:tr w:rsidR="006571FF" w:rsidRPr="00927EAD" w14:paraId="58811E3C"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0962A032"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Total Up Requirement</w:t>
                  </w:r>
                </w:p>
              </w:tc>
              <w:tc>
                <w:tcPr>
                  <w:tcW w:w="750" w:type="dxa"/>
                  <w:tcBorders>
                    <w:top w:val="nil"/>
                    <w:left w:val="nil"/>
                    <w:bottom w:val="single" w:sz="8" w:space="0" w:color="auto"/>
                    <w:right w:val="single" w:sz="8" w:space="0" w:color="auto"/>
                  </w:tcBorders>
                  <w:vAlign w:val="center"/>
                  <w:hideMark/>
                </w:tcPr>
                <w:p w14:paraId="27A85DDB" w14:textId="06CA4101"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50</w:t>
                  </w:r>
                </w:p>
              </w:tc>
              <w:tc>
                <w:tcPr>
                  <w:tcW w:w="750" w:type="dxa"/>
                  <w:tcBorders>
                    <w:top w:val="nil"/>
                    <w:left w:val="nil"/>
                    <w:bottom w:val="single" w:sz="8" w:space="0" w:color="auto"/>
                    <w:right w:val="single" w:sz="8" w:space="0" w:color="auto"/>
                  </w:tcBorders>
                  <w:vAlign w:val="center"/>
                  <w:hideMark/>
                </w:tcPr>
                <w:p w14:paraId="01255D2D" w14:textId="7D3C833F"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75</w:t>
                  </w:r>
                </w:p>
              </w:tc>
              <w:tc>
                <w:tcPr>
                  <w:tcW w:w="750" w:type="dxa"/>
                  <w:tcBorders>
                    <w:top w:val="nil"/>
                    <w:left w:val="nil"/>
                    <w:bottom w:val="single" w:sz="8" w:space="0" w:color="auto"/>
                    <w:right w:val="single" w:sz="8" w:space="0" w:color="auto"/>
                  </w:tcBorders>
                  <w:vAlign w:val="center"/>
                  <w:hideMark/>
                </w:tcPr>
                <w:p w14:paraId="117426D2" w14:textId="06877CE6"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p>
              </w:tc>
              <w:tc>
                <w:tcPr>
                  <w:tcW w:w="750" w:type="dxa"/>
                  <w:tcBorders>
                    <w:top w:val="nil"/>
                    <w:left w:val="nil"/>
                    <w:bottom w:val="single" w:sz="8" w:space="0" w:color="auto"/>
                    <w:right w:val="single" w:sz="8" w:space="0" w:color="auto"/>
                  </w:tcBorders>
                  <w:vAlign w:val="center"/>
                  <w:hideMark/>
                </w:tcPr>
                <w:p w14:paraId="300204DB" w14:textId="28E903C6" w:rsidR="006571FF" w:rsidRPr="00927EAD" w:rsidRDefault="006571FF" w:rsidP="007172E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p>
              </w:tc>
            </w:tr>
            <w:tr w:rsidR="006571FF" w:rsidRPr="00927EAD" w14:paraId="681762E6"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6C71CFBB"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Bid Range Capacity (Up)</w:t>
                  </w:r>
                </w:p>
              </w:tc>
              <w:tc>
                <w:tcPr>
                  <w:tcW w:w="750" w:type="dxa"/>
                  <w:tcBorders>
                    <w:top w:val="nil"/>
                    <w:left w:val="nil"/>
                    <w:bottom w:val="single" w:sz="8" w:space="0" w:color="auto"/>
                    <w:right w:val="single" w:sz="8" w:space="0" w:color="auto"/>
                  </w:tcBorders>
                  <w:vAlign w:val="center"/>
                  <w:hideMark/>
                </w:tcPr>
                <w:p w14:paraId="653B18B1"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272F1D89"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558CE570"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c>
                <w:tcPr>
                  <w:tcW w:w="750" w:type="dxa"/>
                  <w:tcBorders>
                    <w:top w:val="nil"/>
                    <w:left w:val="nil"/>
                    <w:bottom w:val="single" w:sz="8" w:space="0" w:color="auto"/>
                    <w:right w:val="single" w:sz="8" w:space="0" w:color="auto"/>
                  </w:tcBorders>
                  <w:vAlign w:val="center"/>
                  <w:hideMark/>
                </w:tcPr>
                <w:p w14:paraId="194ADD4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100</w:t>
                  </w:r>
                </w:p>
              </w:tc>
            </w:tr>
            <w:tr w:rsidR="006571FF" w:rsidRPr="00927EAD" w14:paraId="04D0007D"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643A12A7"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 xml:space="preserve">Up Direction Insufficiency </w:t>
                  </w:r>
                </w:p>
              </w:tc>
              <w:tc>
                <w:tcPr>
                  <w:tcW w:w="750" w:type="dxa"/>
                  <w:tcBorders>
                    <w:top w:val="nil"/>
                    <w:left w:val="nil"/>
                    <w:bottom w:val="single" w:sz="8" w:space="0" w:color="auto"/>
                    <w:right w:val="single" w:sz="8" w:space="0" w:color="auto"/>
                  </w:tcBorders>
                  <w:vAlign w:val="center"/>
                  <w:hideMark/>
                </w:tcPr>
                <w:p w14:paraId="22EA8F99" w14:textId="0E4298A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150</w:t>
                  </w:r>
                </w:p>
              </w:tc>
              <w:tc>
                <w:tcPr>
                  <w:tcW w:w="750" w:type="dxa"/>
                  <w:tcBorders>
                    <w:top w:val="nil"/>
                    <w:left w:val="nil"/>
                    <w:bottom w:val="single" w:sz="8" w:space="0" w:color="auto"/>
                    <w:right w:val="single" w:sz="8" w:space="0" w:color="auto"/>
                  </w:tcBorders>
                  <w:vAlign w:val="center"/>
                  <w:hideMark/>
                </w:tcPr>
                <w:p w14:paraId="1B93AEE2" w14:textId="54B95490"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175</w:t>
                  </w:r>
                </w:p>
              </w:tc>
              <w:tc>
                <w:tcPr>
                  <w:tcW w:w="750" w:type="dxa"/>
                  <w:tcBorders>
                    <w:top w:val="nil"/>
                    <w:left w:val="nil"/>
                    <w:bottom w:val="single" w:sz="8" w:space="0" w:color="auto"/>
                    <w:right w:val="single" w:sz="8" w:space="0" w:color="auto"/>
                  </w:tcBorders>
                  <w:vAlign w:val="center"/>
                  <w:hideMark/>
                </w:tcPr>
                <w:p w14:paraId="0BA8E6D3" w14:textId="01156389"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75</w:t>
                  </w:r>
                </w:p>
              </w:tc>
              <w:tc>
                <w:tcPr>
                  <w:tcW w:w="750" w:type="dxa"/>
                  <w:tcBorders>
                    <w:top w:val="nil"/>
                    <w:left w:val="nil"/>
                    <w:bottom w:val="single" w:sz="8" w:space="0" w:color="auto"/>
                    <w:right w:val="single" w:sz="8" w:space="0" w:color="auto"/>
                  </w:tcBorders>
                  <w:vAlign w:val="center"/>
                  <w:hideMark/>
                </w:tcPr>
                <w:p w14:paraId="69ABF482" w14:textId="2C981EFD"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w:t>
                  </w:r>
                  <w:r>
                    <w:rPr>
                      <w:rFonts w:ascii="Arial" w:eastAsia="Times New Roman" w:hAnsi="Arial" w:cs="Arial"/>
                      <w:color w:val="000000"/>
                      <w:sz w:val="16"/>
                      <w:szCs w:val="16"/>
                    </w:rPr>
                    <w:t>50</w:t>
                  </w:r>
                </w:p>
              </w:tc>
            </w:tr>
            <w:tr w:rsidR="006571FF" w:rsidRPr="00927EAD" w14:paraId="17A1E417" w14:textId="77777777" w:rsidTr="007172ED">
              <w:trPr>
                <w:trHeight w:val="251"/>
              </w:trPr>
              <w:tc>
                <w:tcPr>
                  <w:tcW w:w="2007" w:type="dxa"/>
                  <w:tcBorders>
                    <w:top w:val="nil"/>
                    <w:left w:val="single" w:sz="8" w:space="0" w:color="auto"/>
                    <w:bottom w:val="single" w:sz="8" w:space="0" w:color="auto"/>
                    <w:right w:val="single" w:sz="8" w:space="0" w:color="auto"/>
                  </w:tcBorders>
                  <w:vAlign w:val="center"/>
                  <w:hideMark/>
                </w:tcPr>
                <w:p w14:paraId="3AAF660C" w14:textId="77777777" w:rsidR="006571FF" w:rsidRPr="00927EAD" w:rsidRDefault="006571FF" w:rsidP="007172ED">
                  <w:pPr>
                    <w:spacing w:after="0" w:line="240" w:lineRule="auto"/>
                    <w:jc w:val="both"/>
                    <w:rPr>
                      <w:rFonts w:ascii="Arial" w:eastAsia="Times New Roman" w:hAnsi="Arial" w:cs="Arial"/>
                      <w:color w:val="000000"/>
                      <w:sz w:val="16"/>
                      <w:szCs w:val="16"/>
                    </w:rPr>
                  </w:pPr>
                  <w:r w:rsidRPr="00927EAD">
                    <w:rPr>
                      <w:rFonts w:ascii="Arial" w:eastAsia="Times New Roman" w:hAnsi="Arial" w:cs="Arial"/>
                      <w:color w:val="000000"/>
                      <w:sz w:val="16"/>
                      <w:szCs w:val="16"/>
                    </w:rPr>
                    <w:t>Up Direction Result</w:t>
                  </w:r>
                </w:p>
              </w:tc>
              <w:tc>
                <w:tcPr>
                  <w:tcW w:w="750" w:type="dxa"/>
                  <w:tcBorders>
                    <w:top w:val="nil"/>
                    <w:left w:val="nil"/>
                    <w:bottom w:val="single" w:sz="8" w:space="0" w:color="auto"/>
                    <w:right w:val="single" w:sz="8" w:space="0" w:color="auto"/>
                  </w:tcBorders>
                  <w:vAlign w:val="center"/>
                  <w:hideMark/>
                </w:tcPr>
                <w:p w14:paraId="75EA9B65"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44586502"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0E27C630"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c>
                <w:tcPr>
                  <w:tcW w:w="750" w:type="dxa"/>
                  <w:tcBorders>
                    <w:top w:val="nil"/>
                    <w:left w:val="nil"/>
                    <w:bottom w:val="single" w:sz="8" w:space="0" w:color="auto"/>
                    <w:right w:val="single" w:sz="8" w:space="0" w:color="auto"/>
                  </w:tcBorders>
                  <w:vAlign w:val="center"/>
                  <w:hideMark/>
                </w:tcPr>
                <w:p w14:paraId="26EAC55A" w14:textId="77777777" w:rsidR="006571FF" w:rsidRPr="00927EAD" w:rsidRDefault="006571FF" w:rsidP="007172ED">
                  <w:pPr>
                    <w:spacing w:after="0" w:line="240" w:lineRule="auto"/>
                    <w:jc w:val="center"/>
                    <w:rPr>
                      <w:rFonts w:ascii="Arial" w:eastAsia="Times New Roman" w:hAnsi="Arial" w:cs="Arial"/>
                      <w:color w:val="000000"/>
                      <w:sz w:val="16"/>
                      <w:szCs w:val="16"/>
                    </w:rPr>
                  </w:pPr>
                  <w:r w:rsidRPr="00927EAD">
                    <w:rPr>
                      <w:rFonts w:ascii="Arial" w:eastAsia="Times New Roman" w:hAnsi="Arial" w:cs="Arial"/>
                      <w:color w:val="000000"/>
                      <w:sz w:val="16"/>
                      <w:szCs w:val="16"/>
                    </w:rPr>
                    <w:t>Pass</w:t>
                  </w:r>
                </w:p>
              </w:tc>
            </w:tr>
          </w:tbl>
          <w:p w14:paraId="07737579" w14:textId="39BD40F1" w:rsidR="006571FF" w:rsidRPr="005D101D" w:rsidRDefault="006571FF" w:rsidP="007172ED">
            <w:pPr>
              <w:rPr>
                <w:rFonts w:cs="Arial"/>
                <w:bCs/>
              </w:rPr>
            </w:pPr>
          </w:p>
        </w:tc>
        <w:tc>
          <w:tcPr>
            <w:tcW w:w="4501" w:type="dxa"/>
          </w:tcPr>
          <w:p w14:paraId="736E5FF2" w14:textId="77777777" w:rsidR="006571FF" w:rsidRDefault="006571FF" w:rsidP="007172ED">
            <w:pPr>
              <w:rPr>
                <w:rFonts w:cs="Arial"/>
                <w:bCs/>
                <w:sz w:val="16"/>
                <w:szCs w:val="16"/>
              </w:rPr>
            </w:pPr>
            <w:r>
              <w:rPr>
                <w:rFonts w:cs="Arial"/>
                <w:bCs/>
                <w:sz w:val="16"/>
                <w:szCs w:val="16"/>
              </w:rPr>
              <w:t>For this scenario, CMRI shall report the most-insufficient 15-minute interval results (</w:t>
            </w:r>
            <w:r w:rsidRPr="001A4A19">
              <w:rPr>
                <w:rFonts w:cs="Arial"/>
                <w:bCs/>
                <w:color w:val="0000FF"/>
                <w:sz w:val="16"/>
                <w:szCs w:val="16"/>
              </w:rPr>
              <w:t>in blue text</w:t>
            </w:r>
            <w:r>
              <w:rPr>
                <w:rFonts w:cs="Arial"/>
                <w:bCs/>
                <w:sz w:val="16"/>
                <w:szCs w:val="16"/>
              </w:rPr>
              <w:t>) (using interval :30 results for the over direction, interval :60 results for the under direction).  Only the intervals’ trade hour will be identified in the report.</w:t>
            </w:r>
          </w:p>
          <w:tbl>
            <w:tblPr>
              <w:tblStyle w:val="TableGrid11"/>
              <w:tblW w:w="0" w:type="auto"/>
              <w:tblLook w:val="04A0" w:firstRow="1" w:lastRow="0" w:firstColumn="1" w:lastColumn="0" w:noHBand="0" w:noVBand="1"/>
            </w:tblPr>
            <w:tblGrid>
              <w:gridCol w:w="1610"/>
              <w:gridCol w:w="652"/>
              <w:gridCol w:w="652"/>
              <w:gridCol w:w="652"/>
              <w:gridCol w:w="652"/>
            </w:tblGrid>
            <w:tr w:rsidR="006571FF" w14:paraId="0CB72447" w14:textId="77777777" w:rsidTr="007172ED">
              <w:tc>
                <w:tcPr>
                  <w:tcW w:w="2566" w:type="dxa"/>
                  <w:tcBorders>
                    <w:bottom w:val="single" w:sz="12" w:space="0" w:color="auto"/>
                  </w:tcBorders>
                  <w:shd w:val="clear" w:color="auto" w:fill="F2F2F2" w:themeFill="background1" w:themeFillShade="F2"/>
                </w:tcPr>
                <w:p w14:paraId="6C63C192" w14:textId="77777777" w:rsidR="006571FF" w:rsidRPr="007A014B" w:rsidRDefault="006571FF" w:rsidP="007172ED">
                  <w:pPr>
                    <w:pStyle w:val="NoSpacing"/>
                    <w:rPr>
                      <w:sz w:val="16"/>
                      <w:szCs w:val="16"/>
                    </w:rPr>
                  </w:pPr>
                  <w:r>
                    <w:rPr>
                      <w:sz w:val="16"/>
                      <w:szCs w:val="16"/>
                    </w:rPr>
                    <w:t>Description</w:t>
                  </w:r>
                </w:p>
              </w:tc>
              <w:tc>
                <w:tcPr>
                  <w:tcW w:w="652" w:type="dxa"/>
                  <w:tcBorders>
                    <w:bottom w:val="single" w:sz="12" w:space="0" w:color="auto"/>
                  </w:tcBorders>
                  <w:shd w:val="clear" w:color="auto" w:fill="F2F2F2" w:themeFill="background1" w:themeFillShade="F2"/>
                </w:tcPr>
                <w:p w14:paraId="4A05E537" w14:textId="77777777" w:rsidR="006571FF" w:rsidRPr="00A96386" w:rsidRDefault="006571FF" w:rsidP="007172ED">
                  <w:pPr>
                    <w:pStyle w:val="NoSpacing"/>
                    <w:jc w:val="center"/>
                    <w:rPr>
                      <w:sz w:val="16"/>
                      <w:szCs w:val="16"/>
                    </w:rPr>
                  </w:pPr>
                  <w:r w:rsidRPr="00A96386">
                    <w:rPr>
                      <w:sz w:val="16"/>
                      <w:szCs w:val="16"/>
                    </w:rPr>
                    <w:t>:15</w:t>
                  </w:r>
                </w:p>
              </w:tc>
              <w:tc>
                <w:tcPr>
                  <w:tcW w:w="652" w:type="dxa"/>
                  <w:tcBorders>
                    <w:bottom w:val="single" w:sz="18" w:space="0" w:color="auto"/>
                  </w:tcBorders>
                  <w:shd w:val="clear" w:color="auto" w:fill="F2F2F2" w:themeFill="background1" w:themeFillShade="F2"/>
                </w:tcPr>
                <w:p w14:paraId="5F374D77" w14:textId="77777777" w:rsidR="006571FF" w:rsidRPr="00A96386" w:rsidRDefault="006571FF" w:rsidP="007172ED">
                  <w:pPr>
                    <w:pStyle w:val="NoSpacing"/>
                    <w:jc w:val="center"/>
                    <w:rPr>
                      <w:color w:val="0000FF"/>
                      <w:sz w:val="16"/>
                      <w:szCs w:val="16"/>
                    </w:rPr>
                  </w:pPr>
                  <w:r w:rsidRPr="00A96386">
                    <w:rPr>
                      <w:color w:val="0000FF"/>
                      <w:sz w:val="16"/>
                      <w:szCs w:val="16"/>
                    </w:rPr>
                    <w:t>:30</w:t>
                  </w:r>
                </w:p>
              </w:tc>
              <w:tc>
                <w:tcPr>
                  <w:tcW w:w="652" w:type="dxa"/>
                  <w:tcBorders>
                    <w:bottom w:val="single" w:sz="12" w:space="0" w:color="auto"/>
                  </w:tcBorders>
                  <w:shd w:val="clear" w:color="auto" w:fill="F2F2F2" w:themeFill="background1" w:themeFillShade="F2"/>
                </w:tcPr>
                <w:p w14:paraId="67A3A9F1" w14:textId="77777777" w:rsidR="006571FF" w:rsidRPr="00A96386" w:rsidRDefault="006571FF" w:rsidP="007172ED">
                  <w:pPr>
                    <w:pStyle w:val="NoSpacing"/>
                    <w:jc w:val="center"/>
                    <w:rPr>
                      <w:sz w:val="16"/>
                      <w:szCs w:val="16"/>
                    </w:rPr>
                  </w:pPr>
                  <w:r w:rsidRPr="00A96386">
                    <w:rPr>
                      <w:sz w:val="16"/>
                      <w:szCs w:val="16"/>
                    </w:rPr>
                    <w:t>:45</w:t>
                  </w:r>
                </w:p>
              </w:tc>
              <w:tc>
                <w:tcPr>
                  <w:tcW w:w="652" w:type="dxa"/>
                  <w:tcBorders>
                    <w:bottom w:val="single" w:sz="12" w:space="0" w:color="auto"/>
                  </w:tcBorders>
                  <w:shd w:val="clear" w:color="auto" w:fill="F2F2F2" w:themeFill="background1" w:themeFillShade="F2"/>
                </w:tcPr>
                <w:p w14:paraId="0CBB68FB" w14:textId="77777777" w:rsidR="006571FF" w:rsidRPr="00A96386" w:rsidRDefault="006571FF" w:rsidP="007172ED">
                  <w:pPr>
                    <w:pStyle w:val="NoSpacing"/>
                    <w:jc w:val="center"/>
                    <w:rPr>
                      <w:sz w:val="16"/>
                      <w:szCs w:val="16"/>
                    </w:rPr>
                  </w:pPr>
                  <w:r w:rsidRPr="00A96386">
                    <w:rPr>
                      <w:color w:val="0000FF"/>
                      <w:sz w:val="16"/>
                      <w:szCs w:val="16"/>
                    </w:rPr>
                    <w:t>:60</w:t>
                  </w:r>
                </w:p>
              </w:tc>
            </w:tr>
            <w:tr w:rsidR="006571FF" w14:paraId="1D6182BC" w14:textId="77777777" w:rsidTr="007172ED">
              <w:tc>
                <w:tcPr>
                  <w:tcW w:w="2566" w:type="dxa"/>
                  <w:tcBorders>
                    <w:top w:val="single" w:sz="12" w:space="0" w:color="auto"/>
                  </w:tcBorders>
                </w:tcPr>
                <w:p w14:paraId="68F76905" w14:textId="77777777" w:rsidR="006571FF" w:rsidRDefault="006571FF" w:rsidP="007172ED">
                  <w:pPr>
                    <w:pStyle w:val="NoSpacing"/>
                    <w:rPr>
                      <w:sz w:val="16"/>
                      <w:szCs w:val="16"/>
                    </w:rPr>
                  </w:pPr>
                  <w:r>
                    <w:rPr>
                      <w:sz w:val="16"/>
                      <w:szCs w:val="16"/>
                    </w:rPr>
                    <w:t>Test Status (Over)</w:t>
                  </w:r>
                </w:p>
              </w:tc>
              <w:tc>
                <w:tcPr>
                  <w:tcW w:w="652" w:type="dxa"/>
                  <w:tcBorders>
                    <w:top w:val="single" w:sz="12" w:space="0" w:color="auto"/>
                    <w:right w:val="single" w:sz="18" w:space="0" w:color="auto"/>
                  </w:tcBorders>
                </w:tcPr>
                <w:p w14:paraId="7684CB9D"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8" w:space="0" w:color="auto"/>
                    <w:left w:val="single" w:sz="18" w:space="0" w:color="auto"/>
                    <w:right w:val="single" w:sz="18" w:space="0" w:color="auto"/>
                  </w:tcBorders>
                </w:tcPr>
                <w:p w14:paraId="5F844E54" w14:textId="77777777" w:rsidR="006571FF" w:rsidRPr="00A96386" w:rsidRDefault="006571FF" w:rsidP="007172ED">
                  <w:pPr>
                    <w:pStyle w:val="NoSpacing"/>
                    <w:jc w:val="center"/>
                    <w:rPr>
                      <w:color w:val="0000FF"/>
                      <w:sz w:val="16"/>
                      <w:szCs w:val="16"/>
                    </w:rPr>
                  </w:pPr>
                  <w:r w:rsidRPr="00A96386">
                    <w:rPr>
                      <w:color w:val="0000FF"/>
                      <w:sz w:val="16"/>
                      <w:szCs w:val="16"/>
                    </w:rPr>
                    <w:t>Pass</w:t>
                  </w:r>
                </w:p>
              </w:tc>
              <w:tc>
                <w:tcPr>
                  <w:tcW w:w="652" w:type="dxa"/>
                  <w:tcBorders>
                    <w:top w:val="single" w:sz="12" w:space="0" w:color="auto"/>
                    <w:left w:val="single" w:sz="18" w:space="0" w:color="auto"/>
                  </w:tcBorders>
                </w:tcPr>
                <w:p w14:paraId="71BDD5F0"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2" w:space="0" w:color="auto"/>
                  </w:tcBorders>
                </w:tcPr>
                <w:p w14:paraId="1AC547D5" w14:textId="77777777" w:rsidR="006571FF" w:rsidRPr="00A96386" w:rsidRDefault="006571FF" w:rsidP="007172ED">
                  <w:pPr>
                    <w:pStyle w:val="NoSpacing"/>
                    <w:jc w:val="center"/>
                    <w:rPr>
                      <w:sz w:val="16"/>
                      <w:szCs w:val="16"/>
                    </w:rPr>
                  </w:pPr>
                  <w:r w:rsidRPr="00A96386">
                    <w:rPr>
                      <w:sz w:val="16"/>
                      <w:szCs w:val="16"/>
                    </w:rPr>
                    <w:t>Pass</w:t>
                  </w:r>
                </w:p>
              </w:tc>
            </w:tr>
            <w:tr w:rsidR="006571FF" w14:paraId="520881E9" w14:textId="77777777" w:rsidTr="007172ED">
              <w:tc>
                <w:tcPr>
                  <w:tcW w:w="2566" w:type="dxa"/>
                </w:tcPr>
                <w:p w14:paraId="40E11D4B" w14:textId="77777777" w:rsidR="006571FF" w:rsidRPr="007A014B" w:rsidRDefault="006571FF" w:rsidP="007172ED">
                  <w:pPr>
                    <w:pStyle w:val="NoSpacing"/>
                    <w:rPr>
                      <w:sz w:val="16"/>
                      <w:szCs w:val="16"/>
                    </w:rPr>
                  </w:pPr>
                  <w:r>
                    <w:rPr>
                      <w:sz w:val="16"/>
                      <w:szCs w:val="16"/>
                    </w:rPr>
                    <w:t>Insufficiency Direction (Over)</w:t>
                  </w:r>
                </w:p>
              </w:tc>
              <w:tc>
                <w:tcPr>
                  <w:tcW w:w="652" w:type="dxa"/>
                  <w:tcBorders>
                    <w:right w:val="single" w:sz="18" w:space="0" w:color="auto"/>
                  </w:tcBorders>
                </w:tcPr>
                <w:p w14:paraId="172DAC87" w14:textId="77777777" w:rsidR="006571FF" w:rsidRPr="00A96386" w:rsidRDefault="006571FF" w:rsidP="007172ED">
                  <w:pPr>
                    <w:pStyle w:val="NoSpacing"/>
                    <w:jc w:val="center"/>
                    <w:rPr>
                      <w:sz w:val="16"/>
                      <w:szCs w:val="16"/>
                    </w:rPr>
                  </w:pPr>
                  <w:r w:rsidRPr="00A96386">
                    <w:rPr>
                      <w:sz w:val="16"/>
                      <w:szCs w:val="16"/>
                    </w:rPr>
                    <w:t>Over</w:t>
                  </w:r>
                </w:p>
              </w:tc>
              <w:tc>
                <w:tcPr>
                  <w:tcW w:w="652" w:type="dxa"/>
                  <w:tcBorders>
                    <w:left w:val="single" w:sz="18" w:space="0" w:color="auto"/>
                    <w:right w:val="single" w:sz="18" w:space="0" w:color="auto"/>
                  </w:tcBorders>
                </w:tcPr>
                <w:p w14:paraId="4E406832" w14:textId="77777777" w:rsidR="006571FF" w:rsidRPr="00A96386" w:rsidRDefault="006571FF" w:rsidP="007172ED">
                  <w:pPr>
                    <w:pStyle w:val="NoSpacing"/>
                    <w:jc w:val="center"/>
                    <w:rPr>
                      <w:color w:val="0000FF"/>
                      <w:sz w:val="16"/>
                      <w:szCs w:val="16"/>
                    </w:rPr>
                  </w:pPr>
                  <w:r w:rsidRPr="00A96386">
                    <w:rPr>
                      <w:color w:val="0000FF"/>
                      <w:sz w:val="16"/>
                      <w:szCs w:val="16"/>
                    </w:rPr>
                    <w:t>Over</w:t>
                  </w:r>
                </w:p>
              </w:tc>
              <w:tc>
                <w:tcPr>
                  <w:tcW w:w="652" w:type="dxa"/>
                  <w:tcBorders>
                    <w:left w:val="single" w:sz="18" w:space="0" w:color="auto"/>
                  </w:tcBorders>
                </w:tcPr>
                <w:p w14:paraId="17EA2600" w14:textId="77777777" w:rsidR="006571FF" w:rsidRPr="00A96386" w:rsidRDefault="006571FF" w:rsidP="007172ED">
                  <w:pPr>
                    <w:pStyle w:val="NoSpacing"/>
                    <w:jc w:val="center"/>
                    <w:rPr>
                      <w:sz w:val="16"/>
                      <w:szCs w:val="16"/>
                    </w:rPr>
                  </w:pPr>
                  <w:r w:rsidRPr="00A96386">
                    <w:rPr>
                      <w:sz w:val="16"/>
                      <w:szCs w:val="16"/>
                    </w:rPr>
                    <w:t>Over</w:t>
                  </w:r>
                </w:p>
              </w:tc>
              <w:tc>
                <w:tcPr>
                  <w:tcW w:w="652" w:type="dxa"/>
                </w:tcPr>
                <w:p w14:paraId="0CC08DB1" w14:textId="77777777" w:rsidR="006571FF" w:rsidRPr="00A96386" w:rsidRDefault="006571FF" w:rsidP="007172ED">
                  <w:pPr>
                    <w:pStyle w:val="NoSpacing"/>
                    <w:jc w:val="center"/>
                    <w:rPr>
                      <w:sz w:val="16"/>
                      <w:szCs w:val="16"/>
                    </w:rPr>
                  </w:pPr>
                  <w:r w:rsidRPr="00A96386">
                    <w:rPr>
                      <w:sz w:val="16"/>
                      <w:szCs w:val="16"/>
                    </w:rPr>
                    <w:t>Over</w:t>
                  </w:r>
                </w:p>
              </w:tc>
            </w:tr>
            <w:tr w:rsidR="006571FF" w14:paraId="5FAA8CE1" w14:textId="77777777" w:rsidTr="007172ED">
              <w:tc>
                <w:tcPr>
                  <w:tcW w:w="2566" w:type="dxa"/>
                  <w:tcBorders>
                    <w:bottom w:val="single" w:sz="4" w:space="0" w:color="auto"/>
                  </w:tcBorders>
                </w:tcPr>
                <w:p w14:paraId="2B6CB3D8" w14:textId="77777777" w:rsidR="006571FF" w:rsidRPr="007A014B" w:rsidRDefault="006571FF" w:rsidP="007172ED">
                  <w:pPr>
                    <w:pStyle w:val="NoSpacing"/>
                    <w:rPr>
                      <w:sz w:val="16"/>
                      <w:szCs w:val="16"/>
                    </w:rPr>
                  </w:pPr>
                  <w:r>
                    <w:rPr>
                      <w:sz w:val="16"/>
                      <w:szCs w:val="16"/>
                    </w:rPr>
                    <w:t>Insufficiency Percentage (%)</w:t>
                  </w:r>
                </w:p>
              </w:tc>
              <w:tc>
                <w:tcPr>
                  <w:tcW w:w="652" w:type="dxa"/>
                  <w:tcBorders>
                    <w:bottom w:val="single" w:sz="4" w:space="0" w:color="auto"/>
                    <w:right w:val="single" w:sz="18" w:space="0" w:color="auto"/>
                  </w:tcBorders>
                </w:tcPr>
                <w:p w14:paraId="043C240A" w14:textId="0BEB8596" w:rsidR="006571FF" w:rsidRPr="00A96386" w:rsidRDefault="006571FF" w:rsidP="007172ED">
                  <w:pPr>
                    <w:pStyle w:val="NoSpacing"/>
                    <w:jc w:val="center"/>
                    <w:rPr>
                      <w:sz w:val="14"/>
                      <w:szCs w:val="14"/>
                    </w:rPr>
                  </w:pPr>
                  <w:r w:rsidRPr="00A96386">
                    <w:rPr>
                      <w:sz w:val="14"/>
                      <w:szCs w:val="14"/>
                    </w:rPr>
                    <w:t>-</w:t>
                  </w:r>
                  <w:r>
                    <w:rPr>
                      <w:sz w:val="14"/>
                      <w:szCs w:val="14"/>
                    </w:rPr>
                    <w:t>50</w:t>
                  </w:r>
                </w:p>
              </w:tc>
              <w:tc>
                <w:tcPr>
                  <w:tcW w:w="652" w:type="dxa"/>
                  <w:tcBorders>
                    <w:left w:val="single" w:sz="18" w:space="0" w:color="auto"/>
                    <w:bottom w:val="single" w:sz="4" w:space="0" w:color="auto"/>
                    <w:right w:val="single" w:sz="18" w:space="0" w:color="auto"/>
                  </w:tcBorders>
                </w:tcPr>
                <w:p w14:paraId="123F3A73" w14:textId="263433BE" w:rsidR="006571FF" w:rsidRPr="00A96386" w:rsidRDefault="006571FF" w:rsidP="007172ED">
                  <w:pPr>
                    <w:pStyle w:val="NoSpacing"/>
                    <w:jc w:val="center"/>
                    <w:rPr>
                      <w:color w:val="0000FF"/>
                      <w:sz w:val="14"/>
                      <w:szCs w:val="14"/>
                    </w:rPr>
                  </w:pPr>
                  <w:r w:rsidRPr="00A96386">
                    <w:rPr>
                      <w:color w:val="0000FF"/>
                      <w:sz w:val="14"/>
                      <w:szCs w:val="14"/>
                    </w:rPr>
                    <w:t>-</w:t>
                  </w:r>
                  <w:r>
                    <w:rPr>
                      <w:color w:val="0000FF"/>
                      <w:sz w:val="14"/>
                      <w:szCs w:val="14"/>
                    </w:rPr>
                    <w:t>25</w:t>
                  </w:r>
                </w:p>
              </w:tc>
              <w:tc>
                <w:tcPr>
                  <w:tcW w:w="652" w:type="dxa"/>
                  <w:tcBorders>
                    <w:left w:val="single" w:sz="18" w:space="0" w:color="auto"/>
                    <w:bottom w:val="single" w:sz="4" w:space="0" w:color="auto"/>
                  </w:tcBorders>
                </w:tcPr>
                <w:p w14:paraId="1EB204B4" w14:textId="58C94C9A" w:rsidR="006571FF" w:rsidRPr="00A96386" w:rsidRDefault="006571FF" w:rsidP="007172ED">
                  <w:pPr>
                    <w:pStyle w:val="NoSpacing"/>
                    <w:jc w:val="center"/>
                    <w:rPr>
                      <w:sz w:val="14"/>
                      <w:szCs w:val="14"/>
                    </w:rPr>
                  </w:pPr>
                  <w:r w:rsidRPr="00A96386">
                    <w:rPr>
                      <w:sz w:val="14"/>
                      <w:szCs w:val="14"/>
                    </w:rPr>
                    <w:t>-</w:t>
                  </w:r>
                  <w:r>
                    <w:rPr>
                      <w:sz w:val="14"/>
                      <w:szCs w:val="14"/>
                    </w:rPr>
                    <w:t>125</w:t>
                  </w:r>
                </w:p>
              </w:tc>
              <w:tc>
                <w:tcPr>
                  <w:tcW w:w="652" w:type="dxa"/>
                  <w:tcBorders>
                    <w:bottom w:val="single" w:sz="4" w:space="0" w:color="auto"/>
                  </w:tcBorders>
                </w:tcPr>
                <w:p w14:paraId="2E6B2656" w14:textId="6FBF8DAF" w:rsidR="006571FF" w:rsidRPr="00A96386" w:rsidRDefault="006571FF" w:rsidP="007172ED">
                  <w:pPr>
                    <w:pStyle w:val="NoSpacing"/>
                    <w:jc w:val="center"/>
                    <w:rPr>
                      <w:sz w:val="14"/>
                      <w:szCs w:val="14"/>
                    </w:rPr>
                  </w:pPr>
                  <w:r w:rsidRPr="00A96386">
                    <w:rPr>
                      <w:sz w:val="14"/>
                      <w:szCs w:val="14"/>
                    </w:rPr>
                    <w:t>-</w:t>
                  </w:r>
                  <w:r>
                    <w:rPr>
                      <w:sz w:val="14"/>
                      <w:szCs w:val="14"/>
                    </w:rPr>
                    <w:t>150</w:t>
                  </w:r>
                </w:p>
              </w:tc>
            </w:tr>
            <w:tr w:rsidR="006571FF" w14:paraId="1C56B101" w14:textId="77777777" w:rsidTr="007172ED">
              <w:tc>
                <w:tcPr>
                  <w:tcW w:w="2566" w:type="dxa"/>
                  <w:tcBorders>
                    <w:bottom w:val="single" w:sz="12" w:space="0" w:color="auto"/>
                  </w:tcBorders>
                </w:tcPr>
                <w:p w14:paraId="2CEB7333" w14:textId="77777777" w:rsidR="006571FF" w:rsidRPr="007A014B" w:rsidRDefault="006571FF" w:rsidP="007172ED">
                  <w:pPr>
                    <w:pStyle w:val="NoSpacing"/>
                    <w:rPr>
                      <w:sz w:val="16"/>
                      <w:szCs w:val="16"/>
                    </w:rPr>
                  </w:pPr>
                  <w:r>
                    <w:rPr>
                      <w:sz w:val="16"/>
                      <w:szCs w:val="16"/>
                    </w:rPr>
                    <w:t>Insufficiency Amount (MW)</w:t>
                  </w:r>
                </w:p>
              </w:tc>
              <w:tc>
                <w:tcPr>
                  <w:tcW w:w="652" w:type="dxa"/>
                  <w:tcBorders>
                    <w:bottom w:val="single" w:sz="12" w:space="0" w:color="auto"/>
                    <w:right w:val="single" w:sz="18" w:space="0" w:color="auto"/>
                  </w:tcBorders>
                </w:tcPr>
                <w:p w14:paraId="5FAF2EBD" w14:textId="265C2E3F" w:rsidR="006571FF" w:rsidRPr="00A96386" w:rsidRDefault="006571FF" w:rsidP="007172ED">
                  <w:pPr>
                    <w:pStyle w:val="NoSpacing"/>
                    <w:jc w:val="center"/>
                    <w:rPr>
                      <w:sz w:val="16"/>
                      <w:szCs w:val="16"/>
                    </w:rPr>
                  </w:pPr>
                  <w:r w:rsidRPr="00A96386">
                    <w:rPr>
                      <w:sz w:val="16"/>
                      <w:szCs w:val="16"/>
                    </w:rPr>
                    <w:t>-</w:t>
                  </w:r>
                  <w:r>
                    <w:rPr>
                      <w:sz w:val="16"/>
                      <w:szCs w:val="16"/>
                    </w:rPr>
                    <w:t>50</w:t>
                  </w:r>
                </w:p>
              </w:tc>
              <w:tc>
                <w:tcPr>
                  <w:tcW w:w="652" w:type="dxa"/>
                  <w:tcBorders>
                    <w:left w:val="single" w:sz="18" w:space="0" w:color="auto"/>
                    <w:bottom w:val="single" w:sz="18" w:space="0" w:color="auto"/>
                    <w:right w:val="single" w:sz="18" w:space="0" w:color="auto"/>
                  </w:tcBorders>
                </w:tcPr>
                <w:p w14:paraId="5EA0DFE0" w14:textId="3C777511" w:rsidR="006571FF" w:rsidRPr="00A96386" w:rsidRDefault="006571FF" w:rsidP="007172ED">
                  <w:pPr>
                    <w:pStyle w:val="NoSpacing"/>
                    <w:jc w:val="center"/>
                    <w:rPr>
                      <w:color w:val="0000FF"/>
                      <w:sz w:val="16"/>
                      <w:szCs w:val="16"/>
                    </w:rPr>
                  </w:pPr>
                  <w:r w:rsidRPr="00A96386">
                    <w:rPr>
                      <w:color w:val="0000FF"/>
                      <w:sz w:val="16"/>
                      <w:szCs w:val="16"/>
                    </w:rPr>
                    <w:t>-</w:t>
                  </w:r>
                  <w:r>
                    <w:rPr>
                      <w:color w:val="0000FF"/>
                      <w:sz w:val="16"/>
                      <w:szCs w:val="16"/>
                    </w:rPr>
                    <w:t>25</w:t>
                  </w:r>
                </w:p>
              </w:tc>
              <w:tc>
                <w:tcPr>
                  <w:tcW w:w="652" w:type="dxa"/>
                  <w:tcBorders>
                    <w:left w:val="single" w:sz="18" w:space="0" w:color="auto"/>
                    <w:bottom w:val="single" w:sz="12" w:space="0" w:color="auto"/>
                  </w:tcBorders>
                </w:tcPr>
                <w:p w14:paraId="5CB97EB2" w14:textId="0805D41F" w:rsidR="006571FF" w:rsidRPr="00A96386" w:rsidRDefault="006571FF" w:rsidP="007172ED">
                  <w:pPr>
                    <w:pStyle w:val="NoSpacing"/>
                    <w:jc w:val="center"/>
                    <w:rPr>
                      <w:sz w:val="16"/>
                      <w:szCs w:val="16"/>
                    </w:rPr>
                  </w:pPr>
                  <w:r w:rsidRPr="00A96386">
                    <w:rPr>
                      <w:sz w:val="16"/>
                      <w:szCs w:val="16"/>
                    </w:rPr>
                    <w:t>-</w:t>
                  </w:r>
                  <w:r>
                    <w:rPr>
                      <w:sz w:val="16"/>
                      <w:szCs w:val="16"/>
                    </w:rPr>
                    <w:t>125</w:t>
                  </w:r>
                </w:p>
              </w:tc>
              <w:tc>
                <w:tcPr>
                  <w:tcW w:w="652" w:type="dxa"/>
                  <w:tcBorders>
                    <w:bottom w:val="single" w:sz="18" w:space="0" w:color="auto"/>
                  </w:tcBorders>
                </w:tcPr>
                <w:p w14:paraId="533E6933" w14:textId="0E81DFD0" w:rsidR="006571FF" w:rsidRPr="00A96386" w:rsidRDefault="006571FF" w:rsidP="007172ED">
                  <w:pPr>
                    <w:pStyle w:val="NoSpacing"/>
                    <w:jc w:val="center"/>
                    <w:rPr>
                      <w:sz w:val="16"/>
                      <w:szCs w:val="16"/>
                    </w:rPr>
                  </w:pPr>
                  <w:r w:rsidRPr="00A96386">
                    <w:rPr>
                      <w:sz w:val="16"/>
                      <w:szCs w:val="16"/>
                    </w:rPr>
                    <w:t>-</w:t>
                  </w:r>
                  <w:r>
                    <w:rPr>
                      <w:sz w:val="16"/>
                      <w:szCs w:val="16"/>
                    </w:rPr>
                    <w:t>150</w:t>
                  </w:r>
                </w:p>
              </w:tc>
            </w:tr>
            <w:tr w:rsidR="006571FF" w14:paraId="1D9ED869" w14:textId="77777777" w:rsidTr="007172ED">
              <w:tc>
                <w:tcPr>
                  <w:tcW w:w="2566" w:type="dxa"/>
                  <w:tcBorders>
                    <w:top w:val="single" w:sz="12" w:space="0" w:color="auto"/>
                  </w:tcBorders>
                </w:tcPr>
                <w:p w14:paraId="44D14748" w14:textId="77777777" w:rsidR="006571FF" w:rsidRDefault="006571FF" w:rsidP="007172ED">
                  <w:pPr>
                    <w:pStyle w:val="NoSpacing"/>
                    <w:rPr>
                      <w:sz w:val="16"/>
                      <w:szCs w:val="16"/>
                    </w:rPr>
                  </w:pPr>
                  <w:r>
                    <w:rPr>
                      <w:sz w:val="16"/>
                      <w:szCs w:val="16"/>
                    </w:rPr>
                    <w:t>Test Status (Under)</w:t>
                  </w:r>
                </w:p>
              </w:tc>
              <w:tc>
                <w:tcPr>
                  <w:tcW w:w="652" w:type="dxa"/>
                  <w:tcBorders>
                    <w:top w:val="single" w:sz="12" w:space="0" w:color="auto"/>
                  </w:tcBorders>
                </w:tcPr>
                <w:p w14:paraId="2BA87FC8"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Pass</w:t>
                  </w:r>
                </w:p>
              </w:tc>
              <w:tc>
                <w:tcPr>
                  <w:tcW w:w="652" w:type="dxa"/>
                  <w:tcBorders>
                    <w:top w:val="single" w:sz="18" w:space="0" w:color="auto"/>
                  </w:tcBorders>
                </w:tcPr>
                <w:p w14:paraId="7A3AE156"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2" w:space="0" w:color="auto"/>
                    <w:right w:val="single" w:sz="18" w:space="0" w:color="auto"/>
                  </w:tcBorders>
                </w:tcPr>
                <w:p w14:paraId="3FE39D99" w14:textId="77777777" w:rsidR="006571FF" w:rsidRPr="00A96386" w:rsidRDefault="006571FF" w:rsidP="007172ED">
                  <w:pPr>
                    <w:pStyle w:val="NoSpacing"/>
                    <w:jc w:val="center"/>
                    <w:rPr>
                      <w:sz w:val="16"/>
                      <w:szCs w:val="16"/>
                    </w:rPr>
                  </w:pPr>
                  <w:r w:rsidRPr="00A96386">
                    <w:rPr>
                      <w:sz w:val="16"/>
                      <w:szCs w:val="16"/>
                    </w:rPr>
                    <w:t>Pass</w:t>
                  </w:r>
                </w:p>
              </w:tc>
              <w:tc>
                <w:tcPr>
                  <w:tcW w:w="652" w:type="dxa"/>
                  <w:tcBorders>
                    <w:top w:val="single" w:sz="18" w:space="0" w:color="auto"/>
                    <w:left w:val="single" w:sz="18" w:space="0" w:color="auto"/>
                    <w:right w:val="single" w:sz="18" w:space="0" w:color="auto"/>
                  </w:tcBorders>
                </w:tcPr>
                <w:p w14:paraId="1A21CC14" w14:textId="77777777" w:rsidR="006571FF" w:rsidRPr="00A96386" w:rsidRDefault="006571FF" w:rsidP="007172ED">
                  <w:pPr>
                    <w:pStyle w:val="NoSpacing"/>
                    <w:jc w:val="center"/>
                    <w:rPr>
                      <w:color w:val="0000FF"/>
                      <w:sz w:val="16"/>
                      <w:szCs w:val="16"/>
                    </w:rPr>
                  </w:pPr>
                  <w:r w:rsidRPr="00A96386">
                    <w:rPr>
                      <w:color w:val="0000FF"/>
                      <w:sz w:val="16"/>
                      <w:szCs w:val="16"/>
                    </w:rPr>
                    <w:t>Pass</w:t>
                  </w:r>
                </w:p>
              </w:tc>
            </w:tr>
            <w:tr w:rsidR="006571FF" w14:paraId="7518CCDF" w14:textId="77777777" w:rsidTr="007172ED">
              <w:tc>
                <w:tcPr>
                  <w:tcW w:w="2566" w:type="dxa"/>
                </w:tcPr>
                <w:p w14:paraId="71E0F002" w14:textId="77777777" w:rsidR="006571FF" w:rsidRDefault="006571FF" w:rsidP="007172ED">
                  <w:pPr>
                    <w:pStyle w:val="NoSpacing"/>
                    <w:rPr>
                      <w:sz w:val="16"/>
                      <w:szCs w:val="16"/>
                    </w:rPr>
                  </w:pPr>
                  <w:r>
                    <w:rPr>
                      <w:sz w:val="16"/>
                      <w:szCs w:val="16"/>
                    </w:rPr>
                    <w:t>Insufficiency Direction (Under)</w:t>
                  </w:r>
                </w:p>
              </w:tc>
              <w:tc>
                <w:tcPr>
                  <w:tcW w:w="652" w:type="dxa"/>
                </w:tcPr>
                <w:p w14:paraId="5D6481F3" w14:textId="77777777" w:rsidR="006571FF" w:rsidRPr="002C270B" w:rsidRDefault="006571FF" w:rsidP="007172ED">
                  <w:pPr>
                    <w:pStyle w:val="NoSpacing"/>
                    <w:jc w:val="center"/>
                    <w:rPr>
                      <w:color w:val="000000" w:themeColor="text1"/>
                      <w:sz w:val="16"/>
                      <w:szCs w:val="16"/>
                    </w:rPr>
                  </w:pPr>
                  <w:r w:rsidRPr="002C270B">
                    <w:rPr>
                      <w:color w:val="000000" w:themeColor="text1"/>
                      <w:sz w:val="16"/>
                      <w:szCs w:val="16"/>
                    </w:rPr>
                    <w:t>Under</w:t>
                  </w:r>
                </w:p>
              </w:tc>
              <w:tc>
                <w:tcPr>
                  <w:tcW w:w="652" w:type="dxa"/>
                </w:tcPr>
                <w:p w14:paraId="73DA1F9D" w14:textId="77777777" w:rsidR="006571FF" w:rsidRPr="00A96386" w:rsidRDefault="006571FF" w:rsidP="007172ED">
                  <w:pPr>
                    <w:pStyle w:val="NoSpacing"/>
                    <w:jc w:val="center"/>
                    <w:rPr>
                      <w:sz w:val="16"/>
                      <w:szCs w:val="16"/>
                    </w:rPr>
                  </w:pPr>
                  <w:r w:rsidRPr="00A96386">
                    <w:rPr>
                      <w:sz w:val="16"/>
                      <w:szCs w:val="16"/>
                    </w:rPr>
                    <w:t>Under</w:t>
                  </w:r>
                </w:p>
              </w:tc>
              <w:tc>
                <w:tcPr>
                  <w:tcW w:w="652" w:type="dxa"/>
                  <w:tcBorders>
                    <w:right w:val="single" w:sz="18" w:space="0" w:color="auto"/>
                  </w:tcBorders>
                </w:tcPr>
                <w:p w14:paraId="11FBD029" w14:textId="77777777" w:rsidR="006571FF" w:rsidRPr="00A96386" w:rsidRDefault="006571FF" w:rsidP="007172ED">
                  <w:pPr>
                    <w:pStyle w:val="NoSpacing"/>
                    <w:jc w:val="center"/>
                    <w:rPr>
                      <w:sz w:val="16"/>
                      <w:szCs w:val="16"/>
                    </w:rPr>
                  </w:pPr>
                  <w:r w:rsidRPr="00A96386">
                    <w:rPr>
                      <w:sz w:val="16"/>
                      <w:szCs w:val="16"/>
                    </w:rPr>
                    <w:t>Under</w:t>
                  </w:r>
                </w:p>
              </w:tc>
              <w:tc>
                <w:tcPr>
                  <w:tcW w:w="652" w:type="dxa"/>
                  <w:tcBorders>
                    <w:left w:val="single" w:sz="18" w:space="0" w:color="auto"/>
                    <w:right w:val="single" w:sz="18" w:space="0" w:color="auto"/>
                  </w:tcBorders>
                </w:tcPr>
                <w:p w14:paraId="046D6DC5" w14:textId="77777777" w:rsidR="006571FF" w:rsidRPr="00A96386" w:rsidRDefault="006571FF" w:rsidP="007172ED">
                  <w:pPr>
                    <w:pStyle w:val="NoSpacing"/>
                    <w:jc w:val="center"/>
                    <w:rPr>
                      <w:color w:val="0000FF"/>
                      <w:sz w:val="16"/>
                      <w:szCs w:val="16"/>
                    </w:rPr>
                  </w:pPr>
                  <w:r w:rsidRPr="00A96386">
                    <w:rPr>
                      <w:color w:val="0000FF"/>
                      <w:sz w:val="16"/>
                      <w:szCs w:val="16"/>
                    </w:rPr>
                    <w:t>Under</w:t>
                  </w:r>
                </w:p>
              </w:tc>
            </w:tr>
            <w:tr w:rsidR="006571FF" w14:paraId="03A88809" w14:textId="77777777" w:rsidTr="007172ED">
              <w:tc>
                <w:tcPr>
                  <w:tcW w:w="2566" w:type="dxa"/>
                  <w:tcBorders>
                    <w:bottom w:val="single" w:sz="4" w:space="0" w:color="auto"/>
                  </w:tcBorders>
                </w:tcPr>
                <w:p w14:paraId="53786A97" w14:textId="77777777" w:rsidR="006571FF" w:rsidRDefault="006571FF" w:rsidP="007172ED">
                  <w:pPr>
                    <w:pStyle w:val="NoSpacing"/>
                    <w:rPr>
                      <w:sz w:val="16"/>
                      <w:szCs w:val="16"/>
                    </w:rPr>
                  </w:pPr>
                  <w:r>
                    <w:rPr>
                      <w:sz w:val="16"/>
                      <w:szCs w:val="16"/>
                    </w:rPr>
                    <w:t>Insufficiency Percentage (%)</w:t>
                  </w:r>
                </w:p>
              </w:tc>
              <w:tc>
                <w:tcPr>
                  <w:tcW w:w="652" w:type="dxa"/>
                  <w:tcBorders>
                    <w:bottom w:val="single" w:sz="4" w:space="0" w:color="auto"/>
                  </w:tcBorders>
                </w:tcPr>
                <w:p w14:paraId="4D9E0C21" w14:textId="2773D66D" w:rsidR="006571FF" w:rsidRPr="002C270B" w:rsidRDefault="006571FF" w:rsidP="007172ED">
                  <w:pPr>
                    <w:pStyle w:val="NoSpacing"/>
                    <w:jc w:val="center"/>
                    <w:rPr>
                      <w:color w:val="000000" w:themeColor="text1"/>
                      <w:sz w:val="14"/>
                      <w:szCs w:val="14"/>
                    </w:rPr>
                  </w:pPr>
                  <w:r>
                    <w:rPr>
                      <w:color w:val="000000" w:themeColor="text1"/>
                      <w:sz w:val="14"/>
                      <w:szCs w:val="14"/>
                    </w:rPr>
                    <w:t>-150</w:t>
                  </w:r>
                </w:p>
              </w:tc>
              <w:tc>
                <w:tcPr>
                  <w:tcW w:w="652" w:type="dxa"/>
                  <w:tcBorders>
                    <w:bottom w:val="single" w:sz="4" w:space="0" w:color="auto"/>
                  </w:tcBorders>
                </w:tcPr>
                <w:p w14:paraId="43442FB2" w14:textId="28BF78BF" w:rsidR="006571FF" w:rsidRPr="00A96386" w:rsidRDefault="006571FF" w:rsidP="007172ED">
                  <w:pPr>
                    <w:pStyle w:val="NoSpacing"/>
                    <w:jc w:val="center"/>
                    <w:rPr>
                      <w:sz w:val="14"/>
                      <w:szCs w:val="14"/>
                    </w:rPr>
                  </w:pPr>
                  <w:r w:rsidRPr="00A96386">
                    <w:rPr>
                      <w:sz w:val="14"/>
                      <w:szCs w:val="14"/>
                    </w:rPr>
                    <w:t>-</w:t>
                  </w:r>
                  <w:r>
                    <w:rPr>
                      <w:sz w:val="14"/>
                      <w:szCs w:val="14"/>
                    </w:rPr>
                    <w:t>175</w:t>
                  </w:r>
                </w:p>
              </w:tc>
              <w:tc>
                <w:tcPr>
                  <w:tcW w:w="652" w:type="dxa"/>
                  <w:tcBorders>
                    <w:bottom w:val="single" w:sz="4" w:space="0" w:color="auto"/>
                    <w:right w:val="single" w:sz="18" w:space="0" w:color="auto"/>
                  </w:tcBorders>
                </w:tcPr>
                <w:p w14:paraId="29E6941C" w14:textId="7DB72D0A" w:rsidR="006571FF" w:rsidRPr="00A96386" w:rsidRDefault="006571FF" w:rsidP="007172ED">
                  <w:pPr>
                    <w:pStyle w:val="NoSpacing"/>
                    <w:jc w:val="center"/>
                    <w:rPr>
                      <w:sz w:val="14"/>
                      <w:szCs w:val="14"/>
                    </w:rPr>
                  </w:pPr>
                  <w:r w:rsidRPr="00A96386">
                    <w:rPr>
                      <w:sz w:val="14"/>
                      <w:szCs w:val="14"/>
                    </w:rPr>
                    <w:t>-</w:t>
                  </w:r>
                  <w:r>
                    <w:rPr>
                      <w:sz w:val="14"/>
                      <w:szCs w:val="14"/>
                    </w:rPr>
                    <w:t>75</w:t>
                  </w:r>
                </w:p>
              </w:tc>
              <w:tc>
                <w:tcPr>
                  <w:tcW w:w="652" w:type="dxa"/>
                  <w:tcBorders>
                    <w:left w:val="single" w:sz="18" w:space="0" w:color="auto"/>
                    <w:bottom w:val="single" w:sz="4" w:space="0" w:color="auto"/>
                    <w:right w:val="single" w:sz="18" w:space="0" w:color="auto"/>
                  </w:tcBorders>
                </w:tcPr>
                <w:p w14:paraId="0DCCC4DA" w14:textId="7747D53C" w:rsidR="006571FF" w:rsidRPr="00A96386" w:rsidRDefault="006571FF" w:rsidP="007172ED">
                  <w:pPr>
                    <w:pStyle w:val="NoSpacing"/>
                    <w:jc w:val="center"/>
                    <w:rPr>
                      <w:color w:val="0000FF"/>
                      <w:sz w:val="14"/>
                      <w:szCs w:val="14"/>
                    </w:rPr>
                  </w:pPr>
                  <w:r w:rsidRPr="00A96386">
                    <w:rPr>
                      <w:color w:val="0000FF"/>
                      <w:sz w:val="14"/>
                      <w:szCs w:val="14"/>
                    </w:rPr>
                    <w:t>-</w:t>
                  </w:r>
                  <w:r>
                    <w:rPr>
                      <w:color w:val="0000FF"/>
                      <w:sz w:val="14"/>
                      <w:szCs w:val="14"/>
                    </w:rPr>
                    <w:t>50</w:t>
                  </w:r>
                </w:p>
              </w:tc>
            </w:tr>
            <w:tr w:rsidR="006571FF" w14:paraId="7F9AD54F" w14:textId="77777777" w:rsidTr="007172ED">
              <w:tc>
                <w:tcPr>
                  <w:tcW w:w="2566" w:type="dxa"/>
                  <w:tcBorders>
                    <w:bottom w:val="single" w:sz="12" w:space="0" w:color="auto"/>
                  </w:tcBorders>
                </w:tcPr>
                <w:p w14:paraId="73777485" w14:textId="77777777" w:rsidR="006571FF" w:rsidRDefault="006571FF" w:rsidP="007172ED">
                  <w:pPr>
                    <w:pStyle w:val="NoSpacing"/>
                    <w:rPr>
                      <w:sz w:val="16"/>
                      <w:szCs w:val="16"/>
                    </w:rPr>
                  </w:pPr>
                  <w:r>
                    <w:rPr>
                      <w:sz w:val="16"/>
                      <w:szCs w:val="16"/>
                    </w:rPr>
                    <w:t>Insufficiency Amount (MW)</w:t>
                  </w:r>
                </w:p>
              </w:tc>
              <w:tc>
                <w:tcPr>
                  <w:tcW w:w="652" w:type="dxa"/>
                  <w:tcBorders>
                    <w:bottom w:val="single" w:sz="12" w:space="0" w:color="auto"/>
                  </w:tcBorders>
                </w:tcPr>
                <w:p w14:paraId="48BDF572" w14:textId="19CC61B3" w:rsidR="006571FF" w:rsidRPr="002C270B" w:rsidRDefault="006571FF" w:rsidP="007172ED">
                  <w:pPr>
                    <w:pStyle w:val="NoSpacing"/>
                    <w:jc w:val="center"/>
                    <w:rPr>
                      <w:color w:val="000000" w:themeColor="text1"/>
                      <w:sz w:val="16"/>
                      <w:szCs w:val="16"/>
                    </w:rPr>
                  </w:pPr>
                  <w:r>
                    <w:rPr>
                      <w:color w:val="000000" w:themeColor="text1"/>
                      <w:sz w:val="16"/>
                      <w:szCs w:val="16"/>
                    </w:rPr>
                    <w:t>-150</w:t>
                  </w:r>
                </w:p>
              </w:tc>
              <w:tc>
                <w:tcPr>
                  <w:tcW w:w="652" w:type="dxa"/>
                  <w:tcBorders>
                    <w:bottom w:val="single" w:sz="12" w:space="0" w:color="auto"/>
                  </w:tcBorders>
                </w:tcPr>
                <w:p w14:paraId="3A7DFC3E" w14:textId="3364C7CB" w:rsidR="006571FF" w:rsidRPr="00A96386" w:rsidRDefault="006571FF" w:rsidP="007172ED">
                  <w:pPr>
                    <w:pStyle w:val="NoSpacing"/>
                    <w:jc w:val="center"/>
                    <w:rPr>
                      <w:sz w:val="16"/>
                      <w:szCs w:val="16"/>
                    </w:rPr>
                  </w:pPr>
                  <w:r w:rsidRPr="00A96386">
                    <w:rPr>
                      <w:sz w:val="16"/>
                      <w:szCs w:val="16"/>
                    </w:rPr>
                    <w:t>-</w:t>
                  </w:r>
                  <w:r>
                    <w:rPr>
                      <w:sz w:val="16"/>
                      <w:szCs w:val="16"/>
                    </w:rPr>
                    <w:t>175</w:t>
                  </w:r>
                </w:p>
              </w:tc>
              <w:tc>
                <w:tcPr>
                  <w:tcW w:w="652" w:type="dxa"/>
                  <w:tcBorders>
                    <w:bottom w:val="single" w:sz="12" w:space="0" w:color="auto"/>
                    <w:right w:val="single" w:sz="18" w:space="0" w:color="auto"/>
                  </w:tcBorders>
                </w:tcPr>
                <w:p w14:paraId="0E42AA99" w14:textId="3C51772F" w:rsidR="006571FF" w:rsidRPr="00A96386" w:rsidRDefault="006571FF" w:rsidP="007172ED">
                  <w:pPr>
                    <w:pStyle w:val="NoSpacing"/>
                    <w:jc w:val="center"/>
                    <w:rPr>
                      <w:sz w:val="16"/>
                      <w:szCs w:val="16"/>
                    </w:rPr>
                  </w:pPr>
                  <w:r w:rsidRPr="00A96386">
                    <w:rPr>
                      <w:sz w:val="16"/>
                      <w:szCs w:val="16"/>
                    </w:rPr>
                    <w:t>-</w:t>
                  </w:r>
                  <w:r>
                    <w:rPr>
                      <w:sz w:val="16"/>
                      <w:szCs w:val="16"/>
                    </w:rPr>
                    <w:t>75</w:t>
                  </w:r>
                </w:p>
              </w:tc>
              <w:tc>
                <w:tcPr>
                  <w:tcW w:w="652" w:type="dxa"/>
                  <w:tcBorders>
                    <w:left w:val="single" w:sz="18" w:space="0" w:color="auto"/>
                    <w:bottom w:val="single" w:sz="18" w:space="0" w:color="auto"/>
                    <w:right w:val="single" w:sz="18" w:space="0" w:color="auto"/>
                  </w:tcBorders>
                </w:tcPr>
                <w:p w14:paraId="2E975B6B" w14:textId="1C562802" w:rsidR="006571FF" w:rsidRPr="00A96386" w:rsidRDefault="006571FF" w:rsidP="007172ED">
                  <w:pPr>
                    <w:pStyle w:val="NoSpacing"/>
                    <w:jc w:val="center"/>
                    <w:rPr>
                      <w:color w:val="0000FF"/>
                      <w:sz w:val="16"/>
                      <w:szCs w:val="16"/>
                    </w:rPr>
                  </w:pPr>
                  <w:r w:rsidRPr="00A96386">
                    <w:rPr>
                      <w:color w:val="0000FF"/>
                      <w:sz w:val="16"/>
                      <w:szCs w:val="16"/>
                    </w:rPr>
                    <w:t>-</w:t>
                  </w:r>
                  <w:r>
                    <w:rPr>
                      <w:color w:val="0000FF"/>
                      <w:sz w:val="16"/>
                      <w:szCs w:val="16"/>
                    </w:rPr>
                    <w:t>50</w:t>
                  </w:r>
                </w:p>
              </w:tc>
            </w:tr>
          </w:tbl>
          <w:p w14:paraId="71F635CD" w14:textId="77777777" w:rsidR="006571FF" w:rsidRPr="00767A7E" w:rsidRDefault="006571FF" w:rsidP="007172ED">
            <w:pPr>
              <w:rPr>
                <w:rFonts w:cs="Arial"/>
                <w:bCs/>
              </w:rPr>
            </w:pPr>
            <w:r>
              <w:rPr>
                <w:rFonts w:cs="Arial"/>
                <w:bCs/>
                <w:sz w:val="16"/>
                <w:szCs w:val="16"/>
              </w:rPr>
              <w:t>Since none of the 15-minute intervals failed the BAA’s capacity test, no WEIM transfer limits will be reduced for any of the intervals within the trade hour in neither the import nor export direction.</w:t>
            </w:r>
          </w:p>
        </w:tc>
      </w:tr>
    </w:tbl>
    <w:p w14:paraId="31D33D3C" w14:textId="77777777" w:rsidR="006571FF" w:rsidRDefault="006571FF" w:rsidP="006571FF"/>
    <w:p w14:paraId="0FE0EC69" w14:textId="77777777" w:rsidR="006571FF" w:rsidRPr="00677CF3" w:rsidRDefault="006571FF" w:rsidP="006571FF">
      <w:pPr>
        <w:pStyle w:val="ListParagraph"/>
        <w:numPr>
          <w:ilvl w:val="0"/>
          <w:numId w:val="97"/>
        </w:numPr>
        <w:spacing w:after="0" w:line="240" w:lineRule="auto"/>
        <w:contextualSpacing/>
      </w:pPr>
      <w:r w:rsidRPr="00677CF3">
        <w:rPr>
          <w:b/>
        </w:rPr>
        <w:t>Exclusion of Failed-to-Start Short-Start Units as Available Supply in the Capacity Test:</w:t>
      </w:r>
      <w:r w:rsidRPr="00677CF3">
        <w:t xml:space="preserve"> Specific to the Capacity Test, a resource’s capacity will be excluded as online capacity if non-positive telemetry is measured at the time of the RSE execution and an online status from the RTPD interval that lies within the execution time of the RSE only if the following conditions are met:  </w:t>
      </w:r>
    </w:p>
    <w:p w14:paraId="42DA21CE" w14:textId="77777777" w:rsidR="006571FF" w:rsidRPr="00677CF3" w:rsidRDefault="006571FF" w:rsidP="006571FF">
      <w:pPr>
        <w:pStyle w:val="ListParagraph"/>
        <w:spacing w:after="0"/>
        <w:ind w:left="1080"/>
        <w:contextualSpacing/>
      </w:pPr>
    </w:p>
    <w:p w14:paraId="454FB560" w14:textId="304997B7" w:rsidR="006571FF" w:rsidRPr="00677CF3" w:rsidRDefault="006571FF" w:rsidP="006571FF">
      <w:pPr>
        <w:pStyle w:val="ListParagraph"/>
        <w:numPr>
          <w:ilvl w:val="1"/>
          <w:numId w:val="97"/>
        </w:numPr>
        <w:spacing w:after="0" w:line="240" w:lineRule="auto"/>
        <w:contextualSpacing/>
      </w:pPr>
      <w:r w:rsidRPr="00677CF3">
        <w:t>A Start</w:t>
      </w:r>
      <w:r>
        <w:t>-</w:t>
      </w:r>
      <w:r w:rsidRPr="00677CF3">
        <w:t xml:space="preserve">able, Short-Start </w:t>
      </w:r>
      <w:r>
        <w:t>Unit</w:t>
      </w:r>
      <w:r w:rsidRPr="00677CF3">
        <w:t xml:space="preserve"> (where Start-Up Time plus Minimum Up Time &lt;</w:t>
      </w:r>
      <w:r>
        <w:t>=</w:t>
      </w:r>
      <w:r w:rsidRPr="00677CF3">
        <w:t xml:space="preserve"> 255 minutes);</w:t>
      </w:r>
    </w:p>
    <w:p w14:paraId="1DEE000A" w14:textId="77777777" w:rsidR="006571FF" w:rsidRPr="00677CF3" w:rsidRDefault="006571FF" w:rsidP="006571FF">
      <w:pPr>
        <w:pStyle w:val="ListParagraph"/>
        <w:numPr>
          <w:ilvl w:val="1"/>
          <w:numId w:val="97"/>
        </w:numPr>
        <w:spacing w:after="0" w:line="240" w:lineRule="auto"/>
        <w:contextualSpacing/>
      </w:pPr>
      <w:r w:rsidRPr="00677CF3">
        <w:t xml:space="preserve">Has a bid in the RTM for the testing hour; </w:t>
      </w:r>
    </w:p>
    <w:p w14:paraId="4E844325" w14:textId="77777777" w:rsidR="006571FF" w:rsidRPr="00677CF3" w:rsidRDefault="006571FF" w:rsidP="006571FF">
      <w:pPr>
        <w:pStyle w:val="ListParagraph"/>
        <w:numPr>
          <w:ilvl w:val="1"/>
          <w:numId w:val="97"/>
        </w:numPr>
        <w:spacing w:after="0" w:line="240" w:lineRule="auto"/>
        <w:contextualSpacing/>
      </w:pPr>
      <w:r w:rsidRPr="00677CF3">
        <w:t xml:space="preserve">Has continuous RTPD online statuses starting from the time interval that is aligned with the time of RSE execution all the way until the end RSE time </w:t>
      </w:r>
      <w:r w:rsidRPr="00677CF3">
        <w:lastRenderedPageBreak/>
        <w:t>horizon, using the latest RTPD run that is available before RSE execution (See detailed examples);</w:t>
      </w:r>
    </w:p>
    <w:p w14:paraId="4310AF2B" w14:textId="77777777" w:rsidR="006571FF" w:rsidRPr="00677CF3" w:rsidRDefault="006571FF" w:rsidP="006571FF">
      <w:pPr>
        <w:pStyle w:val="ListParagraph"/>
        <w:numPr>
          <w:ilvl w:val="1"/>
          <w:numId w:val="97"/>
        </w:numPr>
        <w:spacing w:after="0" w:line="240" w:lineRule="auto"/>
        <w:contextualSpacing/>
      </w:pPr>
      <w:r w:rsidRPr="00677CF3">
        <w:t xml:space="preserve">RTPD advisory horizon overlaps with all RSE time intervals  </w:t>
      </w:r>
    </w:p>
    <w:p w14:paraId="721CDE75" w14:textId="77777777" w:rsidR="006571FF" w:rsidRPr="00677CF3" w:rsidRDefault="006571FF" w:rsidP="006571FF">
      <w:pPr>
        <w:pStyle w:val="ListParagraph"/>
        <w:numPr>
          <w:ilvl w:val="1"/>
          <w:numId w:val="97"/>
        </w:numPr>
        <w:spacing w:after="0" w:line="240" w:lineRule="auto"/>
        <w:contextualSpacing/>
      </w:pPr>
      <w:r w:rsidRPr="00677CF3">
        <w:t>A non-positive telemetry at the time of the RSE execution (indicating the resource failed to Start-Up to reach its first RTD dispatch);</w:t>
      </w:r>
    </w:p>
    <w:p w14:paraId="588F268A" w14:textId="77777777" w:rsidR="006571FF" w:rsidRPr="00677CF3" w:rsidRDefault="006571FF" w:rsidP="006571FF">
      <w:pPr>
        <w:pStyle w:val="ListParagraph"/>
        <w:numPr>
          <w:ilvl w:val="1"/>
          <w:numId w:val="97"/>
        </w:numPr>
        <w:spacing w:after="0" w:line="240" w:lineRule="auto"/>
        <w:contextualSpacing/>
      </w:pPr>
      <w:r w:rsidRPr="00677CF3">
        <w:t>Available Telemetry at the time of the RSE execution with Good Quality Flag;</w:t>
      </w:r>
    </w:p>
    <w:p w14:paraId="06C655AD" w14:textId="77777777" w:rsidR="006571FF" w:rsidRPr="00677CF3" w:rsidRDefault="006571FF" w:rsidP="006571FF">
      <w:pPr>
        <w:pStyle w:val="ListParagraph"/>
        <w:numPr>
          <w:ilvl w:val="1"/>
          <w:numId w:val="97"/>
        </w:numPr>
        <w:spacing w:after="0" w:line="240" w:lineRule="auto"/>
        <w:contextualSpacing/>
      </w:pPr>
      <w:r w:rsidRPr="00677CF3">
        <w:t>Includes MSG and PDR resources, excludes Pumping Storage and battery storage resources</w:t>
      </w:r>
    </w:p>
    <w:p w14:paraId="01D183A6" w14:textId="77777777" w:rsidR="006571FF" w:rsidRDefault="006571FF" w:rsidP="006571FF">
      <w:pPr>
        <w:pStyle w:val="Paragraph"/>
        <w:spacing w:before="0"/>
        <w:ind w:left="1080"/>
        <w:rPr>
          <w:rFonts w:ascii="Arial" w:hAnsi="Arial" w:cs="Arial"/>
        </w:rPr>
      </w:pPr>
    </w:p>
    <w:p w14:paraId="5DB43AD0" w14:textId="77777777" w:rsidR="006571FF" w:rsidRPr="00FD1751" w:rsidRDefault="006571FF" w:rsidP="006571FF">
      <w:pPr>
        <w:pStyle w:val="Heading4"/>
        <w:numPr>
          <w:ilvl w:val="0"/>
          <w:numId w:val="97"/>
        </w:numPr>
        <w:rPr>
          <w:rStyle w:val="Emphasis"/>
          <w:rFonts w:cs="Arial"/>
          <w:sz w:val="16"/>
          <w:szCs w:val="16"/>
        </w:rPr>
      </w:pPr>
      <w:r w:rsidRPr="00FD1751">
        <w:rPr>
          <w:rStyle w:val="Emphasis"/>
          <w:rFonts w:cs="Arial"/>
          <w:sz w:val="16"/>
          <w:szCs w:val="16"/>
        </w:rPr>
        <w:t xml:space="preserve">Examples for RTBS1 @ T-75’ </w:t>
      </w:r>
    </w:p>
    <w:tbl>
      <w:tblPr>
        <w:tblW w:w="13665" w:type="dxa"/>
        <w:tblLook w:val="04A0" w:firstRow="1" w:lastRow="0" w:firstColumn="1" w:lastColumn="0" w:noHBand="0" w:noVBand="1"/>
      </w:tblPr>
      <w:tblGrid>
        <w:gridCol w:w="1957"/>
        <w:gridCol w:w="804"/>
        <w:gridCol w:w="1364"/>
        <w:gridCol w:w="1800"/>
        <w:gridCol w:w="1800"/>
        <w:gridCol w:w="4320"/>
        <w:gridCol w:w="1620"/>
      </w:tblGrid>
      <w:tr w:rsidR="006571FF" w:rsidRPr="00CC397F" w14:paraId="6DF46782" w14:textId="77777777" w:rsidTr="007172ED">
        <w:trPr>
          <w:trHeight w:val="300"/>
        </w:trPr>
        <w:tc>
          <w:tcPr>
            <w:tcW w:w="13665"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664130A7"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CC397F" w14:paraId="6386B973" w14:textId="77777777" w:rsidTr="007172ED">
        <w:trPr>
          <w:trHeight w:val="300"/>
        </w:trPr>
        <w:tc>
          <w:tcPr>
            <w:tcW w:w="13665"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5433D532" w14:textId="77777777" w:rsidR="006571FF" w:rsidRPr="00FD1751" w:rsidRDefault="006571FF" w:rsidP="007172ED">
            <w:pPr>
              <w:rPr>
                <w:rFonts w:ascii="Times New Roman" w:hAnsi="Times New Roman"/>
                <w:b/>
                <w:sz w:val="16"/>
                <w:szCs w:val="16"/>
              </w:rPr>
            </w:pPr>
            <w:r w:rsidRPr="00FD1751">
              <w:rPr>
                <w:b/>
                <w:color w:val="000000"/>
                <w:sz w:val="16"/>
                <w:szCs w:val="16"/>
              </w:rPr>
              <w:t>RTBS1 @ 16:46:30</w:t>
            </w:r>
          </w:p>
        </w:tc>
      </w:tr>
      <w:tr w:rsidR="006571FF" w:rsidRPr="00252BAD" w14:paraId="346458D7"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42856C42" w14:textId="77777777" w:rsidR="006571FF" w:rsidRPr="00FD1751" w:rsidRDefault="006571FF" w:rsidP="007172ED">
            <w:pPr>
              <w:rPr>
                <w:b/>
                <w:color w:val="000000"/>
                <w:sz w:val="16"/>
                <w:szCs w:val="16"/>
              </w:rPr>
            </w:pPr>
            <w:r w:rsidRPr="00FD1751">
              <w:rPr>
                <w:b/>
                <w:color w:val="000000"/>
                <w:sz w:val="16"/>
                <w:szCs w:val="16"/>
              </w:rPr>
              <w:t>Time Interval</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970702" w14:textId="77777777" w:rsidR="006571FF" w:rsidRPr="00FD1751" w:rsidRDefault="006571FF" w:rsidP="007172ED">
            <w:pPr>
              <w:rPr>
                <w:b/>
                <w:color w:val="000000"/>
                <w:sz w:val="16"/>
                <w:szCs w:val="16"/>
              </w:rPr>
            </w:pPr>
            <w:r w:rsidRPr="00FD1751">
              <w:rPr>
                <w:b/>
                <w:color w:val="000000"/>
                <w:sz w:val="16"/>
                <w:szCs w:val="16"/>
              </w:rPr>
              <w:t>Status</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F481D7"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25CBBA"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5885F"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4D6A46"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02F2B708" w14:textId="77777777" w:rsidR="006571FF" w:rsidRPr="00390445" w:rsidRDefault="006571FF" w:rsidP="007172ED">
            <w:pPr>
              <w:rPr>
                <w:b/>
                <w:color w:val="000000"/>
              </w:rPr>
            </w:pPr>
            <w:r w:rsidRPr="00390445">
              <w:rPr>
                <w:b/>
                <w:color w:val="000000"/>
              </w:rPr>
              <w:t>Disqualified</w:t>
            </w:r>
          </w:p>
        </w:tc>
      </w:tr>
      <w:tr w:rsidR="006571FF" w:rsidRPr="00252BAD" w14:paraId="0CECCD87"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08B10D06" w14:textId="77777777" w:rsidR="006571FF" w:rsidRPr="00FD1751" w:rsidRDefault="006571FF" w:rsidP="007172ED">
            <w:pPr>
              <w:rPr>
                <w:color w:val="000000"/>
                <w:sz w:val="16"/>
                <w:szCs w:val="16"/>
              </w:rPr>
            </w:pPr>
            <w:r w:rsidRPr="00FD1751">
              <w:rPr>
                <w:color w:val="000000"/>
                <w:sz w:val="16"/>
                <w:szCs w:val="16"/>
              </w:rPr>
              <w:t>16:45-17:00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0B4D4C4A"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F7473B2" w14:textId="77777777" w:rsidR="006571FF" w:rsidRPr="00FD1751" w:rsidRDefault="006571FF" w:rsidP="007172ED">
            <w:pPr>
              <w:rPr>
                <w:color w:val="000000"/>
                <w:sz w:val="16"/>
                <w:szCs w:val="16"/>
              </w:rPr>
            </w:pPr>
            <w:r w:rsidRPr="00FD1751">
              <w:rPr>
                <w:color w:val="000000"/>
                <w:sz w:val="16"/>
                <w:szCs w:val="16"/>
              </w:rPr>
              <w:t>RTPD5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1875213"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F6477A5"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C4EDF7E"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8E0A37C" w14:textId="77777777" w:rsidR="006571FF" w:rsidRPr="00252BAD" w:rsidRDefault="006571FF" w:rsidP="007172ED">
            <w:pPr>
              <w:rPr>
                <w:color w:val="000000"/>
              </w:rPr>
            </w:pPr>
            <w:r w:rsidRPr="00252BAD">
              <w:rPr>
                <w:color w:val="000000"/>
              </w:rPr>
              <w:t>N/A</w:t>
            </w:r>
          </w:p>
        </w:tc>
      </w:tr>
      <w:tr w:rsidR="006571FF" w:rsidRPr="00252BAD" w14:paraId="4C85010D"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739562B8" w14:textId="77777777" w:rsidR="006571FF" w:rsidRPr="00FD1751" w:rsidRDefault="006571FF" w:rsidP="007172ED">
            <w:pPr>
              <w:rPr>
                <w:color w:val="000000"/>
                <w:sz w:val="16"/>
                <w:szCs w:val="16"/>
              </w:rPr>
            </w:pPr>
            <w:r w:rsidRPr="00FD1751">
              <w:rPr>
                <w:color w:val="000000"/>
                <w:sz w:val="16"/>
                <w:szCs w:val="16"/>
              </w:rPr>
              <w:t>17:00-17:15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44F93344"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7308C73"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C88DBF7"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96B5171"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5205D87"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5B0D916" w14:textId="77777777" w:rsidR="006571FF" w:rsidRPr="00252BAD" w:rsidRDefault="006571FF" w:rsidP="007172ED">
            <w:pPr>
              <w:rPr>
                <w:color w:val="000000"/>
              </w:rPr>
            </w:pPr>
            <w:r w:rsidRPr="00252BAD">
              <w:rPr>
                <w:color w:val="000000"/>
              </w:rPr>
              <w:t>N/A</w:t>
            </w:r>
          </w:p>
        </w:tc>
      </w:tr>
      <w:tr w:rsidR="006571FF" w:rsidRPr="00252BAD" w14:paraId="14C2277F"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25862452" w14:textId="77777777" w:rsidR="006571FF" w:rsidRPr="00FD1751" w:rsidRDefault="006571FF" w:rsidP="007172ED">
            <w:pPr>
              <w:rPr>
                <w:color w:val="000000"/>
                <w:sz w:val="16"/>
                <w:szCs w:val="16"/>
              </w:rPr>
            </w:pPr>
            <w:r w:rsidRPr="00FD1751">
              <w:rPr>
                <w:color w:val="000000"/>
                <w:sz w:val="16"/>
                <w:szCs w:val="16"/>
              </w:rPr>
              <w:t>17:15-17:30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262C140A"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04098A98"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D169D37"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79A496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4FFE3F1"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7D86C5F" w14:textId="77777777" w:rsidR="006571FF" w:rsidRPr="00252BAD" w:rsidRDefault="006571FF" w:rsidP="007172ED">
            <w:pPr>
              <w:rPr>
                <w:color w:val="000000"/>
              </w:rPr>
            </w:pPr>
            <w:r w:rsidRPr="00252BAD">
              <w:rPr>
                <w:color w:val="000000"/>
              </w:rPr>
              <w:t>N/A</w:t>
            </w:r>
          </w:p>
        </w:tc>
      </w:tr>
      <w:tr w:rsidR="006571FF" w:rsidRPr="00FD1751" w14:paraId="51DB4D93"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7771E257" w14:textId="77777777" w:rsidR="006571FF" w:rsidRPr="00FD1751" w:rsidRDefault="006571FF" w:rsidP="007172ED">
            <w:pPr>
              <w:rPr>
                <w:color w:val="000000"/>
                <w:sz w:val="16"/>
                <w:szCs w:val="16"/>
              </w:rPr>
            </w:pPr>
            <w:r w:rsidRPr="00FD1751">
              <w:rPr>
                <w:color w:val="000000"/>
                <w:sz w:val="16"/>
                <w:szCs w:val="16"/>
              </w:rPr>
              <w:t>17:30-17:45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67050E14"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47F9F373"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AFD68F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6B135B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7672AE4"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BE52C24"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3F607C4" w14:textId="77777777" w:rsidTr="007172ED">
        <w:trPr>
          <w:trHeight w:val="300"/>
        </w:trPr>
        <w:tc>
          <w:tcPr>
            <w:tcW w:w="1957" w:type="dxa"/>
            <w:tcBorders>
              <w:top w:val="single" w:sz="4" w:space="0" w:color="auto"/>
              <w:left w:val="single" w:sz="12" w:space="0" w:color="auto"/>
              <w:bottom w:val="single" w:sz="12" w:space="0" w:color="auto"/>
              <w:right w:val="single" w:sz="4" w:space="0" w:color="auto"/>
            </w:tcBorders>
            <w:noWrap/>
            <w:vAlign w:val="center"/>
            <w:hideMark/>
          </w:tcPr>
          <w:p w14:paraId="653BDAD7" w14:textId="77777777" w:rsidR="006571FF" w:rsidRPr="00FD1751" w:rsidRDefault="006571FF" w:rsidP="007172ED">
            <w:pPr>
              <w:rPr>
                <w:color w:val="000000"/>
                <w:sz w:val="16"/>
                <w:szCs w:val="16"/>
              </w:rPr>
            </w:pPr>
            <w:r w:rsidRPr="00FD1751">
              <w:rPr>
                <w:color w:val="000000"/>
                <w:sz w:val="16"/>
                <w:szCs w:val="16"/>
              </w:rPr>
              <w:t>17:45-18:00</w:t>
            </w:r>
          </w:p>
        </w:tc>
        <w:tc>
          <w:tcPr>
            <w:tcW w:w="804" w:type="dxa"/>
            <w:tcBorders>
              <w:top w:val="single" w:sz="4" w:space="0" w:color="auto"/>
              <w:left w:val="single" w:sz="4" w:space="0" w:color="auto"/>
              <w:bottom w:val="single" w:sz="12" w:space="0" w:color="auto"/>
              <w:right w:val="single" w:sz="4" w:space="0" w:color="auto"/>
            </w:tcBorders>
            <w:noWrap/>
            <w:vAlign w:val="center"/>
            <w:hideMark/>
          </w:tcPr>
          <w:p w14:paraId="44474D29" w14:textId="77777777" w:rsidR="006571FF" w:rsidRPr="00FD1751" w:rsidRDefault="006571FF" w:rsidP="007172ED">
            <w:pPr>
              <w:jc w:val="cente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12" w:space="0" w:color="auto"/>
              <w:right w:val="single" w:sz="4" w:space="0" w:color="auto"/>
            </w:tcBorders>
            <w:noWrap/>
            <w:vAlign w:val="center"/>
            <w:hideMark/>
          </w:tcPr>
          <w:p w14:paraId="7E67FCAD"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7655706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6C72844"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61609FBA"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52DC996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B2E87EE" w14:textId="77777777" w:rsidTr="007172ED">
        <w:trPr>
          <w:trHeight w:val="300"/>
        </w:trPr>
        <w:tc>
          <w:tcPr>
            <w:tcW w:w="1957" w:type="dxa"/>
            <w:tcBorders>
              <w:top w:val="single" w:sz="12" w:space="0" w:color="auto"/>
              <w:left w:val="nil"/>
              <w:bottom w:val="single" w:sz="12" w:space="0" w:color="auto"/>
              <w:right w:val="nil"/>
            </w:tcBorders>
            <w:noWrap/>
            <w:vAlign w:val="center"/>
            <w:hideMark/>
          </w:tcPr>
          <w:p w14:paraId="4094D401" w14:textId="77777777" w:rsidR="006571FF" w:rsidRPr="00FD1751" w:rsidRDefault="006571FF" w:rsidP="007172ED">
            <w:pPr>
              <w:rPr>
                <w:color w:val="000000"/>
                <w:sz w:val="16"/>
                <w:szCs w:val="16"/>
              </w:rPr>
            </w:pPr>
          </w:p>
        </w:tc>
        <w:tc>
          <w:tcPr>
            <w:tcW w:w="804" w:type="dxa"/>
            <w:tcBorders>
              <w:top w:val="single" w:sz="12" w:space="0" w:color="auto"/>
              <w:left w:val="nil"/>
              <w:bottom w:val="single" w:sz="12" w:space="0" w:color="auto"/>
              <w:right w:val="nil"/>
            </w:tcBorders>
            <w:noWrap/>
            <w:vAlign w:val="center"/>
            <w:hideMark/>
          </w:tcPr>
          <w:p w14:paraId="2895F020" w14:textId="77777777" w:rsidR="006571FF" w:rsidRPr="00FD1751" w:rsidRDefault="006571FF" w:rsidP="007172ED">
            <w:pPr>
              <w:rPr>
                <w:rFonts w:ascii="Times New Roman" w:hAnsi="Times New Roman"/>
                <w:sz w:val="16"/>
                <w:szCs w:val="16"/>
              </w:rPr>
            </w:pPr>
          </w:p>
        </w:tc>
        <w:tc>
          <w:tcPr>
            <w:tcW w:w="1364" w:type="dxa"/>
            <w:tcBorders>
              <w:top w:val="single" w:sz="12" w:space="0" w:color="auto"/>
              <w:left w:val="nil"/>
              <w:bottom w:val="single" w:sz="12" w:space="0" w:color="auto"/>
              <w:right w:val="nil"/>
            </w:tcBorders>
            <w:noWrap/>
            <w:vAlign w:val="center"/>
            <w:hideMark/>
          </w:tcPr>
          <w:p w14:paraId="1B29B339"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29CD6302"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475BFA46"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2E9D3243"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5F9DFE38" w14:textId="77777777" w:rsidR="006571FF" w:rsidRPr="00FD1751" w:rsidRDefault="006571FF" w:rsidP="007172ED">
            <w:pPr>
              <w:rPr>
                <w:rFonts w:ascii="Times New Roman" w:hAnsi="Times New Roman"/>
                <w:sz w:val="16"/>
                <w:szCs w:val="16"/>
              </w:rPr>
            </w:pPr>
          </w:p>
        </w:tc>
      </w:tr>
      <w:tr w:rsidR="006571FF" w:rsidRPr="00FD1751" w14:paraId="48C2B74F" w14:textId="77777777" w:rsidTr="007172ED">
        <w:trPr>
          <w:trHeight w:val="300"/>
        </w:trPr>
        <w:tc>
          <w:tcPr>
            <w:tcW w:w="13665"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53218A47"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09473286" w14:textId="77777777" w:rsidTr="007172ED">
        <w:trPr>
          <w:trHeight w:val="300"/>
        </w:trPr>
        <w:tc>
          <w:tcPr>
            <w:tcW w:w="13665"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70FF32A7" w14:textId="77777777" w:rsidR="006571FF" w:rsidRPr="00FD1751" w:rsidRDefault="006571FF" w:rsidP="007172ED">
            <w:pPr>
              <w:rPr>
                <w:rFonts w:ascii="Times New Roman" w:hAnsi="Times New Roman"/>
                <w:b/>
                <w:sz w:val="16"/>
                <w:szCs w:val="16"/>
              </w:rPr>
            </w:pPr>
            <w:r w:rsidRPr="00FD1751">
              <w:rPr>
                <w:b/>
                <w:color w:val="000000"/>
                <w:sz w:val="16"/>
                <w:szCs w:val="16"/>
              </w:rPr>
              <w:t>RTBS1 @ 16:46:30</w:t>
            </w:r>
          </w:p>
        </w:tc>
      </w:tr>
      <w:tr w:rsidR="006571FF" w:rsidRPr="00FD1751" w14:paraId="3D3FEC84"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B69E9EB" w14:textId="77777777" w:rsidR="006571FF" w:rsidRPr="00FD1751" w:rsidRDefault="006571FF" w:rsidP="007172ED">
            <w:pPr>
              <w:rPr>
                <w:b/>
                <w:color w:val="000000"/>
                <w:sz w:val="16"/>
                <w:szCs w:val="16"/>
              </w:rPr>
            </w:pPr>
            <w:r w:rsidRPr="00FD1751">
              <w:rPr>
                <w:b/>
                <w:color w:val="000000"/>
                <w:sz w:val="16"/>
                <w:szCs w:val="16"/>
              </w:rPr>
              <w:t>Time Interval</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3F886D" w14:textId="77777777" w:rsidR="006571FF" w:rsidRPr="00FD1751" w:rsidRDefault="006571FF" w:rsidP="007172ED">
            <w:pPr>
              <w:rPr>
                <w:b/>
                <w:color w:val="000000"/>
                <w:sz w:val="16"/>
                <w:szCs w:val="16"/>
              </w:rPr>
            </w:pPr>
            <w:r w:rsidRPr="00FD1751">
              <w:rPr>
                <w:b/>
                <w:color w:val="000000"/>
                <w:sz w:val="16"/>
                <w:szCs w:val="16"/>
              </w:rPr>
              <w:t>Status</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61B64F"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9BC026"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276EA2"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CC2E38"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2D15ED5E"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1747D84F"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586154BA" w14:textId="77777777" w:rsidR="006571FF" w:rsidRPr="00FD1751" w:rsidRDefault="006571FF" w:rsidP="007172ED">
            <w:pPr>
              <w:rPr>
                <w:color w:val="000000"/>
                <w:sz w:val="16"/>
                <w:szCs w:val="16"/>
              </w:rPr>
            </w:pPr>
            <w:r w:rsidRPr="00FD1751">
              <w:rPr>
                <w:color w:val="000000"/>
                <w:sz w:val="16"/>
                <w:szCs w:val="16"/>
              </w:rPr>
              <w:t>16:45-17:00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28FC3611"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6EB3037D" w14:textId="77777777" w:rsidR="006571FF" w:rsidRPr="00FD1751" w:rsidRDefault="006571FF" w:rsidP="007172ED">
            <w:pPr>
              <w:rPr>
                <w:color w:val="000000"/>
                <w:sz w:val="16"/>
                <w:szCs w:val="16"/>
              </w:rPr>
            </w:pPr>
            <w:r w:rsidRPr="00FD1751">
              <w:rPr>
                <w:color w:val="000000"/>
                <w:sz w:val="16"/>
                <w:szCs w:val="16"/>
              </w:rPr>
              <w:t>RTPD5</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499C007"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968C2DA"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3081E21"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978B86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0969CCB"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3A4216B5" w14:textId="77777777" w:rsidR="006571FF" w:rsidRPr="00FD1751" w:rsidRDefault="006571FF" w:rsidP="007172ED">
            <w:pPr>
              <w:rPr>
                <w:color w:val="000000"/>
                <w:sz w:val="16"/>
                <w:szCs w:val="16"/>
              </w:rPr>
            </w:pPr>
            <w:r w:rsidRPr="00FD1751">
              <w:rPr>
                <w:color w:val="000000"/>
                <w:sz w:val="16"/>
                <w:szCs w:val="16"/>
              </w:rPr>
              <w:t>17:00-17:15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146DE696"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5733D13F"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9EF460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B5EB38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B1AA11B"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37A358E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CE9971B"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7D09C96C" w14:textId="77777777" w:rsidR="006571FF" w:rsidRPr="00FD1751" w:rsidRDefault="006571FF" w:rsidP="007172ED">
            <w:pPr>
              <w:rPr>
                <w:color w:val="000000"/>
                <w:sz w:val="16"/>
                <w:szCs w:val="16"/>
              </w:rPr>
            </w:pPr>
            <w:r w:rsidRPr="00FD1751">
              <w:rPr>
                <w:color w:val="000000"/>
                <w:sz w:val="16"/>
                <w:szCs w:val="16"/>
              </w:rPr>
              <w:t>17:15-17:30</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7B811E7B"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37B4467"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AFBF6A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F32AA0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5B1B952"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E1F2C0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F0474E0" w14:textId="77777777" w:rsidTr="007172ED">
        <w:trPr>
          <w:trHeight w:val="300"/>
        </w:trPr>
        <w:tc>
          <w:tcPr>
            <w:tcW w:w="1957" w:type="dxa"/>
            <w:tcBorders>
              <w:top w:val="single" w:sz="4" w:space="0" w:color="auto"/>
              <w:left w:val="single" w:sz="12" w:space="0" w:color="auto"/>
              <w:bottom w:val="single" w:sz="4" w:space="0" w:color="auto"/>
              <w:right w:val="single" w:sz="4" w:space="0" w:color="auto"/>
            </w:tcBorders>
            <w:noWrap/>
            <w:vAlign w:val="center"/>
            <w:hideMark/>
          </w:tcPr>
          <w:p w14:paraId="5856E357" w14:textId="77777777" w:rsidR="006571FF" w:rsidRPr="00FD1751" w:rsidRDefault="006571FF" w:rsidP="007172ED">
            <w:pPr>
              <w:rPr>
                <w:color w:val="000000"/>
                <w:sz w:val="16"/>
                <w:szCs w:val="16"/>
              </w:rPr>
            </w:pPr>
            <w:r w:rsidRPr="00FD1751">
              <w:rPr>
                <w:color w:val="000000"/>
                <w:sz w:val="16"/>
                <w:szCs w:val="16"/>
              </w:rPr>
              <w:t>17:30-17:45</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185C5640"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2965A054"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AC49081"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1E88479"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02EE71A"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264C5C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382EF71" w14:textId="77777777" w:rsidTr="007172ED">
        <w:trPr>
          <w:trHeight w:val="300"/>
        </w:trPr>
        <w:tc>
          <w:tcPr>
            <w:tcW w:w="1957" w:type="dxa"/>
            <w:tcBorders>
              <w:top w:val="single" w:sz="4" w:space="0" w:color="auto"/>
              <w:left w:val="single" w:sz="12" w:space="0" w:color="auto"/>
              <w:bottom w:val="single" w:sz="12" w:space="0" w:color="auto"/>
              <w:right w:val="single" w:sz="4" w:space="0" w:color="auto"/>
            </w:tcBorders>
            <w:noWrap/>
            <w:vAlign w:val="center"/>
            <w:hideMark/>
          </w:tcPr>
          <w:p w14:paraId="6904B2CE" w14:textId="77777777" w:rsidR="006571FF" w:rsidRPr="00FD1751" w:rsidRDefault="006571FF" w:rsidP="007172ED">
            <w:pPr>
              <w:rPr>
                <w:color w:val="000000"/>
                <w:sz w:val="16"/>
                <w:szCs w:val="16"/>
              </w:rPr>
            </w:pPr>
            <w:r w:rsidRPr="00FD1751">
              <w:rPr>
                <w:color w:val="000000"/>
                <w:sz w:val="16"/>
                <w:szCs w:val="16"/>
              </w:rPr>
              <w:t>17:45-18:00</w:t>
            </w:r>
          </w:p>
        </w:tc>
        <w:tc>
          <w:tcPr>
            <w:tcW w:w="804" w:type="dxa"/>
            <w:tcBorders>
              <w:top w:val="single" w:sz="4" w:space="0" w:color="auto"/>
              <w:left w:val="single" w:sz="4" w:space="0" w:color="auto"/>
              <w:bottom w:val="single" w:sz="12" w:space="0" w:color="auto"/>
              <w:right w:val="single" w:sz="4" w:space="0" w:color="auto"/>
            </w:tcBorders>
            <w:noWrap/>
            <w:vAlign w:val="center"/>
            <w:hideMark/>
          </w:tcPr>
          <w:p w14:paraId="744C655F" w14:textId="77777777" w:rsidR="006571FF" w:rsidRPr="00FD1751" w:rsidRDefault="006571FF" w:rsidP="007172ED">
            <w:pPr>
              <w:rPr>
                <w:color w:val="000000"/>
                <w:sz w:val="16"/>
                <w:szCs w:val="16"/>
              </w:rPr>
            </w:pPr>
            <w:r w:rsidRPr="00FD1751">
              <w:rPr>
                <w:color w:val="000000"/>
                <w:sz w:val="16"/>
                <w:szCs w:val="16"/>
              </w:rPr>
              <w:t>Online</w:t>
            </w:r>
          </w:p>
        </w:tc>
        <w:tc>
          <w:tcPr>
            <w:tcW w:w="1364" w:type="dxa"/>
            <w:tcBorders>
              <w:top w:val="single" w:sz="4" w:space="0" w:color="auto"/>
              <w:left w:val="single" w:sz="4" w:space="0" w:color="auto"/>
              <w:bottom w:val="single" w:sz="12" w:space="0" w:color="auto"/>
              <w:right w:val="single" w:sz="4" w:space="0" w:color="auto"/>
            </w:tcBorders>
            <w:noWrap/>
            <w:vAlign w:val="center"/>
            <w:hideMark/>
          </w:tcPr>
          <w:p w14:paraId="31D9D3DD"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0CA1A3E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301A580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7DAF95FF" w14:textId="77777777" w:rsidR="006571FF" w:rsidRPr="00FD1751" w:rsidRDefault="006571FF" w:rsidP="007172ED">
            <w:pPr>
              <w:rPr>
                <w:color w:val="000000"/>
                <w:sz w:val="16"/>
                <w:szCs w:val="16"/>
              </w:rPr>
            </w:pPr>
            <w:r w:rsidRPr="00FD1751">
              <w:rPr>
                <w:color w:val="000000"/>
                <w:sz w:val="16"/>
                <w:szCs w:val="16"/>
              </w:rPr>
              <w:t>No, due to no RTPD advisories for RSE hour</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541A6434" w14:textId="77777777" w:rsidR="006571FF" w:rsidRPr="00FD1751" w:rsidRDefault="006571FF" w:rsidP="007172ED">
            <w:pPr>
              <w:rPr>
                <w:color w:val="000000"/>
                <w:sz w:val="16"/>
                <w:szCs w:val="16"/>
              </w:rPr>
            </w:pPr>
            <w:r w:rsidRPr="00FD1751">
              <w:rPr>
                <w:color w:val="000000"/>
                <w:sz w:val="16"/>
                <w:szCs w:val="16"/>
              </w:rPr>
              <w:t>N/A</w:t>
            </w:r>
          </w:p>
        </w:tc>
      </w:tr>
    </w:tbl>
    <w:p w14:paraId="21287FA5" w14:textId="77777777" w:rsidR="006571FF" w:rsidRPr="00FD1751" w:rsidRDefault="006571FF" w:rsidP="006571FF">
      <w:pPr>
        <w:pStyle w:val="ListParagraph"/>
        <w:tabs>
          <w:tab w:val="left" w:pos="10260"/>
        </w:tabs>
        <w:ind w:left="1080"/>
        <w:contextualSpacing/>
        <w:rPr>
          <w:rStyle w:val="Emphasis"/>
          <w:rFonts w:cs="Arial"/>
          <w:i w:val="0"/>
          <w:sz w:val="16"/>
          <w:szCs w:val="16"/>
        </w:rPr>
      </w:pPr>
    </w:p>
    <w:p w14:paraId="29B59C42" w14:textId="77777777" w:rsidR="006571FF" w:rsidRPr="00FD1751" w:rsidRDefault="006571FF" w:rsidP="006571FF">
      <w:pPr>
        <w:rPr>
          <w:rStyle w:val="Emphasis"/>
          <w:rFonts w:cs="Arial"/>
          <w:i w:val="0"/>
          <w:sz w:val="16"/>
          <w:szCs w:val="16"/>
        </w:rPr>
      </w:pPr>
    </w:p>
    <w:p w14:paraId="3738561C" w14:textId="77777777" w:rsidR="006571FF" w:rsidRPr="00FD1751" w:rsidRDefault="006571FF" w:rsidP="006571FF">
      <w:pPr>
        <w:pStyle w:val="Heading4"/>
        <w:numPr>
          <w:ilvl w:val="0"/>
          <w:numId w:val="97"/>
        </w:numPr>
        <w:rPr>
          <w:rStyle w:val="Emphasis"/>
          <w:rFonts w:cs="Arial"/>
          <w:sz w:val="16"/>
          <w:szCs w:val="16"/>
        </w:rPr>
      </w:pPr>
      <w:r w:rsidRPr="00FD1751">
        <w:rPr>
          <w:rStyle w:val="Emphasis"/>
          <w:rFonts w:cs="Arial"/>
          <w:sz w:val="16"/>
          <w:szCs w:val="16"/>
        </w:rPr>
        <w:t xml:space="preserve">Examples for RTBS2 @ T-55’ </w:t>
      </w:r>
    </w:p>
    <w:tbl>
      <w:tblPr>
        <w:tblW w:w="13651" w:type="dxa"/>
        <w:tblLook w:val="04A0" w:firstRow="1" w:lastRow="0" w:firstColumn="1" w:lastColumn="0" w:noHBand="0" w:noVBand="1"/>
      </w:tblPr>
      <w:tblGrid>
        <w:gridCol w:w="1941"/>
        <w:gridCol w:w="822"/>
        <w:gridCol w:w="1362"/>
        <w:gridCol w:w="1800"/>
        <w:gridCol w:w="1800"/>
        <w:gridCol w:w="4320"/>
        <w:gridCol w:w="1606"/>
      </w:tblGrid>
      <w:tr w:rsidR="006571FF" w:rsidRPr="00FD1751" w14:paraId="14D725BB"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074C4A9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53588748"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1CCF2F5B" w14:textId="77777777" w:rsidR="006571FF" w:rsidRPr="00FD1751" w:rsidRDefault="006571FF" w:rsidP="007172ED">
            <w:pPr>
              <w:rPr>
                <w:rFonts w:ascii="Times New Roman" w:hAnsi="Times New Roman"/>
                <w:b/>
                <w:sz w:val="16"/>
                <w:szCs w:val="16"/>
              </w:rPr>
            </w:pPr>
            <w:r w:rsidRPr="00FD1751">
              <w:rPr>
                <w:b/>
                <w:color w:val="000000"/>
                <w:sz w:val="16"/>
                <w:szCs w:val="16"/>
              </w:rPr>
              <w:lastRenderedPageBreak/>
              <w:t>RTBS2 @ 17:05:30</w:t>
            </w:r>
          </w:p>
        </w:tc>
      </w:tr>
      <w:tr w:rsidR="006571FF" w:rsidRPr="00FD1751" w14:paraId="0802F0D8"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64AAB1A"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92C508"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9DB3C7"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6941C"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E691"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D60DD5"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18DD9752"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495ED7C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3DE4FF4"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2AE3A67"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1035782"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8410B1D"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2543F29"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507E9C1"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B9F4D2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63A889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68909F8"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25041AA"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BF3F70B"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9592422"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BCBFC9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BA66807"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29F1A45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E2028B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E976477"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0F6385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0DC5F69"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145180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B6EEE6"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EF7D627"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4DF85E4"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F439C8D"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2C6A064"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903E0BE"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4D1864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195DE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93480B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E3BF5B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D4DDDD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D324AB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FD9B035"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D4992C8"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A90DEF7"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2C6A18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930160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4CAF8A6"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79B1987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4BE689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D685D1C"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7C90232"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565F7ED"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3E52F0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A4A7AB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652570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4FE2A41A"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272ABEC"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7BE4476"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9554F24"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8C9DD9D"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3479918"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CC8E504"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206A63F"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54245F8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E73E88F"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543A4557"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5A82F4D1"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6CF6EA7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578CB5D5"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C28A2F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E01B25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32241CD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8A3E336"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2FAD781D"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2CE5B2EC"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030DDF08"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4631DA79"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01972004"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1DB3EB95" w14:textId="77777777" w:rsidR="006571FF" w:rsidRPr="00FD1751" w:rsidRDefault="006571FF" w:rsidP="007172ED">
            <w:pPr>
              <w:rPr>
                <w:rFonts w:ascii="Times New Roman" w:hAnsi="Times New Roman"/>
                <w:sz w:val="16"/>
                <w:szCs w:val="16"/>
              </w:rPr>
            </w:pPr>
          </w:p>
        </w:tc>
        <w:tc>
          <w:tcPr>
            <w:tcW w:w="1602" w:type="dxa"/>
            <w:tcBorders>
              <w:top w:val="single" w:sz="12" w:space="0" w:color="auto"/>
              <w:left w:val="nil"/>
              <w:bottom w:val="single" w:sz="12" w:space="0" w:color="auto"/>
              <w:right w:val="nil"/>
            </w:tcBorders>
            <w:noWrap/>
            <w:vAlign w:val="center"/>
            <w:hideMark/>
          </w:tcPr>
          <w:p w14:paraId="1A617A77" w14:textId="77777777" w:rsidR="006571FF" w:rsidRPr="00FD1751" w:rsidRDefault="006571FF" w:rsidP="007172ED">
            <w:pPr>
              <w:rPr>
                <w:rFonts w:ascii="Times New Roman" w:hAnsi="Times New Roman"/>
                <w:sz w:val="16"/>
                <w:szCs w:val="16"/>
              </w:rPr>
            </w:pPr>
          </w:p>
        </w:tc>
      </w:tr>
      <w:tr w:rsidR="006571FF" w:rsidRPr="00FD1751" w14:paraId="5135D894"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325064C0"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54882BCF"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19C27827" w14:textId="77777777" w:rsidR="006571FF" w:rsidRPr="00FD1751" w:rsidRDefault="006571FF" w:rsidP="007172ED">
            <w:pPr>
              <w:rPr>
                <w:rFonts w:ascii="Times New Roman" w:hAnsi="Times New Roman"/>
                <w:b/>
                <w:sz w:val="16"/>
                <w:szCs w:val="16"/>
              </w:rPr>
            </w:pPr>
            <w:r w:rsidRPr="00FD1751">
              <w:rPr>
                <w:b/>
                <w:color w:val="000000"/>
                <w:sz w:val="16"/>
                <w:szCs w:val="16"/>
              </w:rPr>
              <w:t>RTBS2 @ 17:05:30</w:t>
            </w:r>
          </w:p>
        </w:tc>
      </w:tr>
      <w:tr w:rsidR="006571FF" w:rsidRPr="00FD1751" w14:paraId="3B48168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7059485"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1F7081"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2BFBEC"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6C7EB2"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457D6F"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E9CE15"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0493F5C4"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0E44F10C"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79506F8"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B392E57"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BB375B5"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EB759C7"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AFBE388"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C54DA1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4E4027D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02BCEC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5E00499"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E1D0DA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BA11EED"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F2C358D"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E0F38B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8FEA94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CB1E85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C4D656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BA8EC27"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A788D2D"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DCCDE9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784791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02705C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416997D"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20B086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F52EF0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037028B"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969733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D754A2A"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7AAF08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3DAE2A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F37136A"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EF09A0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B4F849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BA9384F"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5E21B3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E3A279A"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80E220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13B38E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80407F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DB31C40"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EFD700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249E5752"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9889CAF"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8EFD2BF"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374B5D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F6FD0E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FAD9CF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526C4770"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82453F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BBE8172"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678DD43"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5CD2E13"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B6D8DD4"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4E6F2D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AFE8FA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2DA9F77"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199B6E3"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54B56233"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4D851EF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07019472"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62A87B0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7485B747"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8D50DE9"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30838BD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3019580"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410A0A3E"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3937B5F4"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294C2BC8"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6A385ED6"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0F9B2704"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4E346DD0" w14:textId="77777777" w:rsidR="006571FF" w:rsidRPr="00FD1751" w:rsidRDefault="006571FF" w:rsidP="007172ED">
            <w:pPr>
              <w:rPr>
                <w:rFonts w:ascii="Times New Roman" w:hAnsi="Times New Roman"/>
                <w:sz w:val="16"/>
                <w:szCs w:val="16"/>
              </w:rPr>
            </w:pPr>
          </w:p>
        </w:tc>
        <w:tc>
          <w:tcPr>
            <w:tcW w:w="1602" w:type="dxa"/>
            <w:tcBorders>
              <w:top w:val="single" w:sz="12" w:space="0" w:color="auto"/>
              <w:left w:val="nil"/>
              <w:bottom w:val="single" w:sz="12" w:space="0" w:color="auto"/>
              <w:right w:val="nil"/>
            </w:tcBorders>
            <w:noWrap/>
            <w:vAlign w:val="center"/>
            <w:hideMark/>
          </w:tcPr>
          <w:p w14:paraId="4C65A897" w14:textId="77777777" w:rsidR="006571FF" w:rsidRPr="00FD1751" w:rsidRDefault="006571FF" w:rsidP="007172ED">
            <w:pPr>
              <w:rPr>
                <w:rFonts w:ascii="Times New Roman" w:hAnsi="Times New Roman"/>
                <w:sz w:val="16"/>
                <w:szCs w:val="16"/>
              </w:rPr>
            </w:pPr>
          </w:p>
        </w:tc>
      </w:tr>
      <w:tr w:rsidR="006571FF" w:rsidRPr="00FD1751" w14:paraId="5B596743"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1ED137E1"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6D5F3386"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0FDB5BD8" w14:textId="77777777" w:rsidR="006571FF" w:rsidRPr="00FD1751" w:rsidRDefault="006571FF" w:rsidP="007172ED">
            <w:pPr>
              <w:rPr>
                <w:rFonts w:ascii="Times New Roman" w:hAnsi="Times New Roman"/>
                <w:b/>
                <w:sz w:val="16"/>
                <w:szCs w:val="16"/>
              </w:rPr>
            </w:pPr>
            <w:r w:rsidRPr="00FD1751">
              <w:rPr>
                <w:b/>
                <w:color w:val="000000"/>
                <w:sz w:val="16"/>
                <w:szCs w:val="16"/>
              </w:rPr>
              <w:t>RTBS2 @ 17:05:30</w:t>
            </w:r>
          </w:p>
        </w:tc>
      </w:tr>
      <w:tr w:rsidR="006571FF" w:rsidRPr="00FD1751" w14:paraId="1BF3AE1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78489583"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9CA9EB"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2F626D"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DFE96E"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0B0849"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49C4DD"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14124527"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3C222CE7"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E6AF97A"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8F1BBF4"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CC43238"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DC7591F"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3B2DEBE"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017E8C1"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704903C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E3027E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621647A"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A184588"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030488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75A250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84B3EC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9B546C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A68B68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B1B723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87772E0"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97EF0C9"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5E8411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A14C7F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A48680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6CBED2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78568AE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5209F61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6F8BD82"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F8AF9CC"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19DCB3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D8A0175"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2669E61"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5D69D8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566C11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EE5273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3333B7B"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F7DB71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4E5222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55B17BD"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AAA00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6C90109"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839725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5363E85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81D2844" w14:textId="77777777" w:rsidR="006571FF" w:rsidRPr="00FD1751" w:rsidRDefault="006571FF" w:rsidP="007172ED">
            <w:pPr>
              <w:rPr>
                <w:color w:val="000000"/>
                <w:sz w:val="16"/>
                <w:szCs w:val="16"/>
              </w:rPr>
            </w:pPr>
            <w:r w:rsidRPr="00FD1751">
              <w:rPr>
                <w:color w:val="000000"/>
                <w:sz w:val="16"/>
                <w:szCs w:val="16"/>
              </w:rPr>
              <w:lastRenderedPageBreak/>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19E8BA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A603C1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8ED2D3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DEC9D6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95F4D03"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681A48B3"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9860B35"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AD578B2"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A8420C1"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9E948A8"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59525E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5DB0233"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DF05A3B"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8C28571"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65D7C72"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4668AAD9"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386F225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1A847550"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6695498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0832236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0685B13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51ED442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5778DB0"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1B7BCBD3"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77473025"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010EFB20"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36C49B85"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2F8F0D31"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1DF9E7DF" w14:textId="77777777" w:rsidR="006571FF" w:rsidRPr="00FD1751" w:rsidRDefault="006571FF" w:rsidP="007172ED">
            <w:pPr>
              <w:rPr>
                <w:rFonts w:ascii="Times New Roman" w:hAnsi="Times New Roman"/>
                <w:sz w:val="16"/>
                <w:szCs w:val="16"/>
              </w:rPr>
            </w:pPr>
          </w:p>
        </w:tc>
        <w:tc>
          <w:tcPr>
            <w:tcW w:w="1602" w:type="dxa"/>
            <w:tcBorders>
              <w:top w:val="single" w:sz="12" w:space="0" w:color="auto"/>
              <w:left w:val="nil"/>
              <w:bottom w:val="single" w:sz="12" w:space="0" w:color="auto"/>
              <w:right w:val="nil"/>
            </w:tcBorders>
            <w:noWrap/>
            <w:vAlign w:val="center"/>
            <w:hideMark/>
          </w:tcPr>
          <w:p w14:paraId="17410C0A" w14:textId="77777777" w:rsidR="006571FF" w:rsidRPr="00FD1751" w:rsidRDefault="006571FF" w:rsidP="007172ED">
            <w:pPr>
              <w:rPr>
                <w:rFonts w:ascii="Times New Roman" w:hAnsi="Times New Roman"/>
                <w:sz w:val="16"/>
                <w:szCs w:val="16"/>
              </w:rPr>
            </w:pPr>
          </w:p>
        </w:tc>
      </w:tr>
      <w:tr w:rsidR="006571FF" w:rsidRPr="00FD1751" w14:paraId="3805B9F0" w14:textId="77777777" w:rsidTr="007172ED">
        <w:trPr>
          <w:trHeight w:val="300"/>
        </w:trPr>
        <w:tc>
          <w:tcPr>
            <w:tcW w:w="13651"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4683594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75146C8B" w14:textId="77777777" w:rsidTr="007172ED">
        <w:trPr>
          <w:trHeight w:val="300"/>
        </w:trPr>
        <w:tc>
          <w:tcPr>
            <w:tcW w:w="13651"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4EBAF34B" w14:textId="77777777" w:rsidR="006571FF" w:rsidRPr="00FD1751" w:rsidRDefault="006571FF" w:rsidP="007172ED">
            <w:pPr>
              <w:rPr>
                <w:rFonts w:ascii="Times New Roman" w:hAnsi="Times New Roman"/>
                <w:b/>
                <w:sz w:val="16"/>
                <w:szCs w:val="16"/>
              </w:rPr>
            </w:pPr>
            <w:r w:rsidRPr="00FD1751">
              <w:rPr>
                <w:b/>
                <w:color w:val="000000"/>
                <w:sz w:val="16"/>
                <w:szCs w:val="16"/>
              </w:rPr>
              <w:t>RTBS2 @ 17:05:30</w:t>
            </w:r>
          </w:p>
        </w:tc>
      </w:tr>
      <w:tr w:rsidR="006571FF" w:rsidRPr="00FD1751" w14:paraId="78007F64"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2B950AB5"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C87F20"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C19909"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18C0C4"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A7F884"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F5CD92"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02"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2DDC5047"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34D1F8A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6242A18" w14:textId="77777777" w:rsidR="006571FF" w:rsidRPr="00FD1751" w:rsidRDefault="006571FF" w:rsidP="007172ED">
            <w:pPr>
              <w:rPr>
                <w:color w:val="000000"/>
                <w:sz w:val="16"/>
                <w:szCs w:val="16"/>
              </w:rPr>
            </w:pPr>
            <w:r w:rsidRPr="00FD1751">
              <w:rPr>
                <w:color w:val="000000"/>
                <w:sz w:val="16"/>
                <w:szCs w:val="16"/>
              </w:rPr>
              <w:t>17:00-17:15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746FC3D7"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EB9093C" w14:textId="77777777" w:rsidR="006571FF" w:rsidRPr="00FD1751" w:rsidRDefault="006571FF" w:rsidP="007172ED">
            <w:pPr>
              <w:rPr>
                <w:color w:val="000000"/>
                <w:sz w:val="16"/>
                <w:szCs w:val="16"/>
              </w:rPr>
            </w:pPr>
            <w:r w:rsidRPr="00FD1751">
              <w:rPr>
                <w:color w:val="000000"/>
                <w:sz w:val="16"/>
                <w:szCs w:val="16"/>
              </w:rPr>
              <w:t>RTPD4</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BA44600"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81E2394"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7479360"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5FED7C9A"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221682A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63D47A1"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7F1DC5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49E71A3"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D7A3C0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55CB84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1161AF7"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8153EC9"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7237F478"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4A028FF"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F51AC0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B41903E"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D474C2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3404AE7"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486739C"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50DEC88"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768F4A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7AAA257"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822E27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D569034"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CE6CB5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D14C2F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0896F0E"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23762B54"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3685A4A1"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07F95C5"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9A18940"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51B1831"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B7BF5A1"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D8AF58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6FB4126"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3FFF0C3F"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4F466D10"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00982DD"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7EE31F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800078F"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42EB437"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EC495D2"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6B46C15"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02A356D2"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7D8E973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BD2D030"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18995F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64AADA5"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9F4846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4877D9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CE9E976"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4" w:space="0" w:color="auto"/>
              <w:right w:val="single" w:sz="12" w:space="0" w:color="auto"/>
            </w:tcBorders>
            <w:noWrap/>
            <w:vAlign w:val="center"/>
            <w:hideMark/>
          </w:tcPr>
          <w:p w14:paraId="14AE4B61"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30EA2A79"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624BDDB0"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1384988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60DB7875"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5EA91A6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18671C4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6B51D2C" w14:textId="77777777" w:rsidR="006571FF" w:rsidRPr="00FD1751" w:rsidRDefault="006571FF" w:rsidP="007172ED">
            <w:pPr>
              <w:rPr>
                <w:color w:val="000000"/>
                <w:sz w:val="16"/>
                <w:szCs w:val="16"/>
              </w:rPr>
            </w:pPr>
            <w:r w:rsidRPr="00FD1751">
              <w:rPr>
                <w:color w:val="000000"/>
                <w:sz w:val="16"/>
                <w:szCs w:val="16"/>
              </w:rPr>
              <w:t>Yes</w:t>
            </w:r>
          </w:p>
        </w:tc>
        <w:tc>
          <w:tcPr>
            <w:tcW w:w="1602" w:type="dxa"/>
            <w:tcBorders>
              <w:top w:val="single" w:sz="4" w:space="0" w:color="auto"/>
              <w:left w:val="single" w:sz="4" w:space="0" w:color="auto"/>
              <w:bottom w:val="single" w:sz="12" w:space="0" w:color="auto"/>
              <w:right w:val="single" w:sz="12" w:space="0" w:color="auto"/>
            </w:tcBorders>
            <w:noWrap/>
            <w:vAlign w:val="center"/>
            <w:hideMark/>
          </w:tcPr>
          <w:p w14:paraId="2D2CF61B" w14:textId="77777777" w:rsidR="006571FF" w:rsidRPr="00FD1751" w:rsidRDefault="006571FF" w:rsidP="007172ED">
            <w:pPr>
              <w:rPr>
                <w:color w:val="000000"/>
                <w:sz w:val="16"/>
                <w:szCs w:val="16"/>
              </w:rPr>
            </w:pPr>
            <w:r w:rsidRPr="00FD1751">
              <w:rPr>
                <w:color w:val="000000"/>
                <w:sz w:val="16"/>
                <w:szCs w:val="16"/>
              </w:rPr>
              <w:t>Yes</w:t>
            </w:r>
          </w:p>
        </w:tc>
      </w:tr>
    </w:tbl>
    <w:p w14:paraId="226C346F" w14:textId="77777777" w:rsidR="006571FF" w:rsidRPr="00FD1751" w:rsidRDefault="006571FF" w:rsidP="006571FF">
      <w:pPr>
        <w:pStyle w:val="ListParagraph"/>
        <w:tabs>
          <w:tab w:val="left" w:pos="10260"/>
        </w:tabs>
        <w:ind w:left="1080"/>
        <w:contextualSpacing/>
        <w:rPr>
          <w:rStyle w:val="Emphasis"/>
          <w:rFonts w:cs="Arial"/>
          <w:i w:val="0"/>
          <w:sz w:val="16"/>
          <w:szCs w:val="16"/>
        </w:rPr>
      </w:pPr>
    </w:p>
    <w:p w14:paraId="2C243CF3" w14:textId="77777777" w:rsidR="006571FF" w:rsidRPr="00FD1751" w:rsidRDefault="006571FF" w:rsidP="006571FF">
      <w:pPr>
        <w:pStyle w:val="Heading4"/>
        <w:numPr>
          <w:ilvl w:val="0"/>
          <w:numId w:val="97"/>
        </w:numPr>
        <w:rPr>
          <w:rStyle w:val="Emphasis"/>
          <w:rFonts w:cs="Arial"/>
          <w:sz w:val="16"/>
          <w:szCs w:val="16"/>
        </w:rPr>
      </w:pPr>
      <w:r w:rsidRPr="00FD1751">
        <w:rPr>
          <w:rStyle w:val="Emphasis"/>
          <w:rFonts w:cs="Arial"/>
          <w:sz w:val="16"/>
          <w:szCs w:val="16"/>
        </w:rPr>
        <w:t xml:space="preserve">Examples for RTBS3 @ T-40’ </w:t>
      </w:r>
    </w:p>
    <w:tbl>
      <w:tblPr>
        <w:tblW w:w="13669" w:type="dxa"/>
        <w:tblLook w:val="04A0" w:firstRow="1" w:lastRow="0" w:firstColumn="1" w:lastColumn="0" w:noHBand="0" w:noVBand="1"/>
      </w:tblPr>
      <w:tblGrid>
        <w:gridCol w:w="1941"/>
        <w:gridCol w:w="822"/>
        <w:gridCol w:w="1362"/>
        <w:gridCol w:w="1800"/>
        <w:gridCol w:w="1800"/>
        <w:gridCol w:w="4320"/>
        <w:gridCol w:w="1624"/>
      </w:tblGrid>
      <w:tr w:rsidR="006571FF" w:rsidRPr="00FD1751" w14:paraId="7572A73C"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0542F9B7"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2BAC4FB6"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4A86AD1F" w14:textId="77777777" w:rsidR="006571FF" w:rsidRPr="00FD1751" w:rsidRDefault="006571FF" w:rsidP="007172ED">
            <w:pPr>
              <w:rPr>
                <w:rFonts w:ascii="Times New Roman" w:hAnsi="Times New Roman"/>
                <w:b/>
                <w:sz w:val="16"/>
                <w:szCs w:val="16"/>
              </w:rPr>
            </w:pPr>
            <w:r w:rsidRPr="00FD1751">
              <w:rPr>
                <w:b/>
                <w:color w:val="000000"/>
                <w:sz w:val="16"/>
                <w:szCs w:val="16"/>
              </w:rPr>
              <w:t>RTBS3 @ 17:22:30</w:t>
            </w:r>
          </w:p>
        </w:tc>
      </w:tr>
      <w:tr w:rsidR="006571FF" w:rsidRPr="00FD1751" w14:paraId="6E29936B"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C7ABD9B"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C89788"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6A2D66"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5C7899"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8B578E"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AAB17D"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7E67C626"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7D19B4B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C095433"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CF00AC3"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FD99356"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8F6226F"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93CE26"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25848C6"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FEC738D"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CD4A805"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E371F81"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3C0934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DDE9E21"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0650638"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EAC6EF5"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82973F6"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9527EB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25F03E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153EAABA"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0284C0F"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4FA8E8D"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B3B8C6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686AC81"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7949D37"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B602458"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D6BA10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224CC9E"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8CAA93B"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1CB227D"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8F6D80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0CA2404"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5D46C0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140C8F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145C26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50D3A79"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788FEE2"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DA71684"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E17ADC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D73883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43E3BD0"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289887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38905FE"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C40D799"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E9BAFB2"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5B01276"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EC107B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E50EE6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1D81024"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8EFD34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FE6BA63"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3AB7986C"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305F3516"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4F845C44"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23D47D4A"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29D73888"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0A0792C"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67555690"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4212D48"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61894D44"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6B6619B8"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46F596E3" w14:textId="77777777" w:rsidR="006571FF" w:rsidRPr="00FD1751" w:rsidRDefault="006571FF" w:rsidP="007172ED">
            <w:pPr>
              <w:jc w:val="cente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56AA63CC"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61C36113"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1F6FF92F"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25B74D67" w14:textId="77777777" w:rsidR="006571FF" w:rsidRPr="00FD1751" w:rsidRDefault="006571FF" w:rsidP="007172ED">
            <w:pPr>
              <w:rPr>
                <w:rFonts w:ascii="Times New Roman" w:hAnsi="Times New Roman"/>
                <w:sz w:val="16"/>
                <w:szCs w:val="16"/>
              </w:rPr>
            </w:pPr>
          </w:p>
        </w:tc>
      </w:tr>
      <w:tr w:rsidR="006571FF" w:rsidRPr="00FD1751" w14:paraId="3E167B4F"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07D2D3D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3A786543"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7F855E1C" w14:textId="77777777" w:rsidR="006571FF" w:rsidRPr="00FD1751" w:rsidRDefault="006571FF" w:rsidP="007172ED">
            <w:pPr>
              <w:rPr>
                <w:rFonts w:ascii="Times New Roman" w:hAnsi="Times New Roman"/>
                <w:b/>
                <w:sz w:val="16"/>
                <w:szCs w:val="16"/>
              </w:rPr>
            </w:pPr>
            <w:r w:rsidRPr="00FD1751">
              <w:rPr>
                <w:b/>
                <w:color w:val="000000"/>
                <w:sz w:val="16"/>
                <w:szCs w:val="16"/>
              </w:rPr>
              <w:t>RTBS3 @ 17:22:30</w:t>
            </w:r>
          </w:p>
        </w:tc>
      </w:tr>
      <w:tr w:rsidR="006571FF" w:rsidRPr="00FD1751" w14:paraId="395BDC5C"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37D19661" w14:textId="77777777" w:rsidR="006571FF" w:rsidRPr="00FD1751" w:rsidRDefault="006571FF" w:rsidP="007172ED">
            <w:pPr>
              <w:rPr>
                <w:b/>
                <w:color w:val="000000"/>
                <w:sz w:val="16"/>
                <w:szCs w:val="16"/>
              </w:rPr>
            </w:pPr>
            <w:r w:rsidRPr="00FD1751">
              <w:rPr>
                <w:b/>
                <w:color w:val="000000"/>
                <w:sz w:val="16"/>
                <w:szCs w:val="16"/>
              </w:rPr>
              <w:lastRenderedPageBreak/>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82D54F"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3E423D"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8018D1"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44F119"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E250ED"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34479640"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2FDE206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1421775D"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2ECD844"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3318C5C"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EE26F3B"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FD1DAB1"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0BF6AE0"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A740484"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5F9A7B4A"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78F0C0D"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45CE44BC"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52FBD70"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3831CB2"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7F0BC8B"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97DFF35"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1B45E8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54E9D6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478AC76"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47CF7E4"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93EDB8B"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B7924A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1812877"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2FA1D71"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0486B72"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5BE008E"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63F9399B"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B23D89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938ADD6"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E71BF2F"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CC0631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BA71EE3"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558ABA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C74634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5282E2A"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17FCE49"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F1995DF"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3974D3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E79786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550D6102"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D4F762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0F698AA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8115BC1"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CF9E788"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7A34463D"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77795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C76B6B9"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14CD948"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2C38859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275BC6CD"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5EF92D97"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1856DC8A"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57575613"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C8DFCBB"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7E25660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7BC7068E" w14:textId="77777777" w:rsidR="006571FF" w:rsidRPr="00FD1751" w:rsidRDefault="006571FF" w:rsidP="007172ED">
            <w:pPr>
              <w:rPr>
                <w:color w:val="000000"/>
                <w:sz w:val="16"/>
                <w:szCs w:val="16"/>
              </w:rPr>
            </w:pPr>
            <w:r w:rsidRPr="00FD1751">
              <w:rPr>
                <w:color w:val="000000"/>
                <w:sz w:val="16"/>
                <w:szCs w:val="16"/>
              </w:rPr>
              <w:t>No, due to no continuous Online status</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1D537FD5"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C66B5D0"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06E677B3"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528ABD9B"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2F98CA43"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139435D9"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37E28094"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076B70D5"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3FD43E4C" w14:textId="77777777" w:rsidR="006571FF" w:rsidRPr="00FD1751" w:rsidRDefault="006571FF" w:rsidP="007172ED">
            <w:pPr>
              <w:rPr>
                <w:rFonts w:ascii="Times New Roman" w:hAnsi="Times New Roman"/>
                <w:sz w:val="16"/>
                <w:szCs w:val="16"/>
              </w:rPr>
            </w:pPr>
          </w:p>
        </w:tc>
      </w:tr>
      <w:tr w:rsidR="006571FF" w:rsidRPr="00FD1751" w14:paraId="5C8DA111"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1B59BBFD"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1264076E"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4068DFF1" w14:textId="77777777" w:rsidR="006571FF" w:rsidRPr="00FD1751" w:rsidRDefault="006571FF" w:rsidP="007172ED">
            <w:pPr>
              <w:rPr>
                <w:rFonts w:ascii="Times New Roman" w:hAnsi="Times New Roman"/>
                <w:b/>
                <w:sz w:val="16"/>
                <w:szCs w:val="16"/>
              </w:rPr>
            </w:pPr>
            <w:r w:rsidRPr="00FD1751">
              <w:rPr>
                <w:b/>
                <w:color w:val="000000"/>
                <w:sz w:val="16"/>
                <w:szCs w:val="16"/>
              </w:rPr>
              <w:t>RTBS3 @ 17:22:30</w:t>
            </w:r>
          </w:p>
        </w:tc>
      </w:tr>
      <w:tr w:rsidR="006571FF" w:rsidRPr="00FD1751" w14:paraId="1217CE24"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227DC980"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A7F25D"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09C2D6"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84588B"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45AD4E"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1656E4"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71101C3A"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6AD85735"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64BF24D"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A9B48CB"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2445EE6"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3F97E84"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5774314"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3B5527CA"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CE43BD6"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6816CF6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8967DA0"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05E0FDC"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03932F43"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088C3A1"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9C5CA5C"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3F10138"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1FC873FF"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27045FD"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E1EC2F5"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D2A217A" w14:textId="77777777" w:rsidR="006571FF" w:rsidRPr="00FD1751" w:rsidRDefault="006571FF" w:rsidP="007172ED">
            <w:pPr>
              <w:jc w:val="center"/>
              <w:rPr>
                <w:color w:val="000000"/>
                <w:sz w:val="16"/>
                <w:szCs w:val="16"/>
              </w:rPr>
            </w:pPr>
            <w:r w:rsidRPr="00FD1751">
              <w:rPr>
                <w:color w:val="000000"/>
                <w:sz w:val="16"/>
                <w:szCs w:val="16"/>
              </w:rPr>
              <w:t>Offline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452EB16"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C117373"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486CF0D"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2C2227B"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CB18CB9"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152ED469"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839B7E6"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950ED36"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0A917CC"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202A528"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A86C446"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F249BFB"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A80AB0C"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43D0A88"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0978CF2"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10700B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54B386C2"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6459A3F"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73B073A"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E911994"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F8F36FB"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408C5A5E"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74C9EAF4"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14793E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2017868"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D74FACE"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BC6B20E"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0A96CAB"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5EBAD50E"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7CB5B716"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6373B1A5"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6872FD8D"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1E75F8AB"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2ED187E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37582D5F"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CD157AC" w14:textId="77777777" w:rsidR="006571FF" w:rsidRPr="00FD1751" w:rsidRDefault="006571FF" w:rsidP="007172ED">
            <w:pPr>
              <w:rPr>
                <w:color w:val="000000"/>
                <w:sz w:val="16"/>
                <w:szCs w:val="16"/>
              </w:rPr>
            </w:pPr>
            <w:r w:rsidRPr="00FD1751">
              <w:rPr>
                <w:color w:val="000000"/>
                <w:sz w:val="16"/>
                <w:szCs w:val="16"/>
              </w:rPr>
              <w:t>No, Offline status at time of telemetry check</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161D4A3D" w14:textId="77777777" w:rsidR="006571FF" w:rsidRPr="00FD1751" w:rsidRDefault="006571FF" w:rsidP="007172ED">
            <w:pPr>
              <w:rPr>
                <w:color w:val="000000"/>
                <w:sz w:val="16"/>
                <w:szCs w:val="16"/>
              </w:rPr>
            </w:pPr>
            <w:r w:rsidRPr="00FD1751">
              <w:rPr>
                <w:color w:val="000000"/>
                <w:sz w:val="16"/>
                <w:szCs w:val="16"/>
              </w:rPr>
              <w:t>N/A</w:t>
            </w:r>
          </w:p>
        </w:tc>
      </w:tr>
      <w:tr w:rsidR="006571FF" w:rsidRPr="00FD1751" w14:paraId="3A1EEFA4" w14:textId="77777777" w:rsidTr="007172ED">
        <w:trPr>
          <w:trHeight w:val="300"/>
        </w:trPr>
        <w:tc>
          <w:tcPr>
            <w:tcW w:w="1941" w:type="dxa"/>
            <w:tcBorders>
              <w:top w:val="single" w:sz="12" w:space="0" w:color="auto"/>
              <w:left w:val="nil"/>
              <w:bottom w:val="single" w:sz="12" w:space="0" w:color="auto"/>
              <w:right w:val="nil"/>
            </w:tcBorders>
            <w:noWrap/>
            <w:vAlign w:val="center"/>
            <w:hideMark/>
          </w:tcPr>
          <w:p w14:paraId="623DB848" w14:textId="77777777" w:rsidR="006571FF" w:rsidRPr="00FD1751" w:rsidRDefault="006571FF" w:rsidP="007172ED">
            <w:pPr>
              <w:rPr>
                <w:color w:val="000000"/>
                <w:sz w:val="16"/>
                <w:szCs w:val="16"/>
              </w:rPr>
            </w:pPr>
          </w:p>
        </w:tc>
        <w:tc>
          <w:tcPr>
            <w:tcW w:w="822" w:type="dxa"/>
            <w:tcBorders>
              <w:top w:val="single" w:sz="12" w:space="0" w:color="auto"/>
              <w:left w:val="nil"/>
              <w:bottom w:val="single" w:sz="12" w:space="0" w:color="auto"/>
              <w:right w:val="nil"/>
            </w:tcBorders>
            <w:noWrap/>
            <w:vAlign w:val="center"/>
            <w:hideMark/>
          </w:tcPr>
          <w:p w14:paraId="74D39492" w14:textId="77777777" w:rsidR="006571FF" w:rsidRPr="00FD1751" w:rsidRDefault="006571FF" w:rsidP="007172ED">
            <w:pPr>
              <w:rPr>
                <w:rFonts w:ascii="Times New Roman" w:hAnsi="Times New Roman"/>
                <w:sz w:val="16"/>
                <w:szCs w:val="16"/>
              </w:rPr>
            </w:pPr>
          </w:p>
        </w:tc>
        <w:tc>
          <w:tcPr>
            <w:tcW w:w="1362" w:type="dxa"/>
            <w:tcBorders>
              <w:top w:val="single" w:sz="12" w:space="0" w:color="auto"/>
              <w:left w:val="nil"/>
              <w:bottom w:val="single" w:sz="12" w:space="0" w:color="auto"/>
              <w:right w:val="nil"/>
            </w:tcBorders>
            <w:noWrap/>
            <w:vAlign w:val="center"/>
            <w:hideMark/>
          </w:tcPr>
          <w:p w14:paraId="73F78CE3"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7AE4D75F" w14:textId="77777777" w:rsidR="006571FF" w:rsidRPr="00FD1751" w:rsidRDefault="006571FF" w:rsidP="007172ED">
            <w:pPr>
              <w:rPr>
                <w:rFonts w:ascii="Times New Roman" w:hAnsi="Times New Roman"/>
                <w:sz w:val="16"/>
                <w:szCs w:val="16"/>
              </w:rPr>
            </w:pPr>
          </w:p>
        </w:tc>
        <w:tc>
          <w:tcPr>
            <w:tcW w:w="1800" w:type="dxa"/>
            <w:tcBorders>
              <w:top w:val="single" w:sz="12" w:space="0" w:color="auto"/>
              <w:left w:val="nil"/>
              <w:bottom w:val="single" w:sz="12" w:space="0" w:color="auto"/>
              <w:right w:val="nil"/>
            </w:tcBorders>
            <w:noWrap/>
            <w:vAlign w:val="center"/>
            <w:hideMark/>
          </w:tcPr>
          <w:p w14:paraId="382761E8" w14:textId="77777777" w:rsidR="006571FF" w:rsidRPr="00FD1751" w:rsidRDefault="006571FF" w:rsidP="007172ED">
            <w:pPr>
              <w:rPr>
                <w:rFonts w:ascii="Times New Roman" w:hAnsi="Times New Roman"/>
                <w:sz w:val="16"/>
                <w:szCs w:val="16"/>
              </w:rPr>
            </w:pPr>
          </w:p>
        </w:tc>
        <w:tc>
          <w:tcPr>
            <w:tcW w:w="4320" w:type="dxa"/>
            <w:tcBorders>
              <w:top w:val="single" w:sz="12" w:space="0" w:color="auto"/>
              <w:left w:val="nil"/>
              <w:bottom w:val="single" w:sz="12" w:space="0" w:color="auto"/>
              <w:right w:val="nil"/>
            </w:tcBorders>
            <w:noWrap/>
            <w:vAlign w:val="center"/>
            <w:hideMark/>
          </w:tcPr>
          <w:p w14:paraId="59E3C7A3" w14:textId="77777777" w:rsidR="006571FF" w:rsidRPr="00FD1751" w:rsidRDefault="006571FF" w:rsidP="007172ED">
            <w:pPr>
              <w:rPr>
                <w:rFonts w:ascii="Times New Roman" w:hAnsi="Times New Roman"/>
                <w:sz w:val="16"/>
                <w:szCs w:val="16"/>
              </w:rPr>
            </w:pPr>
          </w:p>
        </w:tc>
        <w:tc>
          <w:tcPr>
            <w:tcW w:w="1620" w:type="dxa"/>
            <w:tcBorders>
              <w:top w:val="single" w:sz="12" w:space="0" w:color="auto"/>
              <w:left w:val="nil"/>
              <w:bottom w:val="single" w:sz="12" w:space="0" w:color="auto"/>
              <w:right w:val="nil"/>
            </w:tcBorders>
            <w:noWrap/>
            <w:vAlign w:val="center"/>
            <w:hideMark/>
          </w:tcPr>
          <w:p w14:paraId="126EA790" w14:textId="77777777" w:rsidR="006571FF" w:rsidRPr="00FD1751" w:rsidRDefault="006571FF" w:rsidP="007172ED">
            <w:pPr>
              <w:rPr>
                <w:rFonts w:ascii="Times New Roman" w:hAnsi="Times New Roman"/>
                <w:sz w:val="16"/>
                <w:szCs w:val="16"/>
              </w:rPr>
            </w:pPr>
          </w:p>
        </w:tc>
      </w:tr>
      <w:tr w:rsidR="006571FF" w:rsidRPr="00FD1751" w14:paraId="5088F011" w14:textId="77777777" w:rsidTr="007172ED">
        <w:trPr>
          <w:trHeight w:val="300"/>
        </w:trPr>
        <w:tc>
          <w:tcPr>
            <w:tcW w:w="13669" w:type="dxa"/>
            <w:gridSpan w:val="7"/>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4FDC467C" w14:textId="77777777" w:rsidR="006571FF" w:rsidRPr="00FD1751" w:rsidRDefault="006571FF" w:rsidP="007172ED">
            <w:pPr>
              <w:rPr>
                <w:rFonts w:ascii="Times New Roman" w:hAnsi="Times New Roman"/>
                <w:b/>
                <w:sz w:val="16"/>
                <w:szCs w:val="16"/>
              </w:rPr>
            </w:pPr>
            <w:r w:rsidRPr="00FD1751">
              <w:rPr>
                <w:b/>
                <w:color w:val="000000"/>
                <w:sz w:val="16"/>
                <w:szCs w:val="16"/>
              </w:rPr>
              <w:t>RSE Horizon: 18:00-19:00</w:t>
            </w:r>
          </w:p>
        </w:tc>
      </w:tr>
      <w:tr w:rsidR="006571FF" w:rsidRPr="00FD1751" w14:paraId="1F24761E" w14:textId="77777777" w:rsidTr="007172ED">
        <w:trPr>
          <w:trHeight w:val="300"/>
        </w:trPr>
        <w:tc>
          <w:tcPr>
            <w:tcW w:w="13669" w:type="dxa"/>
            <w:gridSpan w:val="7"/>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306EA108" w14:textId="77777777" w:rsidR="006571FF" w:rsidRPr="00FD1751" w:rsidRDefault="006571FF" w:rsidP="007172ED">
            <w:pPr>
              <w:rPr>
                <w:rFonts w:ascii="Times New Roman" w:hAnsi="Times New Roman"/>
                <w:b/>
                <w:sz w:val="16"/>
                <w:szCs w:val="16"/>
              </w:rPr>
            </w:pPr>
            <w:r w:rsidRPr="00FD1751">
              <w:rPr>
                <w:b/>
                <w:color w:val="000000"/>
                <w:sz w:val="16"/>
                <w:szCs w:val="16"/>
              </w:rPr>
              <w:t>RTBS3 @ 17:22:30</w:t>
            </w:r>
          </w:p>
        </w:tc>
      </w:tr>
      <w:tr w:rsidR="006571FF" w:rsidRPr="00FD1751" w14:paraId="6D925E83"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54D417F1" w14:textId="77777777" w:rsidR="006571FF" w:rsidRPr="00FD1751" w:rsidRDefault="006571FF" w:rsidP="007172ED">
            <w:pPr>
              <w:rPr>
                <w:b/>
                <w:color w:val="000000"/>
                <w:sz w:val="16"/>
                <w:szCs w:val="16"/>
              </w:rPr>
            </w:pPr>
            <w:r w:rsidRPr="00FD1751">
              <w:rPr>
                <w:b/>
                <w:color w:val="000000"/>
                <w:sz w:val="16"/>
                <w:szCs w:val="16"/>
              </w:rPr>
              <w:t>Time Interval</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A7577C" w14:textId="77777777" w:rsidR="006571FF" w:rsidRPr="00FD1751" w:rsidRDefault="006571FF" w:rsidP="007172ED">
            <w:pPr>
              <w:jc w:val="center"/>
              <w:rPr>
                <w:b/>
                <w:color w:val="000000"/>
                <w:sz w:val="16"/>
                <w:szCs w:val="16"/>
              </w:rPr>
            </w:pPr>
            <w:r w:rsidRPr="00FD1751">
              <w:rPr>
                <w:b/>
                <w:color w:val="000000"/>
                <w:sz w:val="16"/>
                <w:szCs w:val="16"/>
              </w:rPr>
              <w:t>Status</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D40F35" w14:textId="77777777" w:rsidR="006571FF" w:rsidRPr="00FD1751" w:rsidRDefault="006571FF" w:rsidP="007172ED">
            <w:pPr>
              <w:rPr>
                <w:b/>
                <w:color w:val="000000"/>
                <w:sz w:val="16"/>
                <w:szCs w:val="16"/>
              </w:rPr>
            </w:pPr>
            <w:r w:rsidRPr="00FD1751">
              <w:rPr>
                <w:b/>
                <w:color w:val="000000"/>
                <w:sz w:val="16"/>
                <w:szCs w:val="16"/>
              </w:rPr>
              <w:t>Data Source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5831F4" w14:textId="77777777" w:rsidR="006571FF" w:rsidRPr="00FD1751" w:rsidRDefault="006571FF" w:rsidP="007172ED">
            <w:pPr>
              <w:rPr>
                <w:b/>
                <w:color w:val="000000"/>
                <w:sz w:val="16"/>
                <w:szCs w:val="16"/>
              </w:rPr>
            </w:pPr>
            <w:r w:rsidRPr="00FD1751">
              <w:rPr>
                <w:b/>
                <w:color w:val="000000"/>
                <w:sz w:val="16"/>
                <w:szCs w:val="16"/>
              </w:rPr>
              <w:t>Telemetry Check</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814558" w14:textId="77777777" w:rsidR="006571FF" w:rsidRPr="00FD1751" w:rsidRDefault="006571FF" w:rsidP="007172ED">
            <w:pPr>
              <w:rPr>
                <w:b/>
                <w:color w:val="000000"/>
                <w:sz w:val="16"/>
                <w:szCs w:val="16"/>
              </w:rPr>
            </w:pPr>
            <w:r w:rsidRPr="00FD1751">
              <w:rPr>
                <w:b/>
                <w:color w:val="000000"/>
                <w:sz w:val="16"/>
                <w:szCs w:val="16"/>
              </w:rPr>
              <w:t>Telemetry Value</w:t>
            </w:r>
          </w:p>
        </w:tc>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4E036E" w14:textId="77777777" w:rsidR="006571FF" w:rsidRPr="00FD1751" w:rsidRDefault="006571FF" w:rsidP="007172ED">
            <w:pPr>
              <w:rPr>
                <w:b/>
                <w:color w:val="000000"/>
                <w:sz w:val="16"/>
                <w:szCs w:val="16"/>
              </w:rPr>
            </w:pPr>
            <w:r w:rsidRPr="00FD1751">
              <w:rPr>
                <w:b/>
                <w:color w:val="000000"/>
                <w:sz w:val="16"/>
                <w:szCs w:val="16"/>
              </w:rPr>
              <w:t>Assessed for Disqualification</w:t>
            </w:r>
          </w:p>
        </w:tc>
        <w:tc>
          <w:tcPr>
            <w:tcW w:w="1620" w:type="dxa"/>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hideMark/>
          </w:tcPr>
          <w:p w14:paraId="52E67138" w14:textId="77777777" w:rsidR="006571FF" w:rsidRPr="00FD1751" w:rsidRDefault="006571FF" w:rsidP="007172ED">
            <w:pPr>
              <w:rPr>
                <w:b/>
                <w:color w:val="000000"/>
                <w:sz w:val="16"/>
                <w:szCs w:val="16"/>
              </w:rPr>
            </w:pPr>
            <w:r w:rsidRPr="00FD1751">
              <w:rPr>
                <w:b/>
                <w:color w:val="000000"/>
                <w:sz w:val="16"/>
                <w:szCs w:val="16"/>
              </w:rPr>
              <w:t>Disqualified</w:t>
            </w:r>
          </w:p>
        </w:tc>
      </w:tr>
      <w:tr w:rsidR="006571FF" w:rsidRPr="00FD1751" w14:paraId="28724CD3"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2340BA62" w14:textId="77777777" w:rsidR="006571FF" w:rsidRPr="00FD1751" w:rsidRDefault="006571FF" w:rsidP="007172ED">
            <w:pPr>
              <w:rPr>
                <w:color w:val="000000"/>
                <w:sz w:val="16"/>
                <w:szCs w:val="16"/>
              </w:rPr>
            </w:pPr>
            <w:r w:rsidRPr="00FD1751">
              <w:rPr>
                <w:color w:val="000000"/>
                <w:sz w:val="16"/>
                <w:szCs w:val="16"/>
              </w:rPr>
              <w:t>17:15-17:30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53AFF9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36B3FD5" w14:textId="77777777" w:rsidR="006571FF" w:rsidRPr="00FD1751" w:rsidRDefault="006571FF" w:rsidP="007172ED">
            <w:pPr>
              <w:rPr>
                <w:color w:val="000000"/>
                <w:sz w:val="16"/>
                <w:szCs w:val="16"/>
              </w:rPr>
            </w:pPr>
            <w:r w:rsidRPr="00FD1751">
              <w:rPr>
                <w:color w:val="000000"/>
                <w:sz w:val="16"/>
                <w:szCs w:val="16"/>
              </w:rPr>
              <w:t>HASP</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47CA646" w14:textId="77777777" w:rsidR="006571FF" w:rsidRPr="00FD1751" w:rsidRDefault="006571FF" w:rsidP="007172ED">
            <w:pPr>
              <w:rPr>
                <w:color w:val="000000"/>
                <w:sz w:val="16"/>
                <w:szCs w:val="16"/>
              </w:rPr>
            </w:pPr>
            <w:r w:rsidRPr="00FD1751">
              <w:rPr>
                <w:color w:val="000000"/>
                <w:sz w:val="16"/>
                <w:szCs w:val="16"/>
              </w:rPr>
              <w:t>Yes</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D038161" w14:textId="77777777" w:rsidR="006571FF" w:rsidRPr="00FD1751" w:rsidRDefault="006571FF" w:rsidP="007172ED">
            <w:pPr>
              <w:rPr>
                <w:color w:val="000000"/>
                <w:sz w:val="16"/>
                <w:szCs w:val="16"/>
              </w:rPr>
            </w:pPr>
            <w:r w:rsidRPr="00FD1751">
              <w:rPr>
                <w:color w:val="000000"/>
                <w:sz w:val="16"/>
                <w:szCs w:val="16"/>
              </w:rPr>
              <w:t>&lt;=0</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4A8737AF"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0701F6C"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1589E81"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43FA0548" w14:textId="77777777" w:rsidR="006571FF" w:rsidRPr="00FD1751" w:rsidRDefault="006571FF" w:rsidP="007172ED">
            <w:pPr>
              <w:rPr>
                <w:color w:val="000000"/>
                <w:sz w:val="16"/>
                <w:szCs w:val="16"/>
              </w:rPr>
            </w:pPr>
            <w:r w:rsidRPr="00FD1751">
              <w:rPr>
                <w:color w:val="000000"/>
                <w:sz w:val="16"/>
                <w:szCs w:val="16"/>
              </w:rPr>
              <w:t>17:30-17:45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69A971B2"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247BB200"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86878E6"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AF2F3A9"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757A67A5"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73E70931"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3706F79F"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3FC57E86" w14:textId="77777777" w:rsidR="006571FF" w:rsidRPr="00FD1751" w:rsidRDefault="006571FF" w:rsidP="007172ED">
            <w:pPr>
              <w:rPr>
                <w:color w:val="000000"/>
                <w:sz w:val="16"/>
                <w:szCs w:val="16"/>
              </w:rPr>
            </w:pPr>
            <w:r w:rsidRPr="00FD1751">
              <w:rPr>
                <w:color w:val="000000"/>
                <w:sz w:val="16"/>
                <w:szCs w:val="16"/>
              </w:rPr>
              <w:t>17:45-18:00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693B559"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3BA0CE08"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30CD350"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E1365B3"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931625E"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46975790"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1BD84122"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21564D1B" w14:textId="77777777" w:rsidR="006571FF" w:rsidRPr="00FD1751" w:rsidRDefault="006571FF" w:rsidP="007172ED">
            <w:pPr>
              <w:rPr>
                <w:color w:val="000000"/>
                <w:sz w:val="16"/>
                <w:szCs w:val="16"/>
              </w:rPr>
            </w:pPr>
            <w:r w:rsidRPr="00FD1751">
              <w:rPr>
                <w:color w:val="000000"/>
                <w:sz w:val="16"/>
                <w:szCs w:val="16"/>
              </w:rPr>
              <w:t>18:00-18:15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06D8BD15"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43DA91EA"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331C9C32"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6BA0EA00"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173DF8EA"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3F82E6AD"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63063DF4"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5247775D" w14:textId="77777777" w:rsidR="006571FF" w:rsidRPr="00FD1751" w:rsidRDefault="006571FF" w:rsidP="007172ED">
            <w:pPr>
              <w:rPr>
                <w:color w:val="000000"/>
                <w:sz w:val="16"/>
                <w:szCs w:val="16"/>
              </w:rPr>
            </w:pPr>
            <w:r w:rsidRPr="00FD1751">
              <w:rPr>
                <w:color w:val="000000"/>
                <w:sz w:val="16"/>
                <w:szCs w:val="16"/>
              </w:rPr>
              <w:t>18:15-18:30</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ABB059A"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13D29E1E"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208AF15"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231655C"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6C0A651E"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65D622E9"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BC5B286" w14:textId="77777777" w:rsidTr="007172ED">
        <w:trPr>
          <w:trHeight w:val="300"/>
        </w:trPr>
        <w:tc>
          <w:tcPr>
            <w:tcW w:w="1941" w:type="dxa"/>
            <w:tcBorders>
              <w:top w:val="single" w:sz="4" w:space="0" w:color="auto"/>
              <w:left w:val="single" w:sz="12" w:space="0" w:color="auto"/>
              <w:bottom w:val="single" w:sz="4" w:space="0" w:color="auto"/>
              <w:right w:val="single" w:sz="4" w:space="0" w:color="auto"/>
            </w:tcBorders>
            <w:noWrap/>
            <w:vAlign w:val="center"/>
            <w:hideMark/>
          </w:tcPr>
          <w:p w14:paraId="01839668" w14:textId="77777777" w:rsidR="006571FF" w:rsidRPr="00FD1751" w:rsidRDefault="006571FF" w:rsidP="007172ED">
            <w:pPr>
              <w:rPr>
                <w:color w:val="000000"/>
                <w:sz w:val="16"/>
                <w:szCs w:val="16"/>
              </w:rPr>
            </w:pPr>
            <w:r w:rsidRPr="00FD1751">
              <w:rPr>
                <w:color w:val="000000"/>
                <w:sz w:val="16"/>
                <w:szCs w:val="16"/>
              </w:rPr>
              <w:t>18:30-18:45</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302DC250"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4" w:space="0" w:color="auto"/>
              <w:right w:val="single" w:sz="4" w:space="0" w:color="auto"/>
            </w:tcBorders>
            <w:noWrap/>
            <w:vAlign w:val="center"/>
            <w:hideMark/>
          </w:tcPr>
          <w:p w14:paraId="6684492F"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BF87869"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6303EB2"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03E1F188"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4" w:space="0" w:color="auto"/>
              <w:right w:val="single" w:sz="12" w:space="0" w:color="auto"/>
            </w:tcBorders>
            <w:noWrap/>
            <w:vAlign w:val="center"/>
            <w:hideMark/>
          </w:tcPr>
          <w:p w14:paraId="0DFBB119" w14:textId="77777777" w:rsidR="006571FF" w:rsidRPr="00FD1751" w:rsidRDefault="006571FF" w:rsidP="007172ED">
            <w:pPr>
              <w:rPr>
                <w:color w:val="000000"/>
                <w:sz w:val="16"/>
                <w:szCs w:val="16"/>
              </w:rPr>
            </w:pPr>
            <w:r w:rsidRPr="00FD1751">
              <w:rPr>
                <w:color w:val="000000"/>
                <w:sz w:val="16"/>
                <w:szCs w:val="16"/>
              </w:rPr>
              <w:t>Yes</w:t>
            </w:r>
          </w:p>
        </w:tc>
      </w:tr>
      <w:tr w:rsidR="006571FF" w:rsidRPr="00FD1751" w14:paraId="099BB48A" w14:textId="77777777" w:rsidTr="007172ED">
        <w:trPr>
          <w:trHeight w:val="300"/>
        </w:trPr>
        <w:tc>
          <w:tcPr>
            <w:tcW w:w="1941" w:type="dxa"/>
            <w:tcBorders>
              <w:top w:val="single" w:sz="4" w:space="0" w:color="auto"/>
              <w:left w:val="single" w:sz="12" w:space="0" w:color="auto"/>
              <w:bottom w:val="single" w:sz="12" w:space="0" w:color="auto"/>
              <w:right w:val="single" w:sz="4" w:space="0" w:color="auto"/>
            </w:tcBorders>
            <w:noWrap/>
            <w:vAlign w:val="center"/>
            <w:hideMark/>
          </w:tcPr>
          <w:p w14:paraId="3A5E7920" w14:textId="77777777" w:rsidR="006571FF" w:rsidRPr="00FD1751" w:rsidRDefault="006571FF" w:rsidP="007172ED">
            <w:pPr>
              <w:rPr>
                <w:color w:val="000000"/>
                <w:sz w:val="16"/>
                <w:szCs w:val="16"/>
              </w:rPr>
            </w:pPr>
            <w:r w:rsidRPr="00FD1751">
              <w:rPr>
                <w:color w:val="000000"/>
                <w:sz w:val="16"/>
                <w:szCs w:val="16"/>
              </w:rPr>
              <w:t>18:45-19:00</w:t>
            </w:r>
          </w:p>
        </w:tc>
        <w:tc>
          <w:tcPr>
            <w:tcW w:w="822" w:type="dxa"/>
            <w:tcBorders>
              <w:top w:val="single" w:sz="4" w:space="0" w:color="auto"/>
              <w:left w:val="single" w:sz="4" w:space="0" w:color="auto"/>
              <w:bottom w:val="single" w:sz="12" w:space="0" w:color="auto"/>
              <w:right w:val="single" w:sz="4" w:space="0" w:color="auto"/>
            </w:tcBorders>
            <w:noWrap/>
            <w:vAlign w:val="center"/>
            <w:hideMark/>
          </w:tcPr>
          <w:p w14:paraId="55598E2D" w14:textId="77777777" w:rsidR="006571FF" w:rsidRPr="00FD1751" w:rsidRDefault="006571FF" w:rsidP="007172ED">
            <w:pPr>
              <w:jc w:val="center"/>
              <w:rPr>
                <w:color w:val="000000"/>
                <w:sz w:val="16"/>
                <w:szCs w:val="16"/>
              </w:rPr>
            </w:pPr>
            <w:r w:rsidRPr="00FD1751">
              <w:rPr>
                <w:color w:val="000000"/>
                <w:sz w:val="16"/>
                <w:szCs w:val="16"/>
              </w:rPr>
              <w:t>Online</w:t>
            </w:r>
          </w:p>
        </w:tc>
        <w:tc>
          <w:tcPr>
            <w:tcW w:w="1362" w:type="dxa"/>
            <w:tcBorders>
              <w:top w:val="single" w:sz="4" w:space="0" w:color="auto"/>
              <w:left w:val="single" w:sz="4" w:space="0" w:color="auto"/>
              <w:bottom w:val="single" w:sz="12" w:space="0" w:color="auto"/>
              <w:right w:val="single" w:sz="4" w:space="0" w:color="auto"/>
            </w:tcBorders>
            <w:noWrap/>
            <w:vAlign w:val="center"/>
            <w:hideMark/>
          </w:tcPr>
          <w:p w14:paraId="67B02E1C" w14:textId="77777777" w:rsidR="006571FF" w:rsidRPr="00FD1751" w:rsidRDefault="006571FF" w:rsidP="007172ED">
            <w:pPr>
              <w:rPr>
                <w:color w:val="000000"/>
                <w:sz w:val="16"/>
                <w:szCs w:val="16"/>
              </w:rPr>
            </w:pPr>
            <w:r w:rsidRPr="00FD1751">
              <w:rPr>
                <w:color w:val="000000"/>
                <w:sz w:val="16"/>
                <w:szCs w:val="16"/>
              </w:rPr>
              <w:t>RTPD6</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6CE5D93C" w14:textId="77777777" w:rsidR="006571FF" w:rsidRPr="00FD1751" w:rsidRDefault="006571FF" w:rsidP="007172ED">
            <w:pPr>
              <w:rPr>
                <w:color w:val="000000"/>
                <w:sz w:val="16"/>
                <w:szCs w:val="16"/>
              </w:rPr>
            </w:pPr>
            <w:r w:rsidRPr="00FD1751">
              <w:rPr>
                <w:color w:val="000000"/>
                <w:sz w:val="16"/>
                <w:szCs w:val="16"/>
              </w:rPr>
              <w:t>No</w:t>
            </w:r>
          </w:p>
        </w:tc>
        <w:tc>
          <w:tcPr>
            <w:tcW w:w="1800" w:type="dxa"/>
            <w:tcBorders>
              <w:top w:val="single" w:sz="4" w:space="0" w:color="auto"/>
              <w:left w:val="single" w:sz="4" w:space="0" w:color="auto"/>
              <w:bottom w:val="single" w:sz="12" w:space="0" w:color="auto"/>
              <w:right w:val="single" w:sz="4" w:space="0" w:color="auto"/>
            </w:tcBorders>
            <w:noWrap/>
            <w:vAlign w:val="center"/>
            <w:hideMark/>
          </w:tcPr>
          <w:p w14:paraId="48CBD6AC" w14:textId="77777777" w:rsidR="006571FF" w:rsidRPr="00FD1751" w:rsidRDefault="006571FF" w:rsidP="007172ED">
            <w:pPr>
              <w:rPr>
                <w:color w:val="000000"/>
                <w:sz w:val="16"/>
                <w:szCs w:val="16"/>
              </w:rPr>
            </w:pPr>
            <w:r w:rsidRPr="00FD1751">
              <w:rPr>
                <w:color w:val="000000"/>
                <w:sz w:val="16"/>
                <w:szCs w:val="16"/>
              </w:rPr>
              <w:t>N/A</w:t>
            </w:r>
          </w:p>
        </w:tc>
        <w:tc>
          <w:tcPr>
            <w:tcW w:w="4320" w:type="dxa"/>
            <w:tcBorders>
              <w:top w:val="single" w:sz="4" w:space="0" w:color="auto"/>
              <w:left w:val="single" w:sz="4" w:space="0" w:color="auto"/>
              <w:bottom w:val="single" w:sz="12" w:space="0" w:color="auto"/>
              <w:right w:val="single" w:sz="4" w:space="0" w:color="auto"/>
            </w:tcBorders>
            <w:noWrap/>
            <w:vAlign w:val="center"/>
            <w:hideMark/>
          </w:tcPr>
          <w:p w14:paraId="4EF75256" w14:textId="77777777" w:rsidR="006571FF" w:rsidRPr="00FD1751" w:rsidRDefault="006571FF" w:rsidP="007172ED">
            <w:pPr>
              <w:rPr>
                <w:color w:val="000000"/>
                <w:sz w:val="16"/>
                <w:szCs w:val="16"/>
              </w:rPr>
            </w:pPr>
            <w:r w:rsidRPr="00FD1751">
              <w:rPr>
                <w:color w:val="000000"/>
                <w:sz w:val="16"/>
                <w:szCs w:val="16"/>
              </w:rPr>
              <w:t>Yes</w:t>
            </w:r>
          </w:p>
        </w:tc>
        <w:tc>
          <w:tcPr>
            <w:tcW w:w="1620" w:type="dxa"/>
            <w:tcBorders>
              <w:top w:val="single" w:sz="4" w:space="0" w:color="auto"/>
              <w:left w:val="single" w:sz="4" w:space="0" w:color="auto"/>
              <w:bottom w:val="single" w:sz="12" w:space="0" w:color="auto"/>
              <w:right w:val="single" w:sz="12" w:space="0" w:color="auto"/>
            </w:tcBorders>
            <w:noWrap/>
            <w:vAlign w:val="center"/>
            <w:hideMark/>
          </w:tcPr>
          <w:p w14:paraId="011E7C85" w14:textId="77777777" w:rsidR="006571FF" w:rsidRPr="00FD1751" w:rsidRDefault="006571FF" w:rsidP="007172ED">
            <w:pPr>
              <w:rPr>
                <w:color w:val="000000"/>
                <w:sz w:val="16"/>
                <w:szCs w:val="16"/>
              </w:rPr>
            </w:pPr>
            <w:r w:rsidRPr="00FD1751">
              <w:rPr>
                <w:color w:val="000000"/>
                <w:sz w:val="16"/>
                <w:szCs w:val="16"/>
              </w:rPr>
              <w:t>Yes</w:t>
            </w:r>
          </w:p>
        </w:tc>
      </w:tr>
    </w:tbl>
    <w:p w14:paraId="3569CAC8" w14:textId="77777777" w:rsidR="006571FF" w:rsidRPr="00AF6A94" w:rsidRDefault="006571FF" w:rsidP="006571FF">
      <w:pPr>
        <w:pStyle w:val="ListParagraph"/>
        <w:ind w:left="1080"/>
        <w:rPr>
          <w:i/>
        </w:rPr>
      </w:pPr>
    </w:p>
    <w:p w14:paraId="0E0A8186" w14:textId="65FEEC27" w:rsidR="00353F15" w:rsidRPr="00353F15" w:rsidRDefault="00353F15" w:rsidP="00353F15">
      <w:pPr>
        <w:pStyle w:val="ListParagraph"/>
        <w:numPr>
          <w:ilvl w:val="0"/>
          <w:numId w:val="97"/>
        </w:numPr>
        <w:shd w:val="clear" w:color="auto" w:fill="FFFFFF"/>
        <w:rPr>
          <w:b/>
        </w:rPr>
      </w:pPr>
      <w:r w:rsidRPr="00353F15">
        <w:rPr>
          <w:b/>
          <w:color w:val="444444"/>
          <w:u w:val="single"/>
        </w:rPr>
        <w:lastRenderedPageBreak/>
        <w:t>Exclusion of Failed-to-Start Short-Start Units as Available Supply in the Capacity Test</w:t>
      </w:r>
    </w:p>
    <w:p w14:paraId="22F5A202" w14:textId="533E09CB" w:rsidR="00353F15" w:rsidRPr="00353F15" w:rsidRDefault="00353F15" w:rsidP="00353F15">
      <w:pPr>
        <w:shd w:val="clear" w:color="auto" w:fill="FFFFFF"/>
        <w:ind w:left="1080"/>
      </w:pPr>
      <w:r w:rsidRPr="00353F15">
        <w:t>Resources that can be online with either a 0MW or negative MW (motoring) will be exempted from the exclusion by indicating “Yes” to the Capacity Test Failed-to-Start Exemption Flag on the Generator Resource Data Template (GRDT)."  More specifically, the failed to start functionality receives telemetry data at the time the RTBS runs as follows:</w:t>
      </w:r>
    </w:p>
    <w:p w14:paraId="4454DA8A" w14:textId="77777777" w:rsidR="00353F15" w:rsidRPr="00353F15" w:rsidRDefault="00353F15" w:rsidP="00353F15">
      <w:pPr>
        <w:shd w:val="clear" w:color="auto" w:fill="FFFFFF"/>
        <w:ind w:left="1080"/>
      </w:pPr>
      <w:r w:rsidRPr="00353F15">
        <w:t>RTBS1 @ RTBS1 @ XX:46:30</w:t>
      </w:r>
    </w:p>
    <w:p w14:paraId="0650BDFC" w14:textId="77777777" w:rsidR="00353F15" w:rsidRPr="00353F15" w:rsidRDefault="00353F15" w:rsidP="00353F15">
      <w:pPr>
        <w:shd w:val="clear" w:color="auto" w:fill="FFFFFF"/>
        <w:ind w:left="1080"/>
      </w:pPr>
      <w:r w:rsidRPr="00353F15">
        <w:t>RTBS2 @ RTBS2 @ XX+1:05:30</w:t>
      </w:r>
    </w:p>
    <w:p w14:paraId="6295203F" w14:textId="77777777" w:rsidR="00353F15" w:rsidRPr="00353F15" w:rsidRDefault="00353F15" w:rsidP="00353F15">
      <w:pPr>
        <w:shd w:val="clear" w:color="auto" w:fill="FFFFFF"/>
        <w:ind w:left="1080"/>
      </w:pPr>
      <w:r w:rsidRPr="00353F15">
        <w:t>RTBS3 @ RTBS3 @ XX+1:22:30</w:t>
      </w:r>
    </w:p>
    <w:p w14:paraId="0E02F778" w14:textId="77777777" w:rsidR="00353F15" w:rsidRPr="00353F15" w:rsidRDefault="00353F15" w:rsidP="00353F15">
      <w:pPr>
        <w:shd w:val="clear" w:color="auto" w:fill="FFFFFF"/>
        <w:ind w:left="1080"/>
      </w:pPr>
      <w:r w:rsidRPr="00353F15">
        <w:t xml:space="preserve">If the status of the resource at the corresponding interval from latest RTPD run at the time of the RTBS run is online and the telemetry is &lt;=0, then the resource is considered as failed to start.  Therefore, if the resource is capable of running at zero or negative MWs and can be online by the time of the telemetry check, the resource is eligible for the exemption from the fail-to-start exclusion.  </w:t>
      </w:r>
    </w:p>
    <w:p w14:paraId="12DCA701" w14:textId="0136A2B4" w:rsidR="006571FF" w:rsidRPr="008817D0" w:rsidRDefault="006571FF" w:rsidP="00FD1751">
      <w:pPr>
        <w:rPr>
          <w:rFonts w:eastAsia="Calibri"/>
        </w:rPr>
      </w:pPr>
    </w:p>
    <w:p w14:paraId="35FF83CA" w14:textId="56DA8111" w:rsidR="006571FF" w:rsidRDefault="006571FF" w:rsidP="006571FF">
      <w:pPr>
        <w:numPr>
          <w:ilvl w:val="0"/>
          <w:numId w:val="12"/>
        </w:numPr>
        <w:rPr>
          <w:rFonts w:eastAsia="Calibri"/>
        </w:rPr>
      </w:pPr>
      <w:r w:rsidRPr="008817D0">
        <w:rPr>
          <w:rFonts w:eastAsia="Calibri"/>
          <w:b/>
          <w:bCs/>
        </w:rPr>
        <w:t xml:space="preserve">Flexible Ramping Sufficiency Test:  </w:t>
      </w:r>
      <w:r w:rsidRPr="003E1F12">
        <w:rPr>
          <w:rFonts w:ascii="Arial" w:eastAsia="Times New Roman" w:hAnsi="Arial" w:cs="Arial"/>
          <w:iCs/>
          <w:color w:val="000000"/>
          <w:sz w:val="20"/>
          <w:szCs w:val="20"/>
        </w:rPr>
        <w:t xml:space="preserve">At T-75, T-55, and T-40 </w:t>
      </w:r>
      <w:r>
        <w:rPr>
          <w:rFonts w:ascii="Arial" w:eastAsia="Times New Roman" w:hAnsi="Arial" w:cs="Arial"/>
          <w:iCs/>
          <w:color w:val="000000"/>
          <w:sz w:val="20"/>
          <w:szCs w:val="20"/>
        </w:rPr>
        <w:t>minutes</w:t>
      </w:r>
      <w:r w:rsidRPr="008817D0">
        <w:rPr>
          <w:rFonts w:eastAsia="Calibri"/>
          <w:b/>
          <w:bCs/>
        </w:rPr>
        <w:t xml:space="preserve"> </w:t>
      </w:r>
      <w:r>
        <w:rPr>
          <w:rFonts w:eastAsia="Calibri"/>
        </w:rPr>
        <w:t xml:space="preserve">prior to start of the next trading hour, </w:t>
      </w:r>
      <w:r w:rsidRPr="008817D0">
        <w:rPr>
          <w:rFonts w:eastAsia="Calibri"/>
        </w:rPr>
        <w:t xml:space="preserve">CAISO will </w:t>
      </w:r>
      <w:r>
        <w:rPr>
          <w:rFonts w:eastAsia="Calibri"/>
        </w:rPr>
        <w:t xml:space="preserve">independently evaluate flexible ramping sufficiency test for each BAA within the WEIM area for each 15-minute interval of that trading hour. </w:t>
      </w:r>
      <w:r w:rsidRPr="008817D0">
        <w:rPr>
          <w:rFonts w:eastAsia="Calibri"/>
        </w:rPr>
        <w:t xml:space="preserve">The </w:t>
      </w:r>
      <w:r>
        <w:rPr>
          <w:rFonts w:eastAsia="Calibri"/>
        </w:rPr>
        <w:t xml:space="preserve">flexible ramping </w:t>
      </w:r>
      <w:r w:rsidRPr="008817D0">
        <w:rPr>
          <w:rFonts w:eastAsia="Calibri"/>
        </w:rPr>
        <w:t xml:space="preserve">requirement is based on the </w:t>
      </w:r>
      <w:r>
        <w:rPr>
          <w:rFonts w:eastAsia="Calibri"/>
        </w:rPr>
        <w:t xml:space="preserve">historical error in the </w:t>
      </w:r>
      <w:r w:rsidRPr="008817D0">
        <w:rPr>
          <w:rFonts w:eastAsia="Calibri"/>
        </w:rPr>
        <w:t>CAISO load forecast</w:t>
      </w:r>
      <w:r>
        <w:rPr>
          <w:rFonts w:eastAsia="Calibri"/>
        </w:rPr>
        <w:t xml:space="preserve"> and</w:t>
      </w:r>
      <w:r w:rsidRPr="008817D0">
        <w:rPr>
          <w:rFonts w:eastAsia="Calibri"/>
        </w:rPr>
        <w:t xml:space="preserve"> the CAISO variable en</w:t>
      </w:r>
      <w:r>
        <w:rPr>
          <w:rFonts w:eastAsia="Calibri"/>
        </w:rPr>
        <w:t xml:space="preserve">ergy resource forecast. The test assesses whether there is sufficient </w:t>
      </w:r>
      <w:r w:rsidRPr="008817D0">
        <w:rPr>
          <w:rFonts w:eastAsia="Calibri"/>
        </w:rPr>
        <w:t xml:space="preserve">ramping capability </w:t>
      </w:r>
      <w:r>
        <w:rPr>
          <w:rFonts w:eastAsia="Calibri"/>
        </w:rPr>
        <w:t>among all resources in the BAA</w:t>
      </w:r>
      <w:r w:rsidRPr="008817D0">
        <w:rPr>
          <w:rFonts w:eastAsia="Calibri"/>
        </w:rPr>
        <w:t xml:space="preserve"> </w:t>
      </w:r>
      <w:r>
        <w:rPr>
          <w:rFonts w:eastAsia="Calibri"/>
        </w:rPr>
        <w:t xml:space="preserve">as explained, including demand response forecast adjustments, adjustments for power balance constraint relaxations and adjustments for the T-40 transmission e-tag confirmation </w:t>
      </w:r>
      <w:r w:rsidRPr="008817D0">
        <w:rPr>
          <w:rFonts w:eastAsia="Calibri"/>
        </w:rPr>
        <w:t xml:space="preserve">to meet </w:t>
      </w:r>
      <w:r>
        <w:rPr>
          <w:rFonts w:eastAsia="Calibri"/>
        </w:rPr>
        <w:t>the forecasted demand change across intervals plus a high/low percentile of the historical uncertainty</w:t>
      </w:r>
      <w:r w:rsidRPr="008817D0">
        <w:rPr>
          <w:rFonts w:eastAsia="Calibri"/>
        </w:rPr>
        <w:t xml:space="preserve">. </w:t>
      </w:r>
    </w:p>
    <w:p w14:paraId="266FBF97" w14:textId="77777777" w:rsidR="006571FF" w:rsidRDefault="006571FF" w:rsidP="006571FF">
      <w:pPr>
        <w:ind w:left="1080"/>
        <w:rPr>
          <w:rFonts w:eastAsia="Calibri"/>
        </w:rPr>
      </w:pPr>
      <w:r>
        <w:rPr>
          <w:rFonts w:eastAsia="Calibri"/>
        </w:rPr>
        <w:t>A 1% (one percent) tolerance band threshold or 1 MW (one MW) will be applied to the flexible ramping uncertainty requirement (both upward and downward) for a given 15-minute interval for each WEIM BAA. Resulting amount (both upward and downward) is calculated as follows;</w:t>
      </w:r>
    </w:p>
    <w:p w14:paraId="2815CA37" w14:textId="77777777" w:rsidR="006571FF" w:rsidRDefault="006571FF" w:rsidP="006571FF">
      <w:pPr>
        <w:ind w:left="1080"/>
        <w:rPr>
          <w:rFonts w:eastAsia="Calibri"/>
          <w:iCs/>
        </w:rPr>
      </w:pPr>
      <w:r w:rsidRPr="005F33ED">
        <w:rPr>
          <w:rFonts w:eastAsia="Calibri"/>
        </w:rPr>
        <w:t xml:space="preserve"> T</w:t>
      </w:r>
      <w:r w:rsidRPr="00120A86">
        <w:rPr>
          <w:rFonts w:eastAsia="Calibri"/>
        </w:rPr>
        <w:t xml:space="preserve">he </w:t>
      </w:r>
      <m:oMath>
        <m:func>
          <m:funcPr>
            <m:ctrlPr>
              <w:rPr>
                <w:rFonts w:ascii="Cambria Math" w:hAnsi="Cambria Math"/>
                <w:i/>
                <w:iCs/>
              </w:rPr>
            </m:ctrlPr>
          </m:funcPr>
          <m:fName>
            <m:r>
              <m:rPr>
                <m:sty m:val="p"/>
              </m:rPr>
              <w:rPr>
                <w:rFonts w:ascii="Cambria Math" w:hAnsi="Cambria Math"/>
              </w:rPr>
              <m:t>max</m:t>
            </m:r>
          </m:fName>
          <m:e>
            <m:d>
              <m:dPr>
                <m:ctrlPr>
                  <w:rPr>
                    <w:rFonts w:ascii="Cambria Math" w:hAnsi="Cambria Math"/>
                    <w:i/>
                    <w:iCs/>
                  </w:rPr>
                </m:ctrlPr>
              </m:dPr>
              <m:e>
                <m:sSub>
                  <m:sSubPr>
                    <m:ctrlPr>
                      <w:rPr>
                        <w:rFonts w:ascii="Cambria Math" w:hAnsi="Cambria Math"/>
                        <w:i/>
                        <w:iCs/>
                      </w:rPr>
                    </m:ctrlPr>
                  </m:sSubPr>
                  <m:e>
                    <m:r>
                      <w:rPr>
                        <w:rFonts w:ascii="Cambria Math" w:hAnsi="Cambria Math"/>
                      </w:rPr>
                      <m:t>ϵ</m:t>
                    </m:r>
                  </m:e>
                  <m:sub>
                    <m:r>
                      <w:rPr>
                        <w:rFonts w:ascii="Cambria Math" w:hAnsi="Cambria Math"/>
                      </w:rPr>
                      <m:t>r</m:t>
                    </m:r>
                  </m:sub>
                </m:sSub>
                <m:r>
                  <w:rPr>
                    <w:rFonts w:ascii="Cambria Math" w:hAnsi="Cambria Math"/>
                  </w:rPr>
                  <m:t xml:space="preserve"> </m:t>
                </m:r>
                <m:sSub>
                  <m:sSubPr>
                    <m:ctrlPr>
                      <w:rPr>
                        <w:rFonts w:ascii="Cambria Math" w:hAnsi="Cambria Math"/>
                        <w:i/>
                        <w:iCs/>
                      </w:rPr>
                    </m:ctrlPr>
                  </m:sSubPr>
                  <m:e>
                    <m:r>
                      <w:rPr>
                        <w:rFonts w:ascii="Cambria Math" w:hAnsi="Cambria Math"/>
                      </w:rPr>
                      <m:t>FRUR</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a</m:t>
                    </m:r>
                  </m:sub>
                </m:sSub>
              </m:e>
            </m:d>
          </m:e>
        </m:func>
      </m:oMath>
      <w:r w:rsidRPr="00120A86">
        <w:rPr>
          <w:rFonts w:eastAsia="Calibri"/>
        </w:rPr>
        <w:t xml:space="preserve"> </w:t>
      </w:r>
      <w:r>
        <w:rPr>
          <w:rFonts w:eastAsia="Calibri"/>
        </w:rPr>
        <w:t xml:space="preserve">will be subtracted from </w:t>
      </w:r>
      <m:oMath>
        <m:r>
          <w:rPr>
            <w:rFonts w:ascii="Cambria Math" w:hAnsi="Cambria Math"/>
          </w:rPr>
          <m:t>FRUR'</m:t>
        </m:r>
      </m:oMath>
      <w:r>
        <w:rPr>
          <w:rFonts w:eastAsia="Calibri"/>
          <w:iCs/>
        </w:rPr>
        <w:t xml:space="preserve"> for flexible ramping up</w:t>
      </w:r>
    </w:p>
    <w:p w14:paraId="66FB68F5" w14:textId="77777777" w:rsidR="006571FF" w:rsidRDefault="006571FF" w:rsidP="006571FF">
      <w:pPr>
        <w:ind w:left="1080"/>
        <w:rPr>
          <w:rFonts w:eastAsia="Calibri"/>
          <w:iCs/>
        </w:rPr>
      </w:pPr>
      <w:r w:rsidRPr="005F33ED">
        <w:rPr>
          <w:rFonts w:eastAsia="Calibri"/>
        </w:rPr>
        <w:lastRenderedPageBreak/>
        <w:t>T</w:t>
      </w:r>
      <w:r w:rsidRPr="00E14545">
        <w:rPr>
          <w:rFonts w:eastAsia="Calibri"/>
        </w:rPr>
        <w:t xml:space="preserve">he </w:t>
      </w:r>
      <m:oMath>
        <m:func>
          <m:funcPr>
            <m:ctrlPr>
              <w:rPr>
                <w:rFonts w:ascii="Cambria Math" w:hAnsi="Cambria Math"/>
                <w:i/>
                <w:iCs/>
              </w:rPr>
            </m:ctrlPr>
          </m:funcPr>
          <m:fName>
            <m:r>
              <m:rPr>
                <m:sty m:val="p"/>
              </m:rPr>
              <w:rPr>
                <w:rFonts w:ascii="Cambria Math" w:hAnsi="Cambria Math"/>
              </w:rPr>
              <m:t>max</m:t>
            </m:r>
          </m:fName>
          <m:e>
            <m:d>
              <m:dPr>
                <m:ctrlPr>
                  <w:rPr>
                    <w:rFonts w:ascii="Cambria Math" w:hAnsi="Cambria Math"/>
                    <w:i/>
                    <w:iCs/>
                  </w:rPr>
                </m:ctrlPr>
              </m:dPr>
              <m:e>
                <m:sSub>
                  <m:sSubPr>
                    <m:ctrlPr>
                      <w:rPr>
                        <w:rFonts w:ascii="Cambria Math" w:hAnsi="Cambria Math"/>
                        <w:i/>
                        <w:iCs/>
                      </w:rPr>
                    </m:ctrlPr>
                  </m:sSubPr>
                  <m:e>
                    <m:r>
                      <w:rPr>
                        <w:rFonts w:ascii="Cambria Math" w:hAnsi="Cambria Math"/>
                      </w:rPr>
                      <m:t>ϵ</m:t>
                    </m:r>
                  </m:e>
                  <m:sub>
                    <m:r>
                      <w:rPr>
                        <w:rFonts w:ascii="Cambria Math" w:hAnsi="Cambria Math"/>
                      </w:rPr>
                      <m:t>r</m:t>
                    </m:r>
                  </m:sub>
                </m:sSub>
                <m:r>
                  <w:rPr>
                    <w:rFonts w:ascii="Cambria Math" w:hAnsi="Cambria Math"/>
                  </w:rPr>
                  <m:t xml:space="preserve"> </m:t>
                </m:r>
                <m:sSub>
                  <m:sSubPr>
                    <m:ctrlPr>
                      <w:rPr>
                        <w:rFonts w:ascii="Cambria Math" w:hAnsi="Cambria Math"/>
                        <w:i/>
                        <w:iCs/>
                      </w:rPr>
                    </m:ctrlPr>
                  </m:sSubPr>
                  <m:e>
                    <m:r>
                      <w:rPr>
                        <w:rFonts w:ascii="Cambria Math" w:hAnsi="Cambria Math"/>
                      </w:rPr>
                      <m:t>FRDR</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ε</m:t>
                    </m:r>
                  </m:e>
                  <m:sub>
                    <m:r>
                      <w:rPr>
                        <w:rFonts w:ascii="Cambria Math" w:hAnsi="Cambria Math"/>
                      </w:rPr>
                      <m:t>a</m:t>
                    </m:r>
                  </m:sub>
                </m:sSub>
              </m:e>
            </m:d>
          </m:e>
        </m:func>
      </m:oMath>
      <w:r w:rsidRPr="00E14545">
        <w:rPr>
          <w:rFonts w:eastAsia="Calibri"/>
        </w:rPr>
        <w:t xml:space="preserve"> </w:t>
      </w:r>
      <w:r>
        <w:rPr>
          <w:rFonts w:eastAsia="Calibri"/>
        </w:rPr>
        <w:t xml:space="preserve">will be subtracted from </w:t>
      </w:r>
      <m:oMath>
        <m:r>
          <w:rPr>
            <w:rFonts w:ascii="Cambria Math" w:hAnsi="Cambria Math"/>
          </w:rPr>
          <m:t>FRDR'</m:t>
        </m:r>
      </m:oMath>
      <w:r>
        <w:rPr>
          <w:rFonts w:eastAsia="Calibri"/>
          <w:iCs/>
        </w:rPr>
        <w:t xml:space="preserve"> for flexible ramping down</w:t>
      </w:r>
    </w:p>
    <w:p w14:paraId="55F67C0F" w14:textId="77777777" w:rsidR="006571FF" w:rsidRDefault="006571FF" w:rsidP="006571FF">
      <w:pPr>
        <w:ind w:left="1080"/>
        <w:rPr>
          <w:rFonts w:eastAsia="Calibri"/>
        </w:rPr>
      </w:pPr>
      <w:r>
        <w:rPr>
          <w:rFonts w:eastAsia="Calibri"/>
        </w:rPr>
        <w:t>Where:</w:t>
      </w:r>
    </w:p>
    <w:p w14:paraId="6C022B5B" w14:textId="77777777" w:rsidR="006571FF" w:rsidRPr="00DE0DDD" w:rsidRDefault="006571FF" w:rsidP="006571FF">
      <w:pPr>
        <w:ind w:left="1080"/>
        <w:rPr>
          <w:rFonts w:eastAsia="Calibri"/>
        </w:rPr>
      </w:pPr>
      <w:r w:rsidRPr="00DE0DDD">
        <w:rPr>
          <w:rFonts w:eastAsia="Calibri"/>
        </w:rPr>
        <w:t>εr</w:t>
      </w:r>
      <w:r w:rsidRPr="00DE0DDD">
        <w:rPr>
          <w:rFonts w:eastAsia="Calibri"/>
        </w:rPr>
        <w:tab/>
      </w:r>
      <w:r>
        <w:rPr>
          <w:rFonts w:eastAsia="Calibri"/>
        </w:rPr>
        <w:tab/>
      </w:r>
      <w:r w:rsidRPr="00DE0DDD">
        <w:rPr>
          <w:rFonts w:eastAsia="Calibri"/>
        </w:rPr>
        <w:t>Flexible Ramping sufficiency test relative tolerance (%).</w:t>
      </w:r>
    </w:p>
    <w:p w14:paraId="2A462F15" w14:textId="77777777" w:rsidR="006571FF" w:rsidRDefault="006571FF" w:rsidP="006571FF">
      <w:pPr>
        <w:ind w:left="1080"/>
        <w:rPr>
          <w:rFonts w:eastAsia="Calibri"/>
        </w:rPr>
      </w:pPr>
      <w:r w:rsidRPr="00DE0DDD">
        <w:rPr>
          <w:rFonts w:eastAsia="Calibri"/>
        </w:rPr>
        <w:t>εa</w:t>
      </w:r>
      <w:r w:rsidRPr="00DE0DDD">
        <w:rPr>
          <w:rFonts w:eastAsia="Calibri"/>
        </w:rPr>
        <w:tab/>
      </w:r>
      <w:r>
        <w:rPr>
          <w:rFonts w:eastAsia="Calibri"/>
        </w:rPr>
        <w:tab/>
      </w:r>
      <w:r w:rsidRPr="00DE0DDD">
        <w:rPr>
          <w:rFonts w:eastAsia="Calibri"/>
        </w:rPr>
        <w:t>Flexible Ramping sufficiency test absolute tolerance (MW).</w:t>
      </w:r>
    </w:p>
    <w:p w14:paraId="6188F731" w14:textId="77777777" w:rsidR="006571FF" w:rsidRDefault="006571FF" w:rsidP="006571FF">
      <w:pPr>
        <w:ind w:left="2160" w:hanging="1080"/>
        <w:rPr>
          <w:rFonts w:eastAsia="Calibri"/>
        </w:rPr>
      </w:pPr>
      <w:r w:rsidRPr="00DE0DDD">
        <w:rPr>
          <w:rFonts w:eastAsia="Calibri"/>
        </w:rPr>
        <w:t>FRUR</w:t>
      </w:r>
      <w:r>
        <w:rPr>
          <w:rFonts w:eastAsia="Calibri"/>
        </w:rPr>
        <w:t>i</w:t>
      </w:r>
      <w:r>
        <w:rPr>
          <w:rFonts w:eastAsia="Calibri"/>
        </w:rPr>
        <w:tab/>
      </w:r>
      <w:r w:rsidRPr="00DE0DDD">
        <w:rPr>
          <w:rFonts w:eastAsia="Calibri"/>
        </w:rPr>
        <w:t>is the flexible ramp up uncertainty requirement for a given 15-minute interval in the next hour for</w:t>
      </w:r>
      <w:r>
        <w:rPr>
          <w:rFonts w:eastAsia="Calibri"/>
        </w:rPr>
        <w:t xml:space="preserve"> WEIM </w:t>
      </w:r>
      <w:r w:rsidRPr="00DE0DDD">
        <w:rPr>
          <w:rFonts w:eastAsia="Calibri"/>
        </w:rPr>
        <w:t>Entity i without diversity benefit;</w:t>
      </w:r>
    </w:p>
    <w:p w14:paraId="5E800657" w14:textId="77777777" w:rsidR="006571FF" w:rsidRDefault="006571FF" w:rsidP="006571FF">
      <w:pPr>
        <w:ind w:left="2160" w:hanging="1080"/>
        <w:rPr>
          <w:rFonts w:eastAsia="Calibri"/>
        </w:rPr>
      </w:pPr>
      <w:r w:rsidRPr="00DE0DDD">
        <w:rPr>
          <w:rFonts w:eastAsia="Calibri"/>
        </w:rPr>
        <w:t>FRDRi</w:t>
      </w:r>
      <w:r w:rsidRPr="00DE0DDD">
        <w:rPr>
          <w:rFonts w:eastAsia="Calibri"/>
        </w:rPr>
        <w:tab/>
        <w:t>is the flexible ramp down uncertainty requirement for a given 15-minute interval in the next hour for</w:t>
      </w:r>
      <w:r>
        <w:rPr>
          <w:rFonts w:eastAsia="Calibri"/>
        </w:rPr>
        <w:t xml:space="preserve"> WEIM </w:t>
      </w:r>
      <w:r w:rsidRPr="00DE0DDD">
        <w:rPr>
          <w:rFonts w:eastAsia="Calibri"/>
        </w:rPr>
        <w:t>Entity i without diversity benefit (negative);</w:t>
      </w:r>
    </w:p>
    <w:p w14:paraId="708014E3" w14:textId="77777777" w:rsidR="006571FF" w:rsidRDefault="006571FF" w:rsidP="006571FF">
      <w:pPr>
        <w:ind w:left="2160" w:hanging="1080"/>
        <w:rPr>
          <w:rFonts w:eastAsia="Calibri"/>
        </w:rPr>
      </w:pPr>
      <w:r w:rsidRPr="00DE0DDD">
        <w:rPr>
          <w:rFonts w:eastAsia="Calibri"/>
        </w:rPr>
        <w:t>FRUR'i</w:t>
      </w:r>
      <w:r w:rsidRPr="00DE0DDD">
        <w:rPr>
          <w:rFonts w:eastAsia="Calibri"/>
        </w:rPr>
        <w:tab/>
        <w:t>is the cumulative flexible ramp up requirement from the last 15-minute interval of the current hour to a given 15-minute interval in the next hour for</w:t>
      </w:r>
      <w:r>
        <w:rPr>
          <w:rFonts w:eastAsia="Calibri"/>
        </w:rPr>
        <w:t xml:space="preserve"> WEIM </w:t>
      </w:r>
      <w:r w:rsidRPr="00DE0DDD">
        <w:rPr>
          <w:rFonts w:eastAsia="Calibri"/>
        </w:rPr>
        <w:t>Entity i; it includes the effects of</w:t>
      </w:r>
      <w:r>
        <w:rPr>
          <w:rFonts w:eastAsia="Calibri"/>
        </w:rPr>
        <w:t xml:space="preserve"> WEIM </w:t>
      </w:r>
      <w:r w:rsidRPr="00DE0DDD">
        <w:rPr>
          <w:rFonts w:eastAsia="Calibri"/>
        </w:rPr>
        <w:t>diversity benefit and credit;</w:t>
      </w:r>
      <w:r>
        <w:rPr>
          <w:rFonts w:eastAsia="Calibri"/>
        </w:rPr>
        <w:t xml:space="preserve"> and</w:t>
      </w:r>
    </w:p>
    <w:p w14:paraId="7CAE4E22" w14:textId="77777777" w:rsidR="006571FF" w:rsidRDefault="006571FF" w:rsidP="006571FF">
      <w:pPr>
        <w:ind w:left="2160" w:hanging="1080"/>
        <w:rPr>
          <w:rFonts w:eastAsia="Calibri"/>
        </w:rPr>
      </w:pPr>
      <w:r w:rsidRPr="00DE0DDD">
        <w:rPr>
          <w:rFonts w:eastAsia="Calibri"/>
        </w:rPr>
        <w:t>FR</w:t>
      </w:r>
      <w:r>
        <w:rPr>
          <w:rFonts w:eastAsia="Calibri"/>
        </w:rPr>
        <w:t>D</w:t>
      </w:r>
      <w:r w:rsidRPr="00DE0DDD">
        <w:rPr>
          <w:rFonts w:eastAsia="Calibri"/>
        </w:rPr>
        <w:t>R'i</w:t>
      </w:r>
      <w:r w:rsidRPr="00DE0DDD">
        <w:rPr>
          <w:rFonts w:eastAsia="Calibri"/>
        </w:rPr>
        <w:tab/>
        <w:t xml:space="preserve">is the cumulative flexible ramp </w:t>
      </w:r>
      <w:r>
        <w:rPr>
          <w:rFonts w:eastAsia="Calibri"/>
        </w:rPr>
        <w:t>down</w:t>
      </w:r>
      <w:r w:rsidRPr="00DE0DDD">
        <w:rPr>
          <w:rFonts w:eastAsia="Calibri"/>
        </w:rPr>
        <w:t xml:space="preserve"> requirement from the last 15-minute interval of the current hour to a given 15-minute interval in the next hour for</w:t>
      </w:r>
      <w:r>
        <w:rPr>
          <w:rFonts w:eastAsia="Calibri"/>
        </w:rPr>
        <w:t xml:space="preserve"> WEIM </w:t>
      </w:r>
      <w:r w:rsidRPr="00DE0DDD">
        <w:rPr>
          <w:rFonts w:eastAsia="Calibri"/>
        </w:rPr>
        <w:t>Entity i; it includes the effects of</w:t>
      </w:r>
      <w:r>
        <w:rPr>
          <w:rFonts w:eastAsia="Calibri"/>
        </w:rPr>
        <w:t xml:space="preserve"> WEIM </w:t>
      </w:r>
      <w:r w:rsidRPr="00DE0DDD">
        <w:rPr>
          <w:rFonts w:eastAsia="Calibri"/>
        </w:rPr>
        <w:t>diversity benefit and credit</w:t>
      </w:r>
      <w:r>
        <w:rPr>
          <w:rFonts w:eastAsia="Calibri"/>
        </w:rPr>
        <w:t>.</w:t>
      </w:r>
    </w:p>
    <w:p w14:paraId="45F8705A" w14:textId="7EB79288" w:rsidR="006571FF" w:rsidRPr="00AF6A94" w:rsidRDefault="006571FF" w:rsidP="006571FF">
      <w:pPr>
        <w:spacing w:after="0" w:line="240" w:lineRule="auto"/>
        <w:ind w:left="1080"/>
        <w:rPr>
          <w:rFonts w:ascii="Calibri" w:hAnsi="Calibri" w:cs="Calibri"/>
        </w:rPr>
      </w:pPr>
      <w:r w:rsidRPr="00AF6A94">
        <w:rPr>
          <w:rFonts w:ascii="Calibri" w:hAnsi="Calibri" w:cs="Calibri"/>
        </w:rPr>
        <w:t xml:space="preserve">In the event there is an under-generation power balance constraint relaxation for the interval immediately prior to the hour being evaluated, the cumulative flexible ramp up (FRUR'i) and down (FRDR'i) requirements are adjusted for the hour being evaluated. The cumulative flexible ramp up requirement is increased by the relaxation amount whereas the cumulative flexible ramp down requirement is decreased by the same amount. </w:t>
      </w:r>
      <w:r>
        <w:rPr>
          <w:rFonts w:ascii="Calibri" w:hAnsi="Calibri" w:cs="Calibri"/>
        </w:rPr>
        <w:t xml:space="preserve"> </w:t>
      </w:r>
      <w:r w:rsidRPr="00AF6A94">
        <w:rPr>
          <w:rFonts w:ascii="Calibri" w:hAnsi="Calibri" w:cs="Calibri"/>
        </w:rPr>
        <w:t>Any operator load conformance is excluded from the under-generation power balance constraint relaxation.  </w:t>
      </w:r>
      <w:r>
        <w:rPr>
          <w:rFonts w:ascii="Calibri" w:hAnsi="Calibri" w:cs="Calibri"/>
        </w:rPr>
        <w:t>Note that the power balance calculations details in the upward and downward directions are available in RTM/BAAOP Flexible Ramp Sufficiency results UI.</w:t>
      </w:r>
    </w:p>
    <w:p w14:paraId="66FB0C3A" w14:textId="77777777" w:rsidR="006571FF" w:rsidRPr="00AF6A94" w:rsidRDefault="006571FF" w:rsidP="006571FF">
      <w:pPr>
        <w:spacing w:after="0" w:line="240" w:lineRule="auto"/>
        <w:ind w:left="1080"/>
        <w:rPr>
          <w:rFonts w:ascii="Calibri" w:hAnsi="Calibri" w:cs="Calibri"/>
          <w:color w:val="2E75B6"/>
        </w:rPr>
      </w:pPr>
    </w:p>
    <w:p w14:paraId="4810FD9D" w14:textId="77777777" w:rsidR="006571FF" w:rsidRPr="00AF6A94" w:rsidRDefault="006571FF" w:rsidP="006571FF">
      <w:pPr>
        <w:spacing w:after="0" w:line="240" w:lineRule="auto"/>
        <w:ind w:left="1080"/>
        <w:rPr>
          <w:rFonts w:ascii="Calibri" w:hAnsi="Calibri" w:cs="Calibri"/>
          <w:b/>
        </w:rPr>
      </w:pPr>
      <w:r w:rsidRPr="00AF6A94">
        <w:rPr>
          <w:rFonts w:ascii="Calibri" w:hAnsi="Calibri" w:cs="Calibri"/>
          <w:b/>
        </w:rPr>
        <w:t>Power Balance Constraint Examples</w:t>
      </w:r>
    </w:p>
    <w:p w14:paraId="4EDE4321"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r w:rsidRPr="00AF6A94">
        <w:rPr>
          <w:rFonts w:ascii="Arial" w:eastAsia="Times New Roman" w:hAnsi="Arial" w:cs="Arial"/>
          <w:iCs/>
          <w:sz w:val="20"/>
          <w:szCs w:val="20"/>
        </w:rPr>
        <w:t>Example-1</w:t>
      </w:r>
    </w:p>
    <w:p w14:paraId="3FC233B0"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Forecast Load @ T-7.5’ = 1000 MW</w:t>
      </w:r>
    </w:p>
    <w:p w14:paraId="1845B398"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Market  Cleared Load (with PBC under-gen relaxation) @ T-7.5’ = 950 MW</w:t>
      </w:r>
    </w:p>
    <w:p w14:paraId="45077ABA"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50 MW</w:t>
      </w:r>
    </w:p>
    <w:p w14:paraId="4AFC075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Forecast Load in next hour = 1000,1025,1050,1100 MW</w:t>
      </w:r>
    </w:p>
    <w:p w14:paraId="41B353C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FRU Forecast requirement = 0, 25, 50, 100 MW</w:t>
      </w:r>
    </w:p>
    <w:p w14:paraId="17A2B139"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lastRenderedPageBreak/>
        <w:t>FRU requirement due to change in forecast and PBC under gen requirement = 50, 75, 100, 150 MW</w:t>
      </w:r>
    </w:p>
    <w:p w14:paraId="577591B3"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FRD Forecast requirement = 0, -25, -50, -100 MW</w:t>
      </w:r>
    </w:p>
    <w:p w14:paraId="5463707E"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FRD requirement due to change in forecast and PBC under gen requirement = -50, -75, -100, -150 MW</w:t>
      </w:r>
    </w:p>
    <w:p w14:paraId="05DF8445"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r w:rsidRPr="00AF6A94">
        <w:rPr>
          <w:rFonts w:ascii="Arial" w:eastAsia="Times New Roman" w:hAnsi="Arial" w:cs="Arial"/>
          <w:iCs/>
          <w:sz w:val="20"/>
          <w:szCs w:val="20"/>
        </w:rPr>
        <w:t>Example-2</w:t>
      </w:r>
    </w:p>
    <w:p w14:paraId="6AE1ED28"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Forecast Load @ T-7.5’ = 1001 MW</w:t>
      </w:r>
    </w:p>
    <w:p w14:paraId="78540A2B"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Market  Cleared Load (with PBC under-gen relaxation) @ T-7.5 = 1000 MW</w:t>
      </w:r>
    </w:p>
    <w:p w14:paraId="4B171087"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 xml:space="preserve">PBC under-gen relaxation </w:t>
      </w:r>
      <w:r w:rsidRPr="00AF6A94">
        <w:rPr>
          <w:rFonts w:ascii="Arial" w:hAnsi="Arial" w:cs="Arial"/>
          <w:iCs/>
          <w:sz w:val="20"/>
          <w:szCs w:val="20"/>
        </w:rPr>
        <w:t xml:space="preserve">quantity </w:t>
      </w:r>
      <w:r w:rsidRPr="00AF6A94">
        <w:rPr>
          <w:rFonts w:ascii="Arial" w:hAnsi="Arial" w:cs="Arial"/>
          <w:sz w:val="20"/>
          <w:szCs w:val="20"/>
        </w:rPr>
        <w:t>= 1 MW</w:t>
      </w:r>
    </w:p>
    <w:p w14:paraId="4EE1DD17"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Forecast Load in next hour = 1000,1000,1000,1000 MW</w:t>
      </w:r>
    </w:p>
    <w:p w14:paraId="49EB9139"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FRU Forecast requirement = -1, 0, 0, 0 MW</w:t>
      </w:r>
    </w:p>
    <w:p w14:paraId="6D2F17B0"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FRU requirement due to change in forecast and PBC under gen requirement = 0, 1, 1, 1 MW</w:t>
      </w:r>
    </w:p>
    <w:p w14:paraId="42ACAEE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FRD Forecast requirement = 1, 0, 0, 0 MW</w:t>
      </w:r>
    </w:p>
    <w:p w14:paraId="75BF9AD4"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sz w:val="20"/>
          <w:szCs w:val="20"/>
        </w:rPr>
      </w:pPr>
      <w:r w:rsidRPr="00AF6A94">
        <w:rPr>
          <w:rFonts w:ascii="Arial" w:hAnsi="Arial" w:cs="Arial"/>
          <w:sz w:val="20"/>
          <w:szCs w:val="20"/>
        </w:rPr>
        <w:t>FRD requirement due to change in forecast and PBC under gen requirement = 0, -1, -1, -1 MW</w:t>
      </w:r>
    </w:p>
    <w:p w14:paraId="52A3A3F6"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r w:rsidRPr="00AF6A94">
        <w:rPr>
          <w:rFonts w:ascii="Arial" w:eastAsia="Times New Roman" w:hAnsi="Arial" w:cs="Arial"/>
          <w:iCs/>
          <w:sz w:val="20"/>
          <w:szCs w:val="20"/>
        </w:rPr>
        <w:t>Example-3</w:t>
      </w:r>
    </w:p>
    <w:p w14:paraId="6AD5F266"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Under Generation infeasibility: 100MW</w:t>
      </w:r>
    </w:p>
    <w:p w14:paraId="2CC131AF"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Operator load conformance: 50MW</w:t>
      </w:r>
    </w:p>
    <w:p w14:paraId="0A9BDF85"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max (0, [100MW – 50MW]) = 50MW</w:t>
      </w:r>
    </w:p>
    <w:p w14:paraId="18DA95BC"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r w:rsidRPr="00AF6A94">
        <w:rPr>
          <w:rFonts w:ascii="Arial" w:eastAsia="Times New Roman" w:hAnsi="Arial" w:cs="Arial"/>
          <w:iCs/>
          <w:sz w:val="20"/>
          <w:szCs w:val="20"/>
        </w:rPr>
        <w:t>Example-4</w:t>
      </w:r>
    </w:p>
    <w:p w14:paraId="14AF0B6A"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Under Generation infeasibility: 50MW</w:t>
      </w:r>
    </w:p>
    <w:p w14:paraId="1A55AB3D"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Operator load conformance: 100MW</w:t>
      </w:r>
    </w:p>
    <w:p w14:paraId="639712CF"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max (0, [50MW – 100MW]) = 0MW</w:t>
      </w:r>
    </w:p>
    <w:p w14:paraId="35B96C43" w14:textId="77777777" w:rsidR="006571FF" w:rsidRPr="00AF6A94" w:rsidRDefault="006571FF" w:rsidP="006571FF">
      <w:pPr>
        <w:keepNext/>
        <w:spacing w:before="240" w:after="60" w:line="220" w:lineRule="exact"/>
        <w:ind w:left="2304" w:hanging="864"/>
        <w:jc w:val="both"/>
        <w:outlineLvl w:val="3"/>
        <w:rPr>
          <w:rFonts w:ascii="Arial" w:eastAsia="Times New Roman" w:hAnsi="Arial" w:cs="Arial"/>
          <w:b/>
          <w:iCs/>
          <w:sz w:val="20"/>
          <w:szCs w:val="20"/>
        </w:rPr>
      </w:pPr>
      <w:r w:rsidRPr="00AF6A94">
        <w:rPr>
          <w:rFonts w:ascii="Arial" w:eastAsia="Times New Roman" w:hAnsi="Arial" w:cs="Arial"/>
          <w:iCs/>
          <w:sz w:val="20"/>
          <w:szCs w:val="20"/>
        </w:rPr>
        <w:t>Example-5</w:t>
      </w:r>
    </w:p>
    <w:p w14:paraId="257B10BF"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Under Generation infeasibility: 100MW</w:t>
      </w:r>
    </w:p>
    <w:p w14:paraId="7D3E3105"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Operator load conformance: -50MW</w:t>
      </w:r>
    </w:p>
    <w:p w14:paraId="55EB9183" w14:textId="77777777" w:rsidR="006571FF" w:rsidRPr="00AF6A94" w:rsidRDefault="006571FF" w:rsidP="006571FF">
      <w:pPr>
        <w:numPr>
          <w:ilvl w:val="0"/>
          <w:numId w:val="98"/>
        </w:numPr>
        <w:tabs>
          <w:tab w:val="left" w:pos="10260"/>
        </w:tabs>
        <w:spacing w:after="0" w:line="240" w:lineRule="auto"/>
        <w:ind w:left="1800"/>
        <w:contextualSpacing/>
        <w:rPr>
          <w:rFonts w:ascii="Arial" w:hAnsi="Arial" w:cs="Arial"/>
          <w:iCs/>
          <w:sz w:val="20"/>
          <w:szCs w:val="20"/>
        </w:rPr>
      </w:pPr>
      <w:r w:rsidRPr="00AF6A94">
        <w:rPr>
          <w:rFonts w:ascii="Arial" w:hAnsi="Arial" w:cs="Arial"/>
          <w:iCs/>
          <w:sz w:val="20"/>
          <w:szCs w:val="20"/>
        </w:rPr>
        <w:t>PBC under-gen relaxation quantity = max (0, [100MW – (-50MW)]) = 150MW</w:t>
      </w:r>
    </w:p>
    <w:p w14:paraId="493A42CE" w14:textId="77777777" w:rsidR="006571FF" w:rsidRPr="00AF6A94" w:rsidRDefault="006571FF" w:rsidP="006571FF">
      <w:pPr>
        <w:rPr>
          <w:rFonts w:cstheme="minorHAnsi"/>
        </w:rPr>
      </w:pPr>
    </w:p>
    <w:p w14:paraId="5B21A81C" w14:textId="7993AAF4" w:rsidR="006571FF" w:rsidRPr="004D00C7" w:rsidRDefault="006571FF" w:rsidP="00E854DA">
      <w:pPr>
        <w:ind w:left="1440"/>
      </w:pPr>
      <w:bookmarkStart w:id="1934" w:name="_Toc100139400"/>
      <w:bookmarkStart w:id="1935" w:name="_Toc100147068"/>
      <w:bookmarkStart w:id="1936" w:name="_Toc100216319"/>
      <w:r w:rsidRPr="004D00C7">
        <w:t>Consider a Resource’s Transition through FOR in the Flexible Ramping</w:t>
      </w:r>
      <w:r>
        <w:t xml:space="preserve"> Sufficiency Test</w:t>
      </w:r>
      <w:r w:rsidRPr="004D00C7">
        <w:t xml:space="preserve">:  </w:t>
      </w:r>
      <w:bookmarkEnd w:id="1934"/>
      <w:bookmarkEnd w:id="1935"/>
      <w:bookmarkEnd w:id="1936"/>
      <w:r w:rsidRPr="004D00C7">
        <w:t xml:space="preserve">To properly account for the Forbidden </w:t>
      </w:r>
      <w:r>
        <w:t>Operating Region</w:t>
      </w:r>
      <w:r w:rsidRPr="004D00C7">
        <w:t xml:space="preserve"> in the </w:t>
      </w:r>
      <w:r>
        <w:t>f</w:t>
      </w:r>
      <w:r w:rsidRPr="004D00C7">
        <w:t>le</w:t>
      </w:r>
      <w:r w:rsidRPr="00CF3F4E">
        <w:t xml:space="preserve">xible </w:t>
      </w:r>
      <w:r>
        <w:t>r</w:t>
      </w:r>
      <w:r w:rsidRPr="00CF3F4E">
        <w:t>amp</w:t>
      </w:r>
      <w:r>
        <w:t>ing</w:t>
      </w:r>
      <w:r w:rsidRPr="00CF3F4E">
        <w:t xml:space="preserve"> </w:t>
      </w:r>
      <w:r>
        <w:t xml:space="preserve">sufficiency </w:t>
      </w:r>
      <w:r w:rsidRPr="00CF3F4E">
        <w:t xml:space="preserve">test, a </w:t>
      </w:r>
      <w:r>
        <w:t>f</w:t>
      </w:r>
      <w:r w:rsidRPr="004D00C7">
        <w:t xml:space="preserve">orbidden zone (FBZ) ramp rate is calculated as FBZ Length / FBZ Crossing Time. This ramp rate is used to calculate the FRU and FRD capacity.  For the duration the resource moving to and through their FBZ, the resource cannot provide the FRU capacity (if crossing down) or FRD capacity (if crossing up).  Once the resource is out of their Forbidden </w:t>
      </w:r>
      <w:r>
        <w:t>Operating Region</w:t>
      </w:r>
      <w:r w:rsidRPr="004D00C7">
        <w:t xml:space="preserve">, the resource can provide flex ramp capacity in both directions as is counted as such in the </w:t>
      </w:r>
      <w:r>
        <w:t>f</w:t>
      </w:r>
      <w:r w:rsidRPr="004D00C7">
        <w:t xml:space="preserve">lexible </w:t>
      </w:r>
      <w:r>
        <w:t>r</w:t>
      </w:r>
      <w:r w:rsidRPr="004D00C7">
        <w:t>amp</w:t>
      </w:r>
      <w:r>
        <w:t>ing sufficiency</w:t>
      </w:r>
      <w:r w:rsidRPr="004D00C7">
        <w:t xml:space="preserve"> test. </w:t>
      </w:r>
    </w:p>
    <w:p w14:paraId="353B1AC1" w14:textId="77777777" w:rsidR="006571FF" w:rsidRPr="004D00C7" w:rsidRDefault="006571FF" w:rsidP="006571FF">
      <w:pPr>
        <w:rPr>
          <w:rFonts w:cstheme="minorHAnsi"/>
        </w:rPr>
      </w:pPr>
    </w:p>
    <w:p w14:paraId="377E3D20" w14:textId="77777777" w:rsidR="006571FF" w:rsidRDefault="006571FF" w:rsidP="006571FF">
      <w:pPr>
        <w:pStyle w:val="Paragraph"/>
        <w:ind w:left="720"/>
        <w:rPr>
          <w:rFonts w:ascii="Arial" w:hAnsi="Arial" w:cs="Arial"/>
          <w:b/>
          <w:bCs/>
        </w:rPr>
      </w:pPr>
      <w:r>
        <w:rPr>
          <w:b/>
          <w:bCs/>
        </w:rPr>
        <w:lastRenderedPageBreak/>
        <w:t>Examples</w:t>
      </w:r>
    </w:p>
    <w:p w14:paraId="00FBB465" w14:textId="77777777" w:rsidR="006571FF" w:rsidRDefault="006571FF" w:rsidP="006571FF">
      <w:pPr>
        <w:pStyle w:val="Paragraph"/>
        <w:suppressAutoHyphens w:val="0"/>
        <w:spacing w:after="0" w:line="240" w:lineRule="auto"/>
        <w:ind w:left="1080"/>
        <w:jc w:val="both"/>
        <w:rPr>
          <w:rFonts w:ascii="Cambria" w:hAnsi="Cambria" w:cs="Times New Roman"/>
          <w:b/>
          <w:bCs/>
        </w:rPr>
      </w:pPr>
      <w:r>
        <w:rPr>
          <w:b/>
          <w:bCs/>
          <w:u w:val="single"/>
        </w:rPr>
        <w:t>1. Initially not in FOR</w:t>
      </w:r>
    </w:p>
    <w:p w14:paraId="534429E8" w14:textId="77777777" w:rsidR="006571FF" w:rsidRDefault="006571FF" w:rsidP="006571FF">
      <w:pPr>
        <w:pStyle w:val="Paragraph"/>
        <w:ind w:left="1080"/>
        <w:rPr>
          <w:sz w:val="20"/>
          <w:szCs w:val="20"/>
        </w:rPr>
      </w:pPr>
      <w:r>
        <w:t>Resource ramp rate 2 MW/min</w:t>
      </w:r>
    </w:p>
    <w:p w14:paraId="7908915B" w14:textId="77777777" w:rsidR="006571FF" w:rsidRDefault="006571FF" w:rsidP="006571FF">
      <w:pPr>
        <w:pStyle w:val="Paragraph"/>
        <w:ind w:left="1080"/>
      </w:pPr>
      <w:r>
        <w:t>Bid_max: 100 MW, Bid_min: 0 MW, FBZ: 20-50, crossing time: 30mins</w:t>
      </w:r>
    </w:p>
    <w:p w14:paraId="58BD40D3" w14:textId="77777777" w:rsidR="006571FF" w:rsidRDefault="006571FF" w:rsidP="006571FF">
      <w:pPr>
        <w:pStyle w:val="Paragraph"/>
        <w:ind w:left="1080"/>
      </w:pPr>
      <w:r>
        <w:t>T-7.5’ MW = 10 MW</w:t>
      </w:r>
    </w:p>
    <w:p w14:paraId="6F6CC6BA" w14:textId="77777777" w:rsidR="006571FF" w:rsidRDefault="006571FF" w:rsidP="006571FF">
      <w:pPr>
        <w:pStyle w:val="Paragraph"/>
        <w:ind w:left="1080"/>
      </w:pPr>
      <w:r>
        <w:t>New ramp rate = 30/30 = 1 MW/min</w:t>
      </w:r>
    </w:p>
    <w:p w14:paraId="3B10B2E0" w14:textId="77777777" w:rsidR="006571FF" w:rsidRDefault="006571FF" w:rsidP="006571FF">
      <w:pPr>
        <w:pStyle w:val="Paragraph"/>
      </w:pPr>
    </w:p>
    <w:tbl>
      <w:tblPr>
        <w:tblW w:w="0" w:type="auto"/>
        <w:tblInd w:w="1322" w:type="dxa"/>
        <w:tblCellMar>
          <w:left w:w="0" w:type="dxa"/>
          <w:right w:w="0" w:type="dxa"/>
        </w:tblCellMar>
        <w:tblLook w:val="04A0" w:firstRow="1" w:lastRow="0" w:firstColumn="1" w:lastColumn="0" w:noHBand="0" w:noVBand="1"/>
      </w:tblPr>
      <w:tblGrid>
        <w:gridCol w:w="918"/>
        <w:gridCol w:w="900"/>
        <w:gridCol w:w="990"/>
      </w:tblGrid>
      <w:tr w:rsidR="006571FF" w14:paraId="7C08F1E0" w14:textId="77777777" w:rsidTr="007172ED">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AB0508" w14:textId="77777777" w:rsidR="006571FF" w:rsidRDefault="006571FF" w:rsidP="007172ED">
            <w:pPr>
              <w:pStyle w:val="Paragraph"/>
              <w:spacing w:after="60"/>
              <w:rPr>
                <w:lang w:eastAsia="zh-TW"/>
              </w:rPr>
            </w:pPr>
            <w:bookmarkStart w:id="1937" w:name="_Hlk99645769"/>
            <w:r>
              <w:rPr>
                <w:rFonts w:ascii="Arial" w:hAnsi="Arial" w:cs="Arial"/>
                <w:lang w:eastAsia="zh-TW"/>
              </w:rPr>
              <w:t>Time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CCC96" w14:textId="77777777" w:rsidR="006571FF" w:rsidRDefault="006571FF" w:rsidP="007172ED">
            <w:pPr>
              <w:pStyle w:val="Paragraph"/>
              <w:spacing w:after="60"/>
              <w:rPr>
                <w:rFonts w:ascii="Arial" w:hAnsi="Arial" w:cs="Arial"/>
                <w:lang w:eastAsia="zh-TW"/>
              </w:rPr>
            </w:pPr>
            <w:r>
              <w:rPr>
                <w:rFonts w:ascii="Arial" w:hAnsi="Arial" w:cs="Arial"/>
                <w:lang w:eastAsia="zh-TW"/>
              </w:rPr>
              <w:t>FRU</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177AC" w14:textId="77777777" w:rsidR="006571FF" w:rsidRDefault="006571FF" w:rsidP="007172ED">
            <w:pPr>
              <w:pStyle w:val="Paragraph"/>
              <w:spacing w:after="60"/>
              <w:rPr>
                <w:rFonts w:ascii="Arial" w:hAnsi="Arial" w:cs="Arial"/>
                <w:lang w:eastAsia="zh-TW"/>
              </w:rPr>
            </w:pPr>
            <w:r>
              <w:rPr>
                <w:rFonts w:ascii="Arial" w:hAnsi="Arial" w:cs="Arial"/>
                <w:lang w:eastAsia="zh-TW"/>
              </w:rPr>
              <w:t>FRD</w:t>
            </w:r>
          </w:p>
        </w:tc>
      </w:tr>
      <w:tr w:rsidR="006571FF" w14:paraId="0914464B"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409E5" w14:textId="77777777" w:rsidR="006571FF" w:rsidRDefault="006571FF" w:rsidP="007172ED">
            <w:pPr>
              <w:pStyle w:val="Paragraph"/>
              <w:spacing w:after="60"/>
              <w:rPr>
                <w:rFonts w:ascii="Arial" w:hAnsi="Arial" w:cs="Arial"/>
                <w:lang w:eastAsia="zh-TW"/>
              </w:rPr>
            </w:pPr>
            <w:r>
              <w:rPr>
                <w:rFonts w:ascii="Arial" w:hAnsi="Arial" w:cs="Arial"/>
                <w:lang w:eastAsia="zh-TW"/>
              </w:rPr>
              <w:t>15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6C8935"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37D88933"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tr w:rsidR="006571FF" w14:paraId="1E3AEFD5"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959C6" w14:textId="77777777" w:rsidR="006571FF" w:rsidRDefault="006571FF" w:rsidP="007172ED">
            <w:pPr>
              <w:pStyle w:val="Paragraph"/>
              <w:spacing w:after="60"/>
              <w:rPr>
                <w:rFonts w:ascii="Arial" w:hAnsi="Arial" w:cs="Arial"/>
                <w:lang w:eastAsia="zh-TW"/>
              </w:rPr>
            </w:pPr>
            <w:r>
              <w:rPr>
                <w:rFonts w:ascii="Arial" w:hAnsi="Arial" w:cs="Arial"/>
                <w:lang w:eastAsia="zh-TW"/>
              </w:rPr>
              <w:t>30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255F96A" w14:textId="77777777" w:rsidR="006571FF" w:rsidRDefault="006571FF" w:rsidP="007172ED">
            <w:pPr>
              <w:pStyle w:val="Paragraph"/>
              <w:spacing w:after="60"/>
              <w:rPr>
                <w:rFonts w:ascii="Arial" w:hAnsi="Arial" w:cs="Arial"/>
                <w:lang w:eastAsia="zh-TW"/>
              </w:rPr>
            </w:pPr>
            <w:r>
              <w:rPr>
                <w:rFonts w:ascii="Arial" w:hAnsi="Arial" w:cs="Arial"/>
                <w:lang w:eastAsia="zh-TW"/>
              </w:rPr>
              <w:t>25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74E3458"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tr w:rsidR="006571FF" w14:paraId="407574A8"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F8C61" w14:textId="77777777" w:rsidR="006571FF" w:rsidRDefault="006571FF" w:rsidP="007172ED">
            <w:pPr>
              <w:pStyle w:val="Paragraph"/>
              <w:spacing w:after="60"/>
              <w:rPr>
                <w:rFonts w:ascii="Arial" w:hAnsi="Arial" w:cs="Arial"/>
                <w:lang w:eastAsia="zh-TW"/>
              </w:rPr>
            </w:pPr>
            <w:r>
              <w:rPr>
                <w:rFonts w:ascii="Arial" w:hAnsi="Arial" w:cs="Arial"/>
                <w:lang w:eastAsia="zh-TW"/>
              </w:rPr>
              <w:t>45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894273" w14:textId="77777777" w:rsidR="006571FF" w:rsidRDefault="006571FF" w:rsidP="007172ED">
            <w:pPr>
              <w:pStyle w:val="Paragraph"/>
              <w:spacing w:after="60"/>
              <w:rPr>
                <w:rFonts w:ascii="Arial" w:hAnsi="Arial" w:cs="Arial"/>
                <w:lang w:eastAsia="zh-TW"/>
              </w:rPr>
            </w:pPr>
            <w:r>
              <w:rPr>
                <w:rFonts w:ascii="Arial" w:hAnsi="Arial" w:cs="Arial"/>
                <w:lang w:eastAsia="zh-TW"/>
              </w:rPr>
              <w:t>40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05C70E1F"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tr w:rsidR="006571FF" w14:paraId="79843839"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9301D" w14:textId="77777777" w:rsidR="006571FF" w:rsidRDefault="006571FF" w:rsidP="007172ED">
            <w:pPr>
              <w:pStyle w:val="Paragraph"/>
              <w:spacing w:after="60"/>
              <w:rPr>
                <w:rFonts w:ascii="Arial" w:hAnsi="Arial" w:cs="Arial"/>
                <w:lang w:eastAsia="zh-TW"/>
              </w:rPr>
            </w:pPr>
            <w:r>
              <w:rPr>
                <w:rFonts w:ascii="Arial" w:hAnsi="Arial" w:cs="Arial"/>
                <w:lang w:eastAsia="zh-TW"/>
              </w:rPr>
              <w:t>60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C87B5A1" w14:textId="77777777" w:rsidR="006571FF" w:rsidRDefault="006571FF" w:rsidP="007172ED">
            <w:pPr>
              <w:pStyle w:val="Paragraph"/>
              <w:spacing w:after="60"/>
              <w:rPr>
                <w:rFonts w:ascii="Arial" w:hAnsi="Arial" w:cs="Arial"/>
                <w:lang w:eastAsia="zh-TW"/>
              </w:rPr>
            </w:pPr>
            <w:r>
              <w:rPr>
                <w:rFonts w:ascii="Arial" w:hAnsi="Arial" w:cs="Arial"/>
                <w:lang w:eastAsia="zh-TW"/>
              </w:rPr>
              <w:t>70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7D4FCD4F" w14:textId="77777777" w:rsidR="006571FF" w:rsidRDefault="006571FF" w:rsidP="007172ED">
            <w:pPr>
              <w:pStyle w:val="Paragraph"/>
              <w:spacing w:after="60"/>
              <w:rPr>
                <w:rFonts w:ascii="Arial" w:hAnsi="Arial" w:cs="Arial"/>
                <w:lang w:eastAsia="zh-TW"/>
              </w:rPr>
            </w:pPr>
            <w:r>
              <w:rPr>
                <w:rFonts w:ascii="Arial" w:hAnsi="Arial" w:cs="Arial"/>
                <w:lang w:eastAsia="zh-TW"/>
              </w:rPr>
              <w:t>10</w:t>
            </w:r>
          </w:p>
        </w:tc>
      </w:tr>
      <w:bookmarkEnd w:id="1937"/>
    </w:tbl>
    <w:p w14:paraId="606DCB88" w14:textId="77777777" w:rsidR="006571FF" w:rsidRDefault="006571FF" w:rsidP="006571FF">
      <w:pPr>
        <w:pStyle w:val="Paragraph"/>
        <w:rPr>
          <w:rFonts w:ascii="Arial" w:hAnsi="Arial" w:cs="Arial"/>
          <w:sz w:val="20"/>
          <w:szCs w:val="20"/>
        </w:rPr>
      </w:pPr>
    </w:p>
    <w:p w14:paraId="6F25FEBD" w14:textId="77777777" w:rsidR="006571FF" w:rsidRDefault="006571FF" w:rsidP="006571FF">
      <w:pPr>
        <w:pStyle w:val="Paragraph"/>
        <w:suppressAutoHyphens w:val="0"/>
        <w:spacing w:after="0" w:line="240" w:lineRule="auto"/>
        <w:ind w:left="720"/>
        <w:jc w:val="both"/>
        <w:rPr>
          <w:rFonts w:ascii="Cambria" w:eastAsia="Times New Roman" w:hAnsi="Cambria" w:cs="Times New Roman"/>
          <w:b/>
          <w:bCs/>
          <w:u w:val="single"/>
        </w:rPr>
      </w:pPr>
      <w:r>
        <w:rPr>
          <w:b/>
          <w:bCs/>
          <w:u w:val="single"/>
        </w:rPr>
        <w:t>2. Initially in FOR, crossing up</w:t>
      </w:r>
    </w:p>
    <w:p w14:paraId="1FAA8CCD" w14:textId="77777777" w:rsidR="006571FF" w:rsidRDefault="006571FF" w:rsidP="006571FF">
      <w:pPr>
        <w:pStyle w:val="Paragraph"/>
        <w:ind w:left="1440"/>
        <w:rPr>
          <w:sz w:val="20"/>
          <w:szCs w:val="20"/>
        </w:rPr>
      </w:pPr>
      <w:r>
        <w:t>Resource ramp rate 2 MW/min</w:t>
      </w:r>
    </w:p>
    <w:p w14:paraId="6CE85CED" w14:textId="77777777" w:rsidR="006571FF" w:rsidRDefault="006571FF" w:rsidP="006571FF">
      <w:pPr>
        <w:pStyle w:val="Paragraph"/>
        <w:ind w:left="1440"/>
      </w:pPr>
      <w:r>
        <w:t>Bid_max: 150, bid_min: 0, FOR: 20-50, crossing time: 30</w:t>
      </w:r>
    </w:p>
    <w:p w14:paraId="2941E2BD" w14:textId="77777777" w:rsidR="006571FF" w:rsidRDefault="006571FF" w:rsidP="006571FF">
      <w:pPr>
        <w:pStyle w:val="Paragraph"/>
        <w:ind w:left="1440"/>
      </w:pPr>
      <w:r>
        <w:t xml:space="preserve">T-7.5’ MW = 35, T-22.5’ MW = 20 </w:t>
      </w:r>
      <w:r>
        <w:rPr>
          <w:color w:val="0000FF"/>
        </w:rPr>
        <w:t>[FZ: if table EMM_SCUC_INITIAL_RES_STATUS is copied to RTBS from RTPD, field PROHIBITED_ZONE_DIR should indicate the direction]</w:t>
      </w:r>
    </w:p>
    <w:p w14:paraId="5FA44333" w14:textId="77777777" w:rsidR="006571FF" w:rsidRDefault="006571FF" w:rsidP="006571FF">
      <w:pPr>
        <w:pStyle w:val="Paragraph"/>
        <w:ind w:left="1440"/>
      </w:pPr>
      <w:r>
        <w:t>New ramp rate = 30/30 = 1 MW/min</w:t>
      </w:r>
    </w:p>
    <w:p w14:paraId="3BB2F3DD" w14:textId="77777777" w:rsidR="006571FF" w:rsidRDefault="006571FF" w:rsidP="006571FF">
      <w:pPr>
        <w:pStyle w:val="Paragraph"/>
        <w:ind w:left="1440"/>
      </w:pPr>
    </w:p>
    <w:tbl>
      <w:tblPr>
        <w:tblW w:w="0" w:type="auto"/>
        <w:tblInd w:w="1440" w:type="dxa"/>
        <w:tblCellMar>
          <w:left w:w="0" w:type="dxa"/>
          <w:right w:w="0" w:type="dxa"/>
        </w:tblCellMar>
        <w:tblLook w:val="04A0" w:firstRow="1" w:lastRow="0" w:firstColumn="1" w:lastColumn="0" w:noHBand="0" w:noVBand="1"/>
      </w:tblPr>
      <w:tblGrid>
        <w:gridCol w:w="918"/>
        <w:gridCol w:w="900"/>
        <w:gridCol w:w="990"/>
      </w:tblGrid>
      <w:tr w:rsidR="006571FF" w14:paraId="05A3B9A0" w14:textId="77777777" w:rsidTr="007172ED">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42342F" w14:textId="77777777" w:rsidR="006571FF" w:rsidRDefault="006571FF" w:rsidP="007172ED">
            <w:pPr>
              <w:pStyle w:val="Paragraph"/>
              <w:spacing w:after="60"/>
              <w:rPr>
                <w:lang w:eastAsia="zh-TW"/>
              </w:rPr>
            </w:pPr>
            <w:r>
              <w:rPr>
                <w:rFonts w:ascii="Arial" w:hAnsi="Arial" w:cs="Arial"/>
                <w:lang w:eastAsia="zh-TW"/>
              </w:rPr>
              <w:t>Time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8D32E" w14:textId="77777777" w:rsidR="006571FF" w:rsidRDefault="006571FF" w:rsidP="007172ED">
            <w:pPr>
              <w:pStyle w:val="Paragraph"/>
              <w:spacing w:after="60"/>
              <w:rPr>
                <w:rFonts w:ascii="Arial" w:hAnsi="Arial" w:cs="Arial"/>
                <w:lang w:eastAsia="zh-TW"/>
              </w:rPr>
            </w:pPr>
            <w:r>
              <w:rPr>
                <w:rFonts w:ascii="Arial" w:hAnsi="Arial" w:cs="Arial"/>
                <w:lang w:eastAsia="zh-TW"/>
              </w:rPr>
              <w:t>FRU</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A58F6" w14:textId="77777777" w:rsidR="006571FF" w:rsidRDefault="006571FF" w:rsidP="007172ED">
            <w:pPr>
              <w:pStyle w:val="Paragraph"/>
              <w:spacing w:after="60"/>
              <w:rPr>
                <w:rFonts w:ascii="Arial" w:hAnsi="Arial" w:cs="Arial"/>
                <w:lang w:eastAsia="zh-TW"/>
              </w:rPr>
            </w:pPr>
            <w:r>
              <w:rPr>
                <w:rFonts w:ascii="Arial" w:hAnsi="Arial" w:cs="Arial"/>
                <w:lang w:eastAsia="zh-TW"/>
              </w:rPr>
              <w:t>FRD</w:t>
            </w:r>
          </w:p>
        </w:tc>
      </w:tr>
      <w:tr w:rsidR="006571FF" w14:paraId="28E99C42"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4E3F2" w14:textId="77777777" w:rsidR="006571FF" w:rsidRDefault="006571FF" w:rsidP="007172ED">
            <w:pPr>
              <w:pStyle w:val="Paragraph"/>
              <w:spacing w:after="60"/>
              <w:rPr>
                <w:rFonts w:ascii="Arial" w:hAnsi="Arial" w:cs="Arial"/>
                <w:lang w:eastAsia="zh-TW"/>
              </w:rPr>
            </w:pPr>
            <w:r>
              <w:rPr>
                <w:rFonts w:ascii="Arial" w:hAnsi="Arial" w:cs="Arial"/>
                <w:lang w:eastAsia="zh-TW"/>
              </w:rPr>
              <w:lastRenderedPageBreak/>
              <w:t>15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D79BD4A" w14:textId="77777777" w:rsidR="006571FF" w:rsidRDefault="006571FF" w:rsidP="007172ED">
            <w:pPr>
              <w:pStyle w:val="Paragraph"/>
              <w:spacing w:after="60"/>
              <w:rPr>
                <w:rFonts w:ascii="Arial" w:hAnsi="Arial" w:cs="Arial"/>
                <w:lang w:eastAsia="zh-TW"/>
              </w:rPr>
            </w:pPr>
            <w:r>
              <w:rPr>
                <w:rFonts w:ascii="Arial" w:hAnsi="Arial" w:cs="Arial"/>
                <w:lang w:eastAsia="zh-TW"/>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025F9BD3" w14:textId="77777777" w:rsidR="006571FF" w:rsidRDefault="006571FF" w:rsidP="007172ED">
            <w:pPr>
              <w:pStyle w:val="Paragraph"/>
              <w:spacing w:after="60"/>
              <w:rPr>
                <w:rFonts w:ascii="Arial" w:hAnsi="Arial" w:cs="Arial"/>
                <w:lang w:eastAsia="zh-TW"/>
              </w:rPr>
            </w:pPr>
            <w:r>
              <w:rPr>
                <w:rFonts w:ascii="Arial" w:hAnsi="Arial" w:cs="Arial"/>
                <w:lang w:eastAsia="zh-TW"/>
              </w:rPr>
              <w:t>-15</w:t>
            </w:r>
          </w:p>
        </w:tc>
      </w:tr>
      <w:tr w:rsidR="006571FF" w14:paraId="631F6F16"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C6912" w14:textId="77777777" w:rsidR="006571FF" w:rsidRDefault="006571FF" w:rsidP="007172ED">
            <w:pPr>
              <w:pStyle w:val="Paragraph"/>
              <w:spacing w:after="60"/>
              <w:rPr>
                <w:rFonts w:ascii="Arial" w:hAnsi="Arial" w:cs="Arial"/>
                <w:lang w:eastAsia="zh-TW"/>
              </w:rPr>
            </w:pPr>
            <w:r>
              <w:rPr>
                <w:rFonts w:ascii="Arial" w:hAnsi="Arial" w:cs="Arial"/>
                <w:lang w:eastAsia="zh-TW"/>
              </w:rPr>
              <w:t>30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DF7A0E5" w14:textId="77777777" w:rsidR="006571FF" w:rsidRDefault="006571FF" w:rsidP="007172ED">
            <w:pPr>
              <w:pStyle w:val="Paragraph"/>
              <w:spacing w:after="60"/>
              <w:rPr>
                <w:rFonts w:ascii="Arial" w:hAnsi="Arial" w:cs="Arial"/>
                <w:lang w:eastAsia="zh-TW"/>
              </w:rPr>
            </w:pPr>
            <w:r>
              <w:rPr>
                <w:rFonts w:ascii="Arial" w:hAnsi="Arial" w:cs="Arial"/>
                <w:lang w:eastAsia="zh-TW"/>
              </w:rPr>
              <w:t>45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2FE4445D" w14:textId="77777777" w:rsidR="006571FF" w:rsidRDefault="006571FF" w:rsidP="007172ED">
            <w:pPr>
              <w:pStyle w:val="Paragraph"/>
              <w:spacing w:after="60"/>
              <w:rPr>
                <w:rFonts w:ascii="Arial" w:hAnsi="Arial" w:cs="Arial"/>
                <w:lang w:eastAsia="zh-TW"/>
              </w:rPr>
            </w:pPr>
            <w:r>
              <w:rPr>
                <w:rFonts w:ascii="Arial" w:hAnsi="Arial" w:cs="Arial"/>
                <w:lang w:eastAsia="zh-TW"/>
              </w:rPr>
              <w:t>0</w:t>
            </w:r>
          </w:p>
        </w:tc>
      </w:tr>
      <w:tr w:rsidR="006571FF" w14:paraId="36B208BD"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58DE3" w14:textId="77777777" w:rsidR="006571FF" w:rsidRDefault="006571FF" w:rsidP="007172ED">
            <w:pPr>
              <w:pStyle w:val="Paragraph"/>
              <w:spacing w:after="60"/>
              <w:rPr>
                <w:rFonts w:ascii="Arial" w:hAnsi="Arial" w:cs="Arial"/>
                <w:lang w:eastAsia="zh-TW"/>
              </w:rPr>
            </w:pPr>
            <w:r>
              <w:rPr>
                <w:rFonts w:ascii="Arial" w:hAnsi="Arial" w:cs="Arial"/>
                <w:lang w:eastAsia="zh-TW"/>
              </w:rPr>
              <w:t>45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25110B6" w14:textId="77777777" w:rsidR="006571FF" w:rsidRDefault="006571FF" w:rsidP="007172ED">
            <w:pPr>
              <w:pStyle w:val="Paragraph"/>
              <w:spacing w:after="60"/>
              <w:rPr>
                <w:rFonts w:ascii="Arial" w:hAnsi="Arial" w:cs="Arial"/>
                <w:lang w:eastAsia="zh-TW"/>
              </w:rPr>
            </w:pPr>
            <w:r>
              <w:rPr>
                <w:rFonts w:ascii="Arial" w:hAnsi="Arial" w:cs="Arial"/>
                <w:lang w:eastAsia="zh-TW"/>
              </w:rPr>
              <w:t>75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6AFAE863" w14:textId="77777777" w:rsidR="006571FF" w:rsidRDefault="006571FF" w:rsidP="007172ED">
            <w:pPr>
              <w:pStyle w:val="Paragraph"/>
              <w:spacing w:after="60"/>
              <w:rPr>
                <w:rFonts w:ascii="Arial" w:hAnsi="Arial" w:cs="Arial"/>
                <w:lang w:eastAsia="zh-TW"/>
              </w:rPr>
            </w:pPr>
            <w:r>
              <w:rPr>
                <w:rFonts w:ascii="Arial" w:hAnsi="Arial" w:cs="Arial"/>
                <w:lang w:eastAsia="zh-TW"/>
              </w:rPr>
              <w:t>15</w:t>
            </w:r>
          </w:p>
        </w:tc>
      </w:tr>
      <w:tr w:rsidR="006571FF" w14:paraId="705DF18C" w14:textId="77777777" w:rsidTr="007172ED">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60E5A" w14:textId="77777777" w:rsidR="006571FF" w:rsidRDefault="006571FF" w:rsidP="007172ED">
            <w:pPr>
              <w:pStyle w:val="Paragraph"/>
              <w:spacing w:after="60"/>
              <w:rPr>
                <w:rFonts w:ascii="Arial" w:hAnsi="Arial" w:cs="Arial"/>
                <w:lang w:eastAsia="zh-TW"/>
              </w:rPr>
            </w:pPr>
            <w:r>
              <w:rPr>
                <w:rFonts w:ascii="Arial" w:hAnsi="Arial" w:cs="Arial"/>
                <w:lang w:eastAsia="zh-TW"/>
              </w:rPr>
              <w:t>60 mins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E618EC6" w14:textId="77777777" w:rsidR="006571FF" w:rsidRDefault="006571FF" w:rsidP="007172ED">
            <w:pPr>
              <w:pStyle w:val="Paragraph"/>
              <w:spacing w:after="60"/>
              <w:rPr>
                <w:rFonts w:ascii="Arial" w:hAnsi="Arial" w:cs="Arial"/>
                <w:lang w:eastAsia="zh-TW"/>
              </w:rPr>
            </w:pPr>
            <w:r>
              <w:rPr>
                <w:rFonts w:ascii="Arial" w:hAnsi="Arial" w:cs="Arial"/>
                <w:lang w:eastAsia="zh-TW"/>
              </w:rPr>
              <w:t>105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2FAF3A57" w14:textId="77777777" w:rsidR="006571FF" w:rsidRDefault="006571FF" w:rsidP="007172ED">
            <w:pPr>
              <w:pStyle w:val="Paragraph"/>
              <w:spacing w:after="60"/>
              <w:rPr>
                <w:rFonts w:ascii="Arial" w:hAnsi="Arial" w:cs="Arial"/>
                <w:lang w:eastAsia="zh-TW"/>
              </w:rPr>
            </w:pPr>
            <w:r>
              <w:rPr>
                <w:rFonts w:ascii="Arial" w:hAnsi="Arial" w:cs="Arial"/>
                <w:lang w:eastAsia="zh-TW"/>
              </w:rPr>
              <w:t>35</w:t>
            </w:r>
          </w:p>
        </w:tc>
      </w:tr>
    </w:tbl>
    <w:p w14:paraId="5F086ECF" w14:textId="77777777" w:rsidR="006571FF" w:rsidRDefault="006571FF" w:rsidP="006571FF">
      <w:pPr>
        <w:pStyle w:val="Paragraph"/>
        <w:rPr>
          <w:rFonts w:ascii="Arial" w:hAnsi="Arial" w:cs="Arial"/>
          <w:sz w:val="20"/>
          <w:szCs w:val="20"/>
        </w:rPr>
      </w:pPr>
    </w:p>
    <w:p w14:paraId="618FEB37" w14:textId="77777777" w:rsidR="006571FF" w:rsidRPr="00FD1751" w:rsidRDefault="006571FF" w:rsidP="00FD1751">
      <w:pPr>
        <w:pStyle w:val="Paragraph"/>
        <w:numPr>
          <w:ilvl w:val="0"/>
          <w:numId w:val="99"/>
        </w:numPr>
        <w:rPr>
          <w:rFonts w:ascii="Calibri" w:hAnsi="Calibri" w:cs="Calibri"/>
          <w:b/>
          <w:bCs/>
        </w:rPr>
      </w:pPr>
      <w:r w:rsidRPr="00FD1751">
        <w:rPr>
          <w:rFonts w:ascii="Calibri" w:hAnsi="Calibri" w:cs="Calibri"/>
          <w:b/>
          <w:bCs/>
        </w:rPr>
        <w:t>MSG Configuration accounting as Available Supply in the Capacity Test.</w:t>
      </w:r>
    </w:p>
    <w:p w14:paraId="693F8C06"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When the following conditions are true:</w:t>
      </w:r>
    </w:p>
    <w:p w14:paraId="45EBA35D" w14:textId="77777777" w:rsidR="006571FF" w:rsidRPr="00FD1751" w:rsidRDefault="006571FF" w:rsidP="00FD1751">
      <w:pPr>
        <w:numPr>
          <w:ilvl w:val="0"/>
          <w:numId w:val="106"/>
        </w:numPr>
        <w:spacing w:before="120" w:after="0" w:line="240" w:lineRule="auto"/>
        <w:ind w:left="1440"/>
        <w:rPr>
          <w:rFonts w:ascii="Calibri" w:hAnsi="Calibri" w:cs="Calibri"/>
          <w:color w:val="000000" w:themeColor="text1"/>
        </w:rPr>
      </w:pPr>
      <w:r w:rsidRPr="00FD1751">
        <w:rPr>
          <w:rFonts w:ascii="Calibri" w:hAnsi="Calibri" w:cs="Calibri"/>
          <w:color w:val="000000" w:themeColor="text1"/>
        </w:rPr>
        <w:t xml:space="preserve">MSG Configuration has a bid, an Exceptional Dispatch (ED) or WEIM Manual Dispatch (MD) or commitment override in RTM through the upcoming hour </w:t>
      </w:r>
    </w:p>
    <w:p w14:paraId="7BE6F0D0" w14:textId="77777777" w:rsidR="006571FF" w:rsidRPr="00FD1751" w:rsidRDefault="006571FF" w:rsidP="00FD1751">
      <w:pPr>
        <w:numPr>
          <w:ilvl w:val="0"/>
          <w:numId w:val="106"/>
        </w:numPr>
        <w:spacing w:before="120" w:after="0" w:line="240" w:lineRule="auto"/>
        <w:ind w:left="1440"/>
        <w:rPr>
          <w:rFonts w:ascii="Calibri" w:hAnsi="Calibri" w:cs="Calibri"/>
          <w:color w:val="000000" w:themeColor="text1"/>
        </w:rPr>
      </w:pPr>
      <w:r w:rsidRPr="00FD1751">
        <w:rPr>
          <w:rFonts w:ascii="Calibri" w:hAnsi="Calibri" w:cs="Calibri"/>
          <w:color w:val="000000" w:themeColor="text1"/>
        </w:rPr>
        <w:t xml:space="preserve">MSG resource is online (or in-transition state) in the last 15 minute interval before the hour </w:t>
      </w:r>
    </w:p>
    <w:p w14:paraId="65B14715"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The available online capacity is calculated to equal the maximum MW of the MSG configuration that is achievable based upon the enforcement of intertemporal constraints including ramp rate and transition time RTPD and RTD executions prior to the horizon hour.    </w:t>
      </w:r>
    </w:p>
    <w:p w14:paraId="5D00E3A4" w14:textId="77777777" w:rsidR="006571FF" w:rsidRPr="00FD1751" w:rsidRDefault="006571FF" w:rsidP="00FD1751">
      <w:pPr>
        <w:spacing w:before="120" w:after="0" w:line="240" w:lineRule="auto"/>
        <w:ind w:left="720"/>
        <w:rPr>
          <w:rFonts w:ascii="Calibri" w:hAnsi="Calibri" w:cs="Calibri"/>
          <w:color w:val="000000" w:themeColor="text1"/>
        </w:rPr>
      </w:pPr>
    </w:p>
    <w:p w14:paraId="062A03D1" w14:textId="77777777" w:rsidR="006571FF" w:rsidRPr="00FD1751" w:rsidRDefault="006571FF" w:rsidP="00FD1751">
      <w:pPr>
        <w:spacing w:before="120" w:after="0" w:line="240" w:lineRule="auto"/>
        <w:ind w:left="720"/>
        <w:rPr>
          <w:rFonts w:ascii="Calibri" w:hAnsi="Calibri" w:cs="Calibri"/>
          <w:b/>
          <w:bCs/>
          <w:i/>
          <w:iCs/>
          <w:color w:val="000000" w:themeColor="text1"/>
        </w:rPr>
      </w:pPr>
      <w:r w:rsidRPr="00FD1751">
        <w:rPr>
          <w:rFonts w:ascii="Calibri" w:hAnsi="Calibri" w:cs="Calibri"/>
          <w:b/>
          <w:bCs/>
          <w:i/>
          <w:iCs/>
          <w:color w:val="000000" w:themeColor="text1"/>
        </w:rPr>
        <w:t>For Example:</w:t>
      </w:r>
    </w:p>
    <w:p w14:paraId="14E1185C"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Resource X Configurations:</w:t>
      </w:r>
    </w:p>
    <w:p w14:paraId="1A703413"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1x1 20 (Pmin) to 150</w:t>
      </w:r>
      <w:r w:rsidRPr="00FD1751">
        <w:rPr>
          <w:rFonts w:ascii="Calibri" w:hAnsi="Calibri" w:cs="Calibri"/>
          <w:color w:val="000000" w:themeColor="text1"/>
        </w:rPr>
        <w:tab/>
      </w:r>
      <w:r w:rsidRPr="00FD1751">
        <w:rPr>
          <w:rFonts w:ascii="Calibri" w:hAnsi="Calibri" w:cs="Calibri"/>
          <w:color w:val="000000" w:themeColor="text1"/>
        </w:rPr>
        <w:tab/>
        <w:t>(Transition Time to 2X1 30 Minutes)                            </w:t>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t>Ramp Rate = 10</w:t>
      </w:r>
    </w:p>
    <w:p w14:paraId="5D8A8EA6"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2X1 140 to 300</w:t>
      </w:r>
      <w:r w:rsidRPr="00FD1751">
        <w:rPr>
          <w:rFonts w:ascii="Calibri" w:hAnsi="Calibri" w:cs="Calibri"/>
          <w:color w:val="000000" w:themeColor="text1"/>
        </w:rPr>
        <w:tab/>
      </w:r>
      <w:r w:rsidRPr="00FD1751">
        <w:rPr>
          <w:rFonts w:ascii="Calibri" w:hAnsi="Calibri" w:cs="Calibri"/>
          <w:color w:val="000000" w:themeColor="text1"/>
        </w:rPr>
        <w:tab/>
        <w:t>(Transition to 3X1 60 Minutes, Transition to 1x1 0 minutes)  </w:t>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t>Ramp Rate = 15</w:t>
      </w:r>
    </w:p>
    <w:p w14:paraId="278F56AA"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3X1 300 to 600 (PMax)</w:t>
      </w:r>
      <w:r w:rsidRPr="00FD1751">
        <w:rPr>
          <w:rFonts w:ascii="Calibri" w:hAnsi="Calibri" w:cs="Calibri"/>
          <w:color w:val="000000" w:themeColor="text1"/>
        </w:rPr>
        <w:tab/>
        <w:t>(Transition to 2X1, 0 Minutes)</w:t>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r>
      <w:r w:rsidRPr="00FD1751">
        <w:rPr>
          <w:rFonts w:ascii="Calibri" w:hAnsi="Calibri" w:cs="Calibri"/>
          <w:color w:val="000000" w:themeColor="text1"/>
        </w:rPr>
        <w:tab/>
        <w:t>Ramp Rate =20</w:t>
      </w:r>
    </w:p>
    <w:p w14:paraId="40FC81DD" w14:textId="77777777" w:rsidR="006571FF" w:rsidRPr="00FD1751" w:rsidRDefault="006571FF" w:rsidP="00FD1751">
      <w:pPr>
        <w:spacing w:before="120" w:after="0" w:line="240" w:lineRule="auto"/>
        <w:ind w:left="720"/>
        <w:rPr>
          <w:rFonts w:ascii="Calibri" w:hAnsi="Calibri" w:cs="Calibri"/>
          <w:color w:val="000000" w:themeColor="text1"/>
        </w:rPr>
      </w:pPr>
    </w:p>
    <w:p w14:paraId="320EC76A"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Assumption (Resource X meets the conditions above)</w:t>
      </w:r>
    </w:p>
    <w:p w14:paraId="7C04F5F6" w14:textId="77777777" w:rsidR="006571FF" w:rsidRPr="00FD1751"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lastRenderedPageBreak/>
        <w:t>Resource X is online in 1x1 configuration at 20MW at T-7.5 and 1X1 can only transition to 2X1</w:t>
      </w:r>
    </w:p>
    <w:p w14:paraId="655CD101" w14:textId="77777777" w:rsidR="006571FF" w:rsidRPr="00F004A8" w:rsidRDefault="006571FF" w:rsidP="00FD1751">
      <w:pPr>
        <w:spacing w:before="120" w:after="0" w:line="240" w:lineRule="auto"/>
        <w:ind w:left="720"/>
        <w:rPr>
          <w:rFonts w:ascii="Calibri" w:hAnsi="Calibri" w:cs="Calibri"/>
          <w:color w:val="000000" w:themeColor="text1"/>
        </w:rPr>
      </w:pPr>
      <w:r w:rsidRPr="00FD1751">
        <w:rPr>
          <w:rFonts w:ascii="Calibri" w:hAnsi="Calibri" w:cs="Calibri"/>
          <w:color w:val="000000" w:themeColor="text1"/>
        </w:rPr>
        <w:t>Base Energy schedule for the plant is 160 MW for the testing hour</w:t>
      </w:r>
    </w:p>
    <w:p w14:paraId="34CB1045" w14:textId="77777777" w:rsidR="006571FF" w:rsidRPr="00FD1751" w:rsidRDefault="006571FF" w:rsidP="00FD1751">
      <w:pPr>
        <w:pStyle w:val="Paragraph"/>
        <w:ind w:left="720"/>
        <w:rPr>
          <w:rFonts w:ascii="Calibri" w:hAnsi="Calibri" w:cs="Calibri"/>
          <w:sz w:val="20"/>
          <w:szCs w:val="20"/>
        </w:rPr>
      </w:pPr>
      <w:r w:rsidRPr="00FD1751">
        <w:rPr>
          <w:rFonts w:ascii="Calibri" w:hAnsi="Calibri" w:cs="Calibri"/>
          <w:color w:val="000000" w:themeColor="text1"/>
          <w:kern w:val="0"/>
        </w:rPr>
        <w:t>In the previous implementation, the Upward capacity was reported as 440 MW.  With the RSE Enhancement, Available Capacity for Resource X used in Bid Capacity = 140 MW as only 1X1 and 2X1 will be considered for the bid capacity test.</w:t>
      </w:r>
    </w:p>
    <w:p w14:paraId="6D3BF909" w14:textId="77777777" w:rsidR="006571FF" w:rsidRPr="004D00C7" w:rsidRDefault="006571FF" w:rsidP="006571FF">
      <w:pPr>
        <w:ind w:left="1440"/>
        <w:rPr>
          <w:rFonts w:cstheme="minorHAnsi"/>
        </w:rPr>
      </w:pPr>
    </w:p>
    <w:p w14:paraId="30CDC389" w14:textId="07705F40" w:rsidR="006571FF" w:rsidRDefault="006571FF" w:rsidP="00C6257F">
      <w:pPr>
        <w:pStyle w:val="ListParagraph"/>
        <w:numPr>
          <w:ilvl w:val="0"/>
          <w:numId w:val="12"/>
        </w:numPr>
        <w:spacing w:before="120" w:after="120" w:line="240" w:lineRule="auto"/>
      </w:pPr>
      <w:r w:rsidRPr="00BB06BF">
        <w:rPr>
          <w:b/>
        </w:rPr>
        <w:t>Discount CAISO Interchange Awards that have not submitted Transmission Profile e-Tag:</w:t>
      </w:r>
      <w:r>
        <w:t xml:space="preserve"> </w:t>
      </w:r>
      <w:r w:rsidRPr="00BB06BF">
        <w:t>System shall discount any interchange (import/export) award</w:t>
      </w:r>
      <w:r>
        <w:t>ed bid</w:t>
      </w:r>
      <w:r w:rsidRPr="00BB06BF">
        <w:t xml:space="preserve">s that have not submitted a transmission profile e-Tag equal to their HASP award by the T-40’ deadline for Capacity Test and Flexible Ramping </w:t>
      </w:r>
      <w:r>
        <w:t xml:space="preserve">Sufficiency </w:t>
      </w:r>
      <w:r w:rsidRPr="00BB06BF">
        <w:t>Test.</w:t>
      </w:r>
      <w:r>
        <w:t xml:space="preserve">  The objective of this feature is ensure import and export capacity has procured sufficient transmission to deliver or receive the award</w:t>
      </w:r>
      <w:r w:rsidR="00C6257F">
        <w:t xml:space="preserve">. </w:t>
      </w:r>
      <w:r>
        <w:t xml:space="preserve"> </w:t>
      </w:r>
      <w:r w:rsidR="00C6257F" w:rsidRPr="00C6257F">
        <w:t xml:space="preserve">The Capacity and Flexible Ramping Sufficiency tests are configured to execute after receipt of the latest </w:t>
      </w:r>
      <w:r w:rsidR="00C6257F">
        <w:t xml:space="preserve">HASP </w:t>
      </w:r>
      <w:r w:rsidR="00C6257F" w:rsidRPr="00C6257F">
        <w:t xml:space="preserve">awarded interchange data.  </w:t>
      </w:r>
    </w:p>
    <w:p w14:paraId="60D31C95" w14:textId="77777777" w:rsidR="006571FF" w:rsidRDefault="006571FF" w:rsidP="006571FF">
      <w:pPr>
        <w:ind w:left="720"/>
        <w:rPr>
          <w:rFonts w:ascii="Arial" w:eastAsia="Times New Roman" w:hAnsi="Arial" w:cs="Arial"/>
          <w:iCs/>
          <w:color w:val="000000"/>
          <w:sz w:val="20"/>
          <w:szCs w:val="20"/>
        </w:rPr>
      </w:pPr>
    </w:p>
    <w:p w14:paraId="1DFC7AB7" w14:textId="77777777" w:rsidR="006571FF" w:rsidRDefault="006571FF" w:rsidP="006571FF">
      <w:pPr>
        <w:ind w:left="720"/>
        <w:rPr>
          <w:rFonts w:ascii="Arial" w:eastAsia="Times New Roman" w:hAnsi="Arial" w:cs="Arial"/>
          <w:iCs/>
          <w:color w:val="000000"/>
          <w:sz w:val="20"/>
          <w:szCs w:val="20"/>
        </w:rPr>
      </w:pPr>
      <w:r w:rsidRPr="00626B90">
        <w:rPr>
          <w:rFonts w:ascii="Arial" w:eastAsia="Times New Roman" w:hAnsi="Arial" w:cs="Arial"/>
          <w:iCs/>
          <w:color w:val="000000"/>
          <w:sz w:val="20"/>
          <w:szCs w:val="20"/>
        </w:rPr>
        <w:t>For each BAA in the</w:t>
      </w:r>
      <w:r>
        <w:rPr>
          <w:rFonts w:ascii="Arial" w:eastAsia="Times New Roman" w:hAnsi="Arial" w:cs="Arial"/>
          <w:iCs/>
          <w:color w:val="000000"/>
          <w:sz w:val="20"/>
          <w:szCs w:val="20"/>
        </w:rPr>
        <w:t xml:space="preserve"> WEIM </w:t>
      </w:r>
      <w:r w:rsidRPr="00626B90">
        <w:rPr>
          <w:rFonts w:ascii="Arial" w:eastAsia="Times New Roman" w:hAnsi="Arial" w:cs="Arial"/>
          <w:iCs/>
          <w:color w:val="000000"/>
          <w:sz w:val="20"/>
          <w:szCs w:val="20"/>
        </w:rPr>
        <w:t xml:space="preserve">Area that fails its Flexible Ramping Up or </w:t>
      </w:r>
      <w:r>
        <w:rPr>
          <w:rFonts w:ascii="Arial" w:eastAsia="Times New Roman" w:hAnsi="Arial" w:cs="Arial"/>
          <w:iCs/>
          <w:color w:val="000000"/>
          <w:sz w:val="20"/>
          <w:szCs w:val="20"/>
        </w:rPr>
        <w:t>Flexible R</w:t>
      </w:r>
      <w:r w:rsidRPr="00626B90">
        <w:rPr>
          <w:rFonts w:ascii="Arial" w:eastAsia="Times New Roman" w:hAnsi="Arial" w:cs="Arial"/>
          <w:iCs/>
          <w:color w:val="000000"/>
          <w:sz w:val="20"/>
          <w:szCs w:val="20"/>
        </w:rPr>
        <w:t>amping</w:t>
      </w:r>
      <w:r>
        <w:rPr>
          <w:rFonts w:ascii="Arial" w:eastAsia="Times New Roman" w:hAnsi="Arial" w:cs="Arial"/>
          <w:iCs/>
          <w:color w:val="000000"/>
          <w:sz w:val="20"/>
          <w:szCs w:val="20"/>
        </w:rPr>
        <w:t xml:space="preserve"> Down sufficiency t</w:t>
      </w:r>
      <w:r w:rsidRPr="00626B90">
        <w:rPr>
          <w:rFonts w:ascii="Arial" w:eastAsia="Times New Roman" w:hAnsi="Arial" w:cs="Arial"/>
          <w:iCs/>
          <w:color w:val="000000"/>
          <w:sz w:val="20"/>
          <w:szCs w:val="20"/>
        </w:rPr>
        <w:t>est</w:t>
      </w:r>
      <w:r>
        <w:rPr>
          <w:rFonts w:ascii="Arial" w:eastAsia="Times New Roman" w:hAnsi="Arial" w:cs="Arial"/>
          <w:iCs/>
          <w:color w:val="000000"/>
          <w:sz w:val="20"/>
          <w:szCs w:val="20"/>
        </w:rPr>
        <w:t xml:space="preserve"> or the Bid Range Capacity Up or Down test,</w:t>
      </w:r>
      <w:r w:rsidRPr="00626B90">
        <w:rPr>
          <w:rFonts w:ascii="Arial" w:eastAsia="Times New Roman" w:hAnsi="Arial" w:cs="Arial"/>
          <w:iCs/>
          <w:color w:val="000000"/>
          <w:sz w:val="20"/>
          <w:szCs w:val="20"/>
        </w:rPr>
        <w:t xml:space="preserve"> for a 15-minute interval in the next trad</w:t>
      </w:r>
      <w:r>
        <w:rPr>
          <w:rFonts w:ascii="Arial" w:eastAsia="Times New Roman" w:hAnsi="Arial" w:cs="Arial"/>
          <w:iCs/>
          <w:color w:val="000000"/>
          <w:sz w:val="20"/>
          <w:szCs w:val="20"/>
        </w:rPr>
        <w:t>ing</w:t>
      </w:r>
      <w:r w:rsidRPr="00626B90">
        <w:rPr>
          <w:rFonts w:ascii="Arial" w:eastAsia="Times New Roman" w:hAnsi="Arial" w:cs="Arial"/>
          <w:iCs/>
          <w:color w:val="000000"/>
          <w:sz w:val="20"/>
          <w:szCs w:val="20"/>
        </w:rPr>
        <w:t xml:space="preserve"> hour, the market shall limit the net</w:t>
      </w:r>
      <w:r>
        <w:rPr>
          <w:rFonts w:ascii="Arial" w:eastAsia="Times New Roman" w:hAnsi="Arial" w:cs="Arial"/>
          <w:iCs/>
          <w:color w:val="000000"/>
          <w:sz w:val="20"/>
          <w:szCs w:val="20"/>
        </w:rPr>
        <w:t xml:space="preserve"> WEIM </w:t>
      </w:r>
      <w:r w:rsidRPr="00626B90">
        <w:rPr>
          <w:rFonts w:ascii="Arial" w:eastAsia="Times New Roman" w:hAnsi="Arial" w:cs="Arial"/>
          <w:iCs/>
          <w:color w:val="000000"/>
          <w:sz w:val="20"/>
          <w:szCs w:val="20"/>
        </w:rPr>
        <w:t>transfer from below</w:t>
      </w:r>
      <w:r>
        <w:rPr>
          <w:rFonts w:ascii="Arial" w:eastAsia="Times New Roman" w:hAnsi="Arial" w:cs="Arial"/>
          <w:iCs/>
          <w:color w:val="000000"/>
          <w:sz w:val="20"/>
          <w:szCs w:val="20"/>
        </w:rPr>
        <w:t xml:space="preserve"> (import)</w:t>
      </w:r>
      <w:r w:rsidRPr="00626B90">
        <w:rPr>
          <w:rFonts w:ascii="Arial" w:eastAsia="Times New Roman" w:hAnsi="Arial" w:cs="Arial"/>
          <w:iCs/>
          <w:color w:val="000000"/>
          <w:sz w:val="20"/>
          <w:szCs w:val="20"/>
        </w:rPr>
        <w:t xml:space="preserve"> for upward failure and from above </w:t>
      </w:r>
      <w:r>
        <w:rPr>
          <w:rFonts w:ascii="Arial" w:eastAsia="Times New Roman" w:hAnsi="Arial" w:cs="Arial"/>
          <w:iCs/>
          <w:color w:val="000000"/>
          <w:sz w:val="20"/>
          <w:szCs w:val="20"/>
        </w:rPr>
        <w:t xml:space="preserve">(export) </w:t>
      </w:r>
      <w:r w:rsidRPr="00626B90">
        <w:rPr>
          <w:rFonts w:ascii="Arial" w:eastAsia="Times New Roman" w:hAnsi="Arial" w:cs="Arial"/>
          <w:iCs/>
          <w:color w:val="000000"/>
          <w:sz w:val="20"/>
          <w:szCs w:val="20"/>
        </w:rPr>
        <w:t>for downward failure, to the less-restrictive of the following values:</w:t>
      </w:r>
    </w:p>
    <w:p w14:paraId="79FC783F" w14:textId="77777777" w:rsidR="006571FF" w:rsidRPr="00120A86" w:rsidRDefault="006571FF" w:rsidP="006571FF">
      <w:pPr>
        <w:pStyle w:val="ListParagraph"/>
        <w:numPr>
          <w:ilvl w:val="0"/>
          <w:numId w:val="81"/>
        </w:numPr>
        <w:rPr>
          <w:rFonts w:ascii="Arial" w:eastAsia="Times New Roman" w:hAnsi="Arial" w:cs="Arial"/>
          <w:iCs/>
          <w:color w:val="000000"/>
          <w:sz w:val="20"/>
          <w:szCs w:val="20"/>
        </w:rPr>
      </w:pPr>
      <w:r w:rsidRPr="00120A86">
        <w:rPr>
          <w:rFonts w:ascii="Arial" w:eastAsia="Times New Roman" w:hAnsi="Arial" w:cs="Arial"/>
          <w:iCs/>
          <w:color w:val="000000"/>
          <w:sz w:val="20"/>
          <w:szCs w:val="20"/>
        </w:rPr>
        <w:t>Base Transfer Schedule for the failed 15-minute interval</w:t>
      </w:r>
      <w:r>
        <w:rPr>
          <w:rFonts w:ascii="Arial" w:eastAsia="Times New Roman" w:hAnsi="Arial" w:cs="Arial"/>
          <w:iCs/>
          <w:color w:val="000000"/>
          <w:sz w:val="20"/>
          <w:szCs w:val="20"/>
        </w:rPr>
        <w:t>; or</w:t>
      </w:r>
    </w:p>
    <w:p w14:paraId="659E0ACF" w14:textId="77777777" w:rsidR="006571FF" w:rsidRPr="00120A86" w:rsidRDefault="006571FF" w:rsidP="006571FF">
      <w:pPr>
        <w:pStyle w:val="ListParagraph"/>
        <w:numPr>
          <w:ilvl w:val="0"/>
          <w:numId w:val="81"/>
        </w:numPr>
        <w:rPr>
          <w:rFonts w:ascii="Arial" w:eastAsia="Times New Roman" w:hAnsi="Arial" w:cs="Arial"/>
          <w:iCs/>
          <w:color w:val="000000"/>
          <w:sz w:val="20"/>
          <w:szCs w:val="20"/>
        </w:rPr>
      </w:pPr>
      <w:r w:rsidRPr="00120A86">
        <w:rPr>
          <w:rFonts w:ascii="Arial" w:eastAsia="Times New Roman" w:hAnsi="Arial" w:cs="Arial"/>
          <w:iCs/>
          <w:color w:val="000000"/>
          <w:sz w:val="20"/>
          <w:szCs w:val="20"/>
        </w:rPr>
        <w:t>Net</w:t>
      </w:r>
      <w:r>
        <w:rPr>
          <w:rFonts w:ascii="Arial" w:eastAsia="Times New Roman" w:hAnsi="Arial" w:cs="Arial"/>
          <w:iCs/>
          <w:color w:val="000000"/>
          <w:sz w:val="20"/>
          <w:szCs w:val="20"/>
        </w:rPr>
        <w:t xml:space="preserve"> WEIM </w:t>
      </w:r>
      <w:r w:rsidRPr="00120A86">
        <w:rPr>
          <w:rFonts w:ascii="Arial" w:eastAsia="Times New Roman" w:hAnsi="Arial" w:cs="Arial"/>
          <w:iCs/>
          <w:color w:val="000000"/>
          <w:sz w:val="20"/>
          <w:szCs w:val="20"/>
        </w:rPr>
        <w:t>transfer schedule for the interval prior to the failed 15-minute interval as provided by the last successful FMM market run (i.e. the “last previous” 15-minute interval)</w:t>
      </w:r>
    </w:p>
    <w:p w14:paraId="7B11A633" w14:textId="04602661" w:rsidR="006571FF" w:rsidRDefault="006571FF" w:rsidP="006571FF">
      <w:pPr>
        <w:ind w:left="720"/>
        <w:rPr>
          <w:rFonts w:eastAsia="Calibri"/>
        </w:rPr>
      </w:pPr>
      <w:r>
        <w:rPr>
          <w:rFonts w:eastAsia="Calibri"/>
        </w:rPr>
        <w:t>The following rules will be applied to the 15-minute interval for all the bid-range capacity and flexible ramping sufficiency test;</w:t>
      </w:r>
    </w:p>
    <w:p w14:paraId="6F21EE28" w14:textId="20DD354E" w:rsidR="006571FF" w:rsidRPr="00AD4CFA" w:rsidRDefault="006571FF" w:rsidP="006571FF">
      <w:pPr>
        <w:pStyle w:val="ListParagraph"/>
        <w:numPr>
          <w:ilvl w:val="0"/>
          <w:numId w:val="81"/>
        </w:numPr>
        <w:rPr>
          <w:rFonts w:eastAsia="Calibri"/>
        </w:rPr>
      </w:pPr>
      <w:r>
        <w:rPr>
          <w:rFonts w:eastAsia="Calibri"/>
        </w:rPr>
        <w:t>At</w:t>
      </w:r>
      <w:r w:rsidRPr="00AD4CFA">
        <w:rPr>
          <w:rFonts w:eastAsia="Calibri"/>
        </w:rPr>
        <w:t xml:space="preserve"> T-75, </w:t>
      </w:r>
      <w:r>
        <w:rPr>
          <w:rFonts w:eastAsia="Calibri"/>
        </w:rPr>
        <w:t xml:space="preserve"> RUC schedules plus all available bids for system resources are</w:t>
      </w:r>
      <w:r w:rsidRPr="00AD4CFA">
        <w:rPr>
          <w:rFonts w:eastAsia="Calibri"/>
        </w:rPr>
        <w:t xml:space="preserve"> used for assessing C</w:t>
      </w:r>
      <w:r>
        <w:rPr>
          <w:rFonts w:eastAsia="Calibri"/>
        </w:rPr>
        <w:t>A</w:t>
      </w:r>
      <w:r w:rsidRPr="00AD4CFA">
        <w:rPr>
          <w:rFonts w:eastAsia="Calibri"/>
        </w:rPr>
        <w:t>ISO BAA. For the sufficiency test performed at T-55 and T-40, the latest FMM results are used for assessing C</w:t>
      </w:r>
      <w:r>
        <w:rPr>
          <w:rFonts w:eastAsia="Calibri"/>
        </w:rPr>
        <w:t>A</w:t>
      </w:r>
      <w:r w:rsidRPr="00AD4CFA">
        <w:rPr>
          <w:rFonts w:eastAsia="Calibri"/>
        </w:rPr>
        <w:t xml:space="preserve">ISO BAA. </w:t>
      </w:r>
    </w:p>
    <w:p w14:paraId="03BA69A6" w14:textId="77777777" w:rsidR="006571FF" w:rsidRDefault="006571FF" w:rsidP="006571FF">
      <w:pPr>
        <w:pStyle w:val="ListParagraph"/>
        <w:numPr>
          <w:ilvl w:val="0"/>
          <w:numId w:val="81"/>
        </w:numPr>
        <w:rPr>
          <w:rFonts w:eastAsia="Calibri"/>
        </w:rPr>
      </w:pPr>
      <w:r w:rsidRPr="00120A86">
        <w:rPr>
          <w:rFonts w:eastAsia="Calibri"/>
        </w:rPr>
        <w:t>The same</w:t>
      </w:r>
      <w:r>
        <w:rPr>
          <w:rFonts w:eastAsia="Calibri"/>
        </w:rPr>
        <w:t xml:space="preserve"> WEIM </w:t>
      </w:r>
      <w:r w:rsidRPr="00120A86">
        <w:rPr>
          <w:rFonts w:eastAsia="Calibri"/>
        </w:rPr>
        <w:t>transfer limit applied to the failed 15-minute interval shall also apply to its three corresponding 5-minute market intervals</w:t>
      </w:r>
    </w:p>
    <w:p w14:paraId="2173B530" w14:textId="77777777" w:rsidR="006571FF" w:rsidRPr="00120A86" w:rsidRDefault="006571FF" w:rsidP="006571FF">
      <w:pPr>
        <w:pStyle w:val="ListParagraph"/>
        <w:numPr>
          <w:ilvl w:val="0"/>
          <w:numId w:val="81"/>
        </w:numPr>
        <w:rPr>
          <w:rFonts w:eastAsia="Calibri"/>
        </w:rPr>
      </w:pPr>
      <w:r w:rsidRPr="00120A86">
        <w:rPr>
          <w:rFonts w:eastAsia="Calibri"/>
        </w:rPr>
        <w:t>If a FMM run, other than HASP, fails, the</w:t>
      </w:r>
      <w:r>
        <w:rPr>
          <w:rFonts w:eastAsia="Calibri"/>
        </w:rPr>
        <w:t xml:space="preserve"> WEIM </w:t>
      </w:r>
      <w:r w:rsidRPr="00120A86">
        <w:rPr>
          <w:rFonts w:eastAsia="Calibri"/>
        </w:rPr>
        <w:t>Transfer schedules from the last FMM run that has succeeded shall be used to derive the</w:t>
      </w:r>
      <w:r>
        <w:rPr>
          <w:rFonts w:eastAsia="Calibri"/>
        </w:rPr>
        <w:t xml:space="preserve"> WEIM </w:t>
      </w:r>
      <w:r w:rsidRPr="00120A86">
        <w:rPr>
          <w:rFonts w:eastAsia="Calibri"/>
        </w:rPr>
        <w:t xml:space="preserve">Transfer limits for the 15-minute intervals </w:t>
      </w:r>
    </w:p>
    <w:p w14:paraId="6EFAA888" w14:textId="77777777" w:rsidR="006571FF" w:rsidRDefault="006571FF" w:rsidP="006571FF">
      <w:pPr>
        <w:pStyle w:val="ListParagraph"/>
        <w:numPr>
          <w:ilvl w:val="0"/>
          <w:numId w:val="81"/>
        </w:numPr>
        <w:rPr>
          <w:rFonts w:eastAsia="Calibri"/>
        </w:rPr>
      </w:pPr>
      <w:r w:rsidRPr="00120A86">
        <w:rPr>
          <w:rFonts w:eastAsia="Calibri"/>
        </w:rPr>
        <w:lastRenderedPageBreak/>
        <w:t>If HASP or all prior FMM runs fail, the base</w:t>
      </w:r>
      <w:r>
        <w:rPr>
          <w:rFonts w:eastAsia="Calibri"/>
        </w:rPr>
        <w:t xml:space="preserve"> WEIM </w:t>
      </w:r>
      <w:r w:rsidRPr="00120A86">
        <w:rPr>
          <w:rFonts w:eastAsia="Calibri"/>
        </w:rPr>
        <w:t xml:space="preserve">Transfer </w:t>
      </w:r>
      <w:r>
        <w:rPr>
          <w:rFonts w:eastAsia="Calibri"/>
        </w:rPr>
        <w:t>will</w:t>
      </w:r>
      <w:r w:rsidRPr="00120A86">
        <w:rPr>
          <w:rFonts w:eastAsia="Calibri"/>
        </w:rPr>
        <w:t xml:space="preserve"> be used</w:t>
      </w:r>
      <w:r>
        <w:rPr>
          <w:rFonts w:eastAsia="Calibri"/>
        </w:rPr>
        <w:t>.</w:t>
      </w:r>
    </w:p>
    <w:p w14:paraId="4592DCA4" w14:textId="239842D5" w:rsidR="006571FF" w:rsidRPr="00120A86" w:rsidRDefault="006571FF" w:rsidP="006571FF">
      <w:pPr>
        <w:pStyle w:val="ListParagraph"/>
        <w:numPr>
          <w:ilvl w:val="0"/>
          <w:numId w:val="81"/>
        </w:numPr>
        <w:rPr>
          <w:rFonts w:eastAsia="Calibri"/>
        </w:rPr>
      </w:pPr>
      <w:r w:rsidRPr="00120A86">
        <w:rPr>
          <w:rFonts w:eastAsia="Calibri"/>
        </w:rPr>
        <w:t xml:space="preserve">The last previous 15-minute interval </w:t>
      </w:r>
      <w:r>
        <w:rPr>
          <w:rFonts w:eastAsia="Calibri"/>
        </w:rPr>
        <w:t xml:space="preserve">will </w:t>
      </w:r>
      <w:r w:rsidRPr="00120A86">
        <w:rPr>
          <w:rFonts w:eastAsia="Calibri"/>
        </w:rPr>
        <w:t xml:space="preserve">be </w:t>
      </w:r>
      <w:r>
        <w:rPr>
          <w:rFonts w:eastAsia="Calibri"/>
        </w:rPr>
        <w:t xml:space="preserve">the </w:t>
      </w:r>
      <w:r w:rsidRPr="00120A86">
        <w:rPr>
          <w:rFonts w:eastAsia="Calibri"/>
        </w:rPr>
        <w:t>last 15-minute interval of the current hour if the 15-minute interval that fails is the first 15-minute interval of the next hour</w:t>
      </w:r>
    </w:p>
    <w:p w14:paraId="2E2758BF" w14:textId="2348A4C5" w:rsidR="006571FF" w:rsidRPr="00120A86" w:rsidRDefault="006571FF" w:rsidP="006571FF">
      <w:pPr>
        <w:pStyle w:val="ListParagraph"/>
        <w:numPr>
          <w:ilvl w:val="0"/>
          <w:numId w:val="81"/>
        </w:numPr>
        <w:rPr>
          <w:rFonts w:eastAsia="Calibri"/>
        </w:rPr>
      </w:pPr>
      <w:r w:rsidRPr="00120A86">
        <w:rPr>
          <w:rFonts w:eastAsia="Calibri"/>
        </w:rPr>
        <w:t>Likewise, the same is true if the 15-min interval that fails is the second, third, or fourth 15-minute interval in the second hour of the HASP time horizon for which there is no previous solution for the immediately prior 15-minute interval</w:t>
      </w:r>
    </w:p>
    <w:p w14:paraId="144FC0DE" w14:textId="392BB3DC" w:rsidR="006571FF" w:rsidRPr="00120A86" w:rsidRDefault="006571FF" w:rsidP="006571FF">
      <w:pPr>
        <w:pStyle w:val="ListParagraph"/>
        <w:ind w:left="1440"/>
        <w:rPr>
          <w:rFonts w:eastAsia="Calibri"/>
        </w:rPr>
      </w:pPr>
      <w:r>
        <w:rPr>
          <w:rFonts w:eastAsia="Calibri"/>
        </w:rPr>
        <w:t xml:space="preserve"> </w:t>
      </w:r>
    </w:p>
    <w:p w14:paraId="52A6C9BB" w14:textId="77777777" w:rsidR="006571FF" w:rsidRDefault="006571FF" w:rsidP="006571FF">
      <w:r>
        <w:t>Examples:</w:t>
      </w:r>
    </w:p>
    <w:p w14:paraId="6395F6E7" w14:textId="77777777" w:rsidR="006571FF" w:rsidRDefault="006571FF" w:rsidP="006571FF">
      <w:r>
        <w:t>This example shows how the WEIM transfer limit will be curtailed for the 15-minute intervals and associated 5-minute intervals with failed FRU/FRD sufficiency test.</w:t>
      </w:r>
    </w:p>
    <w:tbl>
      <w:tblPr>
        <w:tblStyle w:val="TableGrid"/>
        <w:tblW w:w="0" w:type="auto"/>
        <w:tblLook w:val="04A0" w:firstRow="1" w:lastRow="0" w:firstColumn="1" w:lastColumn="0" w:noHBand="0" w:noVBand="1"/>
      </w:tblPr>
      <w:tblGrid>
        <w:gridCol w:w="941"/>
        <w:gridCol w:w="1064"/>
        <w:gridCol w:w="1582"/>
        <w:gridCol w:w="1012"/>
        <w:gridCol w:w="1097"/>
        <w:gridCol w:w="1218"/>
        <w:gridCol w:w="1218"/>
        <w:gridCol w:w="1218"/>
      </w:tblGrid>
      <w:tr w:rsidR="006571FF" w:rsidRPr="00D65A2F" w14:paraId="582B3489" w14:textId="77777777" w:rsidTr="007172ED">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DF24F" w14:textId="77777777" w:rsidR="006571FF" w:rsidRPr="00D65A2F" w:rsidRDefault="006571FF" w:rsidP="007172ED">
            <w:pPr>
              <w:jc w:val="center"/>
              <w:rPr>
                <w:rFonts w:cs="Arial"/>
                <w:b/>
              </w:rPr>
            </w:pPr>
            <w:r w:rsidRPr="00D65A2F">
              <w:rPr>
                <w:rFonts w:cs="Arial"/>
                <w:b/>
              </w:rPr>
              <w:t>Market Run</w:t>
            </w:r>
          </w:p>
        </w:tc>
        <w:tc>
          <w:tcPr>
            <w:tcW w:w="0" w:type="auto"/>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B573DF" w14:textId="77777777" w:rsidR="006571FF" w:rsidRPr="00D65A2F" w:rsidRDefault="006571FF" w:rsidP="007172ED">
            <w:pPr>
              <w:keepNext/>
              <w:jc w:val="center"/>
              <w:rPr>
                <w:rFonts w:cs="Arial"/>
                <w:b/>
              </w:rPr>
            </w:pPr>
            <w:r>
              <w:rPr>
                <w:rFonts w:cs="Arial"/>
                <w:b/>
              </w:rPr>
              <w:t>15-min</w:t>
            </w:r>
            <w:r w:rsidRPr="00D65A2F">
              <w:rPr>
                <w:rFonts w:cs="Arial"/>
                <w:b/>
              </w:rPr>
              <w:t xml:space="preserve"> Interval</w:t>
            </w:r>
          </w:p>
        </w:tc>
      </w:tr>
      <w:tr w:rsidR="006571FF" w:rsidRPr="00D65A2F" w14:paraId="79FB0FDD" w14:textId="77777777" w:rsidTr="007172ED">
        <w:trPr>
          <w:cantSplit/>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B55CC" w14:textId="77777777" w:rsidR="006571FF" w:rsidRPr="00D65A2F" w:rsidRDefault="006571FF" w:rsidP="007172ED">
            <w:pPr>
              <w:jc w:val="center"/>
              <w:rPr>
                <w:rFonts w:cs="Arial"/>
                <w:b/>
              </w:rPr>
            </w:pPr>
            <w:r w:rsidRPr="00D65A2F">
              <w:rPr>
                <w:rFonts w:cs="Arial"/>
                <w:b/>
              </w:rPr>
              <w:t>Market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72768" w14:textId="77777777" w:rsidR="006571FF" w:rsidRPr="00D65A2F" w:rsidRDefault="006571FF" w:rsidP="007172ED">
            <w:pPr>
              <w:keepNext/>
              <w:jc w:val="center"/>
              <w:rPr>
                <w:rFonts w:cs="Arial"/>
                <w:b/>
              </w:rPr>
            </w:pPr>
            <w:r w:rsidRPr="00D65A2F">
              <w:rPr>
                <w:rFonts w:cs="Arial"/>
                <w:b/>
              </w:rPr>
              <w:t>Run Time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FB8BF" w14:textId="77777777" w:rsidR="006571FF" w:rsidRPr="00D65A2F" w:rsidRDefault="006571FF" w:rsidP="007172ED">
            <w:pPr>
              <w:keepNext/>
              <w:jc w:val="center"/>
              <w:rPr>
                <w:rFonts w:cs="Arial"/>
                <w:b/>
              </w:rPr>
            </w:pPr>
            <w:r w:rsidRPr="00D65A2F">
              <w:rPr>
                <w:rFonts w:cs="Arial"/>
                <w:b/>
              </w:rPr>
              <w:t>Result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3F2371" w14:textId="77777777" w:rsidR="006571FF" w:rsidRPr="00D65A2F" w:rsidRDefault="006571FF" w:rsidP="007172ED">
            <w:pPr>
              <w:keepNext/>
              <w:jc w:val="center"/>
              <w:rPr>
                <w:rFonts w:cs="Arial"/>
                <w:b/>
              </w:rPr>
            </w:pPr>
            <w:r w:rsidRPr="00D65A2F">
              <w:rPr>
                <w:rFonts w:cs="Arial"/>
                <w:b/>
              </w:rPr>
              <w:t>0 (</w:t>
            </w:r>
            <w:r w:rsidRPr="00D65A2F">
              <w:rPr>
                <w:rFonts w:cs="Arial"/>
                <w:b/>
                <w:i/>
              </w:rPr>
              <w:t>T</w:t>
            </w:r>
            <w:r w:rsidRPr="00D65A2F">
              <w:rPr>
                <w:rFonts w:cs="Arial"/>
                <w:b/>
              </w:rPr>
              <w:t>–7.5')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F9EC3" w14:textId="77777777" w:rsidR="006571FF" w:rsidRPr="00D65A2F" w:rsidRDefault="006571FF" w:rsidP="007172ED">
            <w:pPr>
              <w:keepNext/>
              <w:jc w:val="center"/>
              <w:rPr>
                <w:rFonts w:cs="Arial"/>
                <w:b/>
              </w:rPr>
            </w:pPr>
            <w:r w:rsidRPr="00D65A2F">
              <w:rPr>
                <w:rFonts w:cs="Arial"/>
                <w:b/>
              </w:rPr>
              <w:t>1 (</w:t>
            </w:r>
            <w:r w:rsidRPr="00D65A2F">
              <w:rPr>
                <w:rFonts w:cs="Arial"/>
                <w:b/>
                <w:i/>
              </w:rPr>
              <w:t>T</w:t>
            </w:r>
            <w:r w:rsidRPr="00D65A2F">
              <w:rPr>
                <w:rFonts w:cs="Arial"/>
                <w:b/>
              </w:rPr>
              <w:t>+7.5')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A6A38" w14:textId="77777777" w:rsidR="006571FF" w:rsidRPr="00D65A2F" w:rsidRDefault="006571FF" w:rsidP="007172ED">
            <w:pPr>
              <w:keepNext/>
              <w:jc w:val="center"/>
              <w:rPr>
                <w:rFonts w:cs="Arial"/>
                <w:b/>
              </w:rPr>
            </w:pPr>
            <w:r w:rsidRPr="00D65A2F">
              <w:rPr>
                <w:rFonts w:cs="Arial"/>
                <w:b/>
              </w:rPr>
              <w:t>2 (</w:t>
            </w:r>
            <w:r w:rsidRPr="00D65A2F">
              <w:rPr>
                <w:rFonts w:cs="Arial"/>
                <w:b/>
                <w:i/>
              </w:rPr>
              <w:t>T</w:t>
            </w:r>
            <w:r w:rsidRPr="00D65A2F">
              <w:rPr>
                <w:rFonts w:cs="Arial"/>
                <w:b/>
              </w:rPr>
              <w:t>+22.5')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89B5D7" w14:textId="77777777" w:rsidR="006571FF" w:rsidRPr="00D65A2F" w:rsidRDefault="006571FF" w:rsidP="007172ED">
            <w:pPr>
              <w:keepNext/>
              <w:jc w:val="center"/>
              <w:rPr>
                <w:rFonts w:cs="Arial"/>
                <w:b/>
              </w:rPr>
            </w:pPr>
            <w:r w:rsidRPr="00D65A2F">
              <w:rPr>
                <w:rFonts w:cs="Arial"/>
                <w:b/>
              </w:rPr>
              <w:t>3 (</w:t>
            </w:r>
            <w:r w:rsidRPr="00D65A2F">
              <w:rPr>
                <w:rFonts w:cs="Arial"/>
                <w:b/>
                <w:i/>
              </w:rPr>
              <w:t>T</w:t>
            </w:r>
            <w:r w:rsidRPr="00D65A2F">
              <w:rPr>
                <w:rFonts w:cs="Arial"/>
                <w:b/>
              </w:rPr>
              <w:t>+37.5')</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11EE97" w14:textId="77777777" w:rsidR="006571FF" w:rsidRPr="00D65A2F" w:rsidRDefault="006571FF" w:rsidP="007172ED">
            <w:pPr>
              <w:keepNext/>
              <w:jc w:val="center"/>
              <w:rPr>
                <w:rFonts w:cs="Arial"/>
                <w:b/>
              </w:rPr>
            </w:pPr>
            <w:r w:rsidRPr="00D65A2F">
              <w:rPr>
                <w:rFonts w:cs="Arial"/>
                <w:b/>
              </w:rPr>
              <w:t>4 (</w:t>
            </w:r>
            <w:r w:rsidRPr="00D65A2F">
              <w:rPr>
                <w:rFonts w:cs="Arial"/>
                <w:b/>
                <w:i/>
              </w:rPr>
              <w:t>T</w:t>
            </w:r>
            <w:r w:rsidRPr="00D65A2F">
              <w:rPr>
                <w:rFonts w:cs="Arial"/>
                <w:b/>
              </w:rPr>
              <w:t>+52.5')</w:t>
            </w:r>
          </w:p>
        </w:tc>
      </w:tr>
      <w:tr w:rsidR="006571FF" w:rsidRPr="00D65A2F" w14:paraId="22BF6084" w14:textId="77777777" w:rsidTr="007172ED">
        <w:trPr>
          <w:cantSplit/>
        </w:trPr>
        <w:tc>
          <w:tcPr>
            <w:tcW w:w="0" w:type="auto"/>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2F9C789D"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tcBorders>
              <w:top w:val="single" w:sz="4" w:space="0" w:color="auto"/>
              <w:left w:val="single" w:sz="4" w:space="0" w:color="auto"/>
              <w:bottom w:val="single" w:sz="18" w:space="0" w:color="auto"/>
              <w:right w:val="single" w:sz="4" w:space="0" w:color="auto"/>
            </w:tcBorders>
            <w:vAlign w:val="center"/>
            <w:hideMark/>
          </w:tcPr>
          <w:p w14:paraId="20CBE518" w14:textId="77777777" w:rsidR="006571FF" w:rsidRPr="00D65A2F" w:rsidRDefault="006571FF" w:rsidP="007172ED">
            <w:pPr>
              <w:pStyle w:val="NoSpacing"/>
              <w:rPr>
                <w:rFonts w:cs="Arial"/>
                <w:i/>
                <w:sz w:val="18"/>
                <w:szCs w:val="18"/>
              </w:rPr>
            </w:pPr>
            <w:r w:rsidRPr="00D65A2F">
              <w:rPr>
                <w:rFonts w:cs="Arial"/>
                <w:i/>
                <w:sz w:val="18"/>
                <w:szCs w:val="18"/>
              </w:rPr>
              <w:t>T</w:t>
            </w:r>
            <w:r w:rsidRPr="00D65A2F">
              <w:rPr>
                <w:rFonts w:cs="Arial"/>
                <w:sz w:val="18"/>
                <w:szCs w:val="18"/>
              </w:rPr>
              <w:t>–82.5'</w:t>
            </w:r>
          </w:p>
        </w:tc>
        <w:tc>
          <w:tcPr>
            <w:tcW w:w="0" w:type="auto"/>
            <w:tcBorders>
              <w:top w:val="single" w:sz="4" w:space="0" w:color="auto"/>
              <w:left w:val="single" w:sz="4" w:space="0" w:color="auto"/>
              <w:bottom w:val="single" w:sz="18" w:space="0" w:color="auto"/>
              <w:right w:val="single" w:sz="4" w:space="0" w:color="auto"/>
            </w:tcBorders>
            <w:vAlign w:val="center"/>
            <w:hideMark/>
          </w:tcPr>
          <w:p w14:paraId="49209D30"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hideMark/>
          </w:tcPr>
          <w:p w14:paraId="033B219E" w14:textId="77777777" w:rsidR="006571FF" w:rsidRPr="0021467C" w:rsidRDefault="006571FF" w:rsidP="007172ED">
            <w:pPr>
              <w:pStyle w:val="NoSpacing"/>
              <w:jc w:val="center"/>
              <w:rPr>
                <w:rFonts w:cs="Arial"/>
                <w:sz w:val="18"/>
                <w:szCs w:val="18"/>
              </w:rPr>
            </w:pPr>
            <w:r w:rsidRPr="0021467C">
              <w:rPr>
                <w:rFonts w:cs="Arial"/>
                <w:sz w:val="18"/>
                <w:szCs w:val="18"/>
              </w:rPr>
              <w:t>–200</w:t>
            </w:r>
          </w:p>
        </w:tc>
        <w:tc>
          <w:tcPr>
            <w:tcW w:w="0" w:type="auto"/>
            <w:tcBorders>
              <w:top w:val="single" w:sz="4" w:space="0" w:color="auto"/>
              <w:left w:val="single" w:sz="4" w:space="0" w:color="auto"/>
              <w:bottom w:val="single" w:sz="18" w:space="0" w:color="auto"/>
              <w:right w:val="single" w:sz="4" w:space="0" w:color="auto"/>
            </w:tcBorders>
            <w:vAlign w:val="center"/>
          </w:tcPr>
          <w:p w14:paraId="0E856273"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2E1E8429"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63C0F415"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7C60A5A3" w14:textId="77777777" w:rsidR="006571FF" w:rsidRPr="00D65A2F" w:rsidRDefault="006571FF" w:rsidP="007172ED">
            <w:pPr>
              <w:pStyle w:val="NoSpacing"/>
              <w:jc w:val="center"/>
              <w:rPr>
                <w:rFonts w:cs="Arial"/>
                <w:sz w:val="18"/>
                <w:szCs w:val="18"/>
              </w:rPr>
            </w:pPr>
          </w:p>
        </w:tc>
      </w:tr>
      <w:tr w:rsidR="006571FF" w:rsidRPr="00D65A2F" w14:paraId="44457CF0" w14:textId="77777777" w:rsidTr="007172ED">
        <w:trPr>
          <w:cantSplit/>
        </w:trPr>
        <w:tc>
          <w:tcPr>
            <w:tcW w:w="0" w:type="auto"/>
            <w:vMerge w:val="restart"/>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14:paraId="22E67D00" w14:textId="77777777" w:rsidR="006571FF" w:rsidRPr="009B759C" w:rsidRDefault="006571FF" w:rsidP="007172ED">
            <w:pPr>
              <w:pStyle w:val="NoSpacing"/>
              <w:rPr>
                <w:rFonts w:cs="Arial"/>
                <w:b/>
                <w:sz w:val="18"/>
                <w:szCs w:val="18"/>
              </w:rPr>
            </w:pPr>
            <w:r w:rsidRPr="009B759C">
              <w:rPr>
                <w:rFonts w:cs="Arial"/>
                <w:b/>
                <w:sz w:val="18"/>
                <w:szCs w:val="18"/>
              </w:rPr>
              <w:t>RTBS</w:t>
            </w:r>
          </w:p>
        </w:tc>
        <w:tc>
          <w:tcPr>
            <w:tcW w:w="0" w:type="auto"/>
            <w:vMerge w:val="restart"/>
            <w:tcBorders>
              <w:top w:val="single" w:sz="18" w:space="0" w:color="auto"/>
              <w:left w:val="single" w:sz="4" w:space="0" w:color="auto"/>
              <w:bottom w:val="single" w:sz="4" w:space="0" w:color="auto"/>
              <w:right w:val="single" w:sz="4" w:space="0" w:color="auto"/>
            </w:tcBorders>
            <w:vAlign w:val="center"/>
            <w:hideMark/>
          </w:tcPr>
          <w:p w14:paraId="7F5622B1" w14:textId="77777777" w:rsidR="006571FF" w:rsidRPr="009B759C" w:rsidRDefault="006571FF" w:rsidP="007172ED">
            <w:pPr>
              <w:pStyle w:val="NoSpacing"/>
              <w:rPr>
                <w:rFonts w:cs="Arial"/>
                <w:b/>
                <w:sz w:val="18"/>
                <w:szCs w:val="18"/>
              </w:rPr>
            </w:pPr>
            <w:r w:rsidRPr="009B759C">
              <w:rPr>
                <w:rFonts w:cs="Arial"/>
                <w:b/>
                <w:i/>
                <w:sz w:val="18"/>
                <w:szCs w:val="18"/>
              </w:rPr>
              <w:t>T</w:t>
            </w:r>
            <w:r w:rsidRPr="009B759C">
              <w:rPr>
                <w:rFonts w:cs="Arial"/>
                <w:b/>
                <w:sz w:val="18"/>
                <w:szCs w:val="18"/>
              </w:rPr>
              <w:t>–75'</w:t>
            </w:r>
          </w:p>
        </w:tc>
        <w:tc>
          <w:tcPr>
            <w:tcW w:w="0" w:type="auto"/>
            <w:tcBorders>
              <w:top w:val="single" w:sz="18" w:space="0" w:color="auto"/>
              <w:left w:val="single" w:sz="4" w:space="0" w:color="auto"/>
              <w:bottom w:val="single" w:sz="4" w:space="0" w:color="auto"/>
              <w:right w:val="single" w:sz="4" w:space="0" w:color="auto"/>
            </w:tcBorders>
            <w:vAlign w:val="center"/>
            <w:hideMark/>
          </w:tcPr>
          <w:p w14:paraId="267DDB43" w14:textId="77777777" w:rsidR="006571FF" w:rsidRPr="00D65A2F" w:rsidRDefault="006571FF" w:rsidP="007172ED">
            <w:pPr>
              <w:pStyle w:val="NoSpacing"/>
              <w:rPr>
                <w:rFonts w:cs="Arial"/>
                <w:sz w:val="18"/>
                <w:szCs w:val="18"/>
              </w:rPr>
            </w:pPr>
            <w:r w:rsidRPr="00D65A2F">
              <w:rPr>
                <w:rFonts w:cs="Arial"/>
                <w:sz w:val="18"/>
                <w:szCs w:val="18"/>
              </w:rPr>
              <w:t>Base Transfer (MW)</w:t>
            </w:r>
          </w:p>
        </w:tc>
        <w:tc>
          <w:tcPr>
            <w:tcW w:w="0" w:type="auto"/>
            <w:tcBorders>
              <w:top w:val="single" w:sz="18" w:space="0" w:color="auto"/>
              <w:left w:val="single" w:sz="4" w:space="0" w:color="auto"/>
              <w:bottom w:val="single" w:sz="4" w:space="0" w:color="auto"/>
              <w:right w:val="single" w:sz="4" w:space="0" w:color="auto"/>
            </w:tcBorders>
            <w:vAlign w:val="center"/>
          </w:tcPr>
          <w:p w14:paraId="45514FA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hideMark/>
          </w:tcPr>
          <w:p w14:paraId="5B69FAAF" w14:textId="77777777" w:rsidR="006571FF" w:rsidRPr="009B759C" w:rsidRDefault="006571FF" w:rsidP="007172ED">
            <w:pPr>
              <w:pStyle w:val="NoSpacing"/>
              <w:jc w:val="center"/>
              <w:rPr>
                <w:rFonts w:cs="Arial"/>
                <w:sz w:val="18"/>
                <w:szCs w:val="18"/>
              </w:rPr>
            </w:pPr>
            <w:r w:rsidRPr="009B759C">
              <w:rPr>
                <w:rFonts w:cs="Arial"/>
                <w:sz w:val="18"/>
                <w:szCs w:val="18"/>
              </w:rPr>
              <w:t>–300</w:t>
            </w:r>
          </w:p>
        </w:tc>
        <w:tc>
          <w:tcPr>
            <w:tcW w:w="0" w:type="auto"/>
            <w:tcBorders>
              <w:top w:val="single" w:sz="18" w:space="0" w:color="auto"/>
              <w:left w:val="single" w:sz="4" w:space="0" w:color="auto"/>
              <w:bottom w:val="single" w:sz="4" w:space="0" w:color="auto"/>
              <w:right w:val="single" w:sz="4" w:space="0" w:color="auto"/>
            </w:tcBorders>
            <w:vAlign w:val="center"/>
            <w:hideMark/>
          </w:tcPr>
          <w:p w14:paraId="0BC2E1D2" w14:textId="77777777" w:rsidR="006571FF" w:rsidRPr="00D65A2F" w:rsidRDefault="006571FF" w:rsidP="007172ED">
            <w:pPr>
              <w:pStyle w:val="NoSpacing"/>
              <w:jc w:val="center"/>
              <w:rPr>
                <w:rFonts w:cs="Arial"/>
                <w:sz w:val="18"/>
                <w:szCs w:val="18"/>
              </w:rPr>
            </w:pPr>
            <w:r w:rsidRPr="00D65A2F">
              <w:rPr>
                <w:rFonts w:cs="Arial"/>
                <w:sz w:val="18"/>
                <w:szCs w:val="18"/>
              </w:rPr>
              <w:t>–300</w:t>
            </w:r>
          </w:p>
        </w:tc>
        <w:tc>
          <w:tcPr>
            <w:tcW w:w="0" w:type="auto"/>
            <w:tcBorders>
              <w:top w:val="single" w:sz="18" w:space="0" w:color="auto"/>
              <w:left w:val="single" w:sz="4" w:space="0" w:color="auto"/>
              <w:bottom w:val="single" w:sz="4" w:space="0" w:color="auto"/>
              <w:right w:val="single" w:sz="4" w:space="0" w:color="auto"/>
            </w:tcBorders>
            <w:vAlign w:val="center"/>
            <w:hideMark/>
          </w:tcPr>
          <w:p w14:paraId="4E5DEB63" w14:textId="77777777" w:rsidR="006571FF" w:rsidRPr="00D65A2F" w:rsidRDefault="006571FF" w:rsidP="007172ED">
            <w:pPr>
              <w:pStyle w:val="NoSpacing"/>
              <w:jc w:val="center"/>
              <w:rPr>
                <w:rFonts w:cs="Arial"/>
                <w:sz w:val="18"/>
                <w:szCs w:val="18"/>
              </w:rPr>
            </w:pPr>
            <w:r w:rsidRPr="00D65A2F">
              <w:rPr>
                <w:rFonts w:cs="Arial"/>
                <w:sz w:val="18"/>
                <w:szCs w:val="18"/>
              </w:rPr>
              <w:t>–300</w:t>
            </w:r>
          </w:p>
        </w:tc>
        <w:tc>
          <w:tcPr>
            <w:tcW w:w="0" w:type="auto"/>
            <w:tcBorders>
              <w:top w:val="single" w:sz="18" w:space="0" w:color="auto"/>
              <w:left w:val="single" w:sz="4" w:space="0" w:color="auto"/>
              <w:bottom w:val="single" w:sz="4" w:space="0" w:color="auto"/>
              <w:right w:val="single" w:sz="4" w:space="0" w:color="auto"/>
            </w:tcBorders>
            <w:vAlign w:val="center"/>
            <w:hideMark/>
          </w:tcPr>
          <w:p w14:paraId="041C145A" w14:textId="77777777" w:rsidR="006571FF" w:rsidRPr="00D65A2F" w:rsidRDefault="006571FF" w:rsidP="007172ED">
            <w:pPr>
              <w:pStyle w:val="NoSpacing"/>
              <w:jc w:val="center"/>
              <w:rPr>
                <w:rFonts w:cs="Arial"/>
                <w:sz w:val="18"/>
                <w:szCs w:val="18"/>
              </w:rPr>
            </w:pPr>
            <w:r w:rsidRPr="00D65A2F">
              <w:rPr>
                <w:rFonts w:cs="Arial"/>
                <w:sz w:val="18"/>
                <w:szCs w:val="18"/>
              </w:rPr>
              <w:t>–300</w:t>
            </w:r>
          </w:p>
        </w:tc>
      </w:tr>
      <w:tr w:rsidR="006571FF" w:rsidRPr="00D65A2F" w14:paraId="0F5D81A8" w14:textId="77777777" w:rsidTr="007172E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D6DE87"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3A4A1"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6F882F" w14:textId="77777777" w:rsidR="006571FF" w:rsidRPr="00D65A2F" w:rsidRDefault="006571FF" w:rsidP="007172ED">
            <w:pPr>
              <w:pStyle w:val="NoSpacing"/>
              <w:rPr>
                <w:rFonts w:cs="Arial"/>
                <w:sz w:val="18"/>
                <w:szCs w:val="18"/>
              </w:rPr>
            </w:pPr>
            <w:r w:rsidRPr="00D65A2F">
              <w:rPr>
                <w:rFonts w:cs="Arial"/>
                <w:sz w:val="18"/>
                <w:szCs w:val="18"/>
              </w:rPr>
              <w:t>FRU Test</w:t>
            </w:r>
          </w:p>
        </w:tc>
        <w:tc>
          <w:tcPr>
            <w:tcW w:w="0" w:type="auto"/>
            <w:tcBorders>
              <w:top w:val="single" w:sz="4" w:space="0" w:color="auto"/>
              <w:left w:val="single" w:sz="4" w:space="0" w:color="auto"/>
              <w:bottom w:val="single" w:sz="4" w:space="0" w:color="auto"/>
              <w:right w:val="single" w:sz="4" w:space="0" w:color="auto"/>
            </w:tcBorders>
            <w:vAlign w:val="center"/>
          </w:tcPr>
          <w:p w14:paraId="11C848C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B9D65CB"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56F29C"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2A65104" w14:textId="77777777" w:rsidR="006571FF" w:rsidRPr="0021467C" w:rsidRDefault="006571FF" w:rsidP="007172ED">
            <w:pPr>
              <w:pStyle w:val="NoSpacing"/>
              <w:jc w:val="center"/>
              <w:rPr>
                <w:rFonts w:cs="Arial"/>
                <w:b/>
                <w:sz w:val="18"/>
                <w:szCs w:val="18"/>
              </w:rPr>
            </w:pPr>
            <w:r w:rsidRPr="0021467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17EFA84" w14:textId="77777777" w:rsidR="006571FF" w:rsidRPr="0021467C" w:rsidRDefault="006571FF" w:rsidP="007172ED">
            <w:pPr>
              <w:pStyle w:val="NoSpacing"/>
              <w:jc w:val="center"/>
              <w:rPr>
                <w:rFonts w:cs="Arial"/>
                <w:b/>
                <w:sz w:val="18"/>
                <w:szCs w:val="18"/>
              </w:rPr>
            </w:pPr>
            <w:r w:rsidRPr="0021467C">
              <w:rPr>
                <w:rFonts w:cs="Arial"/>
                <w:b/>
                <w:sz w:val="18"/>
                <w:szCs w:val="18"/>
              </w:rPr>
              <w:t>Fail</w:t>
            </w:r>
          </w:p>
        </w:tc>
      </w:tr>
      <w:tr w:rsidR="006571FF" w:rsidRPr="00D65A2F" w14:paraId="6CA39539" w14:textId="77777777" w:rsidTr="007172ED">
        <w:trPr>
          <w:cantSplit/>
        </w:trPr>
        <w:tc>
          <w:tcPr>
            <w:tcW w:w="0" w:type="auto"/>
            <w:vMerge w:val="restart"/>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1143CC7F"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4" w:space="0" w:color="auto"/>
              <w:left w:val="single" w:sz="4" w:space="0" w:color="auto"/>
              <w:bottom w:val="single" w:sz="18" w:space="0" w:color="auto"/>
              <w:right w:val="single" w:sz="4" w:space="0" w:color="auto"/>
            </w:tcBorders>
            <w:vAlign w:val="center"/>
            <w:hideMark/>
          </w:tcPr>
          <w:p w14:paraId="7108DC08" w14:textId="77777777" w:rsidR="006571FF" w:rsidRPr="00D65A2F" w:rsidRDefault="006571FF" w:rsidP="007172ED">
            <w:pPr>
              <w:pStyle w:val="NoSpacing"/>
              <w:rPr>
                <w:rFonts w:cs="Arial"/>
                <w:i/>
                <w:sz w:val="18"/>
                <w:szCs w:val="18"/>
              </w:rPr>
            </w:pPr>
            <w:r w:rsidRPr="00D65A2F">
              <w:rPr>
                <w:rFonts w:cs="Arial"/>
                <w:i/>
                <w:sz w:val="18"/>
                <w:szCs w:val="18"/>
              </w:rPr>
              <w:t>T</w:t>
            </w:r>
            <w:r w:rsidRPr="00D65A2F">
              <w:rPr>
                <w:rFonts w:cs="Arial"/>
                <w:sz w:val="18"/>
                <w:szCs w:val="18"/>
              </w:rPr>
              <w:t>–67.5'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E0C13"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4" w:space="0" w:color="auto"/>
              <w:left w:val="single" w:sz="4" w:space="0" w:color="auto"/>
              <w:bottom w:val="single" w:sz="4" w:space="0" w:color="auto"/>
              <w:right w:val="single" w:sz="4" w:space="0" w:color="auto"/>
            </w:tcBorders>
            <w:vAlign w:val="center"/>
          </w:tcPr>
          <w:p w14:paraId="765227C4"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8CC7593"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6C76D7B"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0BBFE2CD" w14:textId="77777777" w:rsidR="006571FF" w:rsidRPr="0021467C" w:rsidRDefault="006571FF" w:rsidP="007172ED">
            <w:pPr>
              <w:pStyle w:val="NoSpacing"/>
              <w:jc w:val="center"/>
              <w:rPr>
                <w:rFonts w:cs="Arial"/>
                <w:b/>
                <w:sz w:val="18"/>
                <w:szCs w:val="18"/>
              </w:rPr>
            </w:pPr>
            <w:r w:rsidRPr="0021467C">
              <w:rPr>
                <w:rFonts w:cs="Arial"/>
                <w:b/>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B6C8127" w14:textId="77777777" w:rsidR="006571FF" w:rsidRPr="0021467C" w:rsidRDefault="006571FF" w:rsidP="007172ED">
            <w:pPr>
              <w:pStyle w:val="NoSpacing"/>
              <w:jc w:val="center"/>
              <w:rPr>
                <w:rFonts w:cs="Arial"/>
                <w:b/>
                <w:sz w:val="18"/>
                <w:szCs w:val="18"/>
              </w:rPr>
            </w:pPr>
            <w:r w:rsidRPr="0021467C">
              <w:rPr>
                <w:rFonts w:cs="Arial"/>
                <w:b/>
                <w:sz w:val="18"/>
                <w:szCs w:val="18"/>
              </w:rPr>
              <w:t>–300</w:t>
            </w:r>
          </w:p>
        </w:tc>
      </w:tr>
      <w:tr w:rsidR="006571FF" w:rsidRPr="00D65A2F" w14:paraId="1ACD510A"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5AA0A6AA"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6026A471" w14:textId="77777777" w:rsidR="006571FF" w:rsidRPr="00D65A2F" w:rsidRDefault="006571FF" w:rsidP="007172ED">
            <w:pPr>
              <w:pStyle w:val="NoSpacing"/>
              <w:rPr>
                <w:rFonts w:cs="Arial"/>
                <w:i/>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457F7757"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46121AD9"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3F9CD34B" w14:textId="77777777" w:rsidR="006571FF" w:rsidRPr="0021467C" w:rsidRDefault="006571FF" w:rsidP="007172ED">
            <w:pPr>
              <w:pStyle w:val="NoSpacing"/>
              <w:jc w:val="center"/>
              <w:rPr>
                <w:rFonts w:cs="Arial"/>
                <w:sz w:val="18"/>
                <w:szCs w:val="18"/>
              </w:rPr>
            </w:pPr>
            <w:r w:rsidRPr="0021467C">
              <w:rPr>
                <w:rFonts w:cs="Arial"/>
                <w:sz w:val="18"/>
                <w:szCs w:val="18"/>
              </w:rPr>
              <w:t>–400</w:t>
            </w:r>
          </w:p>
        </w:tc>
        <w:tc>
          <w:tcPr>
            <w:tcW w:w="0" w:type="auto"/>
            <w:tcBorders>
              <w:top w:val="single" w:sz="4" w:space="0" w:color="auto"/>
              <w:left w:val="single" w:sz="4" w:space="0" w:color="auto"/>
              <w:bottom w:val="single" w:sz="18" w:space="0" w:color="auto"/>
              <w:right w:val="single" w:sz="4" w:space="0" w:color="auto"/>
            </w:tcBorders>
            <w:vAlign w:val="center"/>
            <w:hideMark/>
          </w:tcPr>
          <w:p w14:paraId="7E62C3A0" w14:textId="77777777" w:rsidR="006571FF" w:rsidRPr="0021467C" w:rsidRDefault="006571FF" w:rsidP="007172ED">
            <w:pPr>
              <w:pStyle w:val="NoSpacing"/>
              <w:jc w:val="center"/>
              <w:rPr>
                <w:rFonts w:cs="Arial"/>
                <w:sz w:val="18"/>
                <w:szCs w:val="18"/>
              </w:rPr>
            </w:pPr>
            <w:r w:rsidRPr="0021467C">
              <w:rPr>
                <w:rFonts w:cs="Arial"/>
                <w:sz w:val="18"/>
                <w:szCs w:val="18"/>
              </w:rPr>
              <w:t>–320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DF7DA18" w14:textId="77777777" w:rsidR="006571FF" w:rsidRPr="0021467C" w:rsidRDefault="006571FF" w:rsidP="007172ED">
            <w:pPr>
              <w:pStyle w:val="NoSpacing"/>
              <w:jc w:val="center"/>
              <w:rPr>
                <w:rFonts w:cs="Arial"/>
                <w:sz w:val="18"/>
                <w:szCs w:val="18"/>
              </w:rPr>
            </w:pPr>
            <w:r w:rsidRPr="0021467C">
              <w:rPr>
                <w:rFonts w:cs="Arial"/>
                <w:sz w:val="18"/>
                <w:szCs w:val="18"/>
              </w:rPr>
              <w:t>–210</w:t>
            </w:r>
          </w:p>
        </w:tc>
        <w:tc>
          <w:tcPr>
            <w:tcW w:w="0" w:type="auto"/>
            <w:tcBorders>
              <w:top w:val="single" w:sz="4" w:space="0" w:color="auto"/>
              <w:left w:val="single" w:sz="4" w:space="0" w:color="auto"/>
              <w:bottom w:val="single" w:sz="18" w:space="0" w:color="auto"/>
              <w:right w:val="single" w:sz="4" w:space="0" w:color="auto"/>
            </w:tcBorders>
            <w:vAlign w:val="center"/>
            <w:hideMark/>
          </w:tcPr>
          <w:p w14:paraId="1876A60F" w14:textId="77777777" w:rsidR="006571FF" w:rsidRPr="00D65A2F" w:rsidRDefault="006571FF" w:rsidP="007172ED">
            <w:pPr>
              <w:pStyle w:val="NoSpacing"/>
              <w:jc w:val="center"/>
              <w:rPr>
                <w:rFonts w:cs="Arial"/>
                <w:sz w:val="18"/>
                <w:szCs w:val="18"/>
              </w:rPr>
            </w:pPr>
            <w:r w:rsidRPr="00D65A2F">
              <w:rPr>
                <w:rFonts w:cs="Arial"/>
                <w:sz w:val="18"/>
                <w:szCs w:val="18"/>
              </w:rPr>
              <w:t>–300</w:t>
            </w:r>
          </w:p>
        </w:tc>
      </w:tr>
      <w:tr w:rsidR="006571FF" w:rsidRPr="00D65A2F" w14:paraId="04B7CAD2" w14:textId="77777777" w:rsidTr="007172ED">
        <w:trPr>
          <w:cantSplit/>
        </w:trPr>
        <w:tc>
          <w:tcPr>
            <w:tcW w:w="0" w:type="auto"/>
            <w:vMerge w:val="restart"/>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14:paraId="51AA99F7" w14:textId="77777777" w:rsidR="006571FF" w:rsidRPr="009B759C" w:rsidRDefault="006571FF" w:rsidP="007172ED">
            <w:pPr>
              <w:pStyle w:val="NoSpacing"/>
              <w:rPr>
                <w:rFonts w:cs="Arial"/>
                <w:b/>
                <w:sz w:val="18"/>
                <w:szCs w:val="18"/>
              </w:rPr>
            </w:pPr>
            <w:r w:rsidRPr="009B759C">
              <w:rPr>
                <w:rFonts w:cs="Arial"/>
                <w:b/>
                <w:sz w:val="18"/>
                <w:szCs w:val="18"/>
              </w:rPr>
              <w:t>RTBS</w:t>
            </w:r>
          </w:p>
        </w:tc>
        <w:tc>
          <w:tcPr>
            <w:tcW w:w="0" w:type="auto"/>
            <w:vMerge w:val="restart"/>
            <w:tcBorders>
              <w:top w:val="single" w:sz="18" w:space="0" w:color="auto"/>
              <w:left w:val="single" w:sz="4" w:space="0" w:color="auto"/>
              <w:bottom w:val="single" w:sz="4" w:space="0" w:color="auto"/>
              <w:right w:val="single" w:sz="4" w:space="0" w:color="auto"/>
            </w:tcBorders>
            <w:vAlign w:val="center"/>
            <w:hideMark/>
          </w:tcPr>
          <w:p w14:paraId="18E16E73" w14:textId="77777777" w:rsidR="006571FF" w:rsidRPr="009B759C" w:rsidRDefault="006571FF" w:rsidP="007172ED">
            <w:pPr>
              <w:pStyle w:val="NoSpacing"/>
              <w:rPr>
                <w:rFonts w:cs="Arial"/>
                <w:b/>
                <w:sz w:val="18"/>
                <w:szCs w:val="18"/>
              </w:rPr>
            </w:pPr>
            <w:r w:rsidRPr="009B759C">
              <w:rPr>
                <w:rFonts w:cs="Arial"/>
                <w:b/>
                <w:i/>
                <w:sz w:val="18"/>
                <w:szCs w:val="18"/>
              </w:rPr>
              <w:t>T</w:t>
            </w:r>
            <w:r w:rsidRPr="009B759C">
              <w:rPr>
                <w:rFonts w:cs="Arial"/>
                <w:b/>
                <w:sz w:val="18"/>
                <w:szCs w:val="18"/>
              </w:rPr>
              <w:t>–55'</w:t>
            </w:r>
          </w:p>
        </w:tc>
        <w:tc>
          <w:tcPr>
            <w:tcW w:w="0" w:type="auto"/>
            <w:tcBorders>
              <w:top w:val="single" w:sz="18" w:space="0" w:color="auto"/>
              <w:left w:val="single" w:sz="4" w:space="0" w:color="auto"/>
              <w:bottom w:val="single" w:sz="4" w:space="0" w:color="auto"/>
              <w:right w:val="single" w:sz="4" w:space="0" w:color="auto"/>
            </w:tcBorders>
            <w:vAlign w:val="center"/>
            <w:hideMark/>
          </w:tcPr>
          <w:p w14:paraId="1B5703D4" w14:textId="77777777" w:rsidR="006571FF" w:rsidRPr="00D65A2F" w:rsidRDefault="006571FF" w:rsidP="007172ED">
            <w:pPr>
              <w:pStyle w:val="NoSpacing"/>
              <w:rPr>
                <w:rFonts w:cs="Arial"/>
                <w:sz w:val="18"/>
                <w:szCs w:val="18"/>
              </w:rPr>
            </w:pPr>
            <w:r w:rsidRPr="00D65A2F">
              <w:rPr>
                <w:rFonts w:cs="Arial"/>
                <w:sz w:val="18"/>
                <w:szCs w:val="18"/>
              </w:rPr>
              <w:t>Base Transfer (MW)</w:t>
            </w:r>
          </w:p>
        </w:tc>
        <w:tc>
          <w:tcPr>
            <w:tcW w:w="0" w:type="auto"/>
            <w:tcBorders>
              <w:top w:val="single" w:sz="18" w:space="0" w:color="auto"/>
              <w:left w:val="single" w:sz="4" w:space="0" w:color="auto"/>
              <w:bottom w:val="single" w:sz="4" w:space="0" w:color="auto"/>
              <w:right w:val="single" w:sz="4" w:space="0" w:color="auto"/>
            </w:tcBorders>
            <w:vAlign w:val="center"/>
          </w:tcPr>
          <w:p w14:paraId="743A8B84"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hideMark/>
          </w:tcPr>
          <w:p w14:paraId="05074D4E" w14:textId="77777777" w:rsidR="006571FF" w:rsidRPr="0021467C" w:rsidRDefault="006571FF" w:rsidP="007172ED">
            <w:pPr>
              <w:pStyle w:val="NoSpacing"/>
              <w:jc w:val="center"/>
              <w:rPr>
                <w:rFonts w:cs="Arial"/>
                <w:sz w:val="18"/>
                <w:szCs w:val="18"/>
              </w:rPr>
            </w:pPr>
            <w:r w:rsidRPr="0021467C">
              <w:rPr>
                <w:rFonts w:cs="Arial"/>
                <w:sz w:val="18"/>
                <w:szCs w:val="18"/>
              </w:rPr>
              <w:t>–100</w:t>
            </w:r>
          </w:p>
        </w:tc>
        <w:tc>
          <w:tcPr>
            <w:tcW w:w="0" w:type="auto"/>
            <w:tcBorders>
              <w:top w:val="single" w:sz="18" w:space="0" w:color="auto"/>
              <w:left w:val="single" w:sz="4" w:space="0" w:color="auto"/>
              <w:bottom w:val="single" w:sz="4" w:space="0" w:color="auto"/>
              <w:right w:val="single" w:sz="4" w:space="0" w:color="auto"/>
            </w:tcBorders>
            <w:hideMark/>
          </w:tcPr>
          <w:p w14:paraId="042D50AD" w14:textId="77777777" w:rsidR="006571FF" w:rsidRPr="0021467C" w:rsidRDefault="006571FF" w:rsidP="007172ED">
            <w:pPr>
              <w:pStyle w:val="NoSpacing"/>
              <w:jc w:val="center"/>
              <w:rPr>
                <w:rFonts w:cs="Arial"/>
                <w:sz w:val="18"/>
                <w:szCs w:val="18"/>
              </w:rPr>
            </w:pPr>
            <w:r w:rsidRPr="0021467C">
              <w:rPr>
                <w:rFonts w:cs="Arial"/>
                <w:sz w:val="18"/>
                <w:szCs w:val="18"/>
              </w:rPr>
              <w:t>–100</w:t>
            </w:r>
          </w:p>
        </w:tc>
        <w:tc>
          <w:tcPr>
            <w:tcW w:w="0" w:type="auto"/>
            <w:tcBorders>
              <w:top w:val="single" w:sz="18" w:space="0" w:color="auto"/>
              <w:left w:val="single" w:sz="4" w:space="0" w:color="auto"/>
              <w:bottom w:val="single" w:sz="4" w:space="0" w:color="auto"/>
              <w:right w:val="single" w:sz="4" w:space="0" w:color="auto"/>
            </w:tcBorders>
            <w:hideMark/>
          </w:tcPr>
          <w:p w14:paraId="597CBE2F" w14:textId="77777777" w:rsidR="006571FF" w:rsidRPr="0021467C" w:rsidRDefault="006571FF" w:rsidP="007172ED">
            <w:pPr>
              <w:pStyle w:val="NoSpacing"/>
              <w:jc w:val="center"/>
              <w:rPr>
                <w:rFonts w:cs="Arial"/>
                <w:sz w:val="18"/>
                <w:szCs w:val="18"/>
              </w:rPr>
            </w:pPr>
            <w:r w:rsidRPr="0021467C">
              <w:rPr>
                <w:rFonts w:cs="Arial"/>
                <w:sz w:val="18"/>
                <w:szCs w:val="18"/>
              </w:rPr>
              <w:t>–100</w:t>
            </w:r>
          </w:p>
        </w:tc>
        <w:tc>
          <w:tcPr>
            <w:tcW w:w="0" w:type="auto"/>
            <w:tcBorders>
              <w:top w:val="single" w:sz="18" w:space="0" w:color="auto"/>
              <w:left w:val="single" w:sz="4" w:space="0" w:color="auto"/>
              <w:bottom w:val="single" w:sz="4" w:space="0" w:color="auto"/>
              <w:right w:val="single" w:sz="4" w:space="0" w:color="auto"/>
            </w:tcBorders>
            <w:hideMark/>
          </w:tcPr>
          <w:p w14:paraId="2198F9E7" w14:textId="77777777" w:rsidR="006571FF" w:rsidRPr="0021467C" w:rsidRDefault="006571FF" w:rsidP="007172ED">
            <w:pPr>
              <w:pStyle w:val="NoSpacing"/>
              <w:jc w:val="center"/>
              <w:rPr>
                <w:rFonts w:cs="Arial"/>
                <w:sz w:val="18"/>
                <w:szCs w:val="18"/>
              </w:rPr>
            </w:pPr>
            <w:r w:rsidRPr="0021467C">
              <w:rPr>
                <w:rFonts w:cs="Arial"/>
                <w:sz w:val="18"/>
                <w:szCs w:val="18"/>
              </w:rPr>
              <w:t>–100</w:t>
            </w:r>
          </w:p>
        </w:tc>
      </w:tr>
      <w:tr w:rsidR="006571FF" w:rsidRPr="00D65A2F" w14:paraId="2C654C0B" w14:textId="77777777" w:rsidTr="007172E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EC7ABC"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D4ABA"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987F8A" w14:textId="77777777" w:rsidR="006571FF" w:rsidRPr="00D65A2F" w:rsidRDefault="006571FF" w:rsidP="007172ED">
            <w:pPr>
              <w:pStyle w:val="NoSpacing"/>
              <w:rPr>
                <w:rFonts w:cs="Arial"/>
                <w:sz w:val="18"/>
                <w:szCs w:val="18"/>
              </w:rPr>
            </w:pPr>
            <w:r w:rsidRPr="00D65A2F">
              <w:rPr>
                <w:rFonts w:cs="Arial"/>
                <w:sz w:val="18"/>
                <w:szCs w:val="18"/>
              </w:rPr>
              <w:t>FRU Test</w:t>
            </w:r>
          </w:p>
        </w:tc>
        <w:tc>
          <w:tcPr>
            <w:tcW w:w="0" w:type="auto"/>
            <w:tcBorders>
              <w:top w:val="single" w:sz="4" w:space="0" w:color="auto"/>
              <w:left w:val="single" w:sz="4" w:space="0" w:color="auto"/>
              <w:bottom w:val="single" w:sz="4" w:space="0" w:color="auto"/>
              <w:right w:val="single" w:sz="4" w:space="0" w:color="auto"/>
            </w:tcBorders>
            <w:vAlign w:val="center"/>
          </w:tcPr>
          <w:p w14:paraId="69618CE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E6837FD"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38C138"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1F597928"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4689B804"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r>
      <w:tr w:rsidR="006571FF" w:rsidRPr="00D65A2F" w14:paraId="65BCC344" w14:textId="77777777" w:rsidTr="007172ED">
        <w:trPr>
          <w:cantSplit/>
        </w:trPr>
        <w:tc>
          <w:tcPr>
            <w:tcW w:w="0" w:type="auto"/>
            <w:vMerge w:val="restart"/>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45230CA0"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4" w:space="0" w:color="auto"/>
              <w:left w:val="single" w:sz="4" w:space="0" w:color="auto"/>
              <w:bottom w:val="single" w:sz="18" w:space="0" w:color="auto"/>
              <w:right w:val="single" w:sz="4" w:space="0" w:color="auto"/>
            </w:tcBorders>
            <w:vAlign w:val="center"/>
            <w:hideMark/>
          </w:tcPr>
          <w:p w14:paraId="6CA82CAA"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–52.5'</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66E19"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4" w:space="0" w:color="auto"/>
              <w:left w:val="single" w:sz="4" w:space="0" w:color="auto"/>
              <w:bottom w:val="single" w:sz="4" w:space="0" w:color="auto"/>
              <w:right w:val="single" w:sz="4" w:space="0" w:color="auto"/>
            </w:tcBorders>
            <w:vAlign w:val="center"/>
          </w:tcPr>
          <w:p w14:paraId="797A5DC4"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666C1A3E" w14:textId="77777777" w:rsidR="006571FF" w:rsidRPr="009B759C" w:rsidRDefault="006571FF" w:rsidP="007172ED">
            <w:pPr>
              <w:pStyle w:val="NoSpacing"/>
              <w:jc w:val="center"/>
              <w:rPr>
                <w:rFonts w:cs="Arial"/>
                <w:b/>
                <w:sz w:val="18"/>
                <w:szCs w:val="18"/>
              </w:rPr>
            </w:pPr>
            <w:r w:rsidRPr="009B759C">
              <w:rPr>
                <w:rFonts w:cs="Arial"/>
                <w:b/>
                <w:sz w:val="18"/>
                <w:szCs w:val="18"/>
              </w:rPr>
              <w:t>–200</w:t>
            </w:r>
          </w:p>
        </w:tc>
        <w:tc>
          <w:tcPr>
            <w:tcW w:w="0" w:type="auto"/>
            <w:tcBorders>
              <w:top w:val="single" w:sz="4" w:space="0" w:color="auto"/>
              <w:left w:val="single" w:sz="4" w:space="0" w:color="auto"/>
              <w:bottom w:val="single" w:sz="4" w:space="0" w:color="auto"/>
              <w:right w:val="single" w:sz="4" w:space="0" w:color="auto"/>
            </w:tcBorders>
            <w:vAlign w:val="center"/>
          </w:tcPr>
          <w:p w14:paraId="5C37A80B"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E36A0EF" w14:textId="77777777" w:rsidR="006571FF" w:rsidRPr="009B759C" w:rsidRDefault="006571FF" w:rsidP="007172ED">
            <w:pPr>
              <w:pStyle w:val="NoSpacing"/>
              <w:jc w:val="center"/>
              <w:rPr>
                <w:rFonts w:cs="Arial"/>
                <w:b/>
                <w:sz w:val="18"/>
                <w:szCs w:val="18"/>
              </w:rPr>
            </w:pPr>
            <w:r w:rsidRPr="009B759C">
              <w:rPr>
                <w:rFonts w:cs="Arial"/>
                <w:b/>
                <w:sz w:val="18"/>
                <w:szCs w:val="18"/>
              </w:rPr>
              <w:t>–320</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70C8E316" w14:textId="77777777" w:rsidR="006571FF" w:rsidRPr="009B759C" w:rsidRDefault="006571FF" w:rsidP="007172ED">
            <w:pPr>
              <w:pStyle w:val="NoSpacing"/>
              <w:jc w:val="center"/>
              <w:rPr>
                <w:rFonts w:cs="Arial"/>
                <w:b/>
                <w:sz w:val="18"/>
                <w:szCs w:val="18"/>
              </w:rPr>
            </w:pPr>
            <w:r w:rsidRPr="009B759C">
              <w:rPr>
                <w:rFonts w:cs="Arial"/>
                <w:b/>
                <w:sz w:val="18"/>
                <w:szCs w:val="18"/>
              </w:rPr>
              <w:t>–210</w:t>
            </w:r>
          </w:p>
        </w:tc>
      </w:tr>
      <w:tr w:rsidR="006571FF" w:rsidRPr="00D65A2F" w14:paraId="7DB12090"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159C06B6"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1DBA2306"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08DE6BC8"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57D99FE3"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52D7A533" w14:textId="77777777" w:rsidR="006571FF" w:rsidRPr="0021467C" w:rsidRDefault="006571FF" w:rsidP="007172ED">
            <w:pPr>
              <w:pStyle w:val="NoSpacing"/>
              <w:jc w:val="center"/>
              <w:rPr>
                <w:rFonts w:cs="Arial"/>
                <w:sz w:val="18"/>
                <w:szCs w:val="18"/>
              </w:rPr>
            </w:pPr>
            <w:r w:rsidRPr="0021467C">
              <w:rPr>
                <w:rFonts w:cs="Arial"/>
                <w:sz w:val="18"/>
                <w:szCs w:val="18"/>
              </w:rPr>
              <w:t>–200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5E97849" w14:textId="77777777" w:rsidR="006571FF" w:rsidRPr="0021467C" w:rsidRDefault="006571FF" w:rsidP="007172ED">
            <w:pPr>
              <w:pStyle w:val="NoSpacing"/>
              <w:jc w:val="center"/>
              <w:rPr>
                <w:rFonts w:cs="Arial"/>
                <w:sz w:val="18"/>
                <w:szCs w:val="18"/>
              </w:rPr>
            </w:pPr>
            <w:r w:rsidRPr="0021467C">
              <w:rPr>
                <w:rFonts w:cs="Arial"/>
                <w:sz w:val="18"/>
                <w:szCs w:val="18"/>
              </w:rPr>
              <w:t>–270</w:t>
            </w:r>
          </w:p>
        </w:tc>
        <w:tc>
          <w:tcPr>
            <w:tcW w:w="0" w:type="auto"/>
            <w:tcBorders>
              <w:top w:val="single" w:sz="4" w:space="0" w:color="auto"/>
              <w:left w:val="single" w:sz="4" w:space="0" w:color="auto"/>
              <w:bottom w:val="single" w:sz="18" w:space="0" w:color="auto"/>
              <w:right w:val="single" w:sz="4" w:space="0" w:color="auto"/>
            </w:tcBorders>
            <w:vAlign w:val="center"/>
            <w:hideMark/>
          </w:tcPr>
          <w:p w14:paraId="58B84B6E" w14:textId="77777777" w:rsidR="006571FF" w:rsidRPr="0021467C" w:rsidRDefault="006571FF" w:rsidP="007172ED">
            <w:pPr>
              <w:pStyle w:val="NoSpacing"/>
              <w:jc w:val="center"/>
              <w:rPr>
                <w:rFonts w:cs="Arial"/>
                <w:sz w:val="18"/>
                <w:szCs w:val="18"/>
              </w:rPr>
            </w:pPr>
            <w:r w:rsidRPr="0021467C">
              <w:rPr>
                <w:rFonts w:cs="Arial"/>
                <w:sz w:val="18"/>
                <w:szCs w:val="18"/>
              </w:rPr>
              <w:t>–180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1329CAB" w14:textId="77777777" w:rsidR="006571FF" w:rsidRPr="00D65A2F" w:rsidRDefault="006571FF" w:rsidP="007172ED">
            <w:pPr>
              <w:pStyle w:val="NoSpacing"/>
              <w:jc w:val="center"/>
              <w:rPr>
                <w:rFonts w:cs="Arial"/>
                <w:sz w:val="18"/>
                <w:szCs w:val="18"/>
              </w:rPr>
            </w:pPr>
            <w:r w:rsidRPr="00D65A2F">
              <w:rPr>
                <w:rFonts w:cs="Arial"/>
                <w:sz w:val="18"/>
                <w:szCs w:val="18"/>
              </w:rPr>
              <w:t>–210</w:t>
            </w:r>
          </w:p>
        </w:tc>
      </w:tr>
      <w:tr w:rsidR="006571FF" w:rsidRPr="00D65A2F" w14:paraId="2D544B39" w14:textId="77777777" w:rsidTr="007172ED">
        <w:trPr>
          <w:cantSplit/>
        </w:trPr>
        <w:tc>
          <w:tcPr>
            <w:tcW w:w="0" w:type="auto"/>
            <w:vMerge w:val="restart"/>
            <w:tcBorders>
              <w:top w:val="single" w:sz="18" w:space="0" w:color="auto"/>
              <w:left w:val="single" w:sz="4" w:space="0" w:color="auto"/>
              <w:bottom w:val="single" w:sz="4" w:space="0" w:color="auto"/>
              <w:right w:val="single" w:sz="4" w:space="0" w:color="auto"/>
            </w:tcBorders>
            <w:shd w:val="clear" w:color="auto" w:fill="FDE9D9" w:themeFill="accent6" w:themeFillTint="33"/>
            <w:vAlign w:val="center"/>
            <w:hideMark/>
          </w:tcPr>
          <w:p w14:paraId="0F3B295B" w14:textId="77777777" w:rsidR="006571FF" w:rsidRPr="009B759C" w:rsidRDefault="006571FF" w:rsidP="007172ED">
            <w:pPr>
              <w:pStyle w:val="NoSpacing"/>
              <w:rPr>
                <w:rFonts w:cs="Arial"/>
                <w:b/>
                <w:sz w:val="18"/>
                <w:szCs w:val="18"/>
              </w:rPr>
            </w:pPr>
            <w:r w:rsidRPr="009B759C">
              <w:rPr>
                <w:rFonts w:cs="Arial"/>
                <w:b/>
                <w:sz w:val="18"/>
                <w:szCs w:val="18"/>
              </w:rPr>
              <w:t>RTBS</w:t>
            </w:r>
          </w:p>
        </w:tc>
        <w:tc>
          <w:tcPr>
            <w:tcW w:w="0" w:type="auto"/>
            <w:vMerge w:val="restart"/>
            <w:tcBorders>
              <w:top w:val="single" w:sz="18" w:space="0" w:color="auto"/>
              <w:left w:val="single" w:sz="4" w:space="0" w:color="auto"/>
              <w:bottom w:val="single" w:sz="4" w:space="0" w:color="auto"/>
              <w:right w:val="single" w:sz="4" w:space="0" w:color="auto"/>
            </w:tcBorders>
            <w:vAlign w:val="center"/>
            <w:hideMark/>
          </w:tcPr>
          <w:p w14:paraId="6BAE310B" w14:textId="77777777" w:rsidR="006571FF" w:rsidRPr="009B759C" w:rsidRDefault="006571FF" w:rsidP="007172ED">
            <w:pPr>
              <w:pStyle w:val="NoSpacing"/>
              <w:rPr>
                <w:rFonts w:cs="Arial"/>
                <w:b/>
                <w:sz w:val="18"/>
                <w:szCs w:val="18"/>
              </w:rPr>
            </w:pPr>
            <w:r w:rsidRPr="009B759C">
              <w:rPr>
                <w:rFonts w:cs="Arial"/>
                <w:b/>
                <w:i/>
                <w:sz w:val="18"/>
                <w:szCs w:val="18"/>
              </w:rPr>
              <w:t>T</w:t>
            </w:r>
            <w:r w:rsidRPr="009B759C">
              <w:rPr>
                <w:rFonts w:cs="Arial"/>
                <w:b/>
                <w:sz w:val="18"/>
                <w:szCs w:val="18"/>
              </w:rPr>
              <w:t>–40'</w:t>
            </w:r>
          </w:p>
        </w:tc>
        <w:tc>
          <w:tcPr>
            <w:tcW w:w="0" w:type="auto"/>
            <w:tcBorders>
              <w:top w:val="single" w:sz="18" w:space="0" w:color="auto"/>
              <w:left w:val="single" w:sz="4" w:space="0" w:color="auto"/>
              <w:bottom w:val="single" w:sz="4" w:space="0" w:color="auto"/>
              <w:right w:val="single" w:sz="4" w:space="0" w:color="auto"/>
            </w:tcBorders>
            <w:vAlign w:val="center"/>
            <w:hideMark/>
          </w:tcPr>
          <w:p w14:paraId="149C5A8D" w14:textId="77777777" w:rsidR="006571FF" w:rsidRPr="00D65A2F" w:rsidRDefault="006571FF" w:rsidP="007172ED">
            <w:pPr>
              <w:pStyle w:val="NoSpacing"/>
              <w:rPr>
                <w:rFonts w:cs="Arial"/>
                <w:sz w:val="18"/>
                <w:szCs w:val="18"/>
              </w:rPr>
            </w:pPr>
            <w:r w:rsidRPr="00D65A2F">
              <w:rPr>
                <w:rFonts w:cs="Arial"/>
                <w:sz w:val="18"/>
                <w:szCs w:val="18"/>
              </w:rPr>
              <w:t>Base Transfer (MW)</w:t>
            </w:r>
          </w:p>
        </w:tc>
        <w:tc>
          <w:tcPr>
            <w:tcW w:w="0" w:type="auto"/>
            <w:tcBorders>
              <w:top w:val="single" w:sz="18" w:space="0" w:color="auto"/>
              <w:left w:val="single" w:sz="4" w:space="0" w:color="auto"/>
              <w:bottom w:val="single" w:sz="4" w:space="0" w:color="auto"/>
              <w:right w:val="single" w:sz="4" w:space="0" w:color="auto"/>
            </w:tcBorders>
            <w:vAlign w:val="center"/>
          </w:tcPr>
          <w:p w14:paraId="4D4A87E6"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hideMark/>
          </w:tcPr>
          <w:p w14:paraId="3F4C50A1" w14:textId="77777777" w:rsidR="006571FF" w:rsidRPr="0021467C" w:rsidRDefault="006571FF" w:rsidP="007172ED">
            <w:pPr>
              <w:pStyle w:val="NoSpacing"/>
              <w:jc w:val="center"/>
              <w:rPr>
                <w:rFonts w:cs="Arial"/>
                <w:sz w:val="18"/>
                <w:szCs w:val="18"/>
              </w:rPr>
            </w:pPr>
            <w:r w:rsidRPr="0021467C">
              <w:rPr>
                <w:rFonts w:cs="Arial"/>
                <w:sz w:val="18"/>
                <w:szCs w:val="18"/>
              </w:rPr>
              <w:t>–250</w:t>
            </w:r>
          </w:p>
        </w:tc>
        <w:tc>
          <w:tcPr>
            <w:tcW w:w="0" w:type="auto"/>
            <w:tcBorders>
              <w:top w:val="single" w:sz="18" w:space="0" w:color="auto"/>
              <w:left w:val="single" w:sz="4" w:space="0" w:color="auto"/>
              <w:bottom w:val="single" w:sz="4" w:space="0" w:color="auto"/>
              <w:right w:val="single" w:sz="4" w:space="0" w:color="auto"/>
            </w:tcBorders>
            <w:hideMark/>
          </w:tcPr>
          <w:p w14:paraId="6DBE14AA" w14:textId="77777777" w:rsidR="006571FF" w:rsidRPr="0021467C" w:rsidRDefault="006571FF" w:rsidP="007172ED">
            <w:pPr>
              <w:pStyle w:val="NoSpacing"/>
              <w:jc w:val="center"/>
              <w:rPr>
                <w:rFonts w:cs="Arial"/>
                <w:sz w:val="18"/>
                <w:szCs w:val="18"/>
              </w:rPr>
            </w:pPr>
            <w:r w:rsidRPr="0021467C">
              <w:rPr>
                <w:rFonts w:cs="Arial"/>
                <w:sz w:val="18"/>
                <w:szCs w:val="18"/>
              </w:rPr>
              <w:t>–250</w:t>
            </w:r>
          </w:p>
        </w:tc>
        <w:tc>
          <w:tcPr>
            <w:tcW w:w="0" w:type="auto"/>
            <w:tcBorders>
              <w:top w:val="single" w:sz="18" w:space="0" w:color="auto"/>
              <w:left w:val="single" w:sz="4" w:space="0" w:color="auto"/>
              <w:bottom w:val="single" w:sz="4" w:space="0" w:color="auto"/>
              <w:right w:val="single" w:sz="4" w:space="0" w:color="auto"/>
            </w:tcBorders>
            <w:hideMark/>
          </w:tcPr>
          <w:p w14:paraId="302BB857" w14:textId="77777777" w:rsidR="006571FF" w:rsidRPr="0021467C" w:rsidRDefault="006571FF" w:rsidP="007172ED">
            <w:pPr>
              <w:pStyle w:val="NoSpacing"/>
              <w:jc w:val="center"/>
              <w:rPr>
                <w:rFonts w:cs="Arial"/>
                <w:sz w:val="18"/>
                <w:szCs w:val="18"/>
              </w:rPr>
            </w:pPr>
            <w:r w:rsidRPr="0021467C">
              <w:rPr>
                <w:rFonts w:cs="Arial"/>
                <w:sz w:val="18"/>
                <w:szCs w:val="18"/>
              </w:rPr>
              <w:t>–250</w:t>
            </w:r>
          </w:p>
        </w:tc>
        <w:tc>
          <w:tcPr>
            <w:tcW w:w="0" w:type="auto"/>
            <w:tcBorders>
              <w:top w:val="single" w:sz="18" w:space="0" w:color="auto"/>
              <w:left w:val="single" w:sz="4" w:space="0" w:color="auto"/>
              <w:bottom w:val="single" w:sz="4" w:space="0" w:color="auto"/>
              <w:right w:val="single" w:sz="4" w:space="0" w:color="auto"/>
            </w:tcBorders>
            <w:hideMark/>
          </w:tcPr>
          <w:p w14:paraId="184BC1BE" w14:textId="77777777" w:rsidR="006571FF" w:rsidRPr="0021467C" w:rsidRDefault="006571FF" w:rsidP="007172ED">
            <w:pPr>
              <w:pStyle w:val="NoSpacing"/>
              <w:jc w:val="center"/>
              <w:rPr>
                <w:rFonts w:cs="Arial"/>
                <w:sz w:val="18"/>
                <w:szCs w:val="18"/>
              </w:rPr>
            </w:pPr>
          </w:p>
        </w:tc>
      </w:tr>
      <w:tr w:rsidR="006571FF" w:rsidRPr="00D65A2F" w14:paraId="6A6B45D9" w14:textId="77777777" w:rsidTr="007172ED">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5D6A233"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945DB"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99DFC3" w14:textId="77777777" w:rsidR="006571FF" w:rsidRPr="00D65A2F" w:rsidRDefault="006571FF" w:rsidP="007172ED">
            <w:pPr>
              <w:pStyle w:val="NoSpacing"/>
              <w:rPr>
                <w:rFonts w:cs="Arial"/>
                <w:sz w:val="18"/>
                <w:szCs w:val="18"/>
              </w:rPr>
            </w:pPr>
            <w:r w:rsidRPr="00D65A2F">
              <w:rPr>
                <w:rFonts w:cs="Arial"/>
                <w:sz w:val="18"/>
                <w:szCs w:val="18"/>
              </w:rPr>
              <w:t>FRU Test</w:t>
            </w:r>
          </w:p>
        </w:tc>
        <w:tc>
          <w:tcPr>
            <w:tcW w:w="0" w:type="auto"/>
            <w:tcBorders>
              <w:top w:val="single" w:sz="4" w:space="0" w:color="auto"/>
              <w:left w:val="single" w:sz="4" w:space="0" w:color="auto"/>
              <w:bottom w:val="single" w:sz="4" w:space="0" w:color="auto"/>
              <w:right w:val="single" w:sz="4" w:space="0" w:color="auto"/>
            </w:tcBorders>
            <w:vAlign w:val="center"/>
          </w:tcPr>
          <w:p w14:paraId="142A29B0"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308E0381"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329390A" w14:textId="77777777" w:rsidR="006571FF" w:rsidRPr="00841E5E" w:rsidRDefault="006571FF" w:rsidP="007172ED">
            <w:pPr>
              <w:pStyle w:val="NoSpacing"/>
              <w:jc w:val="center"/>
              <w:rPr>
                <w:rFonts w:cs="Arial"/>
                <w:b/>
                <w:sz w:val="18"/>
                <w:szCs w:val="18"/>
              </w:rPr>
            </w:pPr>
            <w:r w:rsidRPr="00841E5E">
              <w:rPr>
                <w:rFonts w:cs="Arial"/>
                <w:b/>
                <w:sz w:val="18"/>
                <w:szCs w:val="18"/>
              </w:rPr>
              <w:t>Pass</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6F7E11EA"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28243AE" w14:textId="77777777" w:rsidR="006571FF" w:rsidRPr="009B759C" w:rsidRDefault="006571FF" w:rsidP="007172ED">
            <w:pPr>
              <w:pStyle w:val="NoSpacing"/>
              <w:jc w:val="center"/>
              <w:rPr>
                <w:rFonts w:cs="Arial"/>
                <w:b/>
                <w:sz w:val="18"/>
                <w:szCs w:val="18"/>
              </w:rPr>
            </w:pPr>
            <w:r w:rsidRPr="009B759C">
              <w:rPr>
                <w:rFonts w:cs="Arial"/>
                <w:b/>
                <w:sz w:val="18"/>
                <w:szCs w:val="18"/>
              </w:rPr>
              <w:t>Fail</w:t>
            </w:r>
          </w:p>
        </w:tc>
      </w:tr>
      <w:tr w:rsidR="006571FF" w:rsidRPr="00D65A2F" w14:paraId="0EE15AA4" w14:textId="77777777" w:rsidTr="007172ED">
        <w:trPr>
          <w:cantSplit/>
        </w:trPr>
        <w:tc>
          <w:tcPr>
            <w:tcW w:w="0" w:type="auto"/>
            <w:vMerge w:val="restart"/>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3063754B"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4" w:space="0" w:color="auto"/>
              <w:left w:val="single" w:sz="4" w:space="0" w:color="auto"/>
              <w:bottom w:val="single" w:sz="18" w:space="0" w:color="auto"/>
              <w:right w:val="single" w:sz="4" w:space="0" w:color="auto"/>
            </w:tcBorders>
            <w:vAlign w:val="center"/>
            <w:hideMark/>
          </w:tcPr>
          <w:p w14:paraId="72978174"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394E3CB9"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4" w:space="0" w:color="auto"/>
              <w:left w:val="single" w:sz="4" w:space="0" w:color="auto"/>
              <w:bottom w:val="single" w:sz="4" w:space="0" w:color="auto"/>
              <w:right w:val="single" w:sz="4" w:space="0" w:color="auto"/>
            </w:tcBorders>
            <w:vAlign w:val="center"/>
          </w:tcPr>
          <w:p w14:paraId="097C492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000FC6CC" w14:textId="77777777" w:rsidR="006571FF" w:rsidRPr="009B759C" w:rsidRDefault="006571FF" w:rsidP="007172ED">
            <w:pPr>
              <w:pStyle w:val="NoSpacing"/>
              <w:jc w:val="center"/>
              <w:rPr>
                <w:rFonts w:cs="Arial"/>
                <w:b/>
                <w:sz w:val="18"/>
                <w:szCs w:val="18"/>
              </w:rPr>
            </w:pPr>
            <w:r w:rsidRPr="009B759C">
              <w:rPr>
                <w:rFonts w:cs="Arial"/>
                <w:b/>
                <w:sz w:val="18"/>
                <w:szCs w:val="18"/>
              </w:rPr>
              <w:t>–250</w:t>
            </w:r>
          </w:p>
        </w:tc>
        <w:tc>
          <w:tcPr>
            <w:tcW w:w="0" w:type="auto"/>
            <w:tcBorders>
              <w:top w:val="single" w:sz="4" w:space="0" w:color="auto"/>
              <w:left w:val="single" w:sz="4" w:space="0" w:color="auto"/>
              <w:bottom w:val="single" w:sz="4" w:space="0" w:color="auto"/>
              <w:right w:val="single" w:sz="4" w:space="0" w:color="auto"/>
            </w:tcBorders>
            <w:vAlign w:val="center"/>
          </w:tcPr>
          <w:p w14:paraId="784A4138"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53B4FBA1" w14:textId="77777777" w:rsidR="006571FF" w:rsidRPr="009B759C" w:rsidRDefault="006571FF" w:rsidP="007172ED">
            <w:pPr>
              <w:pStyle w:val="NoSpacing"/>
              <w:jc w:val="center"/>
              <w:rPr>
                <w:rFonts w:cs="Arial"/>
                <w:b/>
                <w:sz w:val="18"/>
                <w:szCs w:val="18"/>
              </w:rPr>
            </w:pPr>
            <w:r w:rsidRPr="009B759C">
              <w:rPr>
                <w:rFonts w:cs="Arial"/>
                <w:b/>
                <w:sz w:val="18"/>
                <w:szCs w:val="18"/>
              </w:rPr>
              <w:t>–270</w:t>
            </w:r>
          </w:p>
        </w:tc>
        <w:tc>
          <w:tcPr>
            <w:tcW w:w="0" w:type="auto"/>
            <w:tcBorders>
              <w:top w:val="single" w:sz="4" w:space="0" w:color="auto"/>
              <w:left w:val="single" w:sz="4" w:space="0" w:color="auto"/>
              <w:bottom w:val="single" w:sz="4" w:space="0" w:color="auto"/>
              <w:right w:val="single" w:sz="4" w:space="0" w:color="auto"/>
            </w:tcBorders>
            <w:shd w:val="clear" w:color="auto" w:fill="FF9999"/>
            <w:vAlign w:val="center"/>
            <w:hideMark/>
          </w:tcPr>
          <w:p w14:paraId="61262188" w14:textId="77777777" w:rsidR="006571FF" w:rsidRPr="009B759C" w:rsidRDefault="006571FF" w:rsidP="007172ED">
            <w:pPr>
              <w:pStyle w:val="NoSpacing"/>
              <w:jc w:val="center"/>
              <w:rPr>
                <w:rFonts w:cs="Arial"/>
                <w:b/>
                <w:sz w:val="18"/>
                <w:szCs w:val="18"/>
              </w:rPr>
            </w:pPr>
            <w:r w:rsidRPr="009B759C">
              <w:rPr>
                <w:rFonts w:cs="Arial"/>
                <w:b/>
                <w:sz w:val="18"/>
                <w:szCs w:val="18"/>
              </w:rPr>
              <w:t>–250</w:t>
            </w:r>
          </w:p>
        </w:tc>
      </w:tr>
      <w:tr w:rsidR="006571FF" w:rsidRPr="00D65A2F" w14:paraId="1788D1A7"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765EFF32"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35711527"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4E4559E6"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5596B980"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12574163" w14:textId="77777777" w:rsidR="006571FF" w:rsidRPr="00D65A2F" w:rsidRDefault="006571FF" w:rsidP="007172ED">
            <w:pPr>
              <w:pStyle w:val="NoSpacing"/>
              <w:jc w:val="center"/>
              <w:rPr>
                <w:rFonts w:cs="Arial"/>
                <w:sz w:val="18"/>
                <w:szCs w:val="18"/>
              </w:rPr>
            </w:pPr>
            <w:r w:rsidRPr="00D65A2F">
              <w:rPr>
                <w:rFonts w:cs="Arial"/>
                <w:sz w:val="18"/>
                <w:szCs w:val="18"/>
              </w:rPr>
              <w:t>–230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8743D4B" w14:textId="77777777" w:rsidR="006571FF" w:rsidRPr="00D65A2F" w:rsidRDefault="006571FF" w:rsidP="007172ED">
            <w:pPr>
              <w:pStyle w:val="NoSpacing"/>
              <w:jc w:val="center"/>
              <w:rPr>
                <w:rFonts w:cs="Arial"/>
                <w:sz w:val="18"/>
                <w:szCs w:val="18"/>
              </w:rPr>
            </w:pPr>
            <w:r w:rsidRPr="00D65A2F">
              <w:rPr>
                <w:rFonts w:cs="Arial"/>
                <w:sz w:val="18"/>
                <w:szCs w:val="18"/>
              </w:rPr>
              <w:t>–350</w:t>
            </w:r>
          </w:p>
        </w:tc>
        <w:tc>
          <w:tcPr>
            <w:tcW w:w="0" w:type="auto"/>
            <w:tcBorders>
              <w:top w:val="single" w:sz="4" w:space="0" w:color="auto"/>
              <w:left w:val="single" w:sz="4" w:space="0" w:color="auto"/>
              <w:bottom w:val="single" w:sz="18" w:space="0" w:color="auto"/>
              <w:right w:val="single" w:sz="4" w:space="0" w:color="auto"/>
            </w:tcBorders>
            <w:vAlign w:val="center"/>
            <w:hideMark/>
          </w:tcPr>
          <w:p w14:paraId="5E604747" w14:textId="77777777" w:rsidR="006571FF" w:rsidRPr="00D65A2F" w:rsidRDefault="006571FF" w:rsidP="007172ED">
            <w:pPr>
              <w:pStyle w:val="NoSpacing"/>
              <w:jc w:val="center"/>
              <w:rPr>
                <w:rFonts w:cs="Arial"/>
                <w:sz w:val="18"/>
                <w:szCs w:val="18"/>
              </w:rPr>
            </w:pPr>
            <w:r w:rsidRPr="00D65A2F">
              <w:rPr>
                <w:rFonts w:cs="Arial"/>
                <w:sz w:val="18"/>
                <w:szCs w:val="18"/>
              </w:rPr>
              <w:t>–270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E9B5140" w14:textId="77777777" w:rsidR="006571FF" w:rsidRPr="00D65A2F" w:rsidRDefault="006571FF" w:rsidP="007172ED">
            <w:pPr>
              <w:pStyle w:val="NoSpacing"/>
              <w:jc w:val="center"/>
              <w:rPr>
                <w:rFonts w:cs="Arial"/>
                <w:sz w:val="18"/>
                <w:szCs w:val="18"/>
              </w:rPr>
            </w:pPr>
            <w:r w:rsidRPr="00D65A2F">
              <w:rPr>
                <w:rFonts w:cs="Arial"/>
                <w:sz w:val="18"/>
                <w:szCs w:val="18"/>
              </w:rPr>
              <w:t>–250</w:t>
            </w:r>
          </w:p>
        </w:tc>
      </w:tr>
      <w:tr w:rsidR="006571FF" w:rsidRPr="00D65A2F" w14:paraId="4A02B87E"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76DFBF7E"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00C23E16"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–22.5'</w:t>
            </w:r>
          </w:p>
        </w:tc>
        <w:tc>
          <w:tcPr>
            <w:tcW w:w="0" w:type="auto"/>
            <w:tcBorders>
              <w:top w:val="single" w:sz="18" w:space="0" w:color="auto"/>
              <w:left w:val="single" w:sz="4" w:space="0" w:color="auto"/>
              <w:bottom w:val="single" w:sz="4" w:space="0" w:color="auto"/>
              <w:right w:val="single" w:sz="4" w:space="0" w:color="auto"/>
            </w:tcBorders>
            <w:vAlign w:val="center"/>
            <w:hideMark/>
          </w:tcPr>
          <w:p w14:paraId="36D48877"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12841919"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70C3872E" w14:textId="77777777" w:rsidR="006571FF" w:rsidRPr="009B759C" w:rsidRDefault="006571FF" w:rsidP="007172ED">
            <w:pPr>
              <w:pStyle w:val="NoSpacing"/>
              <w:jc w:val="center"/>
              <w:rPr>
                <w:rFonts w:cs="Arial"/>
                <w:b/>
                <w:sz w:val="18"/>
                <w:szCs w:val="18"/>
              </w:rPr>
            </w:pPr>
            <w:r w:rsidRPr="009B759C">
              <w:rPr>
                <w:rFonts w:cs="Arial"/>
                <w:b/>
                <w:sz w:val="18"/>
                <w:szCs w:val="18"/>
              </w:rPr>
              <w:t>–250</w:t>
            </w:r>
          </w:p>
        </w:tc>
        <w:tc>
          <w:tcPr>
            <w:tcW w:w="0" w:type="auto"/>
            <w:tcBorders>
              <w:top w:val="single" w:sz="18" w:space="0" w:color="auto"/>
              <w:left w:val="single" w:sz="4" w:space="0" w:color="auto"/>
              <w:bottom w:val="single" w:sz="4" w:space="0" w:color="auto"/>
              <w:right w:val="single" w:sz="4" w:space="0" w:color="auto"/>
            </w:tcBorders>
            <w:vAlign w:val="center"/>
          </w:tcPr>
          <w:p w14:paraId="1825EB45"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01BF7DC7" w14:textId="77777777" w:rsidR="006571FF" w:rsidRPr="0021467C" w:rsidRDefault="006571FF" w:rsidP="007172ED">
            <w:pPr>
              <w:pStyle w:val="NoSpacing"/>
              <w:jc w:val="center"/>
              <w:rPr>
                <w:rFonts w:cs="Arial"/>
                <w:b/>
                <w:sz w:val="18"/>
                <w:szCs w:val="18"/>
              </w:rPr>
            </w:pPr>
            <w:r w:rsidRPr="0021467C">
              <w:rPr>
                <w:rFonts w:cs="Arial"/>
                <w:b/>
                <w:sz w:val="18"/>
                <w:szCs w:val="18"/>
              </w:rPr>
              <w:t>–350</w:t>
            </w: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2A48E840" w14:textId="77777777" w:rsidR="006571FF" w:rsidRPr="0021467C" w:rsidRDefault="006571FF" w:rsidP="007172ED">
            <w:pPr>
              <w:pStyle w:val="NoSpacing"/>
              <w:jc w:val="center"/>
              <w:rPr>
                <w:rFonts w:cs="Arial"/>
                <w:b/>
                <w:sz w:val="18"/>
                <w:szCs w:val="18"/>
              </w:rPr>
            </w:pPr>
            <w:r w:rsidRPr="0021467C">
              <w:rPr>
                <w:rFonts w:cs="Arial"/>
                <w:b/>
                <w:sz w:val="18"/>
                <w:szCs w:val="18"/>
              </w:rPr>
              <w:t>–270</w:t>
            </w:r>
          </w:p>
        </w:tc>
      </w:tr>
      <w:tr w:rsidR="006571FF" w:rsidRPr="00D65A2F" w14:paraId="6C1E8D09"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656C9110"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1106041B"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2ED84BDD"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3AE31EC6"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36206254" w14:textId="77777777" w:rsidR="006571FF" w:rsidRPr="00D65A2F" w:rsidRDefault="006571FF" w:rsidP="007172ED">
            <w:pPr>
              <w:pStyle w:val="NoSpacing"/>
              <w:jc w:val="center"/>
              <w:rPr>
                <w:rFonts w:cs="Arial"/>
                <w:sz w:val="18"/>
                <w:szCs w:val="18"/>
              </w:rPr>
            </w:pPr>
            <w:r w:rsidRPr="00D65A2F">
              <w:rPr>
                <w:rFonts w:cs="Arial"/>
                <w:sz w:val="18"/>
                <w:szCs w:val="18"/>
              </w:rPr>
              <w:t>–240</w:t>
            </w:r>
          </w:p>
        </w:tc>
        <w:tc>
          <w:tcPr>
            <w:tcW w:w="0" w:type="auto"/>
            <w:tcBorders>
              <w:top w:val="single" w:sz="4" w:space="0" w:color="auto"/>
              <w:left w:val="single" w:sz="4" w:space="0" w:color="auto"/>
              <w:bottom w:val="single" w:sz="18" w:space="0" w:color="auto"/>
              <w:right w:val="single" w:sz="4" w:space="0" w:color="auto"/>
            </w:tcBorders>
            <w:vAlign w:val="center"/>
            <w:hideMark/>
          </w:tcPr>
          <w:p w14:paraId="13690689" w14:textId="77777777" w:rsidR="006571FF" w:rsidRPr="00D65A2F" w:rsidRDefault="006571FF" w:rsidP="007172ED">
            <w:pPr>
              <w:pStyle w:val="NoSpacing"/>
              <w:jc w:val="center"/>
              <w:rPr>
                <w:rFonts w:cs="Arial"/>
                <w:sz w:val="18"/>
                <w:szCs w:val="18"/>
              </w:rPr>
            </w:pPr>
            <w:r w:rsidRPr="00D65A2F">
              <w:rPr>
                <w:rFonts w:cs="Arial"/>
                <w:sz w:val="18"/>
                <w:szCs w:val="18"/>
              </w:rPr>
              <w:t>–330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F2C7D54" w14:textId="77777777" w:rsidR="006571FF" w:rsidRPr="00D65A2F" w:rsidRDefault="006571FF" w:rsidP="007172ED">
            <w:pPr>
              <w:pStyle w:val="NoSpacing"/>
              <w:jc w:val="center"/>
              <w:rPr>
                <w:rFonts w:cs="Arial"/>
                <w:sz w:val="18"/>
                <w:szCs w:val="18"/>
              </w:rPr>
            </w:pPr>
            <w:r w:rsidRPr="00D65A2F">
              <w:rPr>
                <w:rFonts w:cs="Arial"/>
                <w:sz w:val="18"/>
                <w:szCs w:val="18"/>
              </w:rPr>
              <w:t>–300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8D0C4E7" w14:textId="77777777" w:rsidR="006571FF" w:rsidRPr="00D65A2F" w:rsidRDefault="006571FF" w:rsidP="007172ED">
            <w:pPr>
              <w:pStyle w:val="NoSpacing"/>
              <w:jc w:val="center"/>
              <w:rPr>
                <w:rFonts w:cs="Arial"/>
                <w:sz w:val="18"/>
                <w:szCs w:val="18"/>
              </w:rPr>
            </w:pPr>
            <w:r w:rsidRPr="00D65A2F">
              <w:rPr>
                <w:rFonts w:cs="Arial"/>
                <w:sz w:val="18"/>
                <w:szCs w:val="18"/>
              </w:rPr>
              <w:t>–270</w:t>
            </w:r>
          </w:p>
        </w:tc>
      </w:tr>
      <w:tr w:rsidR="006571FF" w:rsidRPr="00D65A2F" w14:paraId="20F8A7CA"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6B15782B"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31B00B06"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–7.5'</w:t>
            </w:r>
          </w:p>
        </w:tc>
        <w:tc>
          <w:tcPr>
            <w:tcW w:w="0" w:type="auto"/>
            <w:tcBorders>
              <w:top w:val="single" w:sz="18" w:space="0" w:color="auto"/>
              <w:left w:val="single" w:sz="4" w:space="0" w:color="auto"/>
              <w:bottom w:val="single" w:sz="4" w:space="0" w:color="auto"/>
              <w:right w:val="single" w:sz="4" w:space="0" w:color="auto"/>
            </w:tcBorders>
            <w:vAlign w:val="center"/>
            <w:hideMark/>
          </w:tcPr>
          <w:p w14:paraId="49A3B354"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282388A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763EB1D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5E39FF11"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71FB0737" w14:textId="77777777" w:rsidR="006571FF" w:rsidRPr="0021467C" w:rsidRDefault="006571FF" w:rsidP="007172ED">
            <w:pPr>
              <w:pStyle w:val="NoSpacing"/>
              <w:jc w:val="center"/>
              <w:rPr>
                <w:rFonts w:cs="Arial"/>
                <w:b/>
                <w:sz w:val="18"/>
                <w:szCs w:val="18"/>
              </w:rPr>
            </w:pPr>
            <w:r w:rsidRPr="0021467C">
              <w:rPr>
                <w:rFonts w:cs="Arial"/>
                <w:b/>
                <w:sz w:val="18"/>
                <w:szCs w:val="18"/>
              </w:rPr>
              <w:t>–330</w:t>
            </w: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4650B33B" w14:textId="77777777" w:rsidR="006571FF" w:rsidRPr="0021467C" w:rsidRDefault="006571FF" w:rsidP="007172ED">
            <w:pPr>
              <w:pStyle w:val="NoSpacing"/>
              <w:jc w:val="center"/>
              <w:rPr>
                <w:rFonts w:cs="Arial"/>
                <w:b/>
                <w:sz w:val="18"/>
                <w:szCs w:val="18"/>
              </w:rPr>
            </w:pPr>
            <w:r w:rsidRPr="0021467C">
              <w:rPr>
                <w:rFonts w:cs="Arial"/>
                <w:b/>
                <w:sz w:val="18"/>
                <w:szCs w:val="18"/>
              </w:rPr>
              <w:t>–300</w:t>
            </w:r>
          </w:p>
        </w:tc>
      </w:tr>
      <w:tr w:rsidR="006571FF" w:rsidRPr="00D65A2F" w14:paraId="1D132954"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7E49C38D"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6EDFE9E3"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1F1C9870"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2710B49D"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46EDC027"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29F17F32" w14:textId="77777777" w:rsidR="006571FF" w:rsidRPr="0021467C" w:rsidRDefault="006571FF" w:rsidP="007172ED">
            <w:pPr>
              <w:pStyle w:val="NoSpacing"/>
              <w:jc w:val="center"/>
              <w:rPr>
                <w:rFonts w:cs="Arial"/>
                <w:sz w:val="18"/>
                <w:szCs w:val="18"/>
              </w:rPr>
            </w:pPr>
            <w:r w:rsidRPr="0021467C">
              <w:rPr>
                <w:rFonts w:cs="Arial"/>
                <w:sz w:val="18"/>
                <w:szCs w:val="18"/>
              </w:rPr>
              <w:t>–280</w:t>
            </w:r>
          </w:p>
        </w:tc>
        <w:tc>
          <w:tcPr>
            <w:tcW w:w="0" w:type="auto"/>
            <w:tcBorders>
              <w:top w:val="single" w:sz="4" w:space="0" w:color="auto"/>
              <w:left w:val="single" w:sz="4" w:space="0" w:color="auto"/>
              <w:bottom w:val="single" w:sz="18" w:space="0" w:color="auto"/>
              <w:right w:val="single" w:sz="4" w:space="0" w:color="auto"/>
            </w:tcBorders>
            <w:vAlign w:val="center"/>
            <w:hideMark/>
          </w:tcPr>
          <w:p w14:paraId="30A971A3" w14:textId="77777777" w:rsidR="006571FF" w:rsidRPr="0021467C" w:rsidRDefault="006571FF" w:rsidP="007172ED">
            <w:pPr>
              <w:pStyle w:val="NoSpacing"/>
              <w:jc w:val="center"/>
              <w:rPr>
                <w:rFonts w:cs="Arial"/>
                <w:sz w:val="18"/>
                <w:szCs w:val="18"/>
              </w:rPr>
            </w:pPr>
            <w:r w:rsidRPr="0021467C">
              <w:rPr>
                <w:rFonts w:cs="Arial"/>
                <w:sz w:val="18"/>
                <w:szCs w:val="18"/>
              </w:rPr>
              <w:t>–330</w:t>
            </w:r>
          </w:p>
        </w:tc>
        <w:tc>
          <w:tcPr>
            <w:tcW w:w="0" w:type="auto"/>
            <w:tcBorders>
              <w:top w:val="single" w:sz="4" w:space="0" w:color="auto"/>
              <w:left w:val="single" w:sz="4" w:space="0" w:color="auto"/>
              <w:bottom w:val="single" w:sz="18" w:space="0" w:color="auto"/>
              <w:right w:val="single" w:sz="4" w:space="0" w:color="auto"/>
            </w:tcBorders>
            <w:vAlign w:val="center"/>
            <w:hideMark/>
          </w:tcPr>
          <w:p w14:paraId="6F795733" w14:textId="77777777" w:rsidR="006571FF" w:rsidRPr="0021467C" w:rsidRDefault="006571FF" w:rsidP="007172ED">
            <w:pPr>
              <w:pStyle w:val="NoSpacing"/>
              <w:jc w:val="center"/>
              <w:rPr>
                <w:rFonts w:cs="Arial"/>
                <w:sz w:val="18"/>
                <w:szCs w:val="18"/>
              </w:rPr>
            </w:pPr>
            <w:r w:rsidRPr="0021467C">
              <w:rPr>
                <w:rFonts w:cs="Arial"/>
                <w:sz w:val="18"/>
                <w:szCs w:val="18"/>
              </w:rPr>
              <w:t>–300</w:t>
            </w:r>
          </w:p>
        </w:tc>
      </w:tr>
      <w:tr w:rsidR="006571FF" w:rsidRPr="00D65A2F" w14:paraId="6B8EE51D"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03254147"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4745F864"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+7.5'</w:t>
            </w:r>
          </w:p>
        </w:tc>
        <w:tc>
          <w:tcPr>
            <w:tcW w:w="0" w:type="auto"/>
            <w:tcBorders>
              <w:top w:val="single" w:sz="18" w:space="0" w:color="auto"/>
              <w:left w:val="single" w:sz="4" w:space="0" w:color="auto"/>
              <w:bottom w:val="single" w:sz="4" w:space="0" w:color="auto"/>
              <w:right w:val="single" w:sz="4" w:space="0" w:color="auto"/>
            </w:tcBorders>
            <w:vAlign w:val="center"/>
            <w:hideMark/>
          </w:tcPr>
          <w:p w14:paraId="6256E5A0"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3AB41F0A"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2B179C66"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43D7BFC2"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46E452FD" w14:textId="77777777" w:rsidR="006571FF" w:rsidRPr="0021467C" w:rsidRDefault="006571FF" w:rsidP="007172ED">
            <w:pPr>
              <w:pStyle w:val="NoSpacing"/>
              <w:jc w:val="center"/>
              <w:rPr>
                <w:rFonts w:cs="Arial"/>
                <w:b/>
                <w:sz w:val="18"/>
                <w:szCs w:val="18"/>
              </w:rPr>
            </w:pPr>
            <w:r w:rsidRPr="0021467C">
              <w:rPr>
                <w:rFonts w:cs="Arial"/>
                <w:b/>
                <w:sz w:val="18"/>
                <w:szCs w:val="18"/>
              </w:rPr>
              <w:t>–280</w:t>
            </w: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405081C3" w14:textId="77777777" w:rsidR="006571FF" w:rsidRPr="0021467C" w:rsidRDefault="006571FF" w:rsidP="007172ED">
            <w:pPr>
              <w:pStyle w:val="NoSpacing"/>
              <w:jc w:val="center"/>
              <w:rPr>
                <w:rFonts w:cs="Arial"/>
                <w:b/>
                <w:sz w:val="18"/>
                <w:szCs w:val="18"/>
              </w:rPr>
            </w:pPr>
            <w:r w:rsidRPr="0021467C">
              <w:rPr>
                <w:rFonts w:cs="Arial"/>
                <w:b/>
                <w:sz w:val="18"/>
                <w:szCs w:val="18"/>
              </w:rPr>
              <w:t>–330</w:t>
            </w:r>
          </w:p>
        </w:tc>
      </w:tr>
      <w:tr w:rsidR="006571FF" w:rsidRPr="00D65A2F" w14:paraId="6FD391E5"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63F86A1E"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4C0BDFFB"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7E9C8D47"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56E4C89D"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21F11790"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3921B1B3" w14:textId="77777777" w:rsidR="006571FF" w:rsidRPr="0021467C"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5CAAF751" w14:textId="77777777" w:rsidR="006571FF" w:rsidRPr="0021467C" w:rsidRDefault="006571FF" w:rsidP="007172ED">
            <w:pPr>
              <w:pStyle w:val="NoSpacing"/>
              <w:jc w:val="center"/>
              <w:rPr>
                <w:rFonts w:cs="Arial"/>
                <w:sz w:val="18"/>
                <w:szCs w:val="18"/>
              </w:rPr>
            </w:pPr>
            <w:r w:rsidRPr="0021467C">
              <w:rPr>
                <w:rFonts w:cs="Arial"/>
                <w:sz w:val="18"/>
                <w:szCs w:val="18"/>
              </w:rPr>
              <w:t>–260</w:t>
            </w:r>
          </w:p>
        </w:tc>
        <w:tc>
          <w:tcPr>
            <w:tcW w:w="0" w:type="auto"/>
            <w:tcBorders>
              <w:top w:val="single" w:sz="4" w:space="0" w:color="auto"/>
              <w:left w:val="single" w:sz="4" w:space="0" w:color="auto"/>
              <w:bottom w:val="single" w:sz="18" w:space="0" w:color="auto"/>
              <w:right w:val="single" w:sz="4" w:space="0" w:color="auto"/>
            </w:tcBorders>
            <w:vAlign w:val="center"/>
            <w:hideMark/>
          </w:tcPr>
          <w:p w14:paraId="25DECFB8" w14:textId="77777777" w:rsidR="006571FF" w:rsidRPr="0021467C" w:rsidRDefault="006571FF" w:rsidP="007172ED">
            <w:pPr>
              <w:pStyle w:val="NoSpacing"/>
              <w:jc w:val="center"/>
              <w:rPr>
                <w:rFonts w:cs="Arial"/>
                <w:sz w:val="18"/>
                <w:szCs w:val="18"/>
              </w:rPr>
            </w:pPr>
            <w:r w:rsidRPr="0021467C">
              <w:rPr>
                <w:rFonts w:cs="Arial"/>
                <w:sz w:val="18"/>
                <w:szCs w:val="18"/>
              </w:rPr>
              <w:t>–330</w:t>
            </w:r>
          </w:p>
        </w:tc>
      </w:tr>
      <w:tr w:rsidR="006571FF" w:rsidRPr="00D65A2F" w14:paraId="562C977F" w14:textId="77777777" w:rsidTr="007172ED">
        <w:trPr>
          <w:cantSplit/>
        </w:trPr>
        <w:tc>
          <w:tcPr>
            <w:tcW w:w="0" w:type="auto"/>
            <w:vMerge w:val="restart"/>
            <w:tcBorders>
              <w:top w:val="single" w:sz="18" w:space="0" w:color="auto"/>
              <w:left w:val="single" w:sz="4" w:space="0" w:color="auto"/>
              <w:bottom w:val="single" w:sz="18" w:space="0" w:color="auto"/>
              <w:right w:val="single" w:sz="4" w:space="0" w:color="auto"/>
            </w:tcBorders>
            <w:shd w:val="clear" w:color="auto" w:fill="FDE9D9" w:themeFill="accent6" w:themeFillTint="33"/>
            <w:vAlign w:val="center"/>
            <w:hideMark/>
          </w:tcPr>
          <w:p w14:paraId="2290E60B" w14:textId="77777777" w:rsidR="006571FF" w:rsidRPr="00D65A2F" w:rsidRDefault="006571FF" w:rsidP="007172ED">
            <w:pPr>
              <w:pStyle w:val="NoSpacing"/>
              <w:rPr>
                <w:rFonts w:cs="Arial"/>
                <w:sz w:val="18"/>
                <w:szCs w:val="18"/>
              </w:rPr>
            </w:pPr>
            <w:r w:rsidRPr="00D65A2F">
              <w:rPr>
                <w:rFonts w:cs="Arial"/>
                <w:sz w:val="18"/>
                <w:szCs w:val="18"/>
              </w:rPr>
              <w:t>FMM</w:t>
            </w:r>
          </w:p>
        </w:tc>
        <w:tc>
          <w:tcPr>
            <w:tcW w:w="0" w:type="auto"/>
            <w:vMerge w:val="restart"/>
            <w:tcBorders>
              <w:top w:val="single" w:sz="18" w:space="0" w:color="auto"/>
              <w:left w:val="single" w:sz="4" w:space="0" w:color="auto"/>
              <w:bottom w:val="single" w:sz="18" w:space="0" w:color="auto"/>
              <w:right w:val="single" w:sz="4" w:space="0" w:color="auto"/>
            </w:tcBorders>
            <w:vAlign w:val="center"/>
            <w:hideMark/>
          </w:tcPr>
          <w:p w14:paraId="2BD6048C" w14:textId="77777777" w:rsidR="006571FF" w:rsidRPr="00D65A2F" w:rsidRDefault="006571FF" w:rsidP="007172ED">
            <w:pPr>
              <w:pStyle w:val="NoSpacing"/>
              <w:rPr>
                <w:rFonts w:cs="Arial"/>
                <w:sz w:val="18"/>
                <w:szCs w:val="18"/>
              </w:rPr>
            </w:pPr>
            <w:r w:rsidRPr="00D65A2F">
              <w:rPr>
                <w:rFonts w:cs="Arial"/>
                <w:i/>
                <w:sz w:val="18"/>
                <w:szCs w:val="18"/>
              </w:rPr>
              <w:t>T</w:t>
            </w:r>
            <w:r w:rsidRPr="00D65A2F">
              <w:rPr>
                <w:rFonts w:cs="Arial"/>
                <w:sz w:val="18"/>
                <w:szCs w:val="18"/>
              </w:rPr>
              <w:t>+22.5'</w:t>
            </w:r>
          </w:p>
        </w:tc>
        <w:tc>
          <w:tcPr>
            <w:tcW w:w="0" w:type="auto"/>
            <w:tcBorders>
              <w:top w:val="single" w:sz="18" w:space="0" w:color="auto"/>
              <w:left w:val="single" w:sz="4" w:space="0" w:color="auto"/>
              <w:bottom w:val="single" w:sz="4" w:space="0" w:color="auto"/>
              <w:right w:val="single" w:sz="4" w:space="0" w:color="auto"/>
            </w:tcBorders>
            <w:vAlign w:val="center"/>
            <w:hideMark/>
          </w:tcPr>
          <w:p w14:paraId="4C792C73" w14:textId="77777777" w:rsidR="006571FF" w:rsidRPr="00D65A2F" w:rsidRDefault="006571FF" w:rsidP="007172ED">
            <w:pPr>
              <w:pStyle w:val="NoSpacing"/>
              <w:rPr>
                <w:rFonts w:cs="Arial"/>
                <w:sz w:val="18"/>
                <w:szCs w:val="18"/>
              </w:rPr>
            </w:pPr>
            <w:r w:rsidRPr="00D65A2F">
              <w:rPr>
                <w:rFonts w:cs="Arial"/>
                <w:sz w:val="18"/>
                <w:szCs w:val="18"/>
              </w:rPr>
              <w:t>Transfer Limit (MW)</w:t>
            </w:r>
          </w:p>
        </w:tc>
        <w:tc>
          <w:tcPr>
            <w:tcW w:w="0" w:type="auto"/>
            <w:tcBorders>
              <w:top w:val="single" w:sz="18" w:space="0" w:color="auto"/>
              <w:left w:val="single" w:sz="4" w:space="0" w:color="auto"/>
              <w:bottom w:val="single" w:sz="4" w:space="0" w:color="auto"/>
              <w:right w:val="single" w:sz="4" w:space="0" w:color="auto"/>
            </w:tcBorders>
            <w:vAlign w:val="center"/>
          </w:tcPr>
          <w:p w14:paraId="5FAB1D74"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4295D7A3"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097E62A8"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vAlign w:val="center"/>
          </w:tcPr>
          <w:p w14:paraId="509B83B9" w14:textId="77777777" w:rsidR="006571FF" w:rsidRPr="00D65A2F" w:rsidRDefault="006571FF" w:rsidP="007172ED">
            <w:pPr>
              <w:pStyle w:val="NoSpacing"/>
              <w:jc w:val="center"/>
              <w:rPr>
                <w:rFonts w:cs="Arial"/>
                <w:sz w:val="18"/>
                <w:szCs w:val="18"/>
              </w:rPr>
            </w:pPr>
          </w:p>
        </w:tc>
        <w:tc>
          <w:tcPr>
            <w:tcW w:w="0" w:type="auto"/>
            <w:tcBorders>
              <w:top w:val="single" w:sz="18" w:space="0" w:color="auto"/>
              <w:left w:val="single" w:sz="4" w:space="0" w:color="auto"/>
              <w:bottom w:val="single" w:sz="4" w:space="0" w:color="auto"/>
              <w:right w:val="single" w:sz="4" w:space="0" w:color="auto"/>
            </w:tcBorders>
            <w:shd w:val="clear" w:color="auto" w:fill="FF9999"/>
            <w:vAlign w:val="center"/>
            <w:hideMark/>
          </w:tcPr>
          <w:p w14:paraId="79192EFD" w14:textId="77777777" w:rsidR="006571FF" w:rsidRPr="0021467C" w:rsidRDefault="006571FF" w:rsidP="007172ED">
            <w:pPr>
              <w:pStyle w:val="NoSpacing"/>
              <w:jc w:val="center"/>
              <w:rPr>
                <w:rFonts w:cs="Arial"/>
                <w:b/>
                <w:sz w:val="18"/>
                <w:szCs w:val="18"/>
              </w:rPr>
            </w:pPr>
            <w:r w:rsidRPr="0021467C">
              <w:rPr>
                <w:rFonts w:cs="Arial"/>
                <w:b/>
                <w:sz w:val="18"/>
                <w:szCs w:val="18"/>
              </w:rPr>
              <w:t>–260</w:t>
            </w:r>
          </w:p>
        </w:tc>
      </w:tr>
      <w:tr w:rsidR="006571FF" w:rsidRPr="00D65A2F" w14:paraId="59A22312" w14:textId="77777777" w:rsidTr="007172ED">
        <w:trPr>
          <w:cantSplit/>
        </w:trPr>
        <w:tc>
          <w:tcPr>
            <w:tcW w:w="0" w:type="auto"/>
            <w:vMerge/>
            <w:tcBorders>
              <w:top w:val="single" w:sz="4" w:space="0" w:color="auto"/>
              <w:left w:val="single" w:sz="4" w:space="0" w:color="auto"/>
              <w:bottom w:val="single" w:sz="18" w:space="0" w:color="auto"/>
              <w:right w:val="single" w:sz="4" w:space="0" w:color="auto"/>
            </w:tcBorders>
            <w:shd w:val="clear" w:color="auto" w:fill="FDE9D9" w:themeFill="accent6" w:themeFillTint="33"/>
            <w:vAlign w:val="center"/>
            <w:hideMark/>
          </w:tcPr>
          <w:p w14:paraId="07BCB915" w14:textId="77777777" w:rsidR="006571FF" w:rsidRPr="00D65A2F" w:rsidRDefault="006571FF" w:rsidP="007172ED">
            <w:pPr>
              <w:pStyle w:val="NoSpacing"/>
              <w:rPr>
                <w:rFonts w:cs="Arial"/>
                <w:sz w:val="18"/>
                <w:szCs w:val="18"/>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14:paraId="6E151B37" w14:textId="77777777" w:rsidR="006571FF" w:rsidRPr="00D65A2F" w:rsidRDefault="006571FF" w:rsidP="007172ED">
            <w:pPr>
              <w:pStyle w:val="NoSpacing"/>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3AC1FCD9" w14:textId="77777777" w:rsidR="006571FF" w:rsidRPr="00D65A2F" w:rsidRDefault="006571FF" w:rsidP="007172ED">
            <w:pPr>
              <w:pStyle w:val="NoSpacing"/>
              <w:rPr>
                <w:rFonts w:cs="Arial"/>
                <w:sz w:val="18"/>
                <w:szCs w:val="18"/>
              </w:rPr>
            </w:pPr>
            <w:r w:rsidRPr="00D65A2F">
              <w:rPr>
                <w:rFonts w:cs="Arial"/>
                <w:sz w:val="18"/>
                <w:szCs w:val="18"/>
              </w:rPr>
              <w:t>EIM Transfer (MW)</w:t>
            </w:r>
          </w:p>
        </w:tc>
        <w:tc>
          <w:tcPr>
            <w:tcW w:w="0" w:type="auto"/>
            <w:tcBorders>
              <w:top w:val="single" w:sz="4" w:space="0" w:color="auto"/>
              <w:left w:val="single" w:sz="4" w:space="0" w:color="auto"/>
              <w:bottom w:val="single" w:sz="18" w:space="0" w:color="auto"/>
              <w:right w:val="single" w:sz="4" w:space="0" w:color="auto"/>
            </w:tcBorders>
            <w:vAlign w:val="center"/>
          </w:tcPr>
          <w:p w14:paraId="3F0DF204"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150A4D7C"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474B5335"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tcPr>
          <w:p w14:paraId="2FC3E4D5" w14:textId="77777777" w:rsidR="006571FF" w:rsidRPr="00D65A2F" w:rsidRDefault="006571FF" w:rsidP="007172ED">
            <w:pPr>
              <w:pStyle w:val="NoSpacing"/>
              <w:jc w:val="center"/>
              <w:rPr>
                <w:rFonts w:cs="Arial"/>
                <w:sz w:val="18"/>
                <w:szCs w:val="18"/>
              </w:rPr>
            </w:pPr>
          </w:p>
        </w:tc>
        <w:tc>
          <w:tcPr>
            <w:tcW w:w="0" w:type="auto"/>
            <w:tcBorders>
              <w:top w:val="single" w:sz="4" w:space="0" w:color="auto"/>
              <w:left w:val="single" w:sz="4" w:space="0" w:color="auto"/>
              <w:bottom w:val="single" w:sz="18" w:space="0" w:color="auto"/>
              <w:right w:val="single" w:sz="4" w:space="0" w:color="auto"/>
            </w:tcBorders>
            <w:vAlign w:val="center"/>
            <w:hideMark/>
          </w:tcPr>
          <w:p w14:paraId="092E8B49" w14:textId="77777777" w:rsidR="006571FF" w:rsidRPr="00D65A2F" w:rsidRDefault="006571FF" w:rsidP="007172ED">
            <w:pPr>
              <w:pStyle w:val="NoSpacing"/>
              <w:jc w:val="center"/>
              <w:rPr>
                <w:rFonts w:cs="Arial"/>
                <w:sz w:val="18"/>
                <w:szCs w:val="18"/>
              </w:rPr>
            </w:pPr>
            <w:r w:rsidRPr="00D65A2F">
              <w:rPr>
                <w:rFonts w:cs="Arial"/>
                <w:sz w:val="18"/>
                <w:szCs w:val="18"/>
              </w:rPr>
              <w:t>–260</w:t>
            </w:r>
          </w:p>
        </w:tc>
      </w:tr>
    </w:tbl>
    <w:p w14:paraId="3C28422E" w14:textId="77777777" w:rsidR="006571FF" w:rsidRDefault="006571FF" w:rsidP="006571FF">
      <w:r>
        <w:t xml:space="preserve"> </w:t>
      </w:r>
    </w:p>
    <w:p w14:paraId="6F7FB3FA" w14:textId="77777777" w:rsidR="006571FF" w:rsidRPr="00414D3F" w:rsidRDefault="006571FF" w:rsidP="006571FF">
      <w:pPr>
        <w:ind w:left="1080"/>
        <w:rPr>
          <w:rFonts w:eastAsia="Calibri"/>
        </w:rPr>
      </w:pPr>
    </w:p>
    <w:p w14:paraId="112872C9" w14:textId="77777777" w:rsidR="006571FF" w:rsidRPr="008817D0" w:rsidRDefault="006571FF" w:rsidP="006571FF">
      <w:pPr>
        <w:pStyle w:val="Heading4"/>
        <w:numPr>
          <w:ilvl w:val="3"/>
          <w:numId w:val="96"/>
        </w:numPr>
        <w:rPr>
          <w:rFonts w:eastAsia="Calibri"/>
        </w:rPr>
      </w:pPr>
      <w:bookmarkStart w:id="1938" w:name="_Toc390869246"/>
      <w:r w:rsidRPr="008817D0">
        <w:rPr>
          <w:rFonts w:eastAsia="Calibri"/>
        </w:rPr>
        <w:t>Flexible Ramp</w:t>
      </w:r>
      <w:r>
        <w:rPr>
          <w:rFonts w:eastAsia="Calibri"/>
        </w:rPr>
        <w:t>ing</w:t>
      </w:r>
      <w:r w:rsidRPr="008817D0">
        <w:rPr>
          <w:rFonts w:eastAsia="Calibri"/>
        </w:rPr>
        <w:t xml:space="preserve"> Sufficiency Test </w:t>
      </w:r>
      <w:r>
        <w:rPr>
          <w:rFonts w:eastAsia="Calibri"/>
        </w:rPr>
        <w:t xml:space="preserve">and Capacity Test </w:t>
      </w:r>
      <w:r w:rsidRPr="008817D0">
        <w:rPr>
          <w:rFonts w:eastAsia="Calibri"/>
        </w:rPr>
        <w:t>Details</w:t>
      </w:r>
      <w:bookmarkEnd w:id="1938"/>
    </w:p>
    <w:p w14:paraId="57C85153" w14:textId="6583D3CA" w:rsidR="006571FF" w:rsidRPr="008817D0" w:rsidRDefault="006571FF" w:rsidP="006571FF">
      <w:pPr>
        <w:spacing w:after="240" w:line="300" w:lineRule="auto"/>
        <w:rPr>
          <w:rFonts w:eastAsia="Calibri"/>
        </w:rPr>
      </w:pPr>
      <w:r w:rsidRPr="008817D0">
        <w:rPr>
          <w:rFonts w:eastAsia="Calibri"/>
        </w:rPr>
        <w:t>The individual</w:t>
      </w:r>
      <w:r>
        <w:rPr>
          <w:rFonts w:eastAsia="Calibri"/>
        </w:rPr>
        <w:t xml:space="preserve"> </w:t>
      </w:r>
      <w:r w:rsidR="00153940">
        <w:rPr>
          <w:rFonts w:eastAsia="Calibri"/>
        </w:rPr>
        <w:t>WEIM Entity</w:t>
      </w:r>
      <w:r>
        <w:rPr>
          <w:rFonts w:eastAsia="Calibri"/>
        </w:rPr>
        <w:t xml:space="preserve"> or CAISO </w:t>
      </w:r>
      <w:r w:rsidRPr="008817D0">
        <w:rPr>
          <w:rFonts w:eastAsia="Calibri"/>
        </w:rPr>
        <w:t>BAA requirement for the flexible ramp</w:t>
      </w:r>
      <w:r>
        <w:rPr>
          <w:rFonts w:eastAsia="Calibri"/>
        </w:rPr>
        <w:t>ing</w:t>
      </w:r>
      <w:r w:rsidRPr="008817D0">
        <w:rPr>
          <w:rFonts w:eastAsia="Calibri"/>
        </w:rPr>
        <w:t xml:space="preserve"> sufficiency test will be calculated </w:t>
      </w:r>
      <w:r>
        <w:rPr>
          <w:rFonts w:eastAsia="Calibri"/>
        </w:rPr>
        <w:t xml:space="preserve">for the next hour (using algebraic notation) </w:t>
      </w:r>
      <w:r w:rsidRPr="008817D0">
        <w:rPr>
          <w:rFonts w:eastAsia="Calibri"/>
        </w:rPr>
        <w:t>as follows:</w:t>
      </w:r>
    </w:p>
    <w:p w14:paraId="3AE4C1DB" w14:textId="77777777" w:rsidR="006571FF" w:rsidRPr="00197473" w:rsidRDefault="00461DCC" w:rsidP="006571FF">
      <w:pPr>
        <w:spacing w:after="240" w:line="300" w:lineRule="auto"/>
        <w:rPr>
          <w:rFonts w:eastAsia="Calibr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D</m:t>
              </m:r>
            </m:e>
            <m:sub>
              <m:r>
                <w:rPr>
                  <w:rFonts w:ascii="Cambria Math" w:eastAsia="Calibri" w:hAnsi="Cambria Math"/>
                  <w:color w:val="000000"/>
                </w:rPr>
                <m:t>i</m:t>
              </m:r>
            </m:sub>
          </m:sSub>
          <m:r>
            <m:rPr>
              <m:sty m:val="p"/>
            </m:rPr>
            <w:rPr>
              <w:rFonts w:ascii="Cambria Math" w:eastAsia="Calibri" w:hAnsi="Cambria Math"/>
              <w:color w:val="000000"/>
            </w:rPr>
            <m:t>+max</m:t>
          </m:r>
          <m:d>
            <m:dPr>
              <m:ctrlPr>
                <w:rPr>
                  <w:rFonts w:ascii="Cambria Math" w:hAnsi="Cambria Math"/>
                  <w:i/>
                  <w:color w:val="000000"/>
                </w:rPr>
              </m:ctrlPr>
            </m:dPr>
            <m:e>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NIC</m:t>
                  </m:r>
                </m:e>
                <m:sub>
                  <m:r>
                    <w:rPr>
                      <w:rFonts w:ascii="Cambria Math" w:eastAsia="Calibri" w:hAnsi="Cambria Math"/>
                      <w:color w:val="000000"/>
                    </w:rPr>
                    <m:t>i</m:t>
                  </m:r>
                </m:sub>
              </m:sSub>
              <m:r>
                <w:rPr>
                  <w:rFonts w:ascii="Cambria Math" w:eastAsia="Calibri" w:hAnsi="Cambria Math"/>
                  <w:color w:val="000000"/>
                </w:rPr>
                <m:t xml:space="preserve">, </m:t>
              </m:r>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f>
                <m:fPr>
                  <m:ctrlPr>
                    <w:rPr>
                      <w:rFonts w:ascii="Cambria Math" w:hAnsi="Cambria Math"/>
                      <w:i/>
                      <w:color w:val="000000"/>
                    </w:rPr>
                  </m:ctrlPr>
                </m:fPr>
                <m:num>
                  <m:r>
                    <w:rPr>
                      <w:rFonts w:ascii="Cambria Math" w:hAnsi="Cambria Math"/>
                      <w:color w:val="000000"/>
                    </w:rPr>
                    <m:t>FRUR</m:t>
                  </m:r>
                </m:num>
                <m:den>
                  <m:r>
                    <w:rPr>
                      <w:rFonts w:ascii="Cambria Math" w:eastAsia="Calibri" w:hAnsi="Cambria Math"/>
                      <w:color w:val="000000"/>
                    </w:rPr>
                    <m:t>TFRUR</m:t>
                  </m:r>
                </m:den>
              </m:f>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FRUC</m:t>
                  </m:r>
                </m:e>
                <m:sub>
                  <m:r>
                    <w:rPr>
                      <w:rFonts w:ascii="Cambria Math" w:eastAsia="Calibri" w:hAnsi="Cambria Math"/>
                      <w:color w:val="000000"/>
                    </w:rPr>
                    <m:t>i</m:t>
                  </m:r>
                </m:sub>
              </m:sSub>
            </m:e>
          </m:d>
          <m:r>
            <m:rPr>
              <m:sty m:val="p"/>
            </m:rPr>
            <w:rPr>
              <w:rFonts w:eastAsia="Calibri"/>
            </w:rPr>
            <w:br/>
          </m:r>
        </m:oMath>
        <m:oMath>
          <m:r>
            <m:rPr>
              <m:sty m:val="p"/>
            </m:rPr>
            <w:rPr>
              <w:rFonts w:ascii="Cambria Math" w:hAnsi="Cambria Math"/>
              <w:color w:val="000000"/>
            </w:rPr>
            <w:br/>
          </m:r>
        </m:oMath>
        <m:oMath>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D</m:t>
              </m:r>
            </m:e>
            <m:sub>
              <m:r>
                <w:rPr>
                  <w:rFonts w:ascii="Cambria Math" w:eastAsia="Calibri" w:hAnsi="Cambria Math"/>
                  <w:color w:val="000000"/>
                </w:rPr>
                <m:t>i</m:t>
              </m:r>
            </m:sub>
          </m:sSub>
          <m:r>
            <m:rPr>
              <m:sty m:val="p"/>
            </m:rPr>
            <w:rPr>
              <w:rFonts w:ascii="Cambria Math" w:eastAsia="Calibri" w:hAnsi="Cambria Math"/>
              <w:color w:val="000000"/>
            </w:rPr>
            <m:t>+min</m:t>
          </m:r>
          <m:d>
            <m:dPr>
              <m:ctrlPr>
                <w:rPr>
                  <w:rFonts w:ascii="Cambria Math" w:hAnsi="Cambria Math"/>
                  <w:i/>
                  <w:color w:val="000000"/>
                </w:rPr>
              </m:ctrlPr>
            </m:dPr>
            <m:e>
              <m:r>
                <w:rPr>
                  <w:rFonts w:ascii="Cambria Math" w:eastAsia="Calibri" w:hAnsi="Cambria Math"/>
                  <w:color w:val="000000"/>
                </w:rPr>
                <m:t xml:space="preserve"> </m:t>
              </m:r>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NEC</m:t>
                  </m:r>
                </m:e>
                <m:sub>
                  <m:r>
                    <w:rPr>
                      <w:rFonts w:ascii="Cambria Math" w:eastAsia="Calibri" w:hAnsi="Cambria Math"/>
                      <w:color w:val="000000"/>
                    </w:rPr>
                    <m:t>i</m:t>
                  </m:r>
                </m:sub>
              </m:sSub>
              <m:r>
                <w:rPr>
                  <w:rFonts w:ascii="Cambria Math" w:eastAsia="Calibri" w:hAnsi="Cambria Math"/>
                  <w:color w:val="000000"/>
                </w:rPr>
                <m:t xml:space="preserve">, </m:t>
              </m:r>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f>
                <m:fPr>
                  <m:ctrlPr>
                    <w:rPr>
                      <w:rFonts w:ascii="Cambria Math" w:hAnsi="Cambria Math"/>
                      <w:i/>
                      <w:color w:val="000000"/>
                    </w:rPr>
                  </m:ctrlPr>
                </m:fPr>
                <m:num>
                  <m:r>
                    <w:rPr>
                      <w:rFonts w:ascii="Cambria Math" w:eastAsia="Calibri" w:hAnsi="Cambria Math"/>
                      <w:color w:val="000000"/>
                    </w:rPr>
                    <m:t>FRDR</m:t>
                  </m:r>
                </m:num>
                <m:den>
                  <m:r>
                    <w:rPr>
                      <w:rFonts w:ascii="Cambria Math" w:eastAsia="Calibri" w:hAnsi="Cambria Math"/>
                      <w:color w:val="000000"/>
                    </w:rPr>
                    <m:t>TFRDR</m:t>
                  </m:r>
                </m:den>
              </m:f>
              <m:r>
                <w:rPr>
                  <w:rFonts w:ascii="Cambria Math" w:eastAsia="Calibri" w:hAnsi="Cambria Math"/>
                  <w:color w:val="000000"/>
                </w:rPr>
                <m:t>-</m:t>
              </m:r>
              <m:sSub>
                <m:sSubPr>
                  <m:ctrlPr>
                    <w:rPr>
                      <w:rFonts w:ascii="Cambria Math" w:hAnsi="Cambria Math"/>
                      <w:i/>
                      <w:color w:val="000000"/>
                    </w:rPr>
                  </m:ctrlPr>
                </m:sSubPr>
                <m:e>
                  <m:r>
                    <w:rPr>
                      <w:rFonts w:ascii="Cambria Math" w:eastAsia="Calibri" w:hAnsi="Cambria Math"/>
                      <w:color w:val="000000"/>
                    </w:rPr>
                    <m:t>FRDC</m:t>
                  </m:r>
                </m:e>
                <m:sub>
                  <m:r>
                    <w:rPr>
                      <w:rFonts w:ascii="Cambria Math" w:eastAsia="Calibri" w:hAnsi="Cambria Math"/>
                      <w:color w:val="000000"/>
                    </w:rPr>
                    <m:t>i</m:t>
                  </m:r>
                </m:sub>
              </m:sSub>
            </m:e>
          </m:d>
        </m:oMath>
      </m:oMathPara>
    </w:p>
    <w:p w14:paraId="74EDCD31" w14:textId="258C3186" w:rsidR="006571FF" w:rsidRPr="00197473" w:rsidRDefault="006571FF" w:rsidP="006571FF">
      <w:pPr>
        <w:spacing w:after="240" w:line="300" w:lineRule="auto"/>
        <w:rPr>
          <w:rFonts w:eastAsia="Calibri"/>
        </w:rPr>
      </w:pPr>
      <w:r w:rsidRPr="00197473">
        <w:rPr>
          <w:rFonts w:eastAsia="Calibri"/>
        </w:rPr>
        <w:t>The individual</w:t>
      </w:r>
      <w:r>
        <w:rPr>
          <w:rFonts w:eastAsia="Calibri"/>
        </w:rPr>
        <w:t xml:space="preserve"> WEIM </w:t>
      </w:r>
      <w:r w:rsidRPr="00197473">
        <w:rPr>
          <w:rFonts w:eastAsia="Calibri"/>
        </w:rPr>
        <w:t>BAA requirement for the capacity test will be calculated for the next hour (using algebraic notation) as follows:</w:t>
      </w:r>
    </w:p>
    <w:p w14:paraId="61E5BA73" w14:textId="79AEE496" w:rsidR="006571FF" w:rsidRPr="00197473" w:rsidRDefault="00461DCC" w:rsidP="006571FF">
      <w:pPr>
        <w:spacing w:after="240" w:line="300" w:lineRule="auto"/>
        <w:rPr>
          <w:rFonts w:eastAsia="Calibri"/>
        </w:rPr>
      </w:pPr>
      <m:oMathPara>
        <m:oMathParaPr>
          <m:jc m:val="left"/>
        </m:oMathParaPr>
        <m:oMath>
          <m:sSub>
            <m:sSubPr>
              <m:ctrlPr>
                <w:rPr>
                  <w:rFonts w:ascii="Cambria Math" w:eastAsia="Calibri" w:hAnsi="Cambria Math"/>
                  <w:i/>
                </w:rPr>
              </m:ctrlPr>
            </m:sSubPr>
            <m:e>
              <m:r>
                <w:rPr>
                  <w:rFonts w:ascii="Cambria Math" w:eastAsia="Calibri" w:hAnsi="Cambria Math"/>
                </w:rPr>
                <m:t>BRCUR</m:t>
              </m:r>
            </m:e>
            <m:sub>
              <m:r>
                <w:rPr>
                  <w:rFonts w:ascii="Cambria Math" w:eastAsia="Calibri" w:hAnsi="Cambria Math"/>
                </w:rPr>
                <m:t>i</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DF</m:t>
              </m:r>
            </m:e>
            <m:sub>
              <m:r>
                <w:rPr>
                  <w:rFonts w:ascii="Cambria Math" w:eastAsia="Calibri" w:hAnsi="Cambria Math"/>
                </w:rPr>
                <m:t>i</m:t>
              </m:r>
            </m:sub>
          </m:sSub>
          <m:r>
            <m:rPr>
              <m:sty m:val="p"/>
            </m:rPr>
            <w:rPr>
              <w:rFonts w:ascii="Cambria Math" w:eastAsia="Calibri" w:hAnsi="Cambria Math"/>
            </w:rPr>
            <m:t>-</m:t>
          </m:r>
          <m:nary>
            <m:naryPr>
              <m:chr m:val="∑"/>
              <m:limLoc m:val="undOvr"/>
              <m:subHide m:val="1"/>
              <m:supHide m:val="1"/>
              <m:ctrlPr>
                <w:rPr>
                  <w:rFonts w:ascii="Cambria Math" w:eastAsia="Calibri" w:hAnsi="Cambria Math"/>
                </w:rPr>
              </m:ctrlPr>
            </m:naryPr>
            <m:sub/>
            <m:sup/>
            <m:e>
              <m:sSub>
                <m:sSubPr>
                  <m:ctrlPr>
                    <w:rPr>
                      <w:rFonts w:ascii="Cambria Math" w:eastAsia="Calibri" w:hAnsi="Cambria Math"/>
                      <w:i/>
                    </w:rPr>
                  </m:ctrlPr>
                </m:sSubPr>
                <m:e>
                  <m:r>
                    <w:rPr>
                      <w:rFonts w:ascii="Cambria Math" w:eastAsia="Calibri" w:hAnsi="Cambria Math"/>
                    </w:rPr>
                    <m:t>BS</m:t>
                  </m:r>
                </m:e>
                <m:sub>
                  <m:r>
                    <w:rPr>
                      <w:rFonts w:ascii="Cambria Math" w:eastAsia="Calibri" w:hAnsi="Cambria Math"/>
                    </w:rPr>
                    <m:t>i</m:t>
                  </m:r>
                </m:sub>
              </m:sSub>
            </m:e>
          </m:nary>
          <m:r>
            <m:rPr>
              <m:sty m:val="p"/>
            </m:rPr>
            <w:rPr>
              <w:rFonts w:ascii="Cambria Math" w:eastAsia="Calibri" w:hAnsi="Cambria Math"/>
            </w:rPr>
            <m:t>+</m:t>
          </m:r>
        </m:oMath>
      </m:oMathPara>
    </w:p>
    <w:p w14:paraId="452EAC1D" w14:textId="2BD40591" w:rsidR="006571FF" w:rsidRDefault="00461DCC" w:rsidP="006571FF">
      <w:pPr>
        <w:spacing w:after="240" w:line="300" w:lineRule="auto"/>
        <w:rPr>
          <w:rFonts w:eastAsia="Calibri"/>
        </w:rPr>
      </w:pPr>
      <m:oMathPara>
        <m:oMath>
          <m:sSub>
            <m:sSubPr>
              <m:ctrlPr>
                <w:rPr>
                  <w:rFonts w:ascii="Cambria Math" w:eastAsia="Calibri" w:hAnsi="Cambria Math"/>
                  <w:i/>
                </w:rPr>
              </m:ctrlPr>
            </m:sSubPr>
            <m:e>
              <m:r>
                <w:rPr>
                  <w:rFonts w:ascii="Cambria Math" w:eastAsia="Calibri" w:hAnsi="Cambria Math"/>
                </w:rPr>
                <m:t>BRCDR</m:t>
              </m:r>
            </m:e>
            <m:sub>
              <m:r>
                <w:rPr>
                  <w:rFonts w:ascii="Cambria Math" w:eastAsia="Calibri" w:hAnsi="Cambria Math"/>
                </w:rPr>
                <m:t>i</m:t>
              </m:r>
            </m:sub>
          </m:sSub>
          <m:r>
            <w:rPr>
              <w:rFonts w:ascii="Cambria Math" w:eastAsia="Calibri" w:hAnsi="Cambria Math"/>
            </w:rPr>
            <m:t>=</m:t>
          </m:r>
          <m:nary>
            <m:naryPr>
              <m:chr m:val="∑"/>
              <m:limLoc m:val="undOvr"/>
              <m:subHide m:val="1"/>
              <m:supHide m:val="1"/>
              <m:ctrlPr>
                <w:rPr>
                  <w:rFonts w:ascii="Cambria Math" w:eastAsia="Calibri" w:hAnsi="Cambria Math"/>
                  <w:i/>
                </w:rPr>
              </m:ctrlPr>
            </m:naryPr>
            <m:sub/>
            <m:sup/>
            <m:e>
              <m:sSub>
                <m:sSubPr>
                  <m:ctrlPr>
                    <w:rPr>
                      <w:rFonts w:ascii="Cambria Math" w:eastAsia="Calibri" w:hAnsi="Cambria Math"/>
                      <w:i/>
                    </w:rPr>
                  </m:ctrlPr>
                </m:sSubPr>
                <m:e>
                  <m:r>
                    <w:rPr>
                      <w:rFonts w:ascii="Cambria Math" w:eastAsia="Calibri" w:hAnsi="Cambria Math"/>
                    </w:rPr>
                    <m:t>BS</m:t>
                  </m:r>
                </m:e>
                <m:sub>
                  <m:r>
                    <w:rPr>
                      <w:rFonts w:ascii="Cambria Math" w:eastAsia="Calibri" w:hAnsi="Cambria Math"/>
                    </w:rPr>
                    <m:t>i</m:t>
                  </m:r>
                </m:sub>
              </m:sSub>
            </m:e>
          </m:nary>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DF</m:t>
              </m:r>
            </m:e>
            <m:sub>
              <m:r>
                <w:rPr>
                  <w:rFonts w:ascii="Cambria Math" w:eastAsia="Calibri" w:hAnsi="Cambria Math"/>
                </w:rPr>
                <m:t>i</m:t>
              </m:r>
            </m:sub>
          </m:sSub>
          <m:r>
            <m:rPr>
              <m:sty m:val="p"/>
            </m:rPr>
            <w:rPr>
              <w:rFonts w:ascii="Cambria Math" w:eastAsia="Calibri" w:hAnsi="Cambria Math"/>
            </w:rPr>
            <m:t xml:space="preserve"> </m:t>
          </m:r>
          <m:r>
            <m:rPr>
              <m:sty m:val="p"/>
            </m:rPr>
            <w:rPr>
              <w:rFonts w:ascii="Cambria Math" w:eastAsia="Calibri" w:hAnsi="Cambria Math"/>
            </w:rPr>
            <w:br/>
          </m:r>
        </m:oMath>
      </m:oMathPara>
      <w:r w:rsidR="006571FF" w:rsidRPr="008817D0">
        <w:rPr>
          <w:rFonts w:eastAsia="Calibri"/>
        </w:rPr>
        <w:t>Where:</w:t>
      </w:r>
    </w:p>
    <w:p w14:paraId="2A8DA250" w14:textId="77777777" w:rsidR="006571FF" w:rsidRPr="00FA595A" w:rsidRDefault="006571FF" w:rsidP="006571FF">
      <w:pPr>
        <w:spacing w:after="240" w:line="300" w:lineRule="auto"/>
        <w:rPr>
          <w:rFonts w:eastAsia="Calibri"/>
          <w:i/>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32"/>
        <w:gridCol w:w="7668"/>
      </w:tblGrid>
      <w:tr w:rsidR="006571FF" w:rsidRPr="008817D0" w:rsidDel="00975002" w14:paraId="014E32D5" w14:textId="77777777" w:rsidTr="007172ED">
        <w:tc>
          <w:tcPr>
            <w:tcW w:w="1332" w:type="dxa"/>
          </w:tcPr>
          <w:p w14:paraId="16989F5F" w14:textId="77777777" w:rsidR="006571FF" w:rsidDel="00975002" w:rsidRDefault="006571FF" w:rsidP="007172ED">
            <w:pPr>
              <w:spacing w:after="240" w:line="300" w:lineRule="auto"/>
              <w:rPr>
                <w:rFonts w:ascii="Calibri" w:eastAsia="Calibri" w:hAnsi="Calibri" w:cs="Times New Roman"/>
                <w:i/>
                <w:color w:val="000000"/>
              </w:rPr>
            </w:pPr>
            <w:r>
              <w:rPr>
                <w:rFonts w:ascii="Calibri" w:eastAsia="Calibri" w:hAnsi="Calibri" w:cs="Times New Roman"/>
                <w:i/>
                <w:color w:val="000000"/>
              </w:rPr>
              <w:t>i</w:t>
            </w:r>
          </w:p>
        </w:tc>
        <w:tc>
          <w:tcPr>
            <w:tcW w:w="7668" w:type="dxa"/>
          </w:tcPr>
          <w:p w14:paraId="7826BDD9" w14:textId="77777777" w:rsidR="006571FF" w:rsidRPr="008817D0" w:rsidDel="00975002" w:rsidRDefault="006571FF" w:rsidP="007172ED">
            <w:pPr>
              <w:spacing w:after="240" w:line="300" w:lineRule="auto"/>
              <w:rPr>
                <w:rFonts w:eastAsia="Calibri"/>
              </w:rPr>
            </w:pPr>
            <w:r w:rsidRPr="00FA595A">
              <w:rPr>
                <w:rFonts w:eastAsia="Calibri"/>
              </w:rPr>
              <w:t>is the BAA index in the</w:t>
            </w:r>
            <w:r>
              <w:rPr>
                <w:rFonts w:eastAsia="Calibri"/>
              </w:rPr>
              <w:t xml:space="preserve"> WEIM A</w:t>
            </w:r>
            <w:r w:rsidRPr="00FA595A">
              <w:rPr>
                <w:rFonts w:eastAsia="Calibri"/>
              </w:rPr>
              <w:t>rea</w:t>
            </w:r>
            <w:r>
              <w:rPr>
                <w:rFonts w:eastAsia="Calibri"/>
              </w:rPr>
              <w:t>;</w:t>
            </w:r>
          </w:p>
        </w:tc>
      </w:tr>
      <w:tr w:rsidR="006571FF" w:rsidRPr="008817D0" w14:paraId="0F70AC26" w14:textId="77777777" w:rsidTr="007172ED">
        <w:tc>
          <w:tcPr>
            <w:tcW w:w="1332" w:type="dxa"/>
            <w:hideMark/>
          </w:tcPr>
          <w:p w14:paraId="3000D8BE" w14:textId="77777777" w:rsidR="006571FF" w:rsidRPr="00FA6B35" w:rsidRDefault="00461DCC"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oMath>
            </m:oMathPara>
          </w:p>
        </w:tc>
        <w:tc>
          <w:tcPr>
            <w:tcW w:w="7668" w:type="dxa"/>
            <w:hideMark/>
          </w:tcPr>
          <w:p w14:paraId="2B87AFD1"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up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r w:rsidRPr="008817D0">
              <w:rPr>
                <w:rFonts w:eastAsia="Calibri"/>
                <w:i/>
              </w:rPr>
              <w:t>i</w:t>
            </w:r>
            <w:r w:rsidRPr="008817D0">
              <w:rPr>
                <w:rFonts w:eastAsia="Calibri"/>
              </w:rPr>
              <w:t xml:space="preserve"> without diversity benefit;</w:t>
            </w:r>
            <w:r>
              <w:rPr>
                <w:rFonts w:eastAsia="Calibri"/>
              </w:rPr>
              <w:t xml:space="preserve"> this value is calculated using a histogram of historical net forecast error, see Market Operations BPM section 7.1.3 for more details;</w:t>
            </w:r>
          </w:p>
        </w:tc>
      </w:tr>
      <w:tr w:rsidR="006571FF" w:rsidRPr="008817D0" w14:paraId="30623B28" w14:textId="77777777" w:rsidTr="007172ED">
        <w:tc>
          <w:tcPr>
            <w:tcW w:w="1332" w:type="dxa"/>
            <w:hideMark/>
          </w:tcPr>
          <w:p w14:paraId="7088E703" w14:textId="77777777" w:rsidR="006571FF" w:rsidRPr="00FA6B35" w:rsidRDefault="00461DCC"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oMath>
            </m:oMathPara>
          </w:p>
        </w:tc>
        <w:tc>
          <w:tcPr>
            <w:tcW w:w="7668" w:type="dxa"/>
            <w:hideMark/>
          </w:tcPr>
          <w:p w14:paraId="4F133EEF"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down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r w:rsidRPr="008817D0">
              <w:rPr>
                <w:rFonts w:eastAsia="Calibri"/>
                <w:i/>
              </w:rPr>
              <w:t>i</w:t>
            </w:r>
            <w:r w:rsidRPr="008817D0">
              <w:rPr>
                <w:rFonts w:eastAsia="Calibri"/>
              </w:rPr>
              <w:t xml:space="preserve"> without diversity benefit</w:t>
            </w:r>
            <w:r>
              <w:rPr>
                <w:rFonts w:eastAsia="Calibri"/>
              </w:rPr>
              <w:t xml:space="preserve"> (negative)</w:t>
            </w:r>
            <w:r w:rsidRPr="008817D0">
              <w:rPr>
                <w:rFonts w:eastAsia="Calibri"/>
              </w:rPr>
              <w:t>;</w:t>
            </w:r>
            <w:r>
              <w:rPr>
                <w:rFonts w:eastAsia="Calibri"/>
              </w:rPr>
              <w:t xml:space="preserve"> this value is calculated using a histogram of historical net forecast error, see Market Operations BPM section 7.1.3 for more details;</w:t>
            </w:r>
          </w:p>
        </w:tc>
      </w:tr>
      <w:tr w:rsidR="006571FF" w:rsidRPr="008817D0" w14:paraId="5FF6DB4E" w14:textId="77777777" w:rsidTr="007172ED">
        <w:tc>
          <w:tcPr>
            <w:tcW w:w="1332" w:type="dxa"/>
            <w:hideMark/>
          </w:tcPr>
          <w:p w14:paraId="43842953" w14:textId="77777777" w:rsidR="006571FF" w:rsidRPr="00FA6B35" w:rsidRDefault="00461DCC"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FRUR'</m:t>
                    </m:r>
                  </m:e>
                  <m:sub>
                    <m:r>
                      <w:rPr>
                        <w:rFonts w:ascii="Cambria Math" w:eastAsia="Calibri" w:hAnsi="Cambria Math"/>
                        <w:color w:val="000000"/>
                      </w:rPr>
                      <m:t>i</m:t>
                    </m:r>
                  </m:sub>
                </m:sSub>
              </m:oMath>
            </m:oMathPara>
          </w:p>
        </w:tc>
        <w:tc>
          <w:tcPr>
            <w:tcW w:w="7668" w:type="dxa"/>
            <w:hideMark/>
          </w:tcPr>
          <w:p w14:paraId="40322D0B"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 xml:space="preserve">cumulative </w:t>
            </w:r>
            <w:r w:rsidRPr="008817D0">
              <w:rPr>
                <w:rFonts w:eastAsia="Calibri"/>
              </w:rPr>
              <w:t xml:space="preserve">flexible ramp </w:t>
            </w:r>
            <w:r>
              <w:rPr>
                <w:rFonts w:eastAsia="Calibri"/>
              </w:rPr>
              <w:t xml:space="preserve">up </w:t>
            </w:r>
            <w:r w:rsidRPr="008817D0">
              <w:rPr>
                <w:rFonts w:eastAsia="Calibri"/>
              </w:rPr>
              <w:t>requirement</w:t>
            </w:r>
            <w:r>
              <w:rPr>
                <w:rFonts w:eastAsia="Calibri"/>
              </w:rPr>
              <w:t xml:space="preserve"> from the last 15-minute interval of the current hour to a given 15-minute interval</w:t>
            </w:r>
            <w:r w:rsidRPr="008817D0">
              <w:rPr>
                <w:rFonts w:eastAsia="Calibri"/>
              </w:rPr>
              <w:t xml:space="preserve"> </w:t>
            </w:r>
            <w:r>
              <w:rPr>
                <w:rFonts w:eastAsia="Calibri"/>
              </w:rPr>
              <w:t xml:space="preserve">in the next hour </w:t>
            </w:r>
            <w:r w:rsidRPr="008817D0">
              <w:rPr>
                <w:rFonts w:eastAsia="Calibri"/>
              </w:rPr>
              <w:t>for</w:t>
            </w:r>
            <w:r>
              <w:rPr>
                <w:rFonts w:eastAsia="Calibri"/>
              </w:rPr>
              <w:t xml:space="preserve"> WEIM </w:t>
            </w:r>
            <w:r w:rsidRPr="008817D0">
              <w:rPr>
                <w:rFonts w:eastAsia="Calibri"/>
              </w:rPr>
              <w:t xml:space="preserve">Entity </w:t>
            </w:r>
            <w:r>
              <w:rPr>
                <w:rFonts w:eastAsia="Calibri"/>
                <w:i/>
              </w:rPr>
              <w:t>i</w:t>
            </w:r>
            <w:r>
              <w:rPr>
                <w:rFonts w:eastAsia="Calibri"/>
              </w:rPr>
              <w:t>;</w:t>
            </w:r>
            <w:r w:rsidRPr="008817D0">
              <w:rPr>
                <w:rFonts w:eastAsia="Calibri"/>
              </w:rPr>
              <w:t xml:space="preserve"> </w:t>
            </w:r>
            <w:r>
              <w:rPr>
                <w:rFonts w:eastAsia="Calibri"/>
              </w:rPr>
              <w:t xml:space="preserve">it includes the effects of WEIM </w:t>
            </w:r>
            <w:r w:rsidRPr="008817D0">
              <w:rPr>
                <w:rFonts w:eastAsia="Calibri"/>
              </w:rPr>
              <w:t>diversity benefit</w:t>
            </w:r>
            <w:r>
              <w:rPr>
                <w:rFonts w:eastAsia="Calibri"/>
              </w:rPr>
              <w:t xml:space="preserve"> and credit</w:t>
            </w:r>
            <w:r w:rsidRPr="008817D0">
              <w:rPr>
                <w:rFonts w:eastAsia="Calibri"/>
              </w:rPr>
              <w:t>;</w:t>
            </w:r>
          </w:p>
        </w:tc>
      </w:tr>
      <w:tr w:rsidR="006571FF" w:rsidRPr="008817D0" w14:paraId="3C9EFE79" w14:textId="77777777" w:rsidTr="007172ED">
        <w:tc>
          <w:tcPr>
            <w:tcW w:w="1332" w:type="dxa"/>
            <w:hideMark/>
          </w:tcPr>
          <w:p w14:paraId="1C483726" w14:textId="77777777" w:rsidR="006571FF" w:rsidRPr="00FA6B35" w:rsidRDefault="00461DCC" w:rsidP="007172ED">
            <w:pPr>
              <w:spacing w:after="240" w:line="300" w:lineRule="auto"/>
              <w:rPr>
                <w:rFonts w:eastAsia="Calibri"/>
              </w:rPr>
            </w:pPr>
            <m:oMathPara>
              <m:oMath>
                <m:sSub>
                  <m:sSubPr>
                    <m:ctrlPr>
                      <w:rPr>
                        <w:rFonts w:ascii="Cambria Math" w:hAnsi="Cambria Math"/>
                        <w:i/>
                        <w:color w:val="000000"/>
                      </w:rPr>
                    </m:ctrlPr>
                  </m:sSubPr>
                  <m:e>
                    <m:r>
                      <w:rPr>
                        <w:rFonts w:ascii="Cambria Math" w:eastAsia="Calibri" w:hAnsi="Cambria Math"/>
                        <w:color w:val="000000"/>
                      </w:rPr>
                      <m:t>FRDR'</m:t>
                    </m:r>
                  </m:e>
                  <m:sub>
                    <m:r>
                      <w:rPr>
                        <w:rFonts w:ascii="Cambria Math" w:eastAsia="Calibri" w:hAnsi="Cambria Math"/>
                        <w:color w:val="000000"/>
                      </w:rPr>
                      <m:t>i</m:t>
                    </m:r>
                  </m:sub>
                </m:sSub>
              </m:oMath>
            </m:oMathPara>
          </w:p>
        </w:tc>
        <w:tc>
          <w:tcPr>
            <w:tcW w:w="7668" w:type="dxa"/>
            <w:hideMark/>
          </w:tcPr>
          <w:p w14:paraId="1978714B"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 xml:space="preserve">cumulative </w:t>
            </w:r>
            <w:r w:rsidRPr="008817D0">
              <w:rPr>
                <w:rFonts w:eastAsia="Calibri"/>
              </w:rPr>
              <w:t xml:space="preserve">flexible ramp </w:t>
            </w:r>
            <w:r>
              <w:rPr>
                <w:rFonts w:eastAsia="Calibri"/>
              </w:rPr>
              <w:t xml:space="preserve">down </w:t>
            </w:r>
            <w:r w:rsidRPr="008817D0">
              <w:rPr>
                <w:rFonts w:eastAsia="Calibri"/>
              </w:rPr>
              <w:t>requirement</w:t>
            </w:r>
            <w:r>
              <w:rPr>
                <w:rFonts w:eastAsia="Calibri"/>
              </w:rPr>
              <w:t xml:space="preserve"> from the last 15-minute interval of the current hour to a given 15-minute interval</w:t>
            </w:r>
            <w:r w:rsidRPr="008817D0">
              <w:rPr>
                <w:rFonts w:eastAsia="Calibri"/>
              </w:rPr>
              <w:t xml:space="preserve"> </w:t>
            </w:r>
            <w:r>
              <w:rPr>
                <w:rFonts w:eastAsia="Calibri"/>
              </w:rPr>
              <w:t xml:space="preserve">in the next hour </w:t>
            </w:r>
            <w:r w:rsidRPr="008817D0">
              <w:rPr>
                <w:rFonts w:eastAsia="Calibri"/>
              </w:rPr>
              <w:t>for</w:t>
            </w:r>
            <w:r>
              <w:rPr>
                <w:rFonts w:eastAsia="Calibri"/>
              </w:rPr>
              <w:t xml:space="preserve"> WEIM </w:t>
            </w:r>
            <w:r w:rsidRPr="008817D0">
              <w:rPr>
                <w:rFonts w:eastAsia="Calibri"/>
              </w:rPr>
              <w:t xml:space="preserve">Entity </w:t>
            </w:r>
            <w:r>
              <w:rPr>
                <w:rFonts w:eastAsia="Calibri"/>
                <w:i/>
              </w:rPr>
              <w:t>i</w:t>
            </w:r>
            <w:r>
              <w:rPr>
                <w:rFonts w:eastAsia="Calibri"/>
              </w:rPr>
              <w:t>;</w:t>
            </w:r>
            <w:r w:rsidRPr="008817D0">
              <w:rPr>
                <w:rFonts w:eastAsia="Calibri"/>
              </w:rPr>
              <w:t xml:space="preserve"> </w:t>
            </w:r>
            <w:r>
              <w:rPr>
                <w:rFonts w:eastAsia="Calibri"/>
              </w:rPr>
              <w:t xml:space="preserve">it includes the effects of WEIM </w:t>
            </w:r>
            <w:r w:rsidRPr="008817D0">
              <w:rPr>
                <w:rFonts w:eastAsia="Calibri"/>
              </w:rPr>
              <w:t>diversity benefit</w:t>
            </w:r>
            <w:r>
              <w:rPr>
                <w:rFonts w:eastAsia="Calibri"/>
              </w:rPr>
              <w:t xml:space="preserve"> and credit</w:t>
            </w:r>
            <w:r w:rsidRPr="008817D0">
              <w:rPr>
                <w:rFonts w:eastAsia="Calibri"/>
              </w:rPr>
              <w:t>;</w:t>
            </w:r>
          </w:p>
        </w:tc>
      </w:tr>
      <w:tr w:rsidR="006571FF" w:rsidRPr="008817D0" w14:paraId="27F6DA3E" w14:textId="77777777" w:rsidTr="007172ED">
        <w:tc>
          <w:tcPr>
            <w:tcW w:w="1332" w:type="dxa"/>
          </w:tcPr>
          <w:p w14:paraId="3A953296" w14:textId="77777777" w:rsidR="006571FF" w:rsidRPr="000D30A8" w:rsidRDefault="006571FF" w:rsidP="007172ED">
            <w:pPr>
              <w:spacing w:after="240" w:line="300" w:lineRule="auto"/>
              <w:rPr>
                <w:rFonts w:ascii="Calibri" w:eastAsia="Calibri" w:hAnsi="Calibri" w:cs="Times New Roman"/>
                <w:color w:val="000000"/>
              </w:rPr>
            </w:pPr>
            <m:oMathPara>
              <m:oMathParaPr>
                <m:jc m:val="left"/>
              </m:oMathParaPr>
              <m:oMath>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D</m:t>
                    </m:r>
                  </m:e>
                  <m:sub>
                    <m:r>
                      <w:rPr>
                        <w:rFonts w:ascii="Cambria Math" w:eastAsia="Calibri" w:hAnsi="Cambria Math"/>
                        <w:color w:val="000000"/>
                      </w:rPr>
                      <m:t>i</m:t>
                    </m:r>
                  </m:sub>
                </m:sSub>
              </m:oMath>
            </m:oMathPara>
          </w:p>
        </w:tc>
        <w:tc>
          <w:tcPr>
            <w:tcW w:w="7668" w:type="dxa"/>
          </w:tcPr>
          <w:p w14:paraId="08C27B0A" w14:textId="4A256FE8" w:rsidR="006571FF" w:rsidRPr="008817D0" w:rsidRDefault="006571FF" w:rsidP="007172ED">
            <w:pPr>
              <w:spacing w:after="240" w:line="300" w:lineRule="auto"/>
              <w:rPr>
                <w:rFonts w:eastAsia="Calibri"/>
              </w:rPr>
            </w:pPr>
            <w:r>
              <w:rPr>
                <w:rFonts w:eastAsia="Calibri"/>
              </w:rPr>
              <w:t>is the change in the demand forecast from the last 15-minute interval of the current hour to a given 15-minute interval</w:t>
            </w:r>
            <w:r w:rsidRPr="008817D0">
              <w:rPr>
                <w:rFonts w:eastAsia="Calibri"/>
              </w:rPr>
              <w:t xml:space="preserve"> </w:t>
            </w:r>
            <w:r>
              <w:rPr>
                <w:rFonts w:eastAsia="Calibri"/>
              </w:rPr>
              <w:t xml:space="preserve">in the next hour </w:t>
            </w:r>
            <w:r w:rsidRPr="008817D0">
              <w:rPr>
                <w:rFonts w:eastAsia="Calibri"/>
              </w:rPr>
              <w:t>for</w:t>
            </w:r>
            <w:r>
              <w:rPr>
                <w:rFonts w:eastAsia="Calibri"/>
              </w:rPr>
              <w:t xml:space="preserve"> WEIM </w:t>
            </w:r>
            <w:r w:rsidRPr="008817D0">
              <w:rPr>
                <w:rFonts w:eastAsia="Calibri"/>
              </w:rPr>
              <w:t>Entity</w:t>
            </w:r>
            <w:r>
              <w:rPr>
                <w:rFonts w:eastAsia="Calibri"/>
              </w:rPr>
              <w:t xml:space="preserve"> </w:t>
            </w:r>
            <w:r>
              <w:rPr>
                <w:rFonts w:eastAsia="Calibri"/>
                <w:i/>
              </w:rPr>
              <w:t>I</w:t>
            </w:r>
            <w:r>
              <w:rPr>
                <w:rFonts w:eastAsia="Calibri"/>
              </w:rPr>
              <w:t>,</w:t>
            </w:r>
            <w:r>
              <w:rPr>
                <w:rFonts w:eastAsia="Calibri"/>
                <w:i/>
              </w:rPr>
              <w:t xml:space="preserve"> </w:t>
            </w:r>
            <w:r>
              <w:rPr>
                <w:rFonts w:eastAsia="Calibri"/>
              </w:rPr>
              <w:t xml:space="preserve"> including any non-participating DR entered and any adjustments made due to infeasibilities</w:t>
            </w:r>
            <w:r w:rsidRPr="008817D0">
              <w:rPr>
                <w:rFonts w:eastAsia="Calibri"/>
              </w:rPr>
              <w:t xml:space="preserve"> </w:t>
            </w:r>
            <w:r>
              <w:rPr>
                <w:rFonts w:eastAsia="Calibri"/>
              </w:rPr>
              <w:t>;</w:t>
            </w:r>
          </w:p>
        </w:tc>
      </w:tr>
      <w:tr w:rsidR="006571FF" w:rsidRPr="008817D0" w14:paraId="516CA0DB" w14:textId="77777777" w:rsidTr="007172ED">
        <w:tc>
          <w:tcPr>
            <w:tcW w:w="1332" w:type="dxa"/>
            <w:hideMark/>
          </w:tcPr>
          <w:p w14:paraId="441F4B6C" w14:textId="77777777" w:rsidR="006571FF" w:rsidRPr="000D0C70" w:rsidRDefault="00461DCC" w:rsidP="007172ED">
            <w:pPr>
              <w:spacing w:after="240" w:line="300" w:lineRule="auto"/>
              <w:rPr>
                <w:rFonts w:eastAsia="Calibr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NIC</m:t>
                    </m:r>
                  </m:e>
                  <m:sub>
                    <m:r>
                      <w:rPr>
                        <w:rFonts w:ascii="Cambria Math" w:eastAsia="Calibri" w:hAnsi="Cambria Math"/>
                        <w:color w:val="000000"/>
                      </w:rPr>
                      <m:t>i</m:t>
                    </m:r>
                  </m:sub>
                </m:sSub>
              </m:oMath>
            </m:oMathPara>
          </w:p>
        </w:tc>
        <w:tc>
          <w:tcPr>
            <w:tcW w:w="7668" w:type="dxa"/>
            <w:hideMark/>
          </w:tcPr>
          <w:p w14:paraId="7F9D5256" w14:textId="77777777" w:rsidR="006571FF" w:rsidRPr="008817D0" w:rsidRDefault="006571FF" w:rsidP="007172ED">
            <w:pPr>
              <w:spacing w:after="240" w:line="300" w:lineRule="auto"/>
              <w:rPr>
                <w:rFonts w:eastAsia="Calibri"/>
              </w:rPr>
            </w:pPr>
            <w:r w:rsidRPr="008817D0">
              <w:rPr>
                <w:rFonts w:eastAsia="Calibri"/>
              </w:rPr>
              <w:t xml:space="preserve">is the available net import </w:t>
            </w:r>
            <w:r>
              <w:rPr>
                <w:rFonts w:eastAsia="Calibri"/>
              </w:rPr>
              <w:t xml:space="preserve">transfer </w:t>
            </w:r>
            <w:r w:rsidRPr="008817D0">
              <w:rPr>
                <w:rFonts w:eastAsia="Calibri"/>
              </w:rPr>
              <w:t>capability of</w:t>
            </w:r>
            <w:r>
              <w:rPr>
                <w:rFonts w:eastAsia="Calibri"/>
              </w:rPr>
              <w:t xml:space="preserve"> WEIM </w:t>
            </w:r>
            <w:r w:rsidRPr="008817D0">
              <w:rPr>
                <w:rFonts w:eastAsia="Calibri"/>
              </w:rPr>
              <w:t xml:space="preserve">Entity </w:t>
            </w:r>
            <w:r w:rsidRPr="008817D0">
              <w:rPr>
                <w:rFonts w:eastAsia="Calibri"/>
                <w:i/>
              </w:rPr>
              <w:t>i</w:t>
            </w:r>
            <w:r w:rsidRPr="008817D0">
              <w:rPr>
                <w:rFonts w:eastAsia="Calibri"/>
              </w:rPr>
              <w:t xml:space="preserve"> </w:t>
            </w:r>
            <w:r>
              <w:rPr>
                <w:rFonts w:eastAsia="Calibri"/>
              </w:rPr>
              <w:t xml:space="preserve">at the last 15-minute interval of the current </w:t>
            </w:r>
            <w:r w:rsidRPr="008817D0">
              <w:rPr>
                <w:rFonts w:eastAsia="Calibri"/>
              </w:rPr>
              <w:t>hour</w:t>
            </w:r>
            <w:r>
              <w:rPr>
                <w:rFonts w:eastAsia="Calibri"/>
              </w:rPr>
              <w:t xml:space="preserve"> (negative)</w:t>
            </w:r>
            <w:r w:rsidRPr="008817D0">
              <w:rPr>
                <w:rFonts w:eastAsia="Calibri"/>
              </w:rPr>
              <w:t>;</w:t>
            </w:r>
          </w:p>
        </w:tc>
      </w:tr>
      <w:tr w:rsidR="006571FF" w:rsidRPr="008817D0" w14:paraId="65F576A7" w14:textId="77777777" w:rsidTr="007172ED">
        <w:tc>
          <w:tcPr>
            <w:tcW w:w="1332" w:type="dxa"/>
            <w:hideMark/>
          </w:tcPr>
          <w:p w14:paraId="4F63D5E3" w14:textId="77777777" w:rsidR="006571FF" w:rsidRPr="000D0C70" w:rsidRDefault="00461DCC" w:rsidP="007172ED">
            <w:pPr>
              <w:spacing w:after="240" w:line="300" w:lineRule="auto"/>
              <w:rPr>
                <w:rFonts w:eastAsia="Calibr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NEC</m:t>
                    </m:r>
                  </m:e>
                  <m:sub>
                    <m:r>
                      <w:rPr>
                        <w:rFonts w:ascii="Cambria Math" w:eastAsia="Calibri" w:hAnsi="Cambria Math"/>
                        <w:color w:val="000000"/>
                      </w:rPr>
                      <m:t>i</m:t>
                    </m:r>
                  </m:sub>
                </m:sSub>
              </m:oMath>
            </m:oMathPara>
          </w:p>
        </w:tc>
        <w:tc>
          <w:tcPr>
            <w:tcW w:w="7668" w:type="dxa"/>
            <w:hideMark/>
          </w:tcPr>
          <w:p w14:paraId="4411479F" w14:textId="77777777" w:rsidR="006571FF" w:rsidRPr="008817D0" w:rsidRDefault="006571FF" w:rsidP="007172ED">
            <w:pPr>
              <w:spacing w:after="240" w:line="300" w:lineRule="auto"/>
              <w:rPr>
                <w:rFonts w:eastAsia="Calibri"/>
              </w:rPr>
            </w:pPr>
            <w:r w:rsidRPr="008817D0">
              <w:rPr>
                <w:rFonts w:eastAsia="Calibri"/>
              </w:rPr>
              <w:t xml:space="preserve">is the available net </w:t>
            </w:r>
            <w:r>
              <w:rPr>
                <w:rFonts w:eastAsia="Calibri"/>
              </w:rPr>
              <w:t>ex</w:t>
            </w:r>
            <w:r w:rsidRPr="008817D0">
              <w:rPr>
                <w:rFonts w:eastAsia="Calibri"/>
              </w:rPr>
              <w:t xml:space="preserve">port </w:t>
            </w:r>
            <w:r>
              <w:rPr>
                <w:rFonts w:eastAsia="Calibri"/>
              </w:rPr>
              <w:t xml:space="preserve">transfer </w:t>
            </w:r>
            <w:r w:rsidRPr="008817D0">
              <w:rPr>
                <w:rFonts w:eastAsia="Calibri"/>
              </w:rPr>
              <w:t>capability of</w:t>
            </w:r>
            <w:r>
              <w:rPr>
                <w:rFonts w:eastAsia="Calibri"/>
              </w:rPr>
              <w:t xml:space="preserve"> WEIM </w:t>
            </w:r>
            <w:r w:rsidRPr="008817D0">
              <w:rPr>
                <w:rFonts w:eastAsia="Calibri"/>
              </w:rPr>
              <w:t xml:space="preserve">Entity </w:t>
            </w:r>
            <w:r w:rsidRPr="008817D0">
              <w:rPr>
                <w:rFonts w:eastAsia="Calibri"/>
                <w:i/>
              </w:rPr>
              <w:t>i</w:t>
            </w:r>
            <w:r w:rsidRPr="008817D0">
              <w:rPr>
                <w:rFonts w:eastAsia="Calibri"/>
              </w:rPr>
              <w:t xml:space="preserve"> </w:t>
            </w:r>
            <w:r>
              <w:rPr>
                <w:rFonts w:eastAsia="Calibri"/>
              </w:rPr>
              <w:t xml:space="preserve">at the last 15-minute interval of the current </w:t>
            </w:r>
            <w:r w:rsidRPr="008817D0">
              <w:rPr>
                <w:rFonts w:eastAsia="Calibri"/>
              </w:rPr>
              <w:t>hour</w:t>
            </w:r>
            <w:r>
              <w:rPr>
                <w:rFonts w:eastAsia="Calibri"/>
              </w:rPr>
              <w:t xml:space="preserve"> (positive)</w:t>
            </w:r>
            <w:r w:rsidRPr="008817D0">
              <w:rPr>
                <w:rFonts w:eastAsia="Calibri"/>
              </w:rPr>
              <w:t>;</w:t>
            </w:r>
          </w:p>
        </w:tc>
      </w:tr>
      <w:tr w:rsidR="006571FF" w:rsidRPr="008817D0" w14:paraId="635EC156" w14:textId="77777777" w:rsidTr="007172ED">
        <w:tc>
          <w:tcPr>
            <w:tcW w:w="1332" w:type="dxa"/>
          </w:tcPr>
          <w:p w14:paraId="14D5C0FC" w14:textId="77777777" w:rsidR="006571FF" w:rsidRPr="005D0E24" w:rsidRDefault="006571FF" w:rsidP="007172ED">
            <w:pPr>
              <w:spacing w:after="240" w:line="300" w:lineRule="auto"/>
              <w:rPr>
                <w:rFonts w:ascii="Calibri" w:eastAsia="Calibri" w:hAnsi="Calibri" w:cs="Times New Roman"/>
                <w:i/>
                <w:color w:val="000000"/>
              </w:rPr>
            </w:pPr>
            <w:r w:rsidRPr="005D0E24">
              <w:rPr>
                <w:rFonts w:ascii="Calibri" w:eastAsia="Calibri" w:hAnsi="Calibri" w:cs="Times New Roman"/>
                <w:i/>
                <w:color w:val="000000"/>
              </w:rPr>
              <w:t>FRUR</w:t>
            </w:r>
          </w:p>
        </w:tc>
        <w:tc>
          <w:tcPr>
            <w:tcW w:w="7668" w:type="dxa"/>
          </w:tcPr>
          <w:p w14:paraId="67592EA1"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up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the entire WEIM Area;</w:t>
            </w:r>
          </w:p>
        </w:tc>
      </w:tr>
      <w:tr w:rsidR="006571FF" w:rsidRPr="008817D0" w14:paraId="72AF6B44" w14:textId="77777777" w:rsidTr="007172ED">
        <w:tc>
          <w:tcPr>
            <w:tcW w:w="1332" w:type="dxa"/>
          </w:tcPr>
          <w:p w14:paraId="452BDAD5" w14:textId="77777777" w:rsidR="006571FF" w:rsidRPr="00D90237" w:rsidRDefault="006571FF" w:rsidP="007172ED">
            <w:pPr>
              <w:spacing w:after="240" w:line="300" w:lineRule="auto"/>
              <w:rPr>
                <w:rFonts w:ascii="Calibri" w:eastAsia="Calibri" w:hAnsi="Calibri" w:cs="Times New Roman"/>
                <w:i/>
                <w:color w:val="000000"/>
              </w:rPr>
            </w:pPr>
            <w:r w:rsidRPr="00D90237">
              <w:rPr>
                <w:rFonts w:ascii="Calibri" w:eastAsia="Calibri" w:hAnsi="Calibri" w:cs="Times New Roman"/>
                <w:i/>
                <w:color w:val="000000"/>
              </w:rPr>
              <w:t>FR</w:t>
            </w:r>
            <w:r>
              <w:rPr>
                <w:rFonts w:ascii="Calibri" w:eastAsia="Calibri" w:hAnsi="Calibri" w:cs="Times New Roman"/>
                <w:i/>
                <w:color w:val="000000"/>
              </w:rPr>
              <w:t>D</w:t>
            </w:r>
            <w:r w:rsidRPr="00D90237">
              <w:rPr>
                <w:rFonts w:ascii="Calibri" w:eastAsia="Calibri" w:hAnsi="Calibri" w:cs="Times New Roman"/>
                <w:i/>
                <w:color w:val="000000"/>
              </w:rPr>
              <w:t>R</w:t>
            </w:r>
          </w:p>
        </w:tc>
        <w:tc>
          <w:tcPr>
            <w:tcW w:w="7668" w:type="dxa"/>
          </w:tcPr>
          <w:p w14:paraId="3E76E802"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down uncertainty </w:t>
            </w:r>
            <w:r w:rsidRPr="008817D0">
              <w:rPr>
                <w:rFonts w:eastAsia="Calibri"/>
              </w:rPr>
              <w:t>requirement</w:t>
            </w:r>
            <w:r>
              <w:rPr>
                <w:rFonts w:eastAsia="Calibri"/>
              </w:rPr>
              <w:t xml:space="preserve"> for a given 15-minute interval in the next hour</w:t>
            </w:r>
            <w:r w:rsidRPr="008817D0">
              <w:rPr>
                <w:rFonts w:eastAsia="Calibri"/>
              </w:rPr>
              <w:t xml:space="preserve"> for</w:t>
            </w:r>
            <w:r>
              <w:rPr>
                <w:rFonts w:eastAsia="Calibri"/>
              </w:rPr>
              <w:t xml:space="preserve"> the entire WEIM Area (negative);</w:t>
            </w:r>
          </w:p>
        </w:tc>
      </w:tr>
      <w:tr w:rsidR="006571FF" w:rsidRPr="008817D0" w14:paraId="7E66A340" w14:textId="77777777" w:rsidTr="007172ED">
        <w:tc>
          <w:tcPr>
            <w:tcW w:w="1332" w:type="dxa"/>
            <w:hideMark/>
          </w:tcPr>
          <w:p w14:paraId="4EB3080A" w14:textId="77777777" w:rsidR="006571FF" w:rsidRPr="008817D0" w:rsidRDefault="006571FF" w:rsidP="007172ED">
            <w:pPr>
              <w:spacing w:after="240" w:line="300" w:lineRule="auto"/>
              <w:rPr>
                <w:rFonts w:eastAsia="Calibri"/>
                <w:i/>
              </w:rPr>
            </w:pPr>
            <w:r w:rsidRPr="008817D0">
              <w:rPr>
                <w:rFonts w:eastAsia="Calibri"/>
                <w:i/>
              </w:rPr>
              <w:t>TFR</w:t>
            </w:r>
            <w:r>
              <w:rPr>
                <w:rFonts w:eastAsia="Calibri"/>
                <w:i/>
              </w:rPr>
              <w:t>U</w:t>
            </w:r>
            <w:r w:rsidRPr="008817D0">
              <w:rPr>
                <w:rFonts w:eastAsia="Calibri"/>
                <w:i/>
              </w:rPr>
              <w:t>R</w:t>
            </w:r>
          </w:p>
        </w:tc>
        <w:tc>
          <w:tcPr>
            <w:tcW w:w="7668" w:type="dxa"/>
            <w:hideMark/>
          </w:tcPr>
          <w:p w14:paraId="454836AF"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sum of the</w:t>
            </w:r>
            <w:r w:rsidRPr="008817D0">
              <w:rPr>
                <w:rFonts w:eastAsia="Calibri"/>
              </w:rPr>
              <w:t xml:space="preserve"> flexible ramp </w:t>
            </w:r>
            <w:r>
              <w:rPr>
                <w:rFonts w:eastAsia="Calibri"/>
              </w:rPr>
              <w:t xml:space="preserve">up uncertainty </w:t>
            </w:r>
            <w:r w:rsidRPr="008817D0">
              <w:rPr>
                <w:rFonts w:eastAsia="Calibri"/>
              </w:rPr>
              <w:t>requirement</w:t>
            </w:r>
            <w:r>
              <w:rPr>
                <w:rFonts w:eastAsia="Calibri"/>
              </w:rPr>
              <w:t>s,</w:t>
            </w:r>
            <w:r w:rsidRPr="008817D0">
              <w:rPr>
                <w:rFonts w:eastAsia="Calibri"/>
              </w:rPr>
              <w:t xml:space="preserve"> </w:t>
            </w:r>
            <w:r>
              <w:rPr>
                <w:rFonts w:eastAsia="Calibri"/>
              </w:rPr>
              <w:t>including Power Balance Constraint adjustments, of all BAAs in the WEIM Area</w:t>
            </w:r>
            <w:r w:rsidRPr="008817D0">
              <w:rPr>
                <w:rFonts w:eastAsia="Calibri"/>
              </w:rPr>
              <w:t xml:space="preserve"> </w:t>
            </w:r>
            <w:r>
              <w:rPr>
                <w:rFonts w:eastAsia="Calibri"/>
              </w:rPr>
              <w:t>for a given 15-minute interval</w:t>
            </w:r>
            <w:r w:rsidRPr="008817D0">
              <w:rPr>
                <w:rFonts w:eastAsia="Calibri"/>
              </w:rPr>
              <w:t xml:space="preserve"> </w:t>
            </w:r>
            <w:r>
              <w:rPr>
                <w:rFonts w:eastAsia="Calibri"/>
              </w:rPr>
              <w:t>in the next hour</w:t>
            </w:r>
            <w:r w:rsidRPr="008817D0">
              <w:rPr>
                <w:rFonts w:eastAsia="Calibri"/>
              </w:rPr>
              <w:t>;</w:t>
            </w:r>
          </w:p>
        </w:tc>
      </w:tr>
      <w:tr w:rsidR="006571FF" w:rsidRPr="008817D0" w14:paraId="4BD32C38" w14:textId="77777777" w:rsidTr="007172ED">
        <w:tc>
          <w:tcPr>
            <w:tcW w:w="1332" w:type="dxa"/>
            <w:hideMark/>
          </w:tcPr>
          <w:p w14:paraId="4291B99F" w14:textId="77777777" w:rsidR="006571FF" w:rsidRPr="008817D0" w:rsidRDefault="006571FF" w:rsidP="007172ED">
            <w:pPr>
              <w:spacing w:after="240" w:line="300" w:lineRule="auto"/>
              <w:rPr>
                <w:rFonts w:eastAsia="Calibri"/>
                <w:i/>
              </w:rPr>
            </w:pPr>
            <w:r w:rsidRPr="008817D0">
              <w:rPr>
                <w:rFonts w:eastAsia="Calibri"/>
                <w:i/>
              </w:rPr>
              <w:t>TFR</w:t>
            </w:r>
            <w:r>
              <w:rPr>
                <w:rFonts w:eastAsia="Calibri"/>
                <w:i/>
              </w:rPr>
              <w:t>D</w:t>
            </w:r>
            <w:r w:rsidRPr="008817D0">
              <w:rPr>
                <w:rFonts w:eastAsia="Calibri"/>
                <w:i/>
              </w:rPr>
              <w:t>R</w:t>
            </w:r>
          </w:p>
        </w:tc>
        <w:tc>
          <w:tcPr>
            <w:tcW w:w="7668" w:type="dxa"/>
            <w:hideMark/>
          </w:tcPr>
          <w:p w14:paraId="6B8AEDD6"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sum of the</w:t>
            </w:r>
            <w:r w:rsidRPr="008817D0">
              <w:rPr>
                <w:rFonts w:eastAsia="Calibri"/>
              </w:rPr>
              <w:t xml:space="preserve"> flexible ramp </w:t>
            </w:r>
            <w:r>
              <w:rPr>
                <w:rFonts w:eastAsia="Calibri"/>
              </w:rPr>
              <w:t xml:space="preserve">down uncertainty </w:t>
            </w:r>
            <w:r w:rsidRPr="008817D0">
              <w:rPr>
                <w:rFonts w:eastAsia="Calibri"/>
              </w:rPr>
              <w:t>requirement</w:t>
            </w:r>
            <w:r>
              <w:rPr>
                <w:rFonts w:eastAsia="Calibri"/>
              </w:rPr>
              <w:t>s. Including Power Balance Constraint adjustments,</w:t>
            </w:r>
            <w:r w:rsidRPr="008817D0">
              <w:rPr>
                <w:rFonts w:eastAsia="Calibri"/>
              </w:rPr>
              <w:t xml:space="preserve"> </w:t>
            </w:r>
            <w:r>
              <w:rPr>
                <w:rFonts w:eastAsia="Calibri"/>
              </w:rPr>
              <w:t>of all BAAs in the WEIM Area</w:t>
            </w:r>
            <w:r w:rsidRPr="008817D0">
              <w:rPr>
                <w:rFonts w:eastAsia="Calibri"/>
              </w:rPr>
              <w:t xml:space="preserve"> </w:t>
            </w:r>
            <w:r>
              <w:rPr>
                <w:rFonts w:eastAsia="Calibri"/>
              </w:rPr>
              <w:t>for a given 15-minute interval</w:t>
            </w:r>
            <w:r w:rsidRPr="008817D0">
              <w:rPr>
                <w:rFonts w:eastAsia="Calibri"/>
              </w:rPr>
              <w:t xml:space="preserve"> </w:t>
            </w:r>
            <w:r>
              <w:rPr>
                <w:rFonts w:eastAsia="Calibri"/>
              </w:rPr>
              <w:t>in the next hour (negative)</w:t>
            </w:r>
            <w:r w:rsidRPr="008817D0">
              <w:rPr>
                <w:rFonts w:eastAsia="Calibri"/>
              </w:rPr>
              <w:t>;</w:t>
            </w:r>
          </w:p>
        </w:tc>
      </w:tr>
      <w:tr w:rsidR="006571FF" w:rsidRPr="008817D0" w14:paraId="406175ED" w14:textId="77777777" w:rsidTr="007172ED">
        <w:tc>
          <w:tcPr>
            <w:tcW w:w="1332" w:type="dxa"/>
            <w:hideMark/>
          </w:tcPr>
          <w:p w14:paraId="7F543562" w14:textId="77777777" w:rsidR="006571FF" w:rsidRPr="00596474" w:rsidRDefault="00461DCC" w:rsidP="007172ED">
            <w:pPr>
              <w:spacing w:after="240" w:line="300" w:lineRule="auto"/>
              <w:rPr>
                <w:rFonts w:eastAsia="Calibri"/>
                <w:i/>
              </w:rPr>
            </w:pPr>
            <m:oMathPara>
              <m:oMathParaPr>
                <m:jc m:val="left"/>
              </m:oMathParaPr>
              <m:oMath>
                <m:sSub>
                  <m:sSubPr>
                    <m:ctrlPr>
                      <w:rPr>
                        <w:rFonts w:ascii="Cambria Math" w:hAnsi="Cambria Math"/>
                        <w:i/>
                        <w:color w:val="000000"/>
                      </w:rPr>
                    </m:ctrlPr>
                  </m:sSubPr>
                  <m:e>
                    <m:r>
                      <w:rPr>
                        <w:rFonts w:ascii="Cambria Math" w:eastAsia="Calibri" w:hAnsi="Cambria Math"/>
                        <w:color w:val="000000"/>
                      </w:rPr>
                      <m:t>FRUC</m:t>
                    </m:r>
                  </m:e>
                  <m:sub>
                    <m:r>
                      <w:rPr>
                        <w:rFonts w:ascii="Cambria Math" w:eastAsia="Calibri" w:hAnsi="Cambria Math"/>
                        <w:color w:val="000000"/>
                      </w:rPr>
                      <m:t>i</m:t>
                    </m:r>
                  </m:sub>
                </m:sSub>
              </m:oMath>
            </m:oMathPara>
          </w:p>
        </w:tc>
        <w:tc>
          <w:tcPr>
            <w:tcW w:w="7668" w:type="dxa"/>
            <w:hideMark/>
          </w:tcPr>
          <w:p w14:paraId="5C90F706"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up </w:t>
            </w:r>
            <w:r w:rsidRPr="008817D0">
              <w:rPr>
                <w:rFonts w:eastAsia="Calibri"/>
              </w:rPr>
              <w:t xml:space="preserve">credit </w:t>
            </w:r>
            <w:r>
              <w:rPr>
                <w:rFonts w:eastAsia="Calibri"/>
              </w:rPr>
              <w:t>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r>
              <w:rPr>
                <w:rFonts w:eastAsia="Calibri"/>
                <w:i/>
              </w:rPr>
              <w:t>i</w:t>
            </w:r>
            <w:r>
              <w:rPr>
                <w:rFonts w:eastAsia="Calibri"/>
              </w:rPr>
              <w:t>,</w:t>
            </w:r>
            <w:r w:rsidRPr="008817D0">
              <w:rPr>
                <w:rFonts w:eastAsia="Calibri"/>
              </w:rPr>
              <w:t xml:space="preserve"> equal to the </w:t>
            </w:r>
            <w:r>
              <w:rPr>
                <w:rFonts w:eastAsia="Calibri"/>
              </w:rPr>
              <w:t xml:space="preserve">net WEIM export transfer at the last 15-minute interval of the current </w:t>
            </w:r>
            <w:r w:rsidRPr="008817D0">
              <w:rPr>
                <w:rFonts w:eastAsia="Calibri"/>
              </w:rPr>
              <w:t>hour</w:t>
            </w:r>
            <w:r>
              <w:rPr>
                <w:rFonts w:eastAsia="Calibri"/>
              </w:rPr>
              <w:t>; and</w:t>
            </w:r>
          </w:p>
        </w:tc>
      </w:tr>
      <w:tr w:rsidR="006571FF" w:rsidRPr="008817D0" w14:paraId="010A3CFD" w14:textId="77777777" w:rsidTr="007172ED">
        <w:tc>
          <w:tcPr>
            <w:tcW w:w="1332" w:type="dxa"/>
          </w:tcPr>
          <w:p w14:paraId="75F5C948" w14:textId="77777777" w:rsidR="006571FF" w:rsidRDefault="00461DCC" w:rsidP="007172ED">
            <w:pPr>
              <w:spacing w:after="240" w:line="300" w:lineRule="auto"/>
              <w:rPr>
                <w:rFonts w:ascii="Calibri" w:eastAsia="Calibri" w:hAnsi="Calibri" w:cs="Times New Roman"/>
                <w:color w:val="000000"/>
              </w:rPr>
            </w:pPr>
            <m:oMathPara>
              <m:oMath>
                <m:sSub>
                  <m:sSubPr>
                    <m:ctrlPr>
                      <w:rPr>
                        <w:rFonts w:ascii="Cambria Math" w:hAnsi="Cambria Math"/>
                        <w:i/>
                        <w:color w:val="000000"/>
                      </w:rPr>
                    </m:ctrlPr>
                  </m:sSubPr>
                  <m:e>
                    <m:r>
                      <w:rPr>
                        <w:rFonts w:ascii="Cambria Math" w:eastAsia="Calibri" w:hAnsi="Cambria Math"/>
                        <w:color w:val="000000"/>
                      </w:rPr>
                      <m:t>FRDC</m:t>
                    </m:r>
                  </m:e>
                  <m:sub>
                    <m:r>
                      <w:rPr>
                        <w:rFonts w:ascii="Cambria Math" w:eastAsia="Calibri" w:hAnsi="Cambria Math"/>
                        <w:color w:val="000000"/>
                      </w:rPr>
                      <m:t>i</m:t>
                    </m:r>
                  </m:sub>
                </m:sSub>
              </m:oMath>
            </m:oMathPara>
          </w:p>
        </w:tc>
        <w:tc>
          <w:tcPr>
            <w:tcW w:w="7668" w:type="dxa"/>
          </w:tcPr>
          <w:p w14:paraId="7137B43B" w14:textId="77777777" w:rsidR="006571FF" w:rsidRPr="008817D0" w:rsidRDefault="006571FF" w:rsidP="007172ED">
            <w:pPr>
              <w:spacing w:after="240" w:line="300" w:lineRule="auto"/>
              <w:rPr>
                <w:rFonts w:eastAsia="Calibri"/>
              </w:rPr>
            </w:pPr>
            <w:r w:rsidRPr="008817D0">
              <w:rPr>
                <w:rFonts w:eastAsia="Calibri"/>
              </w:rPr>
              <w:t xml:space="preserve">is the flexible ramp </w:t>
            </w:r>
            <w:r>
              <w:rPr>
                <w:rFonts w:eastAsia="Calibri"/>
              </w:rPr>
              <w:t xml:space="preserve">down </w:t>
            </w:r>
            <w:r w:rsidRPr="008817D0">
              <w:rPr>
                <w:rFonts w:eastAsia="Calibri"/>
              </w:rPr>
              <w:t xml:space="preserve">credit </w:t>
            </w:r>
            <w:r>
              <w:rPr>
                <w:rFonts w:eastAsia="Calibri"/>
              </w:rPr>
              <w:t>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r>
              <w:rPr>
                <w:rFonts w:eastAsia="Calibri"/>
                <w:i/>
              </w:rPr>
              <w:t>i</w:t>
            </w:r>
            <w:r>
              <w:rPr>
                <w:rFonts w:eastAsia="Calibri"/>
              </w:rPr>
              <w:t>,</w:t>
            </w:r>
            <w:r w:rsidRPr="008817D0">
              <w:rPr>
                <w:rFonts w:eastAsia="Calibri"/>
              </w:rPr>
              <w:t xml:space="preserve"> equal to the </w:t>
            </w:r>
            <w:r>
              <w:rPr>
                <w:rFonts w:eastAsia="Calibri"/>
              </w:rPr>
              <w:t xml:space="preserve">net WEIM import transfer at the last 15-minute interval of the current </w:t>
            </w:r>
            <w:r w:rsidRPr="008817D0">
              <w:rPr>
                <w:rFonts w:eastAsia="Calibri"/>
              </w:rPr>
              <w:t>hour</w:t>
            </w:r>
            <w:r>
              <w:rPr>
                <w:rFonts w:eastAsia="Calibri"/>
              </w:rPr>
              <w:t xml:space="preserve"> (negative).</w:t>
            </w:r>
          </w:p>
        </w:tc>
      </w:tr>
      <w:tr w:rsidR="006571FF" w:rsidRPr="008817D0" w14:paraId="4EF4D6D3" w14:textId="77777777" w:rsidTr="007172ED">
        <w:tc>
          <w:tcPr>
            <w:tcW w:w="1332" w:type="dxa"/>
          </w:tcPr>
          <w:p w14:paraId="00D26BA3" w14:textId="77777777" w:rsidR="006571FF" w:rsidRPr="002916A9" w:rsidRDefault="00461DCC" w:rsidP="007172ED">
            <w:pPr>
              <w:spacing w:after="240" w:line="300" w:lineRule="auto"/>
              <w:rPr>
                <w:rFonts w:ascii="Cambria Math" w:hAnsi="Cambria Math"/>
                <w:color w:val="000000"/>
                <w:oMath/>
              </w:rPr>
            </w:pPr>
            <m:oMathPara>
              <m:oMath>
                <m:sSub>
                  <m:sSubPr>
                    <m:ctrlPr>
                      <w:rPr>
                        <w:rFonts w:ascii="Cambria Math" w:hAnsi="Cambria Math"/>
                        <w:i/>
                        <w:color w:val="000000"/>
                      </w:rPr>
                    </m:ctrlPr>
                  </m:sSubPr>
                  <m:e>
                    <m:r>
                      <w:rPr>
                        <w:rFonts w:ascii="Cambria Math" w:hAnsi="Cambria Math"/>
                        <w:color w:val="000000"/>
                      </w:rPr>
                      <m:t>BRCUR</m:t>
                    </m:r>
                  </m:e>
                  <m:sub>
                    <m:r>
                      <w:rPr>
                        <w:rFonts w:ascii="Cambria Math" w:hAnsi="Cambria Math"/>
                        <w:color w:val="000000"/>
                      </w:rPr>
                      <m:t>i</m:t>
                    </m:r>
                  </m:sub>
                </m:sSub>
              </m:oMath>
            </m:oMathPara>
          </w:p>
        </w:tc>
        <w:tc>
          <w:tcPr>
            <w:tcW w:w="7668" w:type="dxa"/>
          </w:tcPr>
          <w:p w14:paraId="237808C3" w14:textId="1942E642" w:rsidR="006571FF" w:rsidRPr="008817D0" w:rsidRDefault="006571FF" w:rsidP="007172ED">
            <w:pPr>
              <w:spacing w:after="240" w:line="300" w:lineRule="auto"/>
              <w:rPr>
                <w:rFonts w:eastAsia="Calibri"/>
              </w:rPr>
            </w:pPr>
            <w:r w:rsidRPr="008817D0">
              <w:rPr>
                <w:rFonts w:eastAsia="Calibri"/>
              </w:rPr>
              <w:t>is the</w:t>
            </w:r>
            <w:r>
              <w:rPr>
                <w:rFonts w:eastAsia="Calibri"/>
              </w:rPr>
              <w:t xml:space="preserve"> bid range capacity up requirement</w:t>
            </w:r>
            <w:r w:rsidRPr="008817D0">
              <w:rPr>
                <w:rFonts w:eastAsia="Calibri"/>
              </w:rPr>
              <w:t xml:space="preserve"> </w:t>
            </w:r>
            <w:r>
              <w:rPr>
                <w:rFonts w:eastAsia="Calibri"/>
              </w:rPr>
              <w:t xml:space="preserve">for a given 15-minute interval in the next hour </w:t>
            </w:r>
            <w:r w:rsidRPr="008817D0">
              <w:rPr>
                <w:rFonts w:eastAsia="Calibri"/>
              </w:rPr>
              <w:t>for</w:t>
            </w:r>
            <w:r>
              <w:rPr>
                <w:rFonts w:eastAsia="Calibri"/>
              </w:rPr>
              <w:t xml:space="preserve"> WEIM </w:t>
            </w:r>
            <w:r w:rsidRPr="008817D0">
              <w:rPr>
                <w:rFonts w:eastAsia="Calibri"/>
              </w:rPr>
              <w:t xml:space="preserve">Entity </w:t>
            </w:r>
            <w:r>
              <w:rPr>
                <w:rFonts w:eastAsia="Calibri"/>
                <w:i/>
              </w:rPr>
              <w:t>i</w:t>
            </w:r>
            <w:r>
              <w:rPr>
                <w:rFonts w:eastAsia="Calibri"/>
              </w:rPr>
              <w:t>.</w:t>
            </w:r>
          </w:p>
        </w:tc>
      </w:tr>
      <w:tr w:rsidR="006571FF" w:rsidRPr="008817D0" w14:paraId="61A49B7A" w14:textId="77777777" w:rsidTr="007172ED">
        <w:tc>
          <w:tcPr>
            <w:tcW w:w="1332" w:type="dxa"/>
          </w:tcPr>
          <w:p w14:paraId="21E22DC4" w14:textId="77777777" w:rsidR="006571FF" w:rsidRPr="002916A9" w:rsidRDefault="00461DCC" w:rsidP="007172ED">
            <w:pPr>
              <w:spacing w:after="240" w:line="300" w:lineRule="auto"/>
              <w:rPr>
                <w:rFonts w:ascii="Cambria Math" w:hAnsi="Cambria Math"/>
                <w:color w:val="000000"/>
                <w:oMath/>
              </w:rPr>
            </w:pPr>
            <m:oMathPara>
              <m:oMath>
                <m:sSub>
                  <m:sSubPr>
                    <m:ctrlPr>
                      <w:rPr>
                        <w:rFonts w:ascii="Cambria Math" w:hAnsi="Cambria Math"/>
                        <w:i/>
                        <w:color w:val="000000"/>
                      </w:rPr>
                    </m:ctrlPr>
                  </m:sSubPr>
                  <m:e>
                    <m:r>
                      <w:rPr>
                        <w:rFonts w:ascii="Cambria Math" w:hAnsi="Cambria Math"/>
                        <w:color w:val="000000"/>
                      </w:rPr>
                      <m:t>BRCDR</m:t>
                    </m:r>
                  </m:e>
                  <m:sub>
                    <m:r>
                      <w:rPr>
                        <w:rFonts w:ascii="Cambria Math" w:hAnsi="Cambria Math"/>
                        <w:color w:val="000000"/>
                      </w:rPr>
                      <m:t>i</m:t>
                    </m:r>
                  </m:sub>
                </m:sSub>
              </m:oMath>
            </m:oMathPara>
          </w:p>
        </w:tc>
        <w:tc>
          <w:tcPr>
            <w:tcW w:w="7668" w:type="dxa"/>
          </w:tcPr>
          <w:p w14:paraId="7D02708C"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bid range capacity down requirement 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r>
              <w:rPr>
                <w:rFonts w:eastAsia="Calibri"/>
                <w:i/>
              </w:rPr>
              <w:t>i</w:t>
            </w:r>
            <w:r>
              <w:rPr>
                <w:rFonts w:eastAsia="Calibri"/>
              </w:rPr>
              <w:t>.</w:t>
            </w:r>
          </w:p>
        </w:tc>
      </w:tr>
      <w:tr w:rsidR="006571FF" w:rsidRPr="008817D0" w14:paraId="627E52A1" w14:textId="77777777" w:rsidTr="007172ED">
        <w:tc>
          <w:tcPr>
            <w:tcW w:w="1332" w:type="dxa"/>
          </w:tcPr>
          <w:p w14:paraId="02ED7177" w14:textId="77777777" w:rsidR="006571FF" w:rsidRPr="002916A9" w:rsidRDefault="00461DCC" w:rsidP="007172ED">
            <w:pPr>
              <w:spacing w:after="240" w:line="300" w:lineRule="auto"/>
              <w:rPr>
                <w:rFonts w:ascii="Cambria Math" w:hAnsi="Cambria Math"/>
                <w:color w:val="000000"/>
                <w:oMath/>
              </w:rPr>
            </w:pPr>
            <m:oMathPara>
              <m:oMath>
                <m:sSub>
                  <m:sSubPr>
                    <m:ctrlPr>
                      <w:rPr>
                        <w:rFonts w:ascii="Cambria Math" w:hAnsi="Cambria Math"/>
                        <w:i/>
                        <w:color w:val="000000"/>
                      </w:rPr>
                    </m:ctrlPr>
                  </m:sSubPr>
                  <m:e>
                    <m:r>
                      <w:rPr>
                        <w:rFonts w:ascii="Cambria Math" w:hAnsi="Cambria Math"/>
                        <w:color w:val="000000"/>
                      </w:rPr>
                      <m:t>DF</m:t>
                    </m:r>
                  </m:e>
                  <m:sub>
                    <m:r>
                      <w:rPr>
                        <w:rFonts w:ascii="Cambria Math" w:hAnsi="Cambria Math"/>
                        <w:color w:val="000000"/>
                      </w:rPr>
                      <m:t>i</m:t>
                    </m:r>
                  </m:sub>
                </m:sSub>
              </m:oMath>
            </m:oMathPara>
          </w:p>
        </w:tc>
        <w:tc>
          <w:tcPr>
            <w:tcW w:w="7668" w:type="dxa"/>
          </w:tcPr>
          <w:p w14:paraId="6A26830C" w14:textId="77777777" w:rsidR="006571FF" w:rsidRPr="008817D0" w:rsidRDefault="006571FF" w:rsidP="007172ED">
            <w:pPr>
              <w:spacing w:after="240" w:line="300" w:lineRule="auto"/>
              <w:rPr>
                <w:rFonts w:eastAsia="Calibri"/>
              </w:rPr>
            </w:pPr>
            <w:r w:rsidRPr="008817D0">
              <w:rPr>
                <w:rFonts w:eastAsia="Calibri"/>
              </w:rPr>
              <w:t xml:space="preserve">is the </w:t>
            </w:r>
            <w:r>
              <w:rPr>
                <w:rFonts w:eastAsia="Calibri"/>
              </w:rPr>
              <w:t>demand forecast</w:t>
            </w:r>
            <w:r w:rsidRPr="008817D0">
              <w:rPr>
                <w:rFonts w:eastAsia="Calibri"/>
              </w:rPr>
              <w:t xml:space="preserve"> </w:t>
            </w:r>
            <w:r>
              <w:rPr>
                <w:rFonts w:eastAsia="Calibri"/>
              </w:rPr>
              <w:t>for a given 15-minute interval in the next hour</w:t>
            </w:r>
            <w:r w:rsidRPr="008817D0">
              <w:rPr>
                <w:rFonts w:eastAsia="Calibri"/>
              </w:rPr>
              <w:t xml:space="preserve"> for</w:t>
            </w:r>
            <w:r>
              <w:rPr>
                <w:rFonts w:eastAsia="Calibri"/>
              </w:rPr>
              <w:t xml:space="preserve"> WEIM </w:t>
            </w:r>
            <w:r w:rsidRPr="008817D0">
              <w:rPr>
                <w:rFonts w:eastAsia="Calibri"/>
              </w:rPr>
              <w:t xml:space="preserve">Entity </w:t>
            </w:r>
            <w:r w:rsidRPr="00AA2984">
              <w:rPr>
                <w:rFonts w:eastAsia="Calibri"/>
                <w:i/>
              </w:rPr>
              <w:t>i</w:t>
            </w:r>
            <w:r>
              <w:rPr>
                <w:rFonts w:eastAsia="Calibri"/>
              </w:rPr>
              <w:t>.</w:t>
            </w:r>
          </w:p>
        </w:tc>
      </w:tr>
      <w:tr w:rsidR="006571FF" w:rsidRPr="008817D0" w14:paraId="3818941E" w14:textId="77777777" w:rsidTr="007172ED">
        <w:tc>
          <w:tcPr>
            <w:tcW w:w="1332" w:type="dxa"/>
          </w:tcPr>
          <w:p w14:paraId="2334D138" w14:textId="77777777" w:rsidR="006571FF" w:rsidRPr="002916A9" w:rsidRDefault="00461DCC" w:rsidP="007172ED">
            <w:pPr>
              <w:spacing w:after="240" w:line="300" w:lineRule="auto"/>
              <w:rPr>
                <w:rFonts w:ascii="Cambria Math" w:hAnsi="Cambria Math"/>
                <w:color w:val="000000"/>
                <w:oMath/>
              </w:rPr>
            </w:pPr>
            <m:oMathPara>
              <m:oMath>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rPr>
                          <m:t>BS</m:t>
                        </m:r>
                      </m:e>
                      <m:sub>
                        <m:r>
                          <w:rPr>
                            <w:rFonts w:ascii="Cambria Math" w:hAnsi="Cambria Math"/>
                            <w:color w:val="000000"/>
                          </w:rPr>
                          <m:t>i</m:t>
                        </m:r>
                      </m:sub>
                    </m:sSub>
                  </m:e>
                </m:nary>
              </m:oMath>
            </m:oMathPara>
          </w:p>
        </w:tc>
        <w:tc>
          <w:tcPr>
            <w:tcW w:w="7668" w:type="dxa"/>
          </w:tcPr>
          <w:p w14:paraId="3C4B05F2" w14:textId="22A6C712" w:rsidR="006571FF" w:rsidRDefault="006571FF" w:rsidP="007172ED">
            <w:pPr>
              <w:spacing w:after="240" w:line="300" w:lineRule="auto"/>
              <w:rPr>
                <w:rFonts w:eastAsia="Calibri"/>
              </w:rPr>
            </w:pPr>
            <w:r>
              <w:rPr>
                <w:rFonts w:eastAsia="Calibri"/>
              </w:rPr>
              <w:t xml:space="preserve">For WEIM Entity BAAs, this </w:t>
            </w:r>
            <w:r w:rsidRPr="008817D0">
              <w:rPr>
                <w:rFonts w:eastAsia="Calibri"/>
              </w:rPr>
              <w:t>is the</w:t>
            </w:r>
            <w:r>
              <w:rPr>
                <w:rFonts w:eastAsia="Calibri"/>
              </w:rPr>
              <w:t xml:space="preserve"> sum of all base schedules and net scheduled inter-change, in the next hour</w:t>
            </w:r>
            <w:r w:rsidRPr="008817D0">
              <w:rPr>
                <w:rFonts w:eastAsia="Calibri"/>
              </w:rPr>
              <w:t xml:space="preserve"> for</w:t>
            </w:r>
            <w:r>
              <w:rPr>
                <w:rFonts w:eastAsia="Calibri"/>
              </w:rPr>
              <w:t xml:space="preserve"> WEIM </w:t>
            </w:r>
            <w:r w:rsidRPr="008817D0">
              <w:rPr>
                <w:rFonts w:eastAsia="Calibri"/>
              </w:rPr>
              <w:t xml:space="preserve">Entity </w:t>
            </w:r>
            <w:r>
              <w:rPr>
                <w:rFonts w:eastAsia="Calibri"/>
                <w:i/>
              </w:rPr>
              <w:t>i</w:t>
            </w:r>
            <w:r>
              <w:rPr>
                <w:rFonts w:eastAsia="Calibri"/>
              </w:rPr>
              <w:t>,</w:t>
            </w:r>
            <w:r w:rsidRPr="008817D0">
              <w:rPr>
                <w:rFonts w:eastAsia="Calibri"/>
              </w:rPr>
              <w:t xml:space="preserve"> </w:t>
            </w:r>
            <w:r>
              <w:rPr>
                <w:rFonts w:eastAsia="Calibri"/>
              </w:rPr>
              <w:t>minus any applicable derates due to outages, or exceptional dispatches.</w:t>
            </w:r>
          </w:p>
          <w:p w14:paraId="252FDC06" w14:textId="0944A581" w:rsidR="006571FF" w:rsidRPr="008817D0" w:rsidRDefault="006571FF" w:rsidP="007172ED">
            <w:pPr>
              <w:spacing w:after="240" w:line="300" w:lineRule="auto"/>
              <w:rPr>
                <w:rFonts w:eastAsia="Calibri"/>
              </w:rPr>
            </w:pPr>
            <w:r>
              <w:rPr>
                <w:rFonts w:eastAsia="Calibri"/>
              </w:rPr>
              <w:t xml:space="preserve">For the CAISO BAA, this is the sum </w:t>
            </w:r>
            <w:r>
              <w:t>RUC Schedules, the HASP Advisory Schedules and HASP Intertie Block Schedules or the advisory FMM Schedules.</w:t>
            </w:r>
          </w:p>
        </w:tc>
      </w:tr>
      <w:tr w:rsidR="006571FF" w:rsidRPr="008817D0" w14:paraId="2DBD7377" w14:textId="77777777" w:rsidTr="007172ED">
        <w:tc>
          <w:tcPr>
            <w:tcW w:w="1332" w:type="dxa"/>
          </w:tcPr>
          <w:p w14:paraId="12626313" w14:textId="298E0D6C" w:rsidR="006571FF" w:rsidRDefault="006571FF" w:rsidP="007172ED">
            <w:pPr>
              <w:spacing w:after="240" w:line="300" w:lineRule="auto"/>
              <w:rPr>
                <w:rFonts w:ascii="Calibri" w:eastAsia="Calibri" w:hAnsi="Calibri" w:cs="Times New Roman"/>
                <w:color w:val="000000"/>
              </w:rPr>
            </w:pPr>
          </w:p>
        </w:tc>
        <w:tc>
          <w:tcPr>
            <w:tcW w:w="7668" w:type="dxa"/>
          </w:tcPr>
          <w:p w14:paraId="637F827A" w14:textId="4D333B23" w:rsidR="006571FF" w:rsidRPr="00692D8C" w:rsidRDefault="006571FF" w:rsidP="007172ED">
            <w:pPr>
              <w:spacing w:after="240" w:line="300" w:lineRule="auto"/>
              <w:rPr>
                <w:rFonts w:eastAsia="Calibri"/>
              </w:rPr>
            </w:pPr>
          </w:p>
        </w:tc>
      </w:tr>
      <w:tr w:rsidR="00FD1751" w:rsidRPr="008817D0" w14:paraId="188C7DB0"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0058B820" w14:textId="77777777" w:rsidR="00FD1751" w:rsidRPr="000D30A8" w:rsidRDefault="00FD1751" w:rsidP="007172ED">
            <w:pPr>
              <w:spacing w:after="240" w:line="300" w:lineRule="auto"/>
              <w:rPr>
                <w:rFonts w:ascii="Calibri" w:eastAsia="Calibri" w:hAnsi="Calibri" w:cs="Times New Roman"/>
                <w:color w:val="000000"/>
              </w:rPr>
            </w:pPr>
          </w:p>
        </w:tc>
        <w:tc>
          <w:tcPr>
            <w:tcW w:w="7668" w:type="dxa"/>
          </w:tcPr>
          <w:p w14:paraId="669C62F0" w14:textId="77777777" w:rsidR="00FD1751" w:rsidRPr="008817D0" w:rsidRDefault="00FD1751" w:rsidP="007172ED">
            <w:pPr>
              <w:spacing w:after="240" w:line="300" w:lineRule="auto"/>
              <w:rPr>
                <w:rFonts w:eastAsia="Calibri"/>
              </w:rPr>
            </w:pPr>
          </w:p>
        </w:tc>
      </w:tr>
      <w:tr w:rsidR="00FD1751" w:rsidRPr="008817D0" w14:paraId="7957383B"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60BE8B66" w14:textId="77777777" w:rsidR="00FD1751" w:rsidRPr="000D0C70" w:rsidRDefault="00FD1751" w:rsidP="007172ED">
            <w:pPr>
              <w:spacing w:after="240" w:line="300" w:lineRule="auto"/>
              <w:rPr>
                <w:rFonts w:eastAsia="Calibri"/>
              </w:rPr>
            </w:pPr>
          </w:p>
        </w:tc>
        <w:tc>
          <w:tcPr>
            <w:tcW w:w="7668" w:type="dxa"/>
          </w:tcPr>
          <w:p w14:paraId="08F6A651" w14:textId="77777777" w:rsidR="00FD1751" w:rsidRPr="008817D0" w:rsidRDefault="00FD1751" w:rsidP="007172ED">
            <w:pPr>
              <w:spacing w:after="240" w:line="300" w:lineRule="auto"/>
              <w:rPr>
                <w:rFonts w:eastAsia="Calibri"/>
              </w:rPr>
            </w:pPr>
          </w:p>
        </w:tc>
      </w:tr>
      <w:tr w:rsidR="00FD1751" w:rsidRPr="008817D0" w14:paraId="5B03406D"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2215223A" w14:textId="77777777" w:rsidR="00FD1751" w:rsidRPr="000D0C70" w:rsidRDefault="00FD1751" w:rsidP="007172ED">
            <w:pPr>
              <w:spacing w:after="240" w:line="300" w:lineRule="auto"/>
              <w:rPr>
                <w:rFonts w:eastAsia="Calibri"/>
              </w:rPr>
            </w:pPr>
          </w:p>
        </w:tc>
        <w:tc>
          <w:tcPr>
            <w:tcW w:w="7668" w:type="dxa"/>
          </w:tcPr>
          <w:p w14:paraId="1FCEC90A" w14:textId="77777777" w:rsidR="00FD1751" w:rsidRPr="008817D0" w:rsidRDefault="00FD1751" w:rsidP="007172ED">
            <w:pPr>
              <w:spacing w:after="240" w:line="300" w:lineRule="auto"/>
              <w:rPr>
                <w:rFonts w:eastAsia="Calibri"/>
              </w:rPr>
            </w:pPr>
          </w:p>
        </w:tc>
      </w:tr>
      <w:tr w:rsidR="00FD1751" w:rsidRPr="008817D0" w14:paraId="1E3DFAA8"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26CB6D7E" w14:textId="77777777" w:rsidR="00FD1751" w:rsidRPr="005D0E24" w:rsidRDefault="00FD1751" w:rsidP="007172ED">
            <w:pPr>
              <w:spacing w:after="240" w:line="300" w:lineRule="auto"/>
              <w:rPr>
                <w:rFonts w:ascii="Calibri" w:eastAsia="Calibri" w:hAnsi="Calibri" w:cs="Times New Roman"/>
                <w:i/>
                <w:color w:val="000000"/>
              </w:rPr>
            </w:pPr>
          </w:p>
        </w:tc>
        <w:tc>
          <w:tcPr>
            <w:tcW w:w="7668" w:type="dxa"/>
          </w:tcPr>
          <w:p w14:paraId="653430B8" w14:textId="77777777" w:rsidR="00FD1751" w:rsidRPr="008817D0" w:rsidRDefault="00FD1751" w:rsidP="007172ED">
            <w:pPr>
              <w:spacing w:after="240" w:line="300" w:lineRule="auto"/>
              <w:rPr>
                <w:rFonts w:eastAsia="Calibri"/>
              </w:rPr>
            </w:pPr>
          </w:p>
        </w:tc>
      </w:tr>
      <w:tr w:rsidR="00FD1751" w:rsidRPr="008817D0" w14:paraId="01459421"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4AC5C384" w14:textId="77777777" w:rsidR="00FD1751" w:rsidRPr="00D90237" w:rsidRDefault="00FD1751" w:rsidP="007172ED">
            <w:pPr>
              <w:spacing w:after="240" w:line="300" w:lineRule="auto"/>
              <w:rPr>
                <w:rFonts w:ascii="Calibri" w:eastAsia="Calibri" w:hAnsi="Calibri" w:cs="Times New Roman"/>
                <w:i/>
                <w:color w:val="000000"/>
              </w:rPr>
            </w:pPr>
          </w:p>
        </w:tc>
        <w:tc>
          <w:tcPr>
            <w:tcW w:w="7668" w:type="dxa"/>
          </w:tcPr>
          <w:p w14:paraId="1FEA798B" w14:textId="77777777" w:rsidR="00FD1751" w:rsidRPr="008817D0" w:rsidRDefault="00FD1751" w:rsidP="007172ED">
            <w:pPr>
              <w:spacing w:after="240" w:line="300" w:lineRule="auto"/>
              <w:rPr>
                <w:rFonts w:eastAsia="Calibri"/>
              </w:rPr>
            </w:pPr>
          </w:p>
        </w:tc>
      </w:tr>
      <w:tr w:rsidR="00FD1751" w:rsidRPr="008817D0" w14:paraId="4E830E95"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6550662A" w14:textId="77777777" w:rsidR="00FD1751" w:rsidRPr="008817D0" w:rsidRDefault="00FD1751" w:rsidP="007172ED">
            <w:pPr>
              <w:spacing w:after="240" w:line="300" w:lineRule="auto"/>
              <w:rPr>
                <w:rFonts w:eastAsia="Calibri"/>
                <w:i/>
              </w:rPr>
            </w:pPr>
          </w:p>
        </w:tc>
        <w:tc>
          <w:tcPr>
            <w:tcW w:w="7668" w:type="dxa"/>
          </w:tcPr>
          <w:p w14:paraId="586C5198" w14:textId="77777777" w:rsidR="00FD1751" w:rsidRPr="008817D0" w:rsidRDefault="00FD1751" w:rsidP="007172ED">
            <w:pPr>
              <w:spacing w:after="240" w:line="300" w:lineRule="auto"/>
              <w:rPr>
                <w:rFonts w:eastAsia="Calibri"/>
              </w:rPr>
            </w:pPr>
          </w:p>
        </w:tc>
      </w:tr>
      <w:tr w:rsidR="00FD1751" w:rsidRPr="008817D0" w14:paraId="232B6B51" w14:textId="77777777" w:rsidTr="00717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tcPr>
          <w:p w14:paraId="14D34638" w14:textId="77777777" w:rsidR="00FD1751" w:rsidRPr="008817D0" w:rsidRDefault="00FD1751" w:rsidP="007172ED">
            <w:pPr>
              <w:spacing w:after="240" w:line="300" w:lineRule="auto"/>
              <w:rPr>
                <w:rFonts w:eastAsia="Calibri"/>
                <w:i/>
              </w:rPr>
            </w:pPr>
          </w:p>
        </w:tc>
        <w:tc>
          <w:tcPr>
            <w:tcW w:w="7668" w:type="dxa"/>
          </w:tcPr>
          <w:p w14:paraId="08398EE4" w14:textId="77777777" w:rsidR="00FD1751" w:rsidRPr="008817D0" w:rsidRDefault="00FD1751" w:rsidP="007172ED">
            <w:pPr>
              <w:spacing w:after="240" w:line="300" w:lineRule="auto"/>
              <w:rPr>
                <w:rFonts w:eastAsia="Calibri"/>
              </w:rPr>
            </w:pPr>
          </w:p>
        </w:tc>
      </w:tr>
      <w:tr w:rsidR="00FD1751" w:rsidRPr="008817D0" w14:paraId="7167D8CA" w14:textId="77777777" w:rsidTr="00F4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1332" w:type="dxa"/>
          </w:tcPr>
          <w:p w14:paraId="53C0B587" w14:textId="77777777" w:rsidR="00FD1751" w:rsidRPr="00596474" w:rsidRDefault="00FD1751" w:rsidP="007172ED">
            <w:pPr>
              <w:spacing w:after="240" w:line="300" w:lineRule="auto"/>
              <w:rPr>
                <w:rFonts w:eastAsia="Calibri"/>
                <w:i/>
              </w:rPr>
            </w:pPr>
          </w:p>
        </w:tc>
        <w:tc>
          <w:tcPr>
            <w:tcW w:w="7668" w:type="dxa"/>
          </w:tcPr>
          <w:p w14:paraId="2300D13D" w14:textId="77777777" w:rsidR="00FD1751" w:rsidRPr="008817D0" w:rsidRDefault="00FD1751" w:rsidP="007172ED">
            <w:pPr>
              <w:spacing w:after="240" w:line="300" w:lineRule="auto"/>
              <w:rPr>
                <w:rFonts w:eastAsia="Calibri"/>
              </w:rPr>
            </w:pPr>
          </w:p>
        </w:tc>
      </w:tr>
      <w:tr w:rsidR="00FD1751" w:rsidRPr="008817D0" w14:paraId="4C5F9133" w14:textId="77777777" w:rsidTr="00FD1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1332" w:type="dxa"/>
          </w:tcPr>
          <w:p w14:paraId="37F4B019" w14:textId="77777777" w:rsidR="00FD1751" w:rsidRDefault="00FD1751" w:rsidP="007172ED">
            <w:pPr>
              <w:spacing w:after="240" w:line="300" w:lineRule="auto"/>
              <w:rPr>
                <w:rFonts w:ascii="Calibri" w:eastAsia="Calibri" w:hAnsi="Calibri" w:cs="Times New Roman"/>
                <w:color w:val="000000"/>
              </w:rPr>
            </w:pPr>
          </w:p>
        </w:tc>
        <w:tc>
          <w:tcPr>
            <w:tcW w:w="7668" w:type="dxa"/>
          </w:tcPr>
          <w:p w14:paraId="41148C85" w14:textId="77777777" w:rsidR="00FD1751" w:rsidRPr="008817D0" w:rsidRDefault="00FD1751" w:rsidP="007172ED">
            <w:pPr>
              <w:spacing w:after="240" w:line="300" w:lineRule="auto"/>
              <w:rPr>
                <w:rFonts w:eastAsia="Calibri"/>
              </w:rPr>
            </w:pPr>
          </w:p>
        </w:tc>
      </w:tr>
    </w:tbl>
    <w:p w14:paraId="095224ED" w14:textId="77777777" w:rsidR="006571FF" w:rsidRPr="008817D0" w:rsidRDefault="006571FF" w:rsidP="006571FF">
      <w:pPr>
        <w:spacing w:after="240" w:line="300" w:lineRule="auto"/>
        <w:rPr>
          <w:rFonts w:eastAsia="Calibri"/>
        </w:rPr>
      </w:pPr>
      <w:r w:rsidRPr="008817D0">
        <w:rPr>
          <w:rFonts w:eastAsia="Calibri"/>
        </w:rPr>
        <w:t>This requirement reflects a pro rata share of potential</w:t>
      </w:r>
      <w:r>
        <w:rPr>
          <w:rFonts w:eastAsia="Calibri"/>
        </w:rPr>
        <w:t xml:space="preserve"> WEIM D</w:t>
      </w:r>
      <w:r w:rsidRPr="008817D0">
        <w:rPr>
          <w:rFonts w:eastAsia="Calibri"/>
        </w:rPr>
        <w:t xml:space="preserve">iversity </w:t>
      </w:r>
      <w:r>
        <w:rPr>
          <w:rFonts w:eastAsia="Calibri"/>
        </w:rPr>
        <w:t>B</w:t>
      </w:r>
      <w:r w:rsidRPr="008817D0">
        <w:rPr>
          <w:rFonts w:eastAsia="Calibri"/>
        </w:rPr>
        <w:t>enefit and the flexible ramping credit, up to the available net import</w:t>
      </w:r>
      <w:r>
        <w:rPr>
          <w:rFonts w:eastAsia="Calibri"/>
        </w:rPr>
        <w:t>/export transfer</w:t>
      </w:r>
      <w:r w:rsidRPr="008817D0">
        <w:rPr>
          <w:rFonts w:eastAsia="Calibri"/>
        </w:rPr>
        <w:t xml:space="preserve"> capability. The</w:t>
      </w:r>
      <w:r>
        <w:rPr>
          <w:rFonts w:eastAsia="Calibri"/>
        </w:rPr>
        <w:t xml:space="preserve"> WEIM D</w:t>
      </w:r>
      <w:r w:rsidRPr="008817D0">
        <w:rPr>
          <w:rFonts w:eastAsia="Calibri"/>
        </w:rPr>
        <w:t xml:space="preserve">iversity </w:t>
      </w:r>
      <w:r>
        <w:rPr>
          <w:rFonts w:eastAsia="Calibri"/>
        </w:rPr>
        <w:t>B</w:t>
      </w:r>
      <w:r w:rsidRPr="008817D0">
        <w:rPr>
          <w:rFonts w:eastAsia="Calibri"/>
        </w:rPr>
        <w:t>enefit is the difference between the sum of the individual flexible ramping requirements of each BAA in the</w:t>
      </w:r>
      <w:r>
        <w:rPr>
          <w:rFonts w:eastAsia="Calibri"/>
        </w:rPr>
        <w:t xml:space="preserve"> WEIM </w:t>
      </w:r>
      <w:r w:rsidRPr="008817D0">
        <w:rPr>
          <w:rFonts w:eastAsia="Calibri"/>
        </w:rPr>
        <w:t>Area and the flexible ramping requirement for the entire</w:t>
      </w:r>
      <w:r>
        <w:rPr>
          <w:rFonts w:eastAsia="Calibri"/>
        </w:rPr>
        <w:t xml:space="preserve"> WEIM </w:t>
      </w:r>
      <w:r w:rsidRPr="008817D0">
        <w:rPr>
          <w:rFonts w:eastAsia="Calibri"/>
        </w:rPr>
        <w:t>Area taken as a whole.</w:t>
      </w:r>
    </w:p>
    <w:p w14:paraId="2F5F51F2" w14:textId="77777777" w:rsidR="006571FF" w:rsidRPr="008817D0" w:rsidRDefault="006571FF" w:rsidP="006571FF">
      <w:pPr>
        <w:spacing w:after="240" w:line="300" w:lineRule="auto"/>
        <w:rPr>
          <w:rFonts w:eastAsia="Calibri"/>
        </w:rPr>
      </w:pPr>
      <w:r w:rsidRPr="008817D0">
        <w:rPr>
          <w:rFonts w:eastAsia="Calibri"/>
        </w:rPr>
        <w:t xml:space="preserve">The </w:t>
      </w:r>
      <w:r>
        <w:rPr>
          <w:rFonts w:eastAsia="Calibri"/>
        </w:rPr>
        <w:t>CAISO</w:t>
      </w:r>
      <w:r w:rsidRPr="008817D0">
        <w:rPr>
          <w:rFonts w:eastAsia="Calibri"/>
        </w:rPr>
        <w:t xml:space="preserve"> will perform a series of flexible ramping constraint sufficiency tests prior to </w:t>
      </w:r>
      <w:r>
        <w:rPr>
          <w:rFonts w:eastAsia="Calibri"/>
        </w:rPr>
        <w:t>each hour</w:t>
      </w:r>
      <w:r w:rsidRPr="008817D0">
        <w:rPr>
          <w:rFonts w:eastAsia="Calibri"/>
        </w:rPr>
        <w:t>.  The</w:t>
      </w:r>
      <w:r>
        <w:rPr>
          <w:rFonts w:eastAsia="Calibri"/>
        </w:rPr>
        <w:t xml:space="preserve"> WEIM </w:t>
      </w:r>
      <w:r w:rsidRPr="008817D0">
        <w:rPr>
          <w:rFonts w:eastAsia="Calibri"/>
        </w:rPr>
        <w:t>Entity Scheduling Coordinator will ha</w:t>
      </w:r>
      <w:r>
        <w:rPr>
          <w:rFonts w:eastAsia="Calibri"/>
        </w:rPr>
        <w:t>ve an opportunity to re-submit Base S</w:t>
      </w:r>
      <w:r w:rsidRPr="008817D0">
        <w:rPr>
          <w:rFonts w:eastAsia="Calibri"/>
        </w:rPr>
        <w:t xml:space="preserve">chedules if it fails the flexible ramping constraint sufficiency test or to resolve congestion up to </w:t>
      </w:r>
      <w:r w:rsidRPr="008817D0">
        <w:rPr>
          <w:rFonts w:eastAsia="Calibri"/>
        </w:rPr>
        <w:lastRenderedPageBreak/>
        <w:t>40 minutes prior to the operating hour, which is just before the start of the first financially binding</w:t>
      </w:r>
      <w:r>
        <w:rPr>
          <w:rFonts w:eastAsia="Calibri"/>
        </w:rPr>
        <w:t xml:space="preserve"> WEIM </w:t>
      </w:r>
      <w:r w:rsidRPr="008817D0">
        <w:rPr>
          <w:rFonts w:eastAsia="Calibri"/>
        </w:rPr>
        <w:t>15-minute market for the operating hour.</w:t>
      </w:r>
      <w:r w:rsidRPr="00883639">
        <w:rPr>
          <w:rFonts w:eastAsia="Calibri"/>
        </w:rPr>
        <w:t xml:space="preserve"> </w:t>
      </w:r>
      <w:r>
        <w:rPr>
          <w:rFonts w:eastAsia="Calibri"/>
        </w:rPr>
        <w:t>Thresholds are developed by the CAISO to cap the flexible ramp up and down uncertainty requirements to within historical bounds.</w:t>
      </w:r>
    </w:p>
    <w:p w14:paraId="76D76D14" w14:textId="77777777" w:rsidR="006571FF" w:rsidRPr="008817D0" w:rsidRDefault="006571FF" w:rsidP="006571FF">
      <w:pPr>
        <w:spacing w:after="240" w:line="300" w:lineRule="auto"/>
        <w:rPr>
          <w:rFonts w:eastAsia="Calibri"/>
        </w:rPr>
      </w:pPr>
      <w:r w:rsidRPr="008817D0">
        <w:rPr>
          <w:rFonts w:eastAsia="Calibri"/>
        </w:rPr>
        <w:t>The flexible ramp</w:t>
      </w:r>
      <w:r>
        <w:rPr>
          <w:rFonts w:eastAsia="Calibri"/>
        </w:rPr>
        <w:t>ing</w:t>
      </w:r>
      <w:r w:rsidRPr="008817D0">
        <w:rPr>
          <w:rFonts w:eastAsia="Calibri"/>
        </w:rPr>
        <w:t xml:space="preserve"> sufficiency test is performed for each</w:t>
      </w:r>
      <w:r>
        <w:rPr>
          <w:rFonts w:eastAsia="Calibri"/>
        </w:rPr>
        <w:t xml:space="preserve"> WEIM </w:t>
      </w:r>
      <w:r w:rsidRPr="008817D0">
        <w:rPr>
          <w:rFonts w:eastAsia="Calibri"/>
        </w:rPr>
        <w:t xml:space="preserve">Entity BAA after T-75’, T-55’, and T-40’ for the trading hour starting at T. The test uses </w:t>
      </w:r>
      <w:r>
        <w:rPr>
          <w:rFonts w:eastAsia="Calibri"/>
        </w:rPr>
        <w:t>the initial schedules at T-7.5’</w:t>
      </w:r>
      <w:r w:rsidRPr="0013659F">
        <w:rPr>
          <w:rFonts w:eastAsia="Calibri"/>
        </w:rPr>
        <w:t>, variable energy resource (VER) forecast,</w:t>
      </w:r>
      <w:r>
        <w:rPr>
          <w:rFonts w:eastAsia="Calibri"/>
        </w:rPr>
        <w:t xml:space="preserve"> WEIM </w:t>
      </w:r>
      <w:r w:rsidRPr="0013659F">
        <w:rPr>
          <w:rFonts w:eastAsia="Calibri"/>
        </w:rPr>
        <w:t>resources energy bids, ramp rates, manual dispatch constraints and operational de</w:t>
      </w:r>
      <w:r>
        <w:rPr>
          <w:rFonts w:eastAsia="Calibri"/>
        </w:rPr>
        <w:t>-</w:t>
      </w:r>
      <w:r w:rsidRPr="0013659F">
        <w:rPr>
          <w:rFonts w:eastAsia="Calibri"/>
        </w:rPr>
        <w:t>rates. Since the VER forecast information is updated every five minutes, it is possible that VER forecast may change between the three flex ramp sufficiency tests. The VER forecast information is held fixed at the T-55’, and T-40’ such that the updated VER forecast information at T-55 is used for the T-40 flex ramp sufficiency test.</w:t>
      </w:r>
    </w:p>
    <w:p w14:paraId="41809300" w14:textId="77777777" w:rsidR="006571FF" w:rsidRPr="008817D0" w:rsidRDefault="006571FF" w:rsidP="006571FF">
      <w:pPr>
        <w:spacing w:after="240" w:line="300" w:lineRule="auto"/>
        <w:rPr>
          <w:rFonts w:eastAsia="Calibri"/>
        </w:rPr>
      </w:pPr>
      <w:r w:rsidRPr="008817D0">
        <w:rPr>
          <w:rFonts w:eastAsia="Calibri"/>
        </w:rPr>
        <w:t>The test for meeting flexible ramp requirements is cumulative for each 15' interval of the hour.</w:t>
      </w:r>
      <w:r>
        <w:rPr>
          <w:rFonts w:eastAsia="Calibri"/>
        </w:rPr>
        <w:t xml:space="preserve"> More specifically, for each interval, the flexible ramp requirement is the sum of the demand forecast change from T-7.5’ to the relevant interval plus the flexible ramp uncertainty requirement for that interval. </w:t>
      </w:r>
      <w:r>
        <w:t>Since the load forecast information may be updated between the three flex ramp sufficiency test, load forecast information used to calculate the net load movement is held fixed at the T-55’, and T-40’ such that the updated load forecast information at T-55 is used for the T-40 flex ramp sufficiency test. The net requirement for the flex ramp sufficiency test includes the effects of WEIM diversity and credit, and it is calculated as</w:t>
      </w:r>
      <w:r>
        <w:rPr>
          <w:rFonts w:eastAsia="Calibri"/>
        </w:rPr>
        <w:t>:</w:t>
      </w:r>
    </w:p>
    <w:p w14:paraId="7C942EDA" w14:textId="77777777"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15' ramp from T−7.5' to T+7.5' (1st 15' interval)</w:t>
      </w:r>
    </w:p>
    <w:p w14:paraId="5BD668D0" w14:textId="77777777"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30' ramp from T−7.5' to T+22.5' (2nd 15' interval)</w:t>
      </w:r>
    </w:p>
    <w:p w14:paraId="4B7FEB13" w14:textId="77777777"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45' ramp from T−7.5' to T+37.5' (3rd 15' interval)</w:t>
      </w:r>
    </w:p>
    <w:p w14:paraId="056A06E1" w14:textId="41708202" w:rsidR="006571FF" w:rsidRPr="00877DDB" w:rsidRDefault="006571FF" w:rsidP="006571FF">
      <w:pPr>
        <w:pStyle w:val="ListParagraph"/>
        <w:numPr>
          <w:ilvl w:val="0"/>
          <w:numId w:val="70"/>
        </w:numPr>
        <w:spacing w:after="240" w:line="300" w:lineRule="auto"/>
        <w:rPr>
          <w:rFonts w:eastAsia="Calibri"/>
        </w:rPr>
      </w:pPr>
      <w:r w:rsidRPr="00877DDB">
        <w:rPr>
          <w:rFonts w:eastAsia="Calibri"/>
        </w:rPr>
        <w:t>60' ramp from T−7.5' to T+52.5' (4th 15' interval</w:t>
      </w:r>
    </w:p>
    <w:p w14:paraId="4F96AA72" w14:textId="77777777" w:rsidR="006571FF" w:rsidRPr="005860DE" w:rsidRDefault="006571FF" w:rsidP="006571FF">
      <w:pPr>
        <w:spacing w:after="240" w:line="300" w:lineRule="auto"/>
        <w:rPr>
          <w:rFonts w:eastAsia="Calibri"/>
        </w:rPr>
      </w:pPr>
      <w:r w:rsidRPr="008817D0">
        <w:rPr>
          <w:rFonts w:eastAsia="Calibri"/>
        </w:rPr>
        <w:t>The test passes if all four cumulative tests pass; the test fails if any of the four cumulative tests fail.</w:t>
      </w:r>
    </w:p>
    <w:p w14:paraId="6215C6E8" w14:textId="77777777" w:rsidR="006571FF" w:rsidRPr="008817D0" w:rsidRDefault="006571FF" w:rsidP="006571FF">
      <w:pPr>
        <w:spacing w:line="300" w:lineRule="auto"/>
        <w:rPr>
          <w:rFonts w:eastAsia="Calibri"/>
        </w:rPr>
      </w:pPr>
      <w:r w:rsidRPr="008817D0">
        <w:rPr>
          <w:rFonts w:eastAsia="Calibri"/>
        </w:rPr>
        <w:t xml:space="preserve">In </w:t>
      </w:r>
      <w:r>
        <w:rPr>
          <w:rFonts w:eastAsia="Calibri"/>
        </w:rPr>
        <w:t>Fifteen Minute Market and RTD</w:t>
      </w:r>
      <w:r w:rsidRPr="008817D0">
        <w:rPr>
          <w:rFonts w:eastAsia="Calibri"/>
        </w:rPr>
        <w:t>, the flexible ramping capacity requirement constraints for the CAISO BAA, each</w:t>
      </w:r>
      <w:r>
        <w:rPr>
          <w:rFonts w:eastAsia="Calibri"/>
        </w:rPr>
        <w:t xml:space="preserve"> WEIM </w:t>
      </w:r>
      <w:r w:rsidRPr="008817D0">
        <w:rPr>
          <w:rFonts w:eastAsia="Calibri"/>
        </w:rPr>
        <w:t>Entity BAA, and the total</w:t>
      </w:r>
      <w:r>
        <w:rPr>
          <w:rFonts w:eastAsia="Calibri"/>
        </w:rPr>
        <w:t xml:space="preserve"> WEIM </w:t>
      </w:r>
      <w:r w:rsidRPr="008817D0">
        <w:rPr>
          <w:rFonts w:eastAsia="Calibri"/>
        </w:rPr>
        <w:t>footprint must be enforced:</w:t>
      </w:r>
    </w:p>
    <w:p w14:paraId="787C96E8" w14:textId="318D21B8" w:rsidR="006571FF" w:rsidRPr="00505DCA" w:rsidRDefault="006571FF" w:rsidP="006571FF">
      <w:pPr>
        <w:numPr>
          <w:ilvl w:val="0"/>
          <w:numId w:val="10"/>
        </w:numPr>
        <w:rPr>
          <w:rFonts w:eastAsia="Calibri"/>
        </w:rPr>
      </w:pPr>
      <w:r w:rsidRPr="00505DCA">
        <w:rPr>
          <w:rFonts w:eastAsia="Calibri"/>
        </w:rPr>
        <w:lastRenderedPageBreak/>
        <w:t>If the</w:t>
      </w:r>
      <w:r>
        <w:rPr>
          <w:rFonts w:eastAsia="Calibri"/>
        </w:rPr>
        <w:t xml:space="preserve"> WEIM </w:t>
      </w:r>
      <w:r w:rsidRPr="00505DCA">
        <w:rPr>
          <w:rFonts w:eastAsia="Calibri"/>
        </w:rPr>
        <w:t xml:space="preserve">Entity </w:t>
      </w:r>
      <w:r>
        <w:rPr>
          <w:rFonts w:eastAsia="Calibri"/>
        </w:rPr>
        <w:t xml:space="preserve">or CAISO </w:t>
      </w:r>
      <w:r w:rsidRPr="00505DCA">
        <w:rPr>
          <w:rFonts w:eastAsia="Calibri"/>
        </w:rPr>
        <w:t xml:space="preserve">BAA fails the </w:t>
      </w:r>
      <w:r>
        <w:rPr>
          <w:rFonts w:eastAsia="Calibri"/>
        </w:rPr>
        <w:t>flexible</w:t>
      </w:r>
      <w:r w:rsidRPr="00505DCA">
        <w:rPr>
          <w:rFonts w:eastAsia="Calibri"/>
        </w:rPr>
        <w:t xml:space="preserve"> ramp </w:t>
      </w:r>
      <w:r>
        <w:rPr>
          <w:rFonts w:eastAsia="Calibri"/>
        </w:rPr>
        <w:t xml:space="preserve">up sufficiency </w:t>
      </w:r>
      <w:r w:rsidRPr="00505DCA">
        <w:rPr>
          <w:rFonts w:eastAsia="Calibri"/>
        </w:rPr>
        <w:t xml:space="preserve">test </w:t>
      </w:r>
      <w:r w:rsidRPr="00B23B50">
        <w:t>or</w:t>
      </w:r>
      <w:r>
        <w:t xml:space="preserve"> fails</w:t>
      </w:r>
      <w:r w:rsidRPr="00B23B50">
        <w:t xml:space="preserve"> the </w:t>
      </w:r>
      <w:r>
        <w:t xml:space="preserve">over </w:t>
      </w:r>
      <w:r w:rsidRPr="00B23B50">
        <w:t>capacity (resource plan) test</w:t>
      </w:r>
      <w:r>
        <w:t xml:space="preserve"> in a 15-minute interval</w:t>
      </w:r>
      <w:r w:rsidRPr="00505DCA">
        <w:rPr>
          <w:rFonts w:eastAsia="Calibri"/>
        </w:rPr>
        <w:t xml:space="preserve">, </w:t>
      </w:r>
      <w:r>
        <w:rPr>
          <w:rFonts w:eastAsia="Calibri"/>
        </w:rPr>
        <w:t>the WEIM Transfer in that interval will be</w:t>
      </w:r>
      <w:r w:rsidRPr="00577EB4">
        <w:rPr>
          <w:rFonts w:eastAsia="Calibri"/>
        </w:rPr>
        <w:t xml:space="preserve"> bound</w:t>
      </w:r>
      <w:r>
        <w:rPr>
          <w:rFonts w:eastAsia="Calibri"/>
        </w:rPr>
        <w:t>ed as specified in Section 11.3.2</w:t>
      </w:r>
      <w:r w:rsidRPr="00505DCA">
        <w:rPr>
          <w:rFonts w:eastAsia="Calibri"/>
        </w:rPr>
        <w:t xml:space="preserve">. </w:t>
      </w:r>
      <w:r w:rsidR="00153940">
        <w:rPr>
          <w:rFonts w:eastAsia="Calibri"/>
        </w:rPr>
        <w:t xml:space="preserve"> </w:t>
      </w:r>
      <w:r>
        <w:rPr>
          <w:rFonts w:eastAsia="Calibri"/>
        </w:rPr>
        <w:t>Furthermore, t</w:t>
      </w:r>
      <w:r w:rsidRPr="00505DCA">
        <w:rPr>
          <w:rFonts w:eastAsia="Calibri"/>
        </w:rPr>
        <w:t>he CAISO will enforce the individual</w:t>
      </w:r>
      <w:r>
        <w:rPr>
          <w:rFonts w:eastAsia="Calibri"/>
        </w:rPr>
        <w:t xml:space="preserve"> WEIM </w:t>
      </w:r>
      <w:r w:rsidRPr="00505DCA">
        <w:rPr>
          <w:rFonts w:eastAsia="Calibri"/>
        </w:rPr>
        <w:t xml:space="preserve">Entity BAA flexible ramp </w:t>
      </w:r>
      <w:r>
        <w:rPr>
          <w:rFonts w:eastAsia="Calibri"/>
        </w:rPr>
        <w:t xml:space="preserve">up uncertainty </w:t>
      </w:r>
      <w:r w:rsidRPr="00505DCA">
        <w:rPr>
          <w:rFonts w:eastAsia="Calibri"/>
        </w:rPr>
        <w:t>requirement in the</w:t>
      </w:r>
      <w:r>
        <w:rPr>
          <w:rFonts w:eastAsia="Calibri"/>
        </w:rPr>
        <w:t xml:space="preserve"> WEIM </w:t>
      </w:r>
      <w:r w:rsidRPr="00505DCA">
        <w:rPr>
          <w:rFonts w:eastAsia="Calibri"/>
        </w:rPr>
        <w:t>Entity BAA</w:t>
      </w:r>
      <w:r>
        <w:rPr>
          <w:rFonts w:eastAsia="Calibri"/>
        </w:rPr>
        <w:t xml:space="preserve"> without diversity benefit, but the credit shall apply</w:t>
      </w:r>
      <w:r w:rsidRPr="00B23B50">
        <w:rPr>
          <w:rFonts w:eastAsia="Calibri"/>
        </w:rPr>
        <w:t>.</w:t>
      </w:r>
      <w:r>
        <w:rPr>
          <w:rFonts w:eastAsia="Calibri"/>
        </w:rPr>
        <w:t xml:space="preserve"> </w:t>
      </w:r>
      <w:r w:rsidRPr="00505DCA">
        <w:rPr>
          <w:rFonts w:eastAsia="Calibri"/>
        </w:rPr>
        <w:t>If the</w:t>
      </w:r>
      <w:r>
        <w:rPr>
          <w:rFonts w:eastAsia="Calibri"/>
        </w:rPr>
        <w:t xml:space="preserve"> WEIM </w:t>
      </w:r>
      <w:r w:rsidRPr="00505DCA">
        <w:rPr>
          <w:rFonts w:eastAsia="Calibri"/>
        </w:rPr>
        <w:t xml:space="preserve">Entity BAA passes the </w:t>
      </w:r>
      <w:r>
        <w:rPr>
          <w:rFonts w:eastAsia="Calibri"/>
        </w:rPr>
        <w:t>flexible</w:t>
      </w:r>
      <w:r w:rsidRPr="00505DCA">
        <w:rPr>
          <w:rFonts w:eastAsia="Calibri"/>
        </w:rPr>
        <w:t xml:space="preserve"> ramp</w:t>
      </w:r>
      <w:r>
        <w:rPr>
          <w:rFonts w:eastAsia="Calibri"/>
        </w:rPr>
        <w:t xml:space="preserve"> up sufficiency</w:t>
      </w:r>
      <w:r w:rsidRPr="00505DCA">
        <w:rPr>
          <w:rFonts w:eastAsia="Calibri"/>
        </w:rPr>
        <w:t xml:space="preserve"> test, the flexible ramp </w:t>
      </w:r>
      <w:r>
        <w:rPr>
          <w:rFonts w:eastAsia="Calibri"/>
        </w:rPr>
        <w:t>up</w:t>
      </w:r>
      <w:r w:rsidRPr="00505DCA">
        <w:rPr>
          <w:rFonts w:eastAsia="Calibri"/>
        </w:rPr>
        <w:t xml:space="preserve"> </w:t>
      </w:r>
      <w:r>
        <w:rPr>
          <w:rFonts w:eastAsia="Calibri"/>
        </w:rPr>
        <w:t xml:space="preserve">uncertainty </w:t>
      </w:r>
      <w:r w:rsidRPr="00505DCA">
        <w:rPr>
          <w:rFonts w:eastAsia="Calibri"/>
        </w:rPr>
        <w:t xml:space="preserve">requirement </w:t>
      </w:r>
      <w:r>
        <w:rPr>
          <w:rFonts w:eastAsia="Calibri"/>
        </w:rPr>
        <w:t>without</w:t>
      </w:r>
      <w:r w:rsidRPr="00505DCA">
        <w:rPr>
          <w:rFonts w:eastAsia="Calibri"/>
        </w:rPr>
        <w:t xml:space="preserve"> </w:t>
      </w:r>
      <w:r>
        <w:rPr>
          <w:rFonts w:eastAsia="Calibri"/>
        </w:rPr>
        <w:t xml:space="preserve">diversity benefit </w:t>
      </w:r>
      <w:r w:rsidRPr="00505DCA">
        <w:rPr>
          <w:rFonts w:eastAsia="Calibri"/>
        </w:rPr>
        <w:t xml:space="preserve">shall be reduced by the available net import </w:t>
      </w:r>
      <w:r>
        <w:rPr>
          <w:rFonts w:eastAsia="Calibri"/>
        </w:rPr>
        <w:t xml:space="preserve">transfer </w:t>
      </w:r>
      <w:r w:rsidRPr="00505DCA">
        <w:rPr>
          <w:rFonts w:eastAsia="Calibri"/>
        </w:rPr>
        <w:t>capa</w:t>
      </w:r>
      <w:r>
        <w:rPr>
          <w:rFonts w:eastAsia="Calibri"/>
        </w:rPr>
        <w:t>bili</w:t>
      </w:r>
      <w:r w:rsidRPr="00505DCA">
        <w:rPr>
          <w:rFonts w:eastAsia="Calibri"/>
        </w:rPr>
        <w:t xml:space="preserve">ty. The </w:t>
      </w:r>
      <w:r>
        <w:rPr>
          <w:rFonts w:eastAsia="Calibri"/>
        </w:rPr>
        <w:t>CAISO</w:t>
      </w:r>
      <w:r w:rsidRPr="00505DCA">
        <w:rPr>
          <w:rFonts w:eastAsia="Calibri"/>
        </w:rPr>
        <w:t xml:space="preserve"> will enforce the constraint for each</w:t>
      </w:r>
      <w:r>
        <w:rPr>
          <w:rFonts w:eastAsia="Calibri"/>
        </w:rPr>
        <w:t xml:space="preserve"> WEIM </w:t>
      </w:r>
      <w:r w:rsidRPr="00505DCA">
        <w:rPr>
          <w:rFonts w:eastAsia="Calibri"/>
        </w:rPr>
        <w:t>Entity BAA, the CAISO BAA</w:t>
      </w:r>
      <w:r>
        <w:rPr>
          <w:rFonts w:eastAsia="Calibri"/>
        </w:rPr>
        <w:t xml:space="preserve">, </w:t>
      </w:r>
      <w:r w:rsidRPr="00505DCA">
        <w:rPr>
          <w:rFonts w:eastAsia="Calibri"/>
        </w:rPr>
        <w:t xml:space="preserve">and </w:t>
      </w:r>
      <w:r>
        <w:rPr>
          <w:rFonts w:eastAsia="Calibri"/>
        </w:rPr>
        <w:t xml:space="preserve">the </w:t>
      </w:r>
      <w:r w:rsidRPr="00505DCA">
        <w:rPr>
          <w:rFonts w:eastAsia="Calibri"/>
        </w:rPr>
        <w:t xml:space="preserve">total </w:t>
      </w:r>
      <w:r>
        <w:rPr>
          <w:rFonts w:eastAsia="Calibri"/>
        </w:rPr>
        <w:t xml:space="preserve">flexible ramp up uncertainty </w:t>
      </w:r>
      <w:r w:rsidRPr="00505DCA">
        <w:rPr>
          <w:rFonts w:eastAsia="Calibri"/>
        </w:rPr>
        <w:t>requirement for the</w:t>
      </w:r>
      <w:r>
        <w:rPr>
          <w:rFonts w:eastAsia="Calibri"/>
        </w:rPr>
        <w:t xml:space="preserve"> WEIM Area</w:t>
      </w:r>
      <w:r w:rsidRPr="00505DCA">
        <w:rPr>
          <w:rFonts w:eastAsia="Calibri"/>
        </w:rPr>
        <w:t>.</w:t>
      </w:r>
    </w:p>
    <w:p w14:paraId="5EB6404F" w14:textId="3870BB08" w:rsidR="006571FF" w:rsidRPr="00505DCA" w:rsidRDefault="006571FF" w:rsidP="006571FF">
      <w:pPr>
        <w:numPr>
          <w:ilvl w:val="0"/>
          <w:numId w:val="10"/>
        </w:numPr>
        <w:rPr>
          <w:rFonts w:eastAsia="Calibri"/>
        </w:rPr>
      </w:pPr>
      <w:r w:rsidRPr="00505DCA">
        <w:rPr>
          <w:rFonts w:eastAsia="Calibri"/>
        </w:rPr>
        <w:t>If the</w:t>
      </w:r>
      <w:r>
        <w:rPr>
          <w:rFonts w:eastAsia="Calibri"/>
        </w:rPr>
        <w:t xml:space="preserve"> WEIM </w:t>
      </w:r>
      <w:r w:rsidRPr="00505DCA">
        <w:rPr>
          <w:rFonts w:eastAsia="Calibri"/>
        </w:rPr>
        <w:t xml:space="preserve">Entity </w:t>
      </w:r>
      <w:r>
        <w:rPr>
          <w:rFonts w:eastAsia="Calibri"/>
        </w:rPr>
        <w:t xml:space="preserve">or CAISO </w:t>
      </w:r>
      <w:r w:rsidRPr="00505DCA">
        <w:rPr>
          <w:rFonts w:eastAsia="Calibri"/>
        </w:rPr>
        <w:t xml:space="preserve">BAA fails the </w:t>
      </w:r>
      <w:r>
        <w:rPr>
          <w:rFonts w:eastAsia="Calibri"/>
        </w:rPr>
        <w:t>flexible</w:t>
      </w:r>
      <w:r w:rsidRPr="00505DCA">
        <w:rPr>
          <w:rFonts w:eastAsia="Calibri"/>
        </w:rPr>
        <w:t xml:space="preserve"> ramp </w:t>
      </w:r>
      <w:r>
        <w:rPr>
          <w:rFonts w:eastAsia="Calibri"/>
        </w:rPr>
        <w:t xml:space="preserve">down sufficiency </w:t>
      </w:r>
      <w:r w:rsidRPr="00505DCA">
        <w:rPr>
          <w:rFonts w:eastAsia="Calibri"/>
        </w:rPr>
        <w:t xml:space="preserve">test </w:t>
      </w:r>
      <w:r w:rsidRPr="00B23B50">
        <w:t>or</w:t>
      </w:r>
      <w:r>
        <w:t xml:space="preserve"> fails</w:t>
      </w:r>
      <w:r w:rsidRPr="00B23B50">
        <w:t xml:space="preserve"> the </w:t>
      </w:r>
      <w:r>
        <w:t xml:space="preserve">under </w:t>
      </w:r>
      <w:r w:rsidRPr="00B23B50">
        <w:t>capacity (resource plan) test</w:t>
      </w:r>
      <w:r>
        <w:t xml:space="preserve"> in a 15-minute interval</w:t>
      </w:r>
      <w:r w:rsidRPr="00505DCA">
        <w:rPr>
          <w:rFonts w:eastAsia="Calibri"/>
        </w:rPr>
        <w:t xml:space="preserve">, </w:t>
      </w:r>
      <w:r>
        <w:rPr>
          <w:rFonts w:eastAsia="Calibri"/>
        </w:rPr>
        <w:t>the WEIM Transfer in that interval will be</w:t>
      </w:r>
      <w:r w:rsidRPr="00577EB4">
        <w:rPr>
          <w:rFonts w:eastAsia="Calibri"/>
        </w:rPr>
        <w:t xml:space="preserve"> bound</w:t>
      </w:r>
      <w:r>
        <w:rPr>
          <w:rFonts w:eastAsia="Calibri"/>
        </w:rPr>
        <w:t>ed as specified in Section 11.3.2</w:t>
      </w:r>
      <w:r w:rsidRPr="00505DCA">
        <w:rPr>
          <w:rFonts w:eastAsia="Calibri"/>
        </w:rPr>
        <w:t xml:space="preserve">. </w:t>
      </w:r>
      <w:r w:rsidR="00153940">
        <w:rPr>
          <w:rFonts w:eastAsia="Calibri"/>
        </w:rPr>
        <w:t xml:space="preserve"> </w:t>
      </w:r>
      <w:r>
        <w:rPr>
          <w:rFonts w:eastAsia="Calibri"/>
        </w:rPr>
        <w:t xml:space="preserve"> Furthermore, t</w:t>
      </w:r>
      <w:r w:rsidRPr="00505DCA">
        <w:rPr>
          <w:rFonts w:eastAsia="Calibri"/>
        </w:rPr>
        <w:t>he CAISO will enforce the individual</w:t>
      </w:r>
      <w:r>
        <w:rPr>
          <w:rFonts w:eastAsia="Calibri"/>
        </w:rPr>
        <w:t xml:space="preserve"> WEIM </w:t>
      </w:r>
      <w:r w:rsidRPr="00505DCA">
        <w:rPr>
          <w:rFonts w:eastAsia="Calibri"/>
        </w:rPr>
        <w:t xml:space="preserve">Entity BAA flexible ramp </w:t>
      </w:r>
      <w:r>
        <w:rPr>
          <w:rFonts w:eastAsia="Calibri"/>
        </w:rPr>
        <w:t xml:space="preserve">down uncertainty </w:t>
      </w:r>
      <w:r w:rsidRPr="00505DCA">
        <w:rPr>
          <w:rFonts w:eastAsia="Calibri"/>
        </w:rPr>
        <w:t>requirement in the</w:t>
      </w:r>
      <w:r>
        <w:rPr>
          <w:rFonts w:eastAsia="Calibri"/>
        </w:rPr>
        <w:t xml:space="preserve"> WEIM </w:t>
      </w:r>
      <w:r w:rsidRPr="00505DCA">
        <w:rPr>
          <w:rFonts w:eastAsia="Calibri"/>
        </w:rPr>
        <w:t>Entity BAA</w:t>
      </w:r>
      <w:r>
        <w:rPr>
          <w:rFonts w:eastAsia="Calibri"/>
        </w:rPr>
        <w:t xml:space="preserve"> without diversity benefit, but the credit shall apply</w:t>
      </w:r>
      <w:r w:rsidRPr="00B23B50">
        <w:rPr>
          <w:rFonts w:eastAsia="Calibri"/>
        </w:rPr>
        <w:t>.</w:t>
      </w:r>
      <w:r>
        <w:rPr>
          <w:rFonts w:eastAsia="Calibri"/>
        </w:rPr>
        <w:t xml:space="preserve"> </w:t>
      </w:r>
      <w:r w:rsidRPr="00505DCA">
        <w:rPr>
          <w:rFonts w:eastAsia="Calibri"/>
        </w:rPr>
        <w:t>If the</w:t>
      </w:r>
      <w:r>
        <w:rPr>
          <w:rFonts w:eastAsia="Calibri"/>
        </w:rPr>
        <w:t xml:space="preserve"> WEIM </w:t>
      </w:r>
      <w:r w:rsidRPr="00505DCA">
        <w:rPr>
          <w:rFonts w:eastAsia="Calibri"/>
        </w:rPr>
        <w:t xml:space="preserve">Entity BAA passes the </w:t>
      </w:r>
      <w:r>
        <w:rPr>
          <w:rFonts w:eastAsia="Calibri"/>
        </w:rPr>
        <w:t>flexible</w:t>
      </w:r>
      <w:r w:rsidRPr="00505DCA">
        <w:rPr>
          <w:rFonts w:eastAsia="Calibri"/>
        </w:rPr>
        <w:t xml:space="preserve"> ramp</w:t>
      </w:r>
      <w:r>
        <w:rPr>
          <w:rFonts w:eastAsia="Calibri"/>
        </w:rPr>
        <w:t xml:space="preserve"> down sufficiency</w:t>
      </w:r>
      <w:r w:rsidRPr="00505DCA">
        <w:rPr>
          <w:rFonts w:eastAsia="Calibri"/>
        </w:rPr>
        <w:t xml:space="preserve"> test, the flexible ramp </w:t>
      </w:r>
      <w:r>
        <w:rPr>
          <w:rFonts w:eastAsia="Calibri"/>
        </w:rPr>
        <w:t>down</w:t>
      </w:r>
      <w:r w:rsidRPr="00505DCA">
        <w:rPr>
          <w:rFonts w:eastAsia="Calibri"/>
        </w:rPr>
        <w:t xml:space="preserve"> </w:t>
      </w:r>
      <w:r>
        <w:rPr>
          <w:rFonts w:eastAsia="Calibri"/>
        </w:rPr>
        <w:t xml:space="preserve">uncertainty </w:t>
      </w:r>
      <w:r w:rsidRPr="00505DCA">
        <w:rPr>
          <w:rFonts w:eastAsia="Calibri"/>
        </w:rPr>
        <w:t xml:space="preserve">requirement </w:t>
      </w:r>
      <w:r>
        <w:rPr>
          <w:rFonts w:eastAsia="Calibri"/>
        </w:rPr>
        <w:t>without</w:t>
      </w:r>
      <w:r w:rsidRPr="00505DCA">
        <w:rPr>
          <w:rFonts w:eastAsia="Calibri"/>
        </w:rPr>
        <w:t xml:space="preserve"> </w:t>
      </w:r>
      <w:r>
        <w:rPr>
          <w:rFonts w:eastAsia="Calibri"/>
        </w:rPr>
        <w:t xml:space="preserve">diversity benefit </w:t>
      </w:r>
      <w:r w:rsidRPr="00505DCA">
        <w:rPr>
          <w:rFonts w:eastAsia="Calibri"/>
        </w:rPr>
        <w:t xml:space="preserve">shall be reduced by the available net </w:t>
      </w:r>
      <w:r>
        <w:rPr>
          <w:rFonts w:eastAsia="Calibri"/>
        </w:rPr>
        <w:t>ex</w:t>
      </w:r>
      <w:r w:rsidRPr="00505DCA">
        <w:rPr>
          <w:rFonts w:eastAsia="Calibri"/>
        </w:rPr>
        <w:t xml:space="preserve">port </w:t>
      </w:r>
      <w:r>
        <w:rPr>
          <w:rFonts w:eastAsia="Calibri"/>
        </w:rPr>
        <w:t xml:space="preserve">transfer </w:t>
      </w:r>
      <w:r w:rsidRPr="00505DCA">
        <w:rPr>
          <w:rFonts w:eastAsia="Calibri"/>
        </w:rPr>
        <w:t>capa</w:t>
      </w:r>
      <w:r>
        <w:rPr>
          <w:rFonts w:eastAsia="Calibri"/>
        </w:rPr>
        <w:t>bili</w:t>
      </w:r>
      <w:r w:rsidRPr="00505DCA">
        <w:rPr>
          <w:rFonts w:eastAsia="Calibri"/>
        </w:rPr>
        <w:t xml:space="preserve">ty. The </w:t>
      </w:r>
      <w:r>
        <w:rPr>
          <w:rFonts w:eastAsia="Calibri"/>
        </w:rPr>
        <w:t>CAISO</w:t>
      </w:r>
      <w:r w:rsidRPr="00505DCA">
        <w:rPr>
          <w:rFonts w:eastAsia="Calibri"/>
        </w:rPr>
        <w:t xml:space="preserve"> will enforce the constraint for each</w:t>
      </w:r>
      <w:r>
        <w:rPr>
          <w:rFonts w:eastAsia="Calibri"/>
        </w:rPr>
        <w:t xml:space="preserve"> WEIM </w:t>
      </w:r>
      <w:r w:rsidRPr="00505DCA">
        <w:rPr>
          <w:rFonts w:eastAsia="Calibri"/>
        </w:rPr>
        <w:t>Entity BAA, the CAISO BAA</w:t>
      </w:r>
      <w:r>
        <w:rPr>
          <w:rFonts w:eastAsia="Calibri"/>
        </w:rPr>
        <w:t xml:space="preserve">, </w:t>
      </w:r>
      <w:r w:rsidRPr="00505DCA">
        <w:rPr>
          <w:rFonts w:eastAsia="Calibri"/>
        </w:rPr>
        <w:t xml:space="preserve">and </w:t>
      </w:r>
      <w:r>
        <w:rPr>
          <w:rFonts w:eastAsia="Calibri"/>
        </w:rPr>
        <w:t xml:space="preserve">the </w:t>
      </w:r>
      <w:r w:rsidRPr="00505DCA">
        <w:rPr>
          <w:rFonts w:eastAsia="Calibri"/>
        </w:rPr>
        <w:t xml:space="preserve">total </w:t>
      </w:r>
      <w:r>
        <w:rPr>
          <w:rFonts w:eastAsia="Calibri"/>
        </w:rPr>
        <w:t xml:space="preserve">flexible ramp down uncertainty </w:t>
      </w:r>
      <w:r w:rsidRPr="00505DCA">
        <w:rPr>
          <w:rFonts w:eastAsia="Calibri"/>
        </w:rPr>
        <w:t>requirement for the</w:t>
      </w:r>
      <w:r>
        <w:rPr>
          <w:rFonts w:eastAsia="Calibri"/>
        </w:rPr>
        <w:t xml:space="preserve"> WEIM Area</w:t>
      </w:r>
      <w:r w:rsidRPr="00505DCA">
        <w:rPr>
          <w:rFonts w:eastAsia="Calibri"/>
        </w:rPr>
        <w:t>.</w:t>
      </w:r>
    </w:p>
    <w:p w14:paraId="4A940D25" w14:textId="53F3FDB2" w:rsidR="006571FF" w:rsidRPr="008817D0" w:rsidRDefault="00153940" w:rsidP="006571FF">
      <w:pPr>
        <w:numPr>
          <w:ilvl w:val="0"/>
          <w:numId w:val="10"/>
        </w:numPr>
        <w:rPr>
          <w:rFonts w:eastAsia="Calibri"/>
          <w:i/>
          <w:u w:val="single"/>
        </w:rPr>
      </w:pPr>
      <w:r>
        <w:rPr>
          <w:rFonts w:eastAsia="Calibri"/>
        </w:rPr>
        <w:t xml:space="preserve"> </w:t>
      </w:r>
      <w:r w:rsidR="006571FF" w:rsidRPr="008817D0">
        <w:rPr>
          <w:rFonts w:eastAsia="Calibri"/>
        </w:rPr>
        <w:t xml:space="preserve">The flexible ramp requirements for </w:t>
      </w:r>
      <w:r w:rsidR="006571FF">
        <w:rPr>
          <w:rFonts w:eastAsia="Calibri"/>
        </w:rPr>
        <w:t>total WEIM footprint</w:t>
      </w:r>
      <w:r w:rsidR="006571FF" w:rsidRPr="008817D0">
        <w:rPr>
          <w:rFonts w:eastAsia="Calibri"/>
        </w:rPr>
        <w:t xml:space="preserve"> can be potentially lower than the</w:t>
      </w:r>
      <w:r w:rsidR="006571FF">
        <w:rPr>
          <w:rFonts w:eastAsia="Calibri"/>
        </w:rPr>
        <w:t xml:space="preserve"> sum of</w:t>
      </w:r>
      <w:r w:rsidR="006571FF" w:rsidRPr="008817D0">
        <w:rPr>
          <w:rFonts w:eastAsia="Calibri"/>
        </w:rPr>
        <w:t xml:space="preserve"> individual requirements of each BAA</w:t>
      </w:r>
      <w:r w:rsidR="006571FF">
        <w:rPr>
          <w:rFonts w:eastAsia="Calibri"/>
        </w:rPr>
        <w:t xml:space="preserve">, </w:t>
      </w:r>
      <w:r w:rsidR="006571FF" w:rsidRPr="008817D0">
        <w:rPr>
          <w:rFonts w:eastAsia="Calibri"/>
        </w:rPr>
        <w:t>reflecting the benefits of reduced uncertainty and volatility across the BAA</w:t>
      </w:r>
      <w:r w:rsidR="006571FF">
        <w:rPr>
          <w:rFonts w:eastAsia="Calibri"/>
        </w:rPr>
        <w:t>s</w:t>
      </w:r>
      <w:r w:rsidR="006571FF" w:rsidRPr="008817D0">
        <w:rPr>
          <w:rFonts w:eastAsia="Calibri"/>
        </w:rPr>
        <w:t>.</w:t>
      </w:r>
      <w:r w:rsidR="006571FF">
        <w:rPr>
          <w:rFonts w:eastAsia="Calibri"/>
        </w:rPr>
        <w:t xml:space="preserve"> </w:t>
      </w:r>
    </w:p>
    <w:p w14:paraId="2CC925ED" w14:textId="77777777" w:rsidR="006571FF" w:rsidRDefault="006571FF" w:rsidP="006571FF">
      <w:pPr>
        <w:numPr>
          <w:ilvl w:val="0"/>
          <w:numId w:val="10"/>
        </w:numPr>
        <w:rPr>
          <w:rFonts w:eastAsia="Calibri"/>
        </w:rPr>
      </w:pPr>
      <w:r w:rsidRPr="000B5618">
        <w:rPr>
          <w:rFonts w:eastAsia="Calibri"/>
        </w:rPr>
        <w:t>For a period of six months following the Implementation Date of a new</w:t>
      </w:r>
      <w:r>
        <w:rPr>
          <w:rFonts w:eastAsia="Calibri"/>
        </w:rPr>
        <w:t xml:space="preserve"> WEIM </w:t>
      </w:r>
      <w:r w:rsidRPr="000B5618">
        <w:rPr>
          <w:rFonts w:eastAsia="Calibri"/>
        </w:rPr>
        <w:t>Entity, the CAISO shall set the Flexible Ramping Constraint parameter specified in Section 27.10, for pricing purposes, for the new</w:t>
      </w:r>
      <w:r>
        <w:rPr>
          <w:rFonts w:eastAsia="Calibri"/>
        </w:rPr>
        <w:t xml:space="preserve"> WEIM </w:t>
      </w:r>
      <w:r w:rsidRPr="000B5618">
        <w:rPr>
          <w:rFonts w:eastAsia="Calibri"/>
        </w:rPr>
        <w:t>Entity Balancing Authority Area, at an amount between and including $0 and $0.01</w:t>
      </w:r>
      <w:r>
        <w:rPr>
          <w:rFonts w:eastAsia="Calibri"/>
        </w:rPr>
        <w:t xml:space="preserve"> only for when the transmission or power balance constraints are relaxed in the corresponding </w:t>
      </w:r>
      <w:r w:rsidRPr="000B5618">
        <w:rPr>
          <w:rFonts w:eastAsia="Calibri"/>
        </w:rPr>
        <w:t>new</w:t>
      </w:r>
      <w:r>
        <w:rPr>
          <w:rFonts w:eastAsia="Calibri"/>
        </w:rPr>
        <w:t xml:space="preserve"> WEIM </w:t>
      </w:r>
      <w:r w:rsidRPr="000B5618">
        <w:rPr>
          <w:rFonts w:eastAsia="Calibri"/>
        </w:rPr>
        <w:t>Entity Balancing Authority Area.</w:t>
      </w:r>
    </w:p>
    <w:p w14:paraId="3BC0B4A3" w14:textId="77777777" w:rsidR="006571FF" w:rsidRPr="008817D0" w:rsidRDefault="006571FF" w:rsidP="006571FF">
      <w:pPr>
        <w:numPr>
          <w:ilvl w:val="0"/>
          <w:numId w:val="10"/>
        </w:numPr>
        <w:rPr>
          <w:rFonts w:eastAsia="Calibri"/>
        </w:rPr>
      </w:pPr>
      <w:r w:rsidRPr="008817D0">
        <w:rPr>
          <w:rFonts w:eastAsia="Calibri"/>
        </w:rPr>
        <w:t>CAISO will broadcast the resource flexible ramping awards</w:t>
      </w:r>
      <w:r>
        <w:rPr>
          <w:rFonts w:eastAsia="Calibri"/>
        </w:rPr>
        <w:t xml:space="preserve"> to the relevant SCs</w:t>
      </w:r>
      <w:r w:rsidRPr="008817D0">
        <w:rPr>
          <w:rFonts w:eastAsia="Calibri"/>
        </w:rPr>
        <w:t>.</w:t>
      </w:r>
    </w:p>
    <w:p w14:paraId="6ADEAC40" w14:textId="77777777" w:rsidR="006571FF" w:rsidRPr="00C57135" w:rsidRDefault="006571FF" w:rsidP="006571FF">
      <w:pPr>
        <w:numPr>
          <w:ilvl w:val="0"/>
          <w:numId w:val="10"/>
        </w:numPr>
        <w:rPr>
          <w:rFonts w:eastAsia="Calibri"/>
        </w:rPr>
      </w:pPr>
      <w:r w:rsidRPr="00FC6D6F">
        <w:rPr>
          <w:rFonts w:eastAsia="Calibri"/>
        </w:rPr>
        <w:t>CAISO will publish the shadow prices of each flexible ramping constraint and associated BAA</w:t>
      </w:r>
      <w:r w:rsidRPr="00536515">
        <w:rPr>
          <w:rFonts w:eastAsia="Calibri"/>
        </w:rPr>
        <w:t>, and total</w:t>
      </w:r>
      <w:r>
        <w:rPr>
          <w:rFonts w:eastAsia="Calibri"/>
        </w:rPr>
        <w:t xml:space="preserve"> WEIM </w:t>
      </w:r>
      <w:r w:rsidRPr="00536515">
        <w:rPr>
          <w:rFonts w:eastAsia="Calibri"/>
        </w:rPr>
        <w:t>footprint.</w:t>
      </w:r>
      <w:r w:rsidRPr="00C57135">
        <w:rPr>
          <w:rFonts w:eastAsia="Calibri"/>
        </w:rPr>
        <w:t xml:space="preserve"> </w:t>
      </w:r>
      <w:r>
        <w:rPr>
          <w:rFonts w:eastAsia="Calibri"/>
        </w:rPr>
        <w:t xml:space="preserve"> </w:t>
      </w:r>
      <w:r w:rsidRPr="00FC6D6F">
        <w:rPr>
          <w:rFonts w:eastAsia="Calibri"/>
        </w:rPr>
        <w:t>The flexible ramping capacity shall be managed in corresponding RTD for</w:t>
      </w:r>
      <w:r>
        <w:rPr>
          <w:rFonts w:eastAsia="Calibri"/>
        </w:rPr>
        <w:t xml:space="preserve"> WEIM </w:t>
      </w:r>
      <w:r w:rsidRPr="00FC6D6F">
        <w:rPr>
          <w:rFonts w:eastAsia="Calibri"/>
        </w:rPr>
        <w:t xml:space="preserve">market in the same manner as </w:t>
      </w:r>
      <w:r w:rsidRPr="00C57135">
        <w:rPr>
          <w:rFonts w:eastAsia="Calibri"/>
        </w:rPr>
        <w:t xml:space="preserve">the current CAISO RTM. The RTD shall enforce the flexible </w:t>
      </w:r>
      <w:r w:rsidRPr="006A2C15">
        <w:rPr>
          <w:rFonts w:eastAsia="Calibri"/>
        </w:rPr>
        <w:t xml:space="preserve">ramping capacity requirement constraints. The requirement of each five-minute interval in the RTD run horizon will be preserved </w:t>
      </w:r>
      <w:r w:rsidRPr="006A2C15">
        <w:rPr>
          <w:rFonts w:eastAsia="Calibri"/>
        </w:rPr>
        <w:lastRenderedPageBreak/>
        <w:t>according to the pre-defined attenuation percentage of each interval, currently as 0%, 25%, 50%, 75%, 100%, 100%... The same per</w:t>
      </w:r>
      <w:r w:rsidRPr="0025727C">
        <w:rPr>
          <w:rFonts w:eastAsia="Calibri"/>
        </w:rPr>
        <w:t>centage will apply to the effective requirement (reduced by the available net import capacity) for each</w:t>
      </w:r>
      <w:r>
        <w:rPr>
          <w:rFonts w:eastAsia="Calibri"/>
        </w:rPr>
        <w:t xml:space="preserve"> WEIM </w:t>
      </w:r>
      <w:r w:rsidRPr="0025727C">
        <w:rPr>
          <w:rFonts w:eastAsia="Calibri"/>
        </w:rPr>
        <w:t>Entity BAA and</w:t>
      </w:r>
      <w:r>
        <w:rPr>
          <w:rFonts w:eastAsia="Calibri"/>
        </w:rPr>
        <w:t xml:space="preserve"> WEIM footprint</w:t>
      </w:r>
      <w:r w:rsidRPr="00C57135">
        <w:rPr>
          <w:rFonts w:eastAsia="Calibri"/>
        </w:rPr>
        <w:t xml:space="preserve"> constraints.</w:t>
      </w:r>
    </w:p>
    <w:p w14:paraId="7B8307AF" w14:textId="77777777" w:rsidR="006571FF" w:rsidRPr="00D769E5" w:rsidRDefault="006571FF" w:rsidP="006571FF">
      <w:pPr>
        <w:spacing w:after="240" w:line="300" w:lineRule="auto"/>
        <w:rPr>
          <w:rFonts w:cs="Arial"/>
          <w:b/>
          <w:color w:val="4F758B"/>
          <w:kern w:val="24"/>
        </w:rPr>
      </w:pPr>
      <w:r w:rsidRPr="00D769E5">
        <w:rPr>
          <w:rFonts w:cs="Arial"/>
          <w:b/>
          <w:kern w:val="24"/>
        </w:rPr>
        <w:t>Example Assumptions</w:t>
      </w:r>
    </w:p>
    <w:p w14:paraId="6CCACF44"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CAISO BAA and two</w:t>
      </w:r>
      <w:r>
        <w:rPr>
          <w:rFonts w:cs="Arial"/>
          <w:kern w:val="24"/>
        </w:rPr>
        <w:t xml:space="preserve"> WEIM </w:t>
      </w:r>
      <w:r w:rsidRPr="00D769E5">
        <w:rPr>
          <w:rFonts w:cs="Arial"/>
          <w:kern w:val="24"/>
        </w:rPr>
        <w:t>Entity BAAs</w:t>
      </w:r>
    </w:p>
    <w:p w14:paraId="3B7E45EF"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All interties rated at 10MW</w:t>
      </w:r>
    </w:p>
    <w:p w14:paraId="764DC0C1"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Two generators and two loads in each BAA</w:t>
      </w:r>
    </w:p>
    <w:p w14:paraId="1FE8B1A3"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Zero base schedules; no transmission losses</w:t>
      </w:r>
    </w:p>
    <w:p w14:paraId="3CF38811"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Real−Time Unit Commitment run at </w:t>
      </w:r>
      <w:r w:rsidRPr="00D769E5">
        <w:rPr>
          <w:rFonts w:cs="Arial"/>
          <w:i/>
          <w:iCs/>
          <w:kern w:val="24"/>
        </w:rPr>
        <w:t>T</w:t>
      </w:r>
      <w:r w:rsidRPr="00D769E5">
        <w:rPr>
          <w:rFonts w:cs="Arial"/>
          <w:kern w:val="24"/>
        </w:rPr>
        <w:t>−37.5'</w:t>
      </w:r>
    </w:p>
    <w:p w14:paraId="65B7C373"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Only upward flexible ramp capacity</w:t>
      </w:r>
    </w:p>
    <w:p w14:paraId="55D1F35C" w14:textId="77777777" w:rsidR="006571FF" w:rsidRPr="00D769E5" w:rsidRDefault="006571FF" w:rsidP="006571FF">
      <w:pPr>
        <w:pStyle w:val="ListParagraph"/>
        <w:numPr>
          <w:ilvl w:val="0"/>
          <w:numId w:val="44"/>
        </w:numPr>
        <w:kinsoku w:val="0"/>
        <w:overflowPunct w:val="0"/>
        <w:contextualSpacing/>
        <w:textAlignment w:val="baseline"/>
      </w:pPr>
      <w:r w:rsidRPr="00D769E5">
        <w:rPr>
          <w:rFonts w:cs="Arial"/>
          <w:kern w:val="24"/>
        </w:rPr>
        <w:t xml:space="preserve"> Flexible ramp capacity requirement determined by demand forecast change</w:t>
      </w:r>
      <w:r>
        <w:rPr>
          <w:rFonts w:cs="Arial"/>
          <w:kern w:val="24"/>
        </w:rPr>
        <w:t xml:space="preserve"> and historical assessment of ramping capability to meet forecast uncertainty</w:t>
      </w:r>
    </w:p>
    <w:p w14:paraId="7271EF6E" w14:textId="77777777" w:rsidR="006571FF" w:rsidRPr="00D769E5" w:rsidRDefault="006571FF" w:rsidP="006571FF">
      <w:pPr>
        <w:pStyle w:val="ListParagraph"/>
        <w:kinsoku w:val="0"/>
        <w:overflowPunct w:val="0"/>
        <w:contextualSpacing/>
        <w:textAlignment w:val="baseline"/>
        <w:rPr>
          <w:color w:val="006699"/>
          <w:sz w:val="42"/>
        </w:rPr>
      </w:pPr>
    </w:p>
    <w:p w14:paraId="17FB3517" w14:textId="77777777" w:rsidR="006571FF" w:rsidRPr="00D769E5" w:rsidRDefault="006571FF" w:rsidP="006571FF">
      <w:pPr>
        <w:rPr>
          <w:rFonts w:cs="Arial"/>
          <w:b/>
          <w:color w:val="4F758B"/>
          <w:kern w:val="24"/>
        </w:rPr>
      </w:pPr>
      <w:r w:rsidRPr="00D769E5">
        <w:rPr>
          <w:rFonts w:cs="Arial"/>
          <w:b/>
          <w:kern w:val="24"/>
        </w:rPr>
        <w:t>Example</w:t>
      </w:r>
    </w:p>
    <w:p w14:paraId="1B307D03" w14:textId="77777777" w:rsidR="006571FF" w:rsidRDefault="006571FF" w:rsidP="006571FF">
      <w:pPr>
        <w:pStyle w:val="ListParagraph"/>
        <w:rPr>
          <w:rFonts w:cs="Arial"/>
          <w:color w:val="4F758B"/>
          <w:kern w:val="24"/>
          <w:sz w:val="64"/>
          <w:szCs w:val="64"/>
        </w:rPr>
      </w:pPr>
      <w:r>
        <w:rPr>
          <w:noProof/>
        </w:rPr>
        <w:drawing>
          <wp:inline distT="0" distB="0" distL="0" distR="0" wp14:anchorId="17D52EB1" wp14:editId="686CEAFB">
            <wp:extent cx="3051174" cy="1464736"/>
            <wp:effectExtent l="0" t="0" r="0" b="0"/>
            <wp:docPr id="3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1"/>
                    <a:stretch>
                      <a:fillRect/>
                    </a:stretch>
                  </pic:blipFill>
                  <pic:spPr>
                    <a:xfrm>
                      <a:off x="0" y="0"/>
                      <a:ext cx="3051174" cy="1464736"/>
                    </a:xfrm>
                    <a:prstGeom prst="rect">
                      <a:avLst/>
                    </a:prstGeom>
                  </pic:spPr>
                </pic:pic>
              </a:graphicData>
            </a:graphic>
          </wp:inline>
        </w:drawing>
      </w:r>
    </w:p>
    <w:p w14:paraId="2E38A4C6" w14:textId="77777777" w:rsidR="006571FF" w:rsidRDefault="006571FF" w:rsidP="006571FF">
      <w:pPr>
        <w:pStyle w:val="ListParagraph"/>
        <w:rPr>
          <w:rFonts w:cs="Arial"/>
          <w:color w:val="4F758B"/>
          <w:kern w:val="24"/>
          <w:sz w:val="64"/>
          <w:szCs w:val="64"/>
        </w:rPr>
      </w:pPr>
    </w:p>
    <w:p w14:paraId="4E15FABF" w14:textId="77777777" w:rsidR="006571FF" w:rsidRDefault="006571FF" w:rsidP="006571FF">
      <w:pPr>
        <w:pStyle w:val="ListParagraph"/>
        <w:rPr>
          <w:rFonts w:cs="Arial"/>
          <w:color w:val="4F758B"/>
          <w:kern w:val="24"/>
          <w:sz w:val="64"/>
          <w:szCs w:val="64"/>
        </w:rPr>
      </w:pPr>
    </w:p>
    <w:p w14:paraId="3C4161C8" w14:textId="77777777" w:rsidR="006571FF" w:rsidRDefault="006571FF" w:rsidP="006571FF">
      <w:pPr>
        <w:pStyle w:val="ListParagraph"/>
        <w:rPr>
          <w:noProof/>
        </w:rPr>
      </w:pPr>
    </w:p>
    <w:p w14:paraId="3350FAD1" w14:textId="77777777" w:rsidR="006571FF" w:rsidRDefault="006571FF" w:rsidP="006571FF">
      <w:pPr>
        <w:pStyle w:val="ListParagraph"/>
        <w:kinsoku w:val="0"/>
        <w:overflowPunct w:val="0"/>
        <w:contextualSpacing/>
        <w:textAlignment w:val="baseline"/>
        <w:rPr>
          <w:rFonts w:cs="Arial"/>
          <w:color w:val="000000"/>
          <w:kern w:val="24"/>
          <w:sz w:val="56"/>
          <w:szCs w:val="56"/>
        </w:rPr>
      </w:pPr>
    </w:p>
    <w:p w14:paraId="44B2F081" w14:textId="77777777" w:rsidR="006571FF" w:rsidRPr="00E8403E" w:rsidRDefault="006571FF" w:rsidP="006571FF">
      <w:pPr>
        <w:pStyle w:val="ListParagraph"/>
        <w:kinsoku w:val="0"/>
        <w:overflowPunct w:val="0"/>
        <w:contextualSpacing/>
        <w:textAlignment w:val="baseline"/>
        <w:rPr>
          <w:color w:val="006699"/>
          <w:sz w:val="42"/>
        </w:rPr>
      </w:pPr>
      <w:r>
        <w:rPr>
          <w:noProof/>
        </w:rPr>
        <w:lastRenderedPageBreak/>
        <w:drawing>
          <wp:inline distT="0" distB="0" distL="0" distR="0" wp14:anchorId="357F7F3E" wp14:editId="7741421D">
            <wp:extent cx="5888736" cy="341071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88736" cy="3410712"/>
                    </a:xfrm>
                    <a:prstGeom prst="rect">
                      <a:avLst/>
                    </a:prstGeom>
                    <a:noFill/>
                  </pic:spPr>
                </pic:pic>
              </a:graphicData>
            </a:graphic>
          </wp:inline>
        </w:drawing>
      </w:r>
    </w:p>
    <w:p w14:paraId="1FC150C5" w14:textId="77777777" w:rsidR="006571FF" w:rsidRDefault="006571FF" w:rsidP="006571FF">
      <w:pPr>
        <w:pStyle w:val="ListParagraph"/>
        <w:kinsoku w:val="0"/>
        <w:overflowPunct w:val="0"/>
        <w:textAlignment w:val="baseline"/>
        <w:rPr>
          <w:color w:val="006699"/>
          <w:sz w:val="42"/>
        </w:rPr>
      </w:pPr>
    </w:p>
    <w:p w14:paraId="5644491E" w14:textId="77777777" w:rsidR="006571FF" w:rsidRPr="00D769E5" w:rsidRDefault="006571FF" w:rsidP="006571FF">
      <w:pPr>
        <w:kinsoku w:val="0"/>
        <w:overflowPunct w:val="0"/>
        <w:textAlignment w:val="baseline"/>
        <w:rPr>
          <w:color w:val="006699"/>
          <w:sz w:val="42"/>
        </w:rPr>
      </w:pPr>
    </w:p>
    <w:p w14:paraId="14B5DC8B" w14:textId="77777777" w:rsidR="006571FF" w:rsidRPr="00D769E5" w:rsidRDefault="006571FF" w:rsidP="006571FF">
      <w:pPr>
        <w:spacing w:after="240" w:line="300" w:lineRule="auto"/>
        <w:jc w:val="center"/>
        <w:rPr>
          <w:rFonts w:cs="Arial"/>
          <w:b/>
          <w:color w:val="4F758B"/>
          <w:kern w:val="24"/>
        </w:rPr>
      </w:pPr>
      <w:r w:rsidRPr="00D769E5">
        <w:rPr>
          <w:rFonts w:cs="Arial"/>
          <w:b/>
          <w:kern w:val="24"/>
        </w:rPr>
        <w:t>Available Flexible Ramp Capacity</w:t>
      </w:r>
    </w:p>
    <w:p w14:paraId="1FDA6F67" w14:textId="77777777" w:rsidR="006571FF" w:rsidRDefault="006571FF" w:rsidP="006571FF">
      <w:pPr>
        <w:spacing w:after="240" w:line="300" w:lineRule="auto"/>
        <w:jc w:val="center"/>
        <w:rPr>
          <w:rFonts w:eastAsia="Calibri"/>
        </w:rPr>
      </w:pPr>
      <w:r>
        <w:rPr>
          <w:noProof/>
        </w:rPr>
        <w:drawing>
          <wp:inline distT="0" distB="0" distL="0" distR="0" wp14:anchorId="1D925583" wp14:editId="11E7498D">
            <wp:extent cx="5486400" cy="1565031"/>
            <wp:effectExtent l="0" t="0" r="0" b="0"/>
            <wp:docPr id="3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3"/>
                    <a:stretch>
                      <a:fillRect/>
                    </a:stretch>
                  </pic:blipFill>
                  <pic:spPr>
                    <a:xfrm>
                      <a:off x="0" y="0"/>
                      <a:ext cx="5486400" cy="1565031"/>
                    </a:xfrm>
                    <a:prstGeom prst="rect">
                      <a:avLst/>
                    </a:prstGeom>
                  </pic:spPr>
                </pic:pic>
              </a:graphicData>
            </a:graphic>
          </wp:inline>
        </w:drawing>
      </w:r>
    </w:p>
    <w:p w14:paraId="19F09105" w14:textId="77777777" w:rsidR="006571FF" w:rsidRDefault="006571FF" w:rsidP="006571FF">
      <w:pPr>
        <w:spacing w:after="240" w:line="300" w:lineRule="auto"/>
        <w:rPr>
          <w:rFonts w:eastAsia="Calibri"/>
        </w:rPr>
      </w:pPr>
    </w:p>
    <w:p w14:paraId="3CF8350C" w14:textId="77777777" w:rsidR="006571FF" w:rsidRDefault="006571FF" w:rsidP="006571FF">
      <w:pPr>
        <w:spacing w:after="240" w:line="300" w:lineRule="auto"/>
        <w:rPr>
          <w:rFonts w:eastAsia="Calibri"/>
        </w:rPr>
      </w:pPr>
    </w:p>
    <w:p w14:paraId="1917EB19" w14:textId="77777777" w:rsidR="006571FF" w:rsidRDefault="006571FF" w:rsidP="006571FF">
      <w:pPr>
        <w:spacing w:after="240" w:line="300" w:lineRule="auto"/>
        <w:rPr>
          <w:rFonts w:eastAsia="Calibri"/>
        </w:rPr>
      </w:pPr>
    </w:p>
    <w:p w14:paraId="45A2DA79" w14:textId="77777777" w:rsidR="006571FF" w:rsidRDefault="006571FF" w:rsidP="006571FF">
      <w:pPr>
        <w:spacing w:after="240" w:line="300" w:lineRule="auto"/>
        <w:rPr>
          <w:rFonts w:eastAsia="Calibri"/>
        </w:rPr>
      </w:pPr>
    </w:p>
    <w:p w14:paraId="13A43D3C" w14:textId="77777777" w:rsidR="006571FF" w:rsidRDefault="006571FF" w:rsidP="006571FF">
      <w:pPr>
        <w:spacing w:after="240" w:line="300" w:lineRule="auto"/>
        <w:rPr>
          <w:rFonts w:eastAsia="Calibri"/>
        </w:rPr>
      </w:pPr>
    </w:p>
    <w:p w14:paraId="1ECDE224" w14:textId="77777777" w:rsidR="006571FF" w:rsidRDefault="006571FF" w:rsidP="006571FF">
      <w:pPr>
        <w:spacing w:after="240" w:line="300" w:lineRule="auto"/>
        <w:rPr>
          <w:rFonts w:eastAsia="Calibri"/>
        </w:rPr>
      </w:pPr>
    </w:p>
    <w:p w14:paraId="5B695385" w14:textId="77777777" w:rsidR="006571FF" w:rsidRPr="00D769E5" w:rsidRDefault="006571FF" w:rsidP="006571FF">
      <w:pPr>
        <w:spacing w:after="240" w:line="300" w:lineRule="auto"/>
        <w:jc w:val="center"/>
        <w:rPr>
          <w:rFonts w:eastAsia="Calibri"/>
          <w:b/>
        </w:rPr>
      </w:pPr>
      <w:r w:rsidRPr="004741AC">
        <w:rPr>
          <w:rFonts w:cs="Arial"/>
          <w:b/>
          <w:kern w:val="24"/>
        </w:rPr>
        <w:t xml:space="preserve">Case </w:t>
      </w:r>
      <w:r w:rsidRPr="004741AC">
        <w:rPr>
          <w:b/>
          <w:kern w:val="24"/>
        </w:rPr>
        <w:t xml:space="preserve">1: </w:t>
      </w:r>
      <w:r>
        <w:rPr>
          <w:rFonts w:cs="Arial"/>
          <w:b/>
          <w:kern w:val="24"/>
        </w:rPr>
        <w:t xml:space="preserve"> </w:t>
      </w:r>
      <w:r w:rsidRPr="00D769E5">
        <w:rPr>
          <w:rFonts w:cs="Arial"/>
          <w:b/>
          <w:kern w:val="24"/>
        </w:rPr>
        <w:t>Flexible Ramp Sufficiency Test Pass</w:t>
      </w:r>
    </w:p>
    <w:p w14:paraId="72B60A5A" w14:textId="77777777" w:rsidR="006571FF" w:rsidRDefault="006571FF" w:rsidP="006571FF">
      <w:pPr>
        <w:spacing w:after="240" w:line="300" w:lineRule="auto"/>
        <w:jc w:val="center"/>
        <w:rPr>
          <w:rFonts w:eastAsia="Calibri"/>
        </w:rPr>
      </w:pPr>
      <w:r w:rsidRPr="0066107F">
        <w:rPr>
          <w:rFonts w:eastAsia="Calibri"/>
          <w:noProof/>
        </w:rPr>
        <w:drawing>
          <wp:inline distT="0" distB="0" distL="0" distR="0" wp14:anchorId="70FD5A38" wp14:editId="427B18CB">
            <wp:extent cx="5943600" cy="354901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3600" cy="3549015"/>
                    </a:xfrm>
                    <a:prstGeom prst="rect">
                      <a:avLst/>
                    </a:prstGeom>
                    <a:noFill/>
                    <a:ln>
                      <a:noFill/>
                    </a:ln>
                  </pic:spPr>
                </pic:pic>
              </a:graphicData>
            </a:graphic>
          </wp:inline>
        </w:drawing>
      </w:r>
    </w:p>
    <w:p w14:paraId="4CB81442" w14:textId="77777777" w:rsidR="006571FF" w:rsidRDefault="006571FF" w:rsidP="006571FF">
      <w:pPr>
        <w:spacing w:after="240" w:line="300" w:lineRule="auto"/>
        <w:jc w:val="center"/>
        <w:rPr>
          <w:rFonts w:eastAsia="Calibri"/>
        </w:rPr>
      </w:pPr>
    </w:p>
    <w:p w14:paraId="4CEE01AA" w14:textId="77777777" w:rsidR="006571FF" w:rsidRDefault="006571FF" w:rsidP="006571FF">
      <w:pPr>
        <w:jc w:val="center"/>
        <w:rPr>
          <w:rFonts w:cs="Arial"/>
          <w:b/>
          <w:kern w:val="24"/>
        </w:rPr>
      </w:pPr>
    </w:p>
    <w:p w14:paraId="61C2C0DB" w14:textId="77777777" w:rsidR="006571FF" w:rsidRPr="000F299B" w:rsidRDefault="006571FF" w:rsidP="006571FF">
      <w:pPr>
        <w:jc w:val="center"/>
        <w:rPr>
          <w:rFonts w:cs="Arial"/>
          <w:b/>
          <w:color w:val="4F758B"/>
          <w:kern w:val="24"/>
        </w:rPr>
      </w:pPr>
      <w:r w:rsidRPr="000F299B">
        <w:rPr>
          <w:rFonts w:cs="Arial"/>
          <w:b/>
          <w:kern w:val="24"/>
        </w:rPr>
        <w:t xml:space="preserve">Case 1: </w:t>
      </w:r>
      <w:r>
        <w:rPr>
          <w:rFonts w:cs="Arial"/>
          <w:b/>
          <w:kern w:val="24"/>
        </w:rPr>
        <w:t xml:space="preserve"> </w:t>
      </w:r>
      <w:r w:rsidRPr="000F299B">
        <w:rPr>
          <w:rFonts w:cs="Arial"/>
          <w:b/>
          <w:kern w:val="24"/>
        </w:rPr>
        <w:t>Flexible Ramp Capacity Constraints</w:t>
      </w:r>
    </w:p>
    <w:p w14:paraId="076D7332" w14:textId="77777777" w:rsidR="006571FF" w:rsidRPr="000F299B" w:rsidRDefault="006571FF" w:rsidP="006571FF">
      <w:pPr>
        <w:kinsoku w:val="0"/>
        <w:overflowPunct w:val="0"/>
        <w:contextualSpacing/>
        <w:textAlignment w:val="baseline"/>
      </w:pPr>
      <w:r w:rsidRPr="000F299B">
        <w:rPr>
          <w:rFonts w:cs="Arial"/>
          <w:kern w:val="24"/>
        </w:rPr>
        <w:t xml:space="preserve">For </w:t>
      </w:r>
      <w:r w:rsidRPr="000F299B">
        <w:rPr>
          <w:rFonts w:cs="Arial"/>
          <w:i/>
          <w:iCs/>
          <w:kern w:val="24"/>
        </w:rPr>
        <w:t>T</w:t>
      </w:r>
      <w:r w:rsidRPr="000F299B">
        <w:rPr>
          <w:rFonts w:cs="Arial"/>
          <w:kern w:val="24"/>
        </w:rPr>
        <w:t>+7.5'</w:t>
      </w:r>
    </w:p>
    <w:p w14:paraId="0CE8EC48"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0</w:t>
      </w:r>
      <w:r w:rsidRPr="000F299B">
        <w:rPr>
          <w:rFonts w:cs="Arial"/>
          <w:kern w:val="24"/>
        </w:rPr>
        <w:t xml:space="preserve"> ≥ max(0, FRR</w:t>
      </w:r>
      <w:r w:rsidRPr="000F299B">
        <w:rPr>
          <w:rFonts w:cs="Arial"/>
          <w:kern w:val="24"/>
          <w:position w:val="-12"/>
          <w:vertAlign w:val="subscript"/>
        </w:rPr>
        <w:t>0</w:t>
      </w:r>
      <w:r w:rsidRPr="000F299B">
        <w:rPr>
          <w:rFonts w:cs="Arial"/>
          <w:kern w:val="24"/>
        </w:rPr>
        <w:t xml:space="preserve"> − 20) = 0</w:t>
      </w:r>
    </w:p>
    <w:p w14:paraId="5EBD3296"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1</w:t>
      </w:r>
      <w:r w:rsidRPr="000F299B">
        <w:rPr>
          <w:rFonts w:cs="Arial"/>
          <w:kern w:val="24"/>
        </w:rPr>
        <w:t xml:space="preserve"> ≥ max(0, FRR</w:t>
      </w:r>
      <w:r w:rsidRPr="000F299B">
        <w:rPr>
          <w:rFonts w:cs="Arial"/>
          <w:kern w:val="24"/>
          <w:position w:val="-12"/>
          <w:vertAlign w:val="subscript"/>
        </w:rPr>
        <w:t>1</w:t>
      </w:r>
      <w:r w:rsidRPr="000F299B">
        <w:rPr>
          <w:rFonts w:cs="Arial"/>
          <w:kern w:val="24"/>
        </w:rPr>
        <w:t xml:space="preserve"> − 30) = 0</w:t>
      </w:r>
    </w:p>
    <w:p w14:paraId="1B4A99AF"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2</w:t>
      </w:r>
      <w:r w:rsidRPr="000F299B">
        <w:rPr>
          <w:rFonts w:cs="Arial"/>
          <w:kern w:val="24"/>
        </w:rPr>
        <w:t xml:space="preserve"> ≥ max(0, FRR</w:t>
      </w:r>
      <w:r w:rsidRPr="000F299B">
        <w:rPr>
          <w:rFonts w:cs="Arial"/>
          <w:kern w:val="24"/>
          <w:position w:val="-12"/>
          <w:vertAlign w:val="subscript"/>
        </w:rPr>
        <w:t>2</w:t>
      </w:r>
      <w:r w:rsidRPr="000F299B">
        <w:rPr>
          <w:rFonts w:cs="Arial"/>
          <w:kern w:val="24"/>
        </w:rPr>
        <w:t xml:space="preserve"> − 10) = </w:t>
      </w:r>
      <w:r>
        <w:rPr>
          <w:rFonts w:cs="Arial"/>
          <w:kern w:val="24"/>
        </w:rPr>
        <w:t>2</w:t>
      </w:r>
      <w:r w:rsidRPr="000F299B">
        <w:rPr>
          <w:rFonts w:cs="Arial"/>
          <w:kern w:val="24"/>
        </w:rPr>
        <w:t>0</w:t>
      </w:r>
    </w:p>
    <w:p w14:paraId="17F68559" w14:textId="77777777" w:rsidR="006571FF" w:rsidRPr="000F299B" w:rsidRDefault="006571FF" w:rsidP="006571FF">
      <w:pPr>
        <w:pStyle w:val="ListParagraph"/>
        <w:numPr>
          <w:ilvl w:val="0"/>
          <w:numId w:val="45"/>
        </w:numPr>
        <w:kinsoku w:val="0"/>
        <w:overflowPunct w:val="0"/>
        <w:contextualSpacing/>
        <w:textAlignment w:val="baseline"/>
      </w:pPr>
      <w:r w:rsidRPr="000F299B">
        <w:rPr>
          <w:rFonts w:cs="Arial"/>
          <w:kern w:val="24"/>
        </w:rPr>
        <w:t>FRC</w:t>
      </w:r>
      <w:r w:rsidRPr="000F299B">
        <w:rPr>
          <w:rFonts w:cs="Arial"/>
          <w:kern w:val="24"/>
          <w:position w:val="-12"/>
          <w:vertAlign w:val="subscript"/>
        </w:rPr>
        <w:t>0</w:t>
      </w:r>
      <w:r w:rsidRPr="000F299B">
        <w:rPr>
          <w:rFonts w:cs="Arial"/>
          <w:kern w:val="24"/>
        </w:rPr>
        <w:t xml:space="preserve"> + FRC</w:t>
      </w:r>
      <w:r w:rsidRPr="000F299B">
        <w:rPr>
          <w:rFonts w:cs="Arial"/>
          <w:kern w:val="24"/>
          <w:position w:val="-12"/>
          <w:vertAlign w:val="subscript"/>
        </w:rPr>
        <w:t>1</w:t>
      </w:r>
      <w:r w:rsidRPr="000F299B">
        <w:rPr>
          <w:rFonts w:cs="Arial"/>
          <w:kern w:val="24"/>
        </w:rPr>
        <w:t xml:space="preserve"> + FRC</w:t>
      </w:r>
      <w:r w:rsidRPr="000F299B">
        <w:rPr>
          <w:rFonts w:cs="Arial"/>
          <w:kern w:val="24"/>
          <w:position w:val="-12"/>
          <w:vertAlign w:val="subscript"/>
        </w:rPr>
        <w:t>2</w:t>
      </w:r>
      <w:r w:rsidRPr="000F299B">
        <w:rPr>
          <w:rFonts w:cs="Arial"/>
          <w:kern w:val="24"/>
        </w:rPr>
        <w:t xml:space="preserve"> ≥ FRR</w:t>
      </w:r>
      <w:r w:rsidRPr="000F299B">
        <w:rPr>
          <w:rFonts w:cs="Arial"/>
          <w:kern w:val="24"/>
          <w:position w:val="-12"/>
          <w:vertAlign w:val="subscript"/>
        </w:rPr>
        <w:t>0,1,2</w:t>
      </w:r>
      <w:r w:rsidRPr="000F299B">
        <w:rPr>
          <w:rFonts w:cs="Arial"/>
          <w:kern w:val="24"/>
        </w:rPr>
        <w:t xml:space="preserve"> = </w:t>
      </w:r>
      <w:r>
        <w:rPr>
          <w:rFonts w:cs="Arial"/>
          <w:kern w:val="24"/>
        </w:rPr>
        <w:t>85</w:t>
      </w:r>
    </w:p>
    <w:p w14:paraId="676678B4" w14:textId="77777777" w:rsidR="006571FF" w:rsidRPr="000F299B" w:rsidRDefault="006571FF" w:rsidP="006571FF">
      <w:pPr>
        <w:kinsoku w:val="0"/>
        <w:overflowPunct w:val="0"/>
        <w:textAlignment w:val="baseline"/>
      </w:pPr>
    </w:p>
    <w:p w14:paraId="61317545" w14:textId="77777777" w:rsidR="006571FF" w:rsidRDefault="006571FF" w:rsidP="006571FF">
      <w:pPr>
        <w:kinsoku w:val="0"/>
        <w:overflowPunct w:val="0"/>
        <w:jc w:val="center"/>
        <w:textAlignment w:val="baseline"/>
        <w:rPr>
          <w:rFonts w:cs="Arial"/>
          <w:b/>
          <w:kern w:val="24"/>
        </w:rPr>
      </w:pPr>
    </w:p>
    <w:p w14:paraId="416CB6C7" w14:textId="77777777" w:rsidR="006571FF" w:rsidRDefault="006571FF" w:rsidP="006571FF">
      <w:pPr>
        <w:kinsoku w:val="0"/>
        <w:overflowPunct w:val="0"/>
        <w:jc w:val="center"/>
        <w:textAlignment w:val="baseline"/>
        <w:rPr>
          <w:rFonts w:cs="Arial"/>
          <w:b/>
          <w:kern w:val="24"/>
        </w:rPr>
      </w:pPr>
    </w:p>
    <w:p w14:paraId="02ACBA8D" w14:textId="77777777" w:rsidR="006571FF" w:rsidRDefault="006571FF" w:rsidP="006571FF">
      <w:pPr>
        <w:kinsoku w:val="0"/>
        <w:overflowPunct w:val="0"/>
        <w:jc w:val="center"/>
        <w:textAlignment w:val="baseline"/>
        <w:rPr>
          <w:rFonts w:cs="Arial"/>
          <w:b/>
          <w:kern w:val="24"/>
        </w:rPr>
      </w:pPr>
    </w:p>
    <w:p w14:paraId="377D66ED" w14:textId="77777777" w:rsidR="006571FF" w:rsidRDefault="006571FF" w:rsidP="006571FF">
      <w:pPr>
        <w:kinsoku w:val="0"/>
        <w:overflowPunct w:val="0"/>
        <w:jc w:val="center"/>
        <w:textAlignment w:val="baseline"/>
        <w:rPr>
          <w:rFonts w:cs="Arial"/>
          <w:b/>
          <w:kern w:val="24"/>
        </w:rPr>
      </w:pPr>
    </w:p>
    <w:p w14:paraId="60E25250" w14:textId="77777777" w:rsidR="006571FF" w:rsidRPr="000F299B" w:rsidRDefault="006571FF" w:rsidP="006571FF">
      <w:pPr>
        <w:keepNext/>
        <w:keepLines/>
        <w:kinsoku w:val="0"/>
        <w:overflowPunct w:val="0"/>
        <w:jc w:val="center"/>
        <w:textAlignment w:val="baseline"/>
        <w:rPr>
          <w:b/>
          <w:color w:val="FF0000"/>
        </w:rPr>
      </w:pPr>
      <w:r w:rsidRPr="000F299B">
        <w:rPr>
          <w:rFonts w:cs="Arial"/>
          <w:b/>
          <w:kern w:val="24"/>
        </w:rPr>
        <w:t xml:space="preserve">Case 2: </w:t>
      </w:r>
      <w:r>
        <w:rPr>
          <w:rFonts w:cs="Arial"/>
          <w:b/>
          <w:kern w:val="24"/>
        </w:rPr>
        <w:t xml:space="preserve"> </w:t>
      </w:r>
      <w:r w:rsidRPr="000F299B">
        <w:rPr>
          <w:rFonts w:cs="Arial"/>
          <w:b/>
          <w:kern w:val="24"/>
        </w:rPr>
        <w:t>Flexible Ramp Sufficiency Test Fail</w:t>
      </w:r>
    </w:p>
    <w:p w14:paraId="657CAB17" w14:textId="77777777" w:rsidR="006571FF" w:rsidRDefault="006571FF" w:rsidP="006571FF">
      <w:pPr>
        <w:spacing w:after="240" w:line="300" w:lineRule="auto"/>
        <w:jc w:val="center"/>
        <w:rPr>
          <w:rFonts w:eastAsia="Calibri"/>
        </w:rPr>
      </w:pPr>
      <w:r w:rsidRPr="0066107F">
        <w:rPr>
          <w:rFonts w:eastAsia="Calibri"/>
          <w:noProof/>
        </w:rPr>
        <w:drawing>
          <wp:inline distT="0" distB="0" distL="0" distR="0" wp14:anchorId="077306BB" wp14:editId="62D5E562">
            <wp:extent cx="5943600" cy="354901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0" cy="3549015"/>
                    </a:xfrm>
                    <a:prstGeom prst="rect">
                      <a:avLst/>
                    </a:prstGeom>
                    <a:noFill/>
                    <a:ln>
                      <a:noFill/>
                    </a:ln>
                  </pic:spPr>
                </pic:pic>
              </a:graphicData>
            </a:graphic>
          </wp:inline>
        </w:drawing>
      </w:r>
    </w:p>
    <w:p w14:paraId="7ABC7E00" w14:textId="77777777" w:rsidR="006571FF" w:rsidRDefault="006571FF" w:rsidP="006571FF">
      <w:pPr>
        <w:spacing w:after="240" w:line="300" w:lineRule="auto"/>
        <w:jc w:val="center"/>
        <w:rPr>
          <w:rFonts w:eastAsia="Calibri"/>
        </w:rPr>
      </w:pPr>
    </w:p>
    <w:p w14:paraId="2C3AAE60" w14:textId="77777777" w:rsidR="006571FF" w:rsidRDefault="006571FF" w:rsidP="006571FF">
      <w:pPr>
        <w:spacing w:after="240" w:line="300" w:lineRule="auto"/>
        <w:jc w:val="center"/>
        <w:rPr>
          <w:rFonts w:cs="Arial"/>
          <w:b/>
          <w:kern w:val="24"/>
        </w:rPr>
      </w:pPr>
    </w:p>
    <w:p w14:paraId="624073C3" w14:textId="77777777" w:rsidR="006571FF" w:rsidRPr="000F299B" w:rsidRDefault="006571FF" w:rsidP="006571FF">
      <w:pPr>
        <w:spacing w:after="240" w:line="300" w:lineRule="auto"/>
        <w:jc w:val="center"/>
        <w:rPr>
          <w:rFonts w:eastAsia="Calibri"/>
          <w:b/>
        </w:rPr>
      </w:pPr>
      <w:r w:rsidRPr="000F299B">
        <w:rPr>
          <w:rFonts w:cs="Arial"/>
          <w:b/>
          <w:kern w:val="24"/>
        </w:rPr>
        <w:t xml:space="preserve">Case 2: </w:t>
      </w:r>
      <w:r>
        <w:rPr>
          <w:rFonts w:cs="Arial"/>
          <w:b/>
          <w:kern w:val="24"/>
        </w:rPr>
        <w:t xml:space="preserve"> </w:t>
      </w:r>
      <w:r w:rsidRPr="000F299B">
        <w:rPr>
          <w:rFonts w:cs="Arial"/>
          <w:b/>
          <w:kern w:val="24"/>
        </w:rPr>
        <w:t>Flexible Ramp Capacity Constraints</w:t>
      </w:r>
    </w:p>
    <w:p w14:paraId="5DA5E657" w14:textId="77777777" w:rsidR="006571FF" w:rsidRPr="000F299B" w:rsidRDefault="006571FF" w:rsidP="006571FF">
      <w:pPr>
        <w:kinsoku w:val="0"/>
        <w:overflowPunct w:val="0"/>
        <w:contextualSpacing/>
        <w:textAlignment w:val="baseline"/>
        <w:rPr>
          <w:color w:val="006699"/>
        </w:rPr>
      </w:pPr>
      <w:r w:rsidRPr="000F299B">
        <w:rPr>
          <w:rFonts w:cs="Arial"/>
          <w:color w:val="000000"/>
          <w:kern w:val="24"/>
        </w:rPr>
        <w:t xml:space="preserve">For </w:t>
      </w:r>
      <w:r w:rsidRPr="000F299B">
        <w:rPr>
          <w:rFonts w:cs="Arial"/>
          <w:i/>
          <w:iCs/>
          <w:color w:val="000000"/>
          <w:kern w:val="24"/>
        </w:rPr>
        <w:t>T</w:t>
      </w:r>
      <w:r w:rsidRPr="000F299B">
        <w:rPr>
          <w:rFonts w:cs="Arial"/>
          <w:color w:val="000000"/>
          <w:kern w:val="24"/>
        </w:rPr>
        <w:t>+7.5'</w:t>
      </w:r>
    </w:p>
    <w:p w14:paraId="40828407"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0</w:t>
      </w:r>
      <w:r w:rsidRPr="000F299B">
        <w:rPr>
          <w:rFonts w:cs="Arial"/>
          <w:kern w:val="24"/>
        </w:rPr>
        <w:t xml:space="preserve"> ≥ max(0, FRR</w:t>
      </w:r>
      <w:r w:rsidRPr="000F299B">
        <w:rPr>
          <w:rFonts w:cs="Arial"/>
          <w:kern w:val="24"/>
          <w:position w:val="-12"/>
          <w:vertAlign w:val="subscript"/>
        </w:rPr>
        <w:t>0</w:t>
      </w:r>
      <w:r w:rsidRPr="000F299B">
        <w:rPr>
          <w:rFonts w:cs="Arial"/>
          <w:kern w:val="24"/>
        </w:rPr>
        <w:t xml:space="preserve"> − 20) = 0</w:t>
      </w:r>
    </w:p>
    <w:p w14:paraId="6A0FD403"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t xml:space="preserve"> FRC</w:t>
      </w:r>
      <w:r w:rsidRPr="000F299B">
        <w:rPr>
          <w:rFonts w:cs="Arial"/>
          <w:kern w:val="24"/>
          <w:position w:val="-12"/>
          <w:vertAlign w:val="subscript"/>
        </w:rPr>
        <w:t>1</w:t>
      </w:r>
      <w:r w:rsidRPr="000F299B">
        <w:rPr>
          <w:rFonts w:cs="Arial"/>
          <w:kern w:val="24"/>
        </w:rPr>
        <w:t xml:space="preserve"> ≥ max(0, FRR</w:t>
      </w:r>
      <w:r w:rsidRPr="000F299B">
        <w:rPr>
          <w:rFonts w:cs="Arial"/>
          <w:kern w:val="24"/>
          <w:position w:val="-12"/>
          <w:vertAlign w:val="subscript"/>
        </w:rPr>
        <w:t>1</w:t>
      </w:r>
      <w:r w:rsidRPr="000F299B">
        <w:rPr>
          <w:rFonts w:cs="Arial"/>
          <w:kern w:val="24"/>
        </w:rPr>
        <w:t xml:space="preserve"> − 30) = 0</w:t>
      </w:r>
    </w:p>
    <w:p w14:paraId="7C455E43"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lastRenderedPageBreak/>
        <w:t xml:space="preserve"> FRC</w:t>
      </w:r>
      <w:r w:rsidRPr="000F299B">
        <w:rPr>
          <w:rFonts w:cs="Arial"/>
          <w:kern w:val="24"/>
          <w:position w:val="-12"/>
          <w:vertAlign w:val="subscript"/>
        </w:rPr>
        <w:t>2</w:t>
      </w:r>
      <w:r w:rsidRPr="000F299B">
        <w:rPr>
          <w:rFonts w:cs="Arial"/>
          <w:kern w:val="24"/>
        </w:rPr>
        <w:t xml:space="preserve"> ≥ FRR</w:t>
      </w:r>
      <w:r w:rsidRPr="000F299B">
        <w:rPr>
          <w:rFonts w:cs="Arial"/>
          <w:kern w:val="24"/>
          <w:position w:val="-12"/>
          <w:vertAlign w:val="subscript"/>
        </w:rPr>
        <w:t>2</w:t>
      </w:r>
      <w:r w:rsidRPr="000F299B">
        <w:rPr>
          <w:rFonts w:cs="Arial"/>
          <w:kern w:val="24"/>
        </w:rPr>
        <w:t xml:space="preserve"> = </w:t>
      </w:r>
      <w:r>
        <w:rPr>
          <w:rFonts w:cs="Arial"/>
          <w:kern w:val="24"/>
        </w:rPr>
        <w:t>3</w:t>
      </w:r>
      <w:r w:rsidRPr="000F299B">
        <w:rPr>
          <w:rFonts w:cs="Arial"/>
          <w:kern w:val="24"/>
        </w:rPr>
        <w:t>0</w:t>
      </w:r>
    </w:p>
    <w:p w14:paraId="0C3E351E" w14:textId="77777777" w:rsidR="006571FF" w:rsidRPr="004515FF" w:rsidRDefault="006571FF" w:rsidP="006571FF">
      <w:pPr>
        <w:pStyle w:val="ListParagraph"/>
        <w:numPr>
          <w:ilvl w:val="0"/>
          <w:numId w:val="46"/>
        </w:numPr>
        <w:kinsoku w:val="0"/>
        <w:overflowPunct w:val="0"/>
        <w:contextualSpacing/>
        <w:textAlignment w:val="baseline"/>
      </w:pPr>
      <w:r w:rsidRPr="000F299B">
        <w:rPr>
          <w:rFonts w:cs="Arial"/>
          <w:kern w:val="24"/>
        </w:rPr>
        <w:t xml:space="preserve"> NSI</w:t>
      </w:r>
      <w:r w:rsidRPr="000F299B">
        <w:rPr>
          <w:rFonts w:cs="Arial"/>
          <w:kern w:val="24"/>
          <w:position w:val="-12"/>
          <w:vertAlign w:val="subscript"/>
        </w:rPr>
        <w:t>2</w:t>
      </w:r>
      <w:r w:rsidRPr="000F299B">
        <w:rPr>
          <w:rFonts w:cs="Arial"/>
          <w:kern w:val="24"/>
        </w:rPr>
        <w:t xml:space="preserve"> ≥ −10</w:t>
      </w:r>
    </w:p>
    <w:p w14:paraId="49886E47" w14:textId="77777777" w:rsidR="006571FF" w:rsidRPr="000F299B" w:rsidRDefault="006571FF" w:rsidP="006571FF">
      <w:pPr>
        <w:pStyle w:val="ListParagraph"/>
        <w:numPr>
          <w:ilvl w:val="0"/>
          <w:numId w:val="46"/>
        </w:numPr>
        <w:kinsoku w:val="0"/>
        <w:overflowPunct w:val="0"/>
        <w:contextualSpacing/>
        <w:textAlignment w:val="baseline"/>
      </w:pPr>
      <w:r w:rsidRPr="000F299B">
        <w:rPr>
          <w:rFonts w:cs="Arial"/>
          <w:kern w:val="24"/>
        </w:rPr>
        <w:t>FRC</w:t>
      </w:r>
      <w:r w:rsidRPr="000F299B">
        <w:rPr>
          <w:rFonts w:cs="Arial"/>
          <w:kern w:val="24"/>
          <w:position w:val="-12"/>
          <w:vertAlign w:val="subscript"/>
        </w:rPr>
        <w:t>0</w:t>
      </w:r>
      <w:r w:rsidRPr="000F299B">
        <w:rPr>
          <w:rFonts w:cs="Arial"/>
          <w:kern w:val="24"/>
        </w:rPr>
        <w:t xml:space="preserve"> + FRC</w:t>
      </w:r>
      <w:r w:rsidRPr="000F299B">
        <w:rPr>
          <w:rFonts w:cs="Arial"/>
          <w:kern w:val="24"/>
          <w:position w:val="-12"/>
          <w:vertAlign w:val="subscript"/>
        </w:rPr>
        <w:t>1</w:t>
      </w:r>
      <w:r w:rsidRPr="000F299B">
        <w:rPr>
          <w:rFonts w:cs="Arial"/>
          <w:kern w:val="24"/>
        </w:rPr>
        <w:t xml:space="preserve"> + FRC</w:t>
      </w:r>
      <w:r w:rsidRPr="000F299B">
        <w:rPr>
          <w:rFonts w:cs="Arial"/>
          <w:kern w:val="24"/>
          <w:position w:val="-12"/>
          <w:vertAlign w:val="subscript"/>
        </w:rPr>
        <w:t>2</w:t>
      </w:r>
      <w:r w:rsidRPr="000F299B">
        <w:rPr>
          <w:rFonts w:cs="Arial"/>
          <w:kern w:val="24"/>
        </w:rPr>
        <w:t xml:space="preserve"> ≥ FRR</w:t>
      </w:r>
      <w:r w:rsidRPr="000F299B">
        <w:rPr>
          <w:rFonts w:cs="Arial"/>
          <w:kern w:val="24"/>
          <w:position w:val="-12"/>
          <w:vertAlign w:val="subscript"/>
        </w:rPr>
        <w:t>0,1,2</w:t>
      </w:r>
      <w:r w:rsidRPr="000F299B">
        <w:rPr>
          <w:rFonts w:cs="Arial"/>
          <w:kern w:val="24"/>
        </w:rPr>
        <w:t xml:space="preserve"> = </w:t>
      </w:r>
      <w:r>
        <w:rPr>
          <w:rFonts w:cs="Arial"/>
          <w:kern w:val="24"/>
        </w:rPr>
        <w:t>85</w:t>
      </w:r>
    </w:p>
    <w:p w14:paraId="2D7D34F5" w14:textId="1525FA7B" w:rsidR="00CF393E" w:rsidRPr="00BC5C71" w:rsidRDefault="00CF393E" w:rsidP="00E80005">
      <w:pPr>
        <w:pStyle w:val="Heading4"/>
        <w:numPr>
          <w:ilvl w:val="3"/>
          <w:numId w:val="75"/>
        </w:numPr>
        <w:spacing w:before="240"/>
        <w:rPr>
          <w:rFonts w:eastAsia="Calibri"/>
        </w:rPr>
      </w:pPr>
      <w:r>
        <w:rPr>
          <w:rFonts w:ascii="Calibri" w:eastAsia="Times New Roman" w:hAnsi="Calibri" w:cs="Arial"/>
          <w:bCs/>
          <w:color w:val="000000"/>
        </w:rPr>
        <w:t>I</w:t>
      </w:r>
      <w:r w:rsidRPr="00FA551B">
        <w:rPr>
          <w:rFonts w:ascii="Calibri" w:eastAsia="Times New Roman" w:hAnsi="Calibri" w:cs="Arial"/>
          <w:bCs/>
          <w:color w:val="000000"/>
        </w:rPr>
        <w:t>mport/</w:t>
      </w:r>
      <w:r>
        <w:rPr>
          <w:rFonts w:ascii="Calibri" w:eastAsia="Times New Roman" w:hAnsi="Calibri" w:cs="Arial"/>
          <w:bCs/>
          <w:color w:val="000000"/>
        </w:rPr>
        <w:t>E</w:t>
      </w:r>
      <w:r w:rsidRPr="00FA551B">
        <w:rPr>
          <w:rFonts w:ascii="Calibri" w:eastAsia="Times New Roman" w:hAnsi="Calibri" w:cs="Arial"/>
          <w:bCs/>
          <w:color w:val="000000"/>
        </w:rPr>
        <w:t xml:space="preserve">xport </w:t>
      </w:r>
      <w:r>
        <w:rPr>
          <w:rFonts w:ascii="Calibri" w:eastAsia="Times New Roman" w:hAnsi="Calibri" w:cs="Arial"/>
          <w:bCs/>
          <w:color w:val="000000"/>
        </w:rPr>
        <w:t>H</w:t>
      </w:r>
      <w:r w:rsidRPr="00FA551B">
        <w:rPr>
          <w:rFonts w:ascii="Calibri" w:eastAsia="Times New Roman" w:hAnsi="Calibri" w:cs="Arial"/>
          <w:bCs/>
          <w:color w:val="000000"/>
        </w:rPr>
        <w:t xml:space="preserve">ourly </w:t>
      </w:r>
      <w:r>
        <w:rPr>
          <w:rFonts w:ascii="Calibri" w:eastAsia="Times New Roman" w:hAnsi="Calibri" w:cs="Arial"/>
          <w:bCs/>
          <w:color w:val="000000"/>
        </w:rPr>
        <w:t>B</w:t>
      </w:r>
      <w:r w:rsidRPr="00FA551B">
        <w:rPr>
          <w:rFonts w:ascii="Calibri" w:eastAsia="Times New Roman" w:hAnsi="Calibri" w:cs="Arial"/>
          <w:bCs/>
          <w:color w:val="000000"/>
        </w:rPr>
        <w:t xml:space="preserve">lock </w:t>
      </w:r>
      <w:r>
        <w:rPr>
          <w:rFonts w:ascii="Calibri" w:eastAsia="Times New Roman" w:hAnsi="Calibri" w:cs="Arial"/>
          <w:bCs/>
          <w:color w:val="000000"/>
        </w:rPr>
        <w:t>S</w:t>
      </w:r>
      <w:r w:rsidRPr="00FA551B">
        <w:rPr>
          <w:rFonts w:ascii="Calibri" w:eastAsia="Times New Roman" w:hAnsi="Calibri" w:cs="Arial"/>
          <w:bCs/>
          <w:color w:val="000000"/>
        </w:rPr>
        <w:t xml:space="preserve">chedule </w:t>
      </w:r>
      <w:r>
        <w:rPr>
          <w:rFonts w:ascii="Calibri" w:eastAsia="Times New Roman" w:hAnsi="Calibri" w:cs="Arial"/>
          <w:bCs/>
          <w:color w:val="000000"/>
        </w:rPr>
        <w:t>D</w:t>
      </w:r>
      <w:r w:rsidRPr="00FA551B">
        <w:rPr>
          <w:rFonts w:ascii="Calibri" w:eastAsia="Times New Roman" w:hAnsi="Calibri" w:cs="Arial"/>
          <w:bCs/>
          <w:color w:val="000000"/>
        </w:rPr>
        <w:t>ifference</w:t>
      </w:r>
      <w:r>
        <w:rPr>
          <w:rFonts w:ascii="Calibri" w:eastAsia="Times New Roman" w:hAnsi="Calibri" w:cs="Arial"/>
          <w:bCs/>
          <w:color w:val="000000"/>
        </w:rPr>
        <w:t xml:space="preserve"> Calculation</w:t>
      </w:r>
    </w:p>
    <w:p w14:paraId="26F0A97E" w14:textId="39F33896" w:rsidR="005E261F" w:rsidRDefault="005E261F" w:rsidP="00A008A8">
      <w:pPr>
        <w:spacing w:after="240" w:line="300" w:lineRule="auto"/>
        <w:rPr>
          <w:rFonts w:eastAsia="Calibri"/>
        </w:rPr>
      </w:pPr>
      <w:r>
        <w:t xml:space="preserve">The CAISO will calculate and </w:t>
      </w:r>
      <w:r w:rsidR="0028277E">
        <w:t>publi</w:t>
      </w:r>
      <w:r>
        <w:t>sh, for each</w:t>
      </w:r>
      <w:r w:rsidR="005F24C1">
        <w:t xml:space="preserve"> WEIM </w:t>
      </w:r>
      <w:r>
        <w:t>Entity BAA, the absolute and the relative hourly net inter-tie scheduling error of imports and exports whose final tagged schedules differ from either the</w:t>
      </w:r>
      <w:r w:rsidR="005F24C1">
        <w:t xml:space="preserve"> WEIM </w:t>
      </w:r>
      <w:r>
        <w:t xml:space="preserve">base schedule or, in the case of the CAISO BAA, the CAISO hourly schedules. </w:t>
      </w:r>
      <w:r>
        <w:rPr>
          <w:rFonts w:ascii="Calibri" w:eastAsia="Times New Roman" w:hAnsi="Calibri" w:cs="Times New Roman"/>
          <w:color w:val="000000"/>
        </w:rPr>
        <w:t xml:space="preserve">The CAISO calculates two histograms: one based on absolute hourly scheduling deviation and another based on relative hourly scheduling deviation. The </w:t>
      </w:r>
      <w:r>
        <w:t>hourly scheduling deviations over each month between the 15</w:t>
      </w:r>
      <w:r>
        <w:rPr>
          <w:sz w:val="14"/>
          <w:szCs w:val="14"/>
        </w:rPr>
        <w:t xml:space="preserve">th </w:t>
      </w:r>
      <w:r>
        <w:t>day of the third prior month and the 15</w:t>
      </w:r>
      <w:r>
        <w:rPr>
          <w:sz w:val="14"/>
          <w:szCs w:val="14"/>
        </w:rPr>
        <w:t xml:space="preserve">th </w:t>
      </w:r>
      <w:r>
        <w:t>day of the current month.</w:t>
      </w:r>
    </w:p>
    <w:p w14:paraId="79A314EC" w14:textId="630E354A" w:rsidR="005E261F" w:rsidRDefault="005E261F" w:rsidP="00A008A8">
      <w:pPr>
        <w:spacing w:after="240" w:line="300" w:lineRule="auto"/>
      </w:pPr>
      <w:r>
        <w:t xml:space="preserve">If </w:t>
      </w:r>
      <w:r w:rsidR="00153940">
        <w:t>a WEIM</w:t>
      </w:r>
      <w:r w:rsidR="005F24C1">
        <w:t xml:space="preserve"> </w:t>
      </w:r>
      <w:r>
        <w:t>Entity BAA has historical deviations in the net import/export schedule changes between T-40 and T-20, the CAISO will add an additional capacity requirement to the capacity test. This ensures that the bid range from</w:t>
      </w:r>
      <w:r w:rsidR="005F24C1">
        <w:t xml:space="preserve"> WEIM </w:t>
      </w:r>
      <w:r>
        <w:t>Participating Resources cover the difference between net</w:t>
      </w:r>
      <w:r w:rsidR="005F24C1">
        <w:t xml:space="preserve"> WEIM </w:t>
      </w:r>
      <w:r>
        <w:t>Base Schedules and the Demand Forecast for the Operating Hour, including the historical intertie over/under-scheduling within a 95% confidence interval.</w:t>
      </w:r>
    </w:p>
    <w:p w14:paraId="79378A59" w14:textId="5E5409F2" w:rsidR="005E261F" w:rsidRDefault="005E261F" w:rsidP="00A008A8">
      <w:pPr>
        <w:spacing w:after="240" w:line="25" w:lineRule="atLeast"/>
      </w:pPr>
      <w:r w:rsidRPr="00B3593A">
        <w:rPr>
          <w:rFonts w:ascii="Calibri" w:eastAsia="Times New Roman" w:hAnsi="Calibri" w:cs="Times New Roman"/>
          <w:color w:val="000000"/>
        </w:rPr>
        <w:t>In the event the</w:t>
      </w:r>
      <w:r>
        <w:rPr>
          <w:rFonts w:ascii="Calibri" w:eastAsia="Times New Roman" w:hAnsi="Calibri" w:cs="Times New Roman"/>
          <w:color w:val="000000"/>
        </w:rPr>
        <w:t xml:space="preserve"> historical net import/export calculation produces </w:t>
      </w:r>
      <w:r w:rsidRPr="00B3593A">
        <w:rPr>
          <w:rFonts w:ascii="Calibri" w:eastAsia="Times New Roman" w:hAnsi="Calibri" w:cs="Times New Roman"/>
          <w:color w:val="000000"/>
        </w:rPr>
        <w:t>anomalous results</w:t>
      </w:r>
      <w:r>
        <w:rPr>
          <w:rFonts w:ascii="Calibri" w:eastAsia="Times New Roman" w:hAnsi="Calibri" w:cs="Times New Roman"/>
          <w:color w:val="000000"/>
        </w:rPr>
        <w:t xml:space="preserve">, the CAISO will set the </w:t>
      </w:r>
      <w:r w:rsidRPr="00B3593A">
        <w:rPr>
          <w:rFonts w:ascii="Calibri" w:eastAsia="Times New Roman" w:hAnsi="Calibri" w:cs="Times New Roman"/>
          <w:color w:val="000000"/>
        </w:rPr>
        <w:t>low histogram percentile, high histogram percentile</w:t>
      </w:r>
      <w:r>
        <w:rPr>
          <w:rFonts w:ascii="Calibri" w:eastAsia="Times New Roman" w:hAnsi="Calibri" w:cs="Times New Roman"/>
          <w:color w:val="000000"/>
        </w:rPr>
        <w:t>, low absolute histogram percentile and high absolute histogram percentile described below</w:t>
      </w:r>
      <w:r w:rsidRPr="00B3593A">
        <w:rPr>
          <w:rFonts w:ascii="Calibri" w:eastAsia="Times New Roman" w:hAnsi="Calibri" w:cs="Times New Roman"/>
          <w:color w:val="000000"/>
        </w:rPr>
        <w:t xml:space="preserve"> to zero temporarily while</w:t>
      </w:r>
      <w:r>
        <w:rPr>
          <w:rFonts w:ascii="Calibri" w:eastAsia="Times New Roman" w:hAnsi="Calibri" w:cs="Times New Roman"/>
          <w:color w:val="000000"/>
        </w:rPr>
        <w:t xml:space="preserve"> it i</w:t>
      </w:r>
      <w:r w:rsidRPr="00B3593A">
        <w:rPr>
          <w:rFonts w:ascii="Calibri" w:eastAsia="Times New Roman" w:hAnsi="Calibri" w:cs="Times New Roman"/>
          <w:color w:val="000000"/>
        </w:rPr>
        <w:t>nvestigat</w:t>
      </w:r>
      <w:r>
        <w:rPr>
          <w:rFonts w:ascii="Calibri" w:eastAsia="Times New Roman" w:hAnsi="Calibri" w:cs="Times New Roman"/>
          <w:color w:val="000000"/>
        </w:rPr>
        <w:t>es</w:t>
      </w:r>
      <w:r w:rsidRPr="00B3593A">
        <w:rPr>
          <w:rFonts w:ascii="Calibri" w:eastAsia="Times New Roman" w:hAnsi="Calibri" w:cs="Times New Roman"/>
          <w:color w:val="000000"/>
        </w:rPr>
        <w:t xml:space="preserve"> the </w:t>
      </w:r>
      <w:r>
        <w:rPr>
          <w:rFonts w:ascii="Calibri" w:eastAsia="Times New Roman" w:hAnsi="Calibri" w:cs="Times New Roman"/>
          <w:color w:val="000000"/>
        </w:rPr>
        <w:t xml:space="preserve">cause of the </w:t>
      </w:r>
      <w:r w:rsidRPr="00B3593A">
        <w:rPr>
          <w:rFonts w:ascii="Calibri" w:eastAsia="Times New Roman" w:hAnsi="Calibri" w:cs="Times New Roman"/>
          <w:color w:val="000000"/>
        </w:rPr>
        <w:t>anomalous results.</w:t>
      </w:r>
    </w:p>
    <w:p w14:paraId="62C366C7" w14:textId="77777777" w:rsidR="005E261F" w:rsidRPr="00877DDB" w:rsidRDefault="005E261F" w:rsidP="00A008A8">
      <w:pPr>
        <w:pStyle w:val="Default"/>
        <w:spacing w:after="240" w:line="300" w:lineRule="auto"/>
        <w:rPr>
          <w:rFonts w:asciiTheme="minorHAnsi" w:eastAsiaTheme="minorHAnsi" w:hAnsiTheme="minorHAnsi" w:cstheme="minorBidi"/>
          <w:color w:val="auto"/>
          <w:sz w:val="22"/>
          <w:szCs w:val="22"/>
        </w:rPr>
      </w:pPr>
      <w:r w:rsidRPr="00877DDB">
        <w:rPr>
          <w:rFonts w:asciiTheme="minorHAnsi" w:eastAsiaTheme="minorHAnsi" w:hAnsiTheme="minorHAnsi" w:cstheme="minorBidi"/>
          <w:color w:val="auto"/>
          <w:sz w:val="22"/>
          <w:szCs w:val="22"/>
        </w:rPr>
        <w:t xml:space="preserve">The CAISO will calculate the histograms </w:t>
      </w:r>
      <w:r>
        <w:rPr>
          <w:rFonts w:asciiTheme="minorHAnsi" w:eastAsiaTheme="minorHAnsi" w:hAnsiTheme="minorHAnsi" w:cstheme="minorBidi"/>
          <w:color w:val="auto"/>
          <w:sz w:val="22"/>
          <w:szCs w:val="22"/>
        </w:rPr>
        <w:t>and the additional capacity requirement as follows</w:t>
      </w:r>
      <w:r w:rsidRPr="00877DDB">
        <w:rPr>
          <w:rFonts w:asciiTheme="minorHAnsi" w:eastAsiaTheme="minorHAnsi" w:hAnsiTheme="minorHAnsi" w:cstheme="minorBidi"/>
          <w:color w:val="auto"/>
          <w:sz w:val="22"/>
          <w:szCs w:val="22"/>
        </w:rPr>
        <w:t xml:space="preserve">: </w:t>
      </w:r>
    </w:p>
    <w:p w14:paraId="7D4ABE79" w14:textId="590E7E78" w:rsidR="005E261F" w:rsidRPr="00503D30" w:rsidRDefault="005E261F" w:rsidP="00E80005">
      <w:pPr>
        <w:pStyle w:val="Default"/>
        <w:numPr>
          <w:ilvl w:val="0"/>
          <w:numId w:val="71"/>
        </w:numPr>
        <w:spacing w:after="160" w:line="259" w:lineRule="auto"/>
        <w:rPr>
          <w:rFonts w:asciiTheme="minorHAnsi" w:eastAsiaTheme="minorHAnsi" w:hAnsiTheme="minorHAnsi" w:cstheme="minorBidi"/>
          <w:color w:val="auto"/>
          <w:sz w:val="22"/>
          <w:szCs w:val="22"/>
        </w:rPr>
      </w:pPr>
      <w:r w:rsidRPr="00503D30">
        <w:rPr>
          <w:rFonts w:asciiTheme="minorHAnsi" w:eastAsiaTheme="minorHAnsi" w:hAnsiTheme="minorHAnsi" w:cstheme="minorBidi"/>
          <w:color w:val="auto"/>
          <w:sz w:val="22"/>
          <w:szCs w:val="22"/>
        </w:rPr>
        <w:t xml:space="preserve">The CAISO will net </w:t>
      </w:r>
      <w:r>
        <w:rPr>
          <w:rFonts w:asciiTheme="minorHAnsi" w:eastAsiaTheme="minorHAnsi" w:hAnsiTheme="minorHAnsi" w:cstheme="minorBidi"/>
          <w:color w:val="auto"/>
          <w:sz w:val="22"/>
          <w:szCs w:val="22"/>
        </w:rPr>
        <w:t>i</w:t>
      </w:r>
      <w:r w:rsidRPr="00503D30">
        <w:rPr>
          <w:rFonts w:asciiTheme="minorHAnsi" w:eastAsiaTheme="minorHAnsi" w:hAnsiTheme="minorHAnsi" w:cstheme="minorBidi"/>
          <w:color w:val="auto"/>
          <w:sz w:val="22"/>
          <w:szCs w:val="22"/>
        </w:rPr>
        <w:t xml:space="preserve">mports and exports against each other in each Operating Hour. </w:t>
      </w:r>
      <w:r w:rsidRPr="00503D30">
        <w:rPr>
          <w:rFonts w:asciiTheme="minorHAnsi" w:eastAsiaTheme="minorHAnsi" w:hAnsiTheme="minorHAnsi" w:cstheme="minorBidi"/>
          <w:color w:val="auto"/>
        </w:rPr>
        <w:t xml:space="preserve"> </w:t>
      </w:r>
    </w:p>
    <w:p w14:paraId="377A3486" w14:textId="15D66DDD" w:rsidR="005E261F" w:rsidRPr="00503D30" w:rsidRDefault="005E261F" w:rsidP="00E80005">
      <w:pPr>
        <w:pStyle w:val="ListParagraph"/>
        <w:numPr>
          <w:ilvl w:val="0"/>
          <w:numId w:val="71"/>
        </w:numPr>
      </w:pPr>
      <w:r w:rsidRPr="00503D30">
        <w:rPr>
          <w:rFonts w:ascii="Calibri" w:hAnsi="Calibri" w:cs="Times New Roman"/>
        </w:rPr>
        <w:t>If net-tagged imports are greater than net imports in the</w:t>
      </w:r>
      <w:r w:rsidR="005F24C1">
        <w:rPr>
          <w:rFonts w:ascii="Calibri" w:hAnsi="Calibri" w:cs="Times New Roman"/>
        </w:rPr>
        <w:t xml:space="preserve"> WEIM </w:t>
      </w:r>
      <w:r w:rsidRPr="00503D30">
        <w:rPr>
          <w:rFonts w:ascii="Calibri" w:hAnsi="Calibri" w:cs="Times New Roman"/>
        </w:rPr>
        <w:t>Base Schedules, the CAISO will add to the affected BAA in the</w:t>
      </w:r>
      <w:r w:rsidR="005F24C1">
        <w:rPr>
          <w:rFonts w:ascii="Calibri" w:hAnsi="Calibri" w:cs="Times New Roman"/>
        </w:rPr>
        <w:t xml:space="preserve"> WEIM </w:t>
      </w:r>
      <w:r w:rsidRPr="00503D30">
        <w:rPr>
          <w:rFonts w:ascii="Calibri" w:hAnsi="Calibri" w:cs="Times New Roman"/>
        </w:rPr>
        <w:t xml:space="preserve">an additional </w:t>
      </w:r>
      <w:r>
        <w:rPr>
          <w:rFonts w:ascii="Calibri" w:hAnsi="Calibri" w:cs="Times New Roman"/>
        </w:rPr>
        <w:t xml:space="preserve">downward </w:t>
      </w:r>
      <w:r w:rsidRPr="00503D30">
        <w:rPr>
          <w:rFonts w:ascii="Calibri" w:hAnsi="Calibri" w:cs="Times New Roman"/>
        </w:rPr>
        <w:t>capacity requirement.  If net-tagged imports are less than net imports included in the</w:t>
      </w:r>
      <w:r w:rsidR="005F24C1">
        <w:rPr>
          <w:rFonts w:ascii="Calibri" w:hAnsi="Calibri" w:cs="Times New Roman"/>
        </w:rPr>
        <w:t xml:space="preserve"> WEIM </w:t>
      </w:r>
      <w:r w:rsidRPr="00503D30">
        <w:rPr>
          <w:rFonts w:ascii="Calibri" w:hAnsi="Calibri" w:cs="Times New Roman"/>
        </w:rPr>
        <w:t>Base Schedules, the CAISO will add to the affected BAA in the</w:t>
      </w:r>
      <w:r w:rsidR="005F24C1">
        <w:rPr>
          <w:rFonts w:ascii="Calibri" w:hAnsi="Calibri" w:cs="Times New Roman"/>
        </w:rPr>
        <w:t xml:space="preserve"> WEIM </w:t>
      </w:r>
      <w:r w:rsidRPr="00503D30">
        <w:rPr>
          <w:rFonts w:ascii="Calibri" w:hAnsi="Calibri" w:cs="Times New Roman"/>
        </w:rPr>
        <w:t xml:space="preserve">an additional </w:t>
      </w:r>
      <w:r>
        <w:rPr>
          <w:rFonts w:ascii="Calibri" w:hAnsi="Calibri" w:cs="Times New Roman"/>
        </w:rPr>
        <w:t xml:space="preserve">upward </w:t>
      </w:r>
      <w:r w:rsidRPr="00503D30">
        <w:rPr>
          <w:rFonts w:ascii="Calibri" w:hAnsi="Calibri" w:cs="Times New Roman"/>
        </w:rPr>
        <w:t>capacity requirement.</w:t>
      </w:r>
      <w:r w:rsidRPr="00503D30">
        <w:t xml:space="preserve"> </w:t>
      </w:r>
    </w:p>
    <w:p w14:paraId="663DC93A" w14:textId="47998BA9" w:rsidR="005E261F" w:rsidRDefault="005E261F" w:rsidP="00E80005">
      <w:pPr>
        <w:pStyle w:val="ListParagraph"/>
        <w:numPr>
          <w:ilvl w:val="0"/>
          <w:numId w:val="71"/>
        </w:numPr>
      </w:pPr>
      <w:r w:rsidRPr="00503D30">
        <w:rPr>
          <w:rFonts w:ascii="Calibri" w:hAnsi="Calibri" w:cs="Times New Roman"/>
        </w:rPr>
        <w:t>If net-tagged exports are greater than net exports included in the</w:t>
      </w:r>
      <w:r w:rsidR="005F24C1">
        <w:rPr>
          <w:rFonts w:ascii="Calibri" w:hAnsi="Calibri" w:cs="Times New Roman"/>
        </w:rPr>
        <w:t xml:space="preserve"> WEIM </w:t>
      </w:r>
      <w:r w:rsidRPr="00503D30">
        <w:rPr>
          <w:rFonts w:ascii="Calibri" w:hAnsi="Calibri" w:cs="Times New Roman"/>
        </w:rPr>
        <w:t>Base Schedules, the CAISO will add to the affected BAA in the</w:t>
      </w:r>
      <w:r w:rsidR="005F24C1">
        <w:rPr>
          <w:rFonts w:ascii="Calibri" w:hAnsi="Calibri" w:cs="Times New Roman"/>
        </w:rPr>
        <w:t xml:space="preserve"> WEIM </w:t>
      </w:r>
      <w:r w:rsidRPr="00503D30">
        <w:rPr>
          <w:rFonts w:ascii="Calibri" w:hAnsi="Calibri" w:cs="Times New Roman"/>
        </w:rPr>
        <w:t xml:space="preserve">an additional </w:t>
      </w:r>
      <w:r>
        <w:rPr>
          <w:rFonts w:ascii="Calibri" w:hAnsi="Calibri" w:cs="Times New Roman"/>
        </w:rPr>
        <w:t xml:space="preserve">upward </w:t>
      </w:r>
      <w:r w:rsidRPr="00503D30">
        <w:rPr>
          <w:rFonts w:ascii="Calibri" w:hAnsi="Calibri" w:cs="Times New Roman"/>
        </w:rPr>
        <w:t xml:space="preserve">capacity </w:t>
      </w:r>
      <w:r w:rsidRPr="00503D30">
        <w:rPr>
          <w:rFonts w:ascii="Calibri" w:hAnsi="Calibri" w:cs="Times New Roman"/>
        </w:rPr>
        <w:lastRenderedPageBreak/>
        <w:t>requirement. If net-tagged exports are less than net exports included in</w:t>
      </w:r>
      <w:r w:rsidR="005F24C1">
        <w:rPr>
          <w:rFonts w:ascii="Calibri" w:hAnsi="Calibri" w:cs="Times New Roman"/>
        </w:rPr>
        <w:t xml:space="preserve"> WEIM </w:t>
      </w:r>
      <w:r w:rsidRPr="00503D30">
        <w:rPr>
          <w:rFonts w:ascii="Calibri" w:hAnsi="Calibri" w:cs="Times New Roman"/>
        </w:rPr>
        <w:t>Base Schedules, the CAISO will add to the affected BAA in the</w:t>
      </w:r>
      <w:r w:rsidR="005F24C1">
        <w:rPr>
          <w:rFonts w:ascii="Calibri" w:hAnsi="Calibri" w:cs="Times New Roman"/>
        </w:rPr>
        <w:t xml:space="preserve"> WEIM </w:t>
      </w:r>
      <w:r w:rsidRPr="00503D30">
        <w:rPr>
          <w:rFonts w:ascii="Calibri" w:hAnsi="Calibri" w:cs="Times New Roman"/>
        </w:rPr>
        <w:t xml:space="preserve">an additional </w:t>
      </w:r>
      <w:r>
        <w:rPr>
          <w:rFonts w:ascii="Calibri" w:hAnsi="Calibri" w:cs="Times New Roman"/>
        </w:rPr>
        <w:t xml:space="preserve">downward </w:t>
      </w:r>
      <w:r w:rsidRPr="00503D30">
        <w:rPr>
          <w:rFonts w:ascii="Calibri" w:hAnsi="Calibri" w:cs="Times New Roman"/>
        </w:rPr>
        <w:t>capacity requirement.</w:t>
      </w:r>
      <w:r w:rsidRPr="00A1465C">
        <w:t xml:space="preserve"> </w:t>
      </w:r>
    </w:p>
    <w:p w14:paraId="6B5D9A06" w14:textId="6D5EADFB" w:rsidR="005E261F" w:rsidRDefault="005E261F" w:rsidP="00E80005">
      <w:pPr>
        <w:pStyle w:val="ListParagraph"/>
        <w:numPr>
          <w:ilvl w:val="0"/>
          <w:numId w:val="71"/>
        </w:numPr>
      </w:pPr>
      <w:r w:rsidRPr="00503D30">
        <w:rPr>
          <w:rFonts w:ascii="Calibri" w:hAnsi="Calibri" w:cs="Times New Roman"/>
        </w:rPr>
        <w:t xml:space="preserve">The CAISO will include only data for </w:t>
      </w:r>
      <w:r>
        <w:rPr>
          <w:rFonts w:ascii="Calibri" w:hAnsi="Calibri" w:cs="Times New Roman"/>
        </w:rPr>
        <w:t xml:space="preserve">hourly </w:t>
      </w:r>
      <w:r w:rsidRPr="00503D30">
        <w:rPr>
          <w:rFonts w:ascii="Calibri" w:hAnsi="Calibri" w:cs="Times New Roman"/>
        </w:rPr>
        <w:t xml:space="preserve">Scheduled imports and exports </w:t>
      </w:r>
      <w:r>
        <w:rPr>
          <w:rFonts w:ascii="Calibri" w:hAnsi="Calibri" w:cs="Times New Roman"/>
        </w:rPr>
        <w:t>and base</w:t>
      </w:r>
      <w:r w:rsidR="005F24C1">
        <w:rPr>
          <w:rFonts w:ascii="Calibri" w:hAnsi="Calibri" w:cs="Times New Roman"/>
        </w:rPr>
        <w:t xml:space="preserve"> WEIM </w:t>
      </w:r>
      <w:r>
        <w:rPr>
          <w:rFonts w:ascii="Calibri" w:hAnsi="Calibri" w:cs="Times New Roman"/>
        </w:rPr>
        <w:t xml:space="preserve">Transfers </w:t>
      </w:r>
      <w:r w:rsidRPr="00503D30">
        <w:rPr>
          <w:rFonts w:ascii="Calibri" w:hAnsi="Calibri" w:cs="Times New Roman"/>
        </w:rPr>
        <w:t>in the histogram</w:t>
      </w:r>
      <w:r>
        <w:rPr>
          <w:rFonts w:ascii="Calibri" w:hAnsi="Calibri" w:cs="Times New Roman"/>
        </w:rPr>
        <w:t>. The following schedules will be excluded from the histogram:</w:t>
      </w:r>
      <w:r w:rsidRPr="00503D30">
        <w:rPr>
          <w:rFonts w:ascii="Calibri" w:hAnsi="Calibri" w:cs="Times New Roman"/>
        </w:rPr>
        <w:t xml:space="preserve"> 15-minute intertie schedules, dynamic inter-tie schedules, and pseudo-ties.</w:t>
      </w:r>
      <w:r w:rsidRPr="00503D30">
        <w:t xml:space="preserve"> </w:t>
      </w:r>
    </w:p>
    <w:p w14:paraId="00EABDDD" w14:textId="0C3AC165" w:rsidR="005E261F" w:rsidRDefault="005E261F" w:rsidP="00E80005">
      <w:pPr>
        <w:pStyle w:val="ListParagraph"/>
        <w:numPr>
          <w:ilvl w:val="0"/>
          <w:numId w:val="71"/>
        </w:numPr>
      </w:pPr>
      <w:r>
        <w:t>The CAISO will exclude any outlier data from the histogram calculations.</w:t>
      </w:r>
      <w:r w:rsidR="00290A52" w:rsidRPr="00290A52">
        <w:t xml:space="preserve"> See below for details on this process.</w:t>
      </w:r>
      <w:r>
        <w:t xml:space="preserve"> </w:t>
      </w:r>
    </w:p>
    <w:p w14:paraId="48826721" w14:textId="54F5E714" w:rsidR="005E261F" w:rsidRPr="00503D30" w:rsidRDefault="005E261F" w:rsidP="00E80005">
      <w:pPr>
        <w:pStyle w:val="ListParagraph"/>
        <w:numPr>
          <w:ilvl w:val="0"/>
          <w:numId w:val="71"/>
        </w:numPr>
      </w:pPr>
      <w:r w:rsidRPr="008651D8">
        <w:t>Three months of production data is required to calculate the histogram. So, for all new</w:t>
      </w:r>
      <w:r w:rsidR="005F24C1">
        <w:t xml:space="preserve"> WEIM </w:t>
      </w:r>
      <w:r w:rsidRPr="008651D8">
        <w:t>entities, the histogram percentiles will be set to zero until this information is available.</w:t>
      </w:r>
    </w:p>
    <w:p w14:paraId="5F7D9FCE" w14:textId="6F436F1E" w:rsidR="00E61BDB" w:rsidRDefault="0019386D" w:rsidP="00A008A8">
      <w:r w:rsidRPr="0019386D">
        <w:t>Histogram Calculations</w:t>
      </w:r>
      <w:r>
        <w:t>:</w:t>
      </w:r>
    </w:p>
    <w:p w14:paraId="23559317" w14:textId="546C72D1" w:rsidR="005E261F" w:rsidRDefault="005E261F" w:rsidP="00A008A8">
      <w:r w:rsidRPr="00877DDB">
        <w:t>The</w:t>
      </w:r>
      <w:r>
        <w:t xml:space="preserve"> CAISO will calculate the</w:t>
      </w:r>
      <w:r w:rsidRPr="00877DDB">
        <w:t xml:space="preserve"> </w:t>
      </w:r>
      <w:r>
        <w:t>data samples for the absolute and relative histogram for the net hourly inter-tie schedules deviation</w:t>
      </w:r>
      <w:r w:rsidRPr="00877DDB">
        <w:t xml:space="preserve"> between imports and exports scheduled at T-40</w:t>
      </w:r>
      <w:r>
        <w:t xml:space="preserve"> (net base inter-tie schedules)</w:t>
      </w:r>
      <w:r w:rsidRPr="00877DDB">
        <w:t xml:space="preserve"> and </w:t>
      </w:r>
      <w:r>
        <w:t xml:space="preserve">the </w:t>
      </w:r>
      <w:r w:rsidRPr="00877DDB">
        <w:t xml:space="preserve">final tagged </w:t>
      </w:r>
      <w:r>
        <w:t xml:space="preserve">net </w:t>
      </w:r>
      <w:r w:rsidRPr="00877DDB">
        <w:t>imports at T-20</w:t>
      </w:r>
      <w:r>
        <w:t xml:space="preserve"> (net actual hourly inter-tie schedule) as</w:t>
      </w:r>
      <w:r w:rsidRPr="00877DDB">
        <w:t>:</w:t>
      </w:r>
    </w:p>
    <w:p w14:paraId="24F8B080" w14:textId="77777777" w:rsidR="005E261F" w:rsidRPr="00290A52" w:rsidRDefault="005E261F" w:rsidP="00290A52">
      <w:pPr>
        <w:pStyle w:val="ListParagraph"/>
        <w:numPr>
          <w:ilvl w:val="0"/>
          <w:numId w:val="92"/>
        </w:numPr>
      </w:pPr>
      <w:r w:rsidRPr="00290A52">
        <w:t>Data sample for relative deviation: (net actual hourly inter-tie schedule – net base inter-tie schedule) / net base inter-tie schedule</w:t>
      </w:r>
    </w:p>
    <w:p w14:paraId="7397DB7D" w14:textId="77777777" w:rsidR="005E261F" w:rsidRPr="00290A52" w:rsidRDefault="005E261F" w:rsidP="00290A52">
      <w:pPr>
        <w:pStyle w:val="ListParagraph"/>
        <w:numPr>
          <w:ilvl w:val="0"/>
          <w:numId w:val="92"/>
        </w:numPr>
      </w:pPr>
      <w:r w:rsidRPr="00290A52">
        <w:t>Data sample for absolute deviation: net actual hourly intertie schedule – net base intertie schedule.</w:t>
      </w:r>
    </w:p>
    <w:p w14:paraId="6E828459" w14:textId="522B2DE1" w:rsidR="005E261F" w:rsidRPr="00877DDB" w:rsidRDefault="005E261F" w:rsidP="00A008A8">
      <w:pPr>
        <w:pStyle w:val="Default"/>
        <w:ind w:left="720"/>
        <w:rPr>
          <w:rFonts w:asciiTheme="minorHAnsi" w:eastAsiaTheme="minorHAnsi" w:hAnsiTheme="minorHAnsi" w:cstheme="minorBidi"/>
          <w:color w:val="auto"/>
          <w:sz w:val="22"/>
          <w:szCs w:val="22"/>
        </w:rPr>
      </w:pPr>
    </w:p>
    <w:p w14:paraId="7913938D" w14:textId="62FC791C" w:rsidR="005E261F" w:rsidRPr="00A1465C" w:rsidRDefault="005E261F" w:rsidP="00A008A8">
      <w:pPr>
        <w:pStyle w:val="Default"/>
        <w:rPr>
          <w:rFonts w:asciiTheme="minorHAnsi" w:hAnsiTheme="minorHAnsi" w:cs="Times New Roman"/>
          <w:sz w:val="22"/>
          <w:szCs w:val="22"/>
        </w:rPr>
      </w:pPr>
      <w:r w:rsidRPr="00A1465C">
        <w:rPr>
          <w:rFonts w:asciiTheme="minorHAnsi" w:hAnsiTheme="minorHAnsi" w:cs="Times New Roman"/>
          <w:sz w:val="22"/>
          <w:szCs w:val="22"/>
        </w:rPr>
        <w:t>The CAISO will provide each</w:t>
      </w:r>
      <w:r w:rsidR="005F24C1">
        <w:rPr>
          <w:rFonts w:asciiTheme="minorHAnsi" w:hAnsiTheme="minorHAnsi" w:cs="Times New Roman"/>
          <w:sz w:val="22"/>
          <w:szCs w:val="22"/>
        </w:rPr>
        <w:t xml:space="preserve"> WEIM </w:t>
      </w:r>
      <w:r w:rsidRPr="00A1465C">
        <w:rPr>
          <w:rFonts w:asciiTheme="minorHAnsi" w:hAnsiTheme="minorHAnsi" w:cs="Times New Roman"/>
          <w:sz w:val="22"/>
          <w:szCs w:val="22"/>
        </w:rPr>
        <w:t>Entity the low</w:t>
      </w:r>
      <w:r>
        <w:rPr>
          <w:rFonts w:asciiTheme="minorHAnsi" w:hAnsiTheme="minorHAnsi" w:cs="Times New Roman"/>
          <w:sz w:val="22"/>
          <w:szCs w:val="22"/>
        </w:rPr>
        <w:t>-</w:t>
      </w:r>
      <w:r w:rsidRPr="00A1465C">
        <w:rPr>
          <w:rFonts w:asciiTheme="minorHAnsi" w:hAnsiTheme="minorHAnsi" w:cs="Times New Roman"/>
          <w:sz w:val="22"/>
          <w:szCs w:val="22"/>
        </w:rPr>
        <w:t xml:space="preserve"> and high</w:t>
      </w:r>
      <w:r>
        <w:rPr>
          <w:rFonts w:asciiTheme="minorHAnsi" w:hAnsiTheme="minorHAnsi" w:cs="Times New Roman"/>
          <w:sz w:val="22"/>
          <w:szCs w:val="22"/>
        </w:rPr>
        <w:t xml:space="preserve">-end </w:t>
      </w:r>
      <w:r w:rsidRPr="00A1465C">
        <w:rPr>
          <w:rFonts w:asciiTheme="minorHAnsi" w:hAnsiTheme="minorHAnsi" w:cs="Times New Roman"/>
          <w:sz w:val="22"/>
          <w:szCs w:val="22"/>
        </w:rPr>
        <w:t>cutoff percentiles</w:t>
      </w:r>
      <w:r>
        <w:rPr>
          <w:rFonts w:asciiTheme="minorHAnsi" w:hAnsiTheme="minorHAnsi" w:cs="Times New Roman"/>
          <w:sz w:val="22"/>
          <w:szCs w:val="22"/>
        </w:rPr>
        <w:t xml:space="preserve"> for both the absolute and the relative net inter-tie schedule deviation histograms</w:t>
      </w:r>
      <w:r w:rsidRPr="00A1465C">
        <w:rPr>
          <w:rFonts w:asciiTheme="minorHAnsi" w:hAnsiTheme="minorHAnsi" w:cs="Times New Roman"/>
          <w:sz w:val="22"/>
          <w:szCs w:val="22"/>
        </w:rPr>
        <w:t xml:space="preserve"> (2.5% and 97.5%, configurable from each histogram).</w:t>
      </w:r>
      <w:r>
        <w:rPr>
          <w:rFonts w:asciiTheme="minorHAnsi" w:hAnsiTheme="minorHAnsi" w:cs="Times New Roman"/>
          <w:sz w:val="22"/>
          <w:szCs w:val="22"/>
        </w:rPr>
        <w:t xml:space="preserve"> If either the high-end cutoff percentile or the high-end cutoff absolute value based on the histogram data is below zero, then it will be set to 0. Similarly, if either the low cutoff percentile or the low cutoff absolute value based on the histogram data is above zero, then they will be set to 0. </w:t>
      </w:r>
    </w:p>
    <w:p w14:paraId="7F1072C4" w14:textId="77777777" w:rsidR="005E261F" w:rsidRPr="004A3D7C" w:rsidRDefault="005E261F" w:rsidP="00A008A8">
      <w:pPr>
        <w:pStyle w:val="Default"/>
        <w:rPr>
          <w:rFonts w:asciiTheme="minorHAnsi" w:eastAsiaTheme="minorHAnsi" w:hAnsiTheme="minorHAnsi" w:cstheme="minorBidi"/>
          <w:color w:val="auto"/>
          <w:sz w:val="22"/>
          <w:szCs w:val="22"/>
        </w:rPr>
      </w:pPr>
    </w:p>
    <w:p w14:paraId="612A4128" w14:textId="1DB3CB56" w:rsidR="00C93CFD" w:rsidRDefault="00C93CFD" w:rsidP="00C93CFD">
      <w:pPr>
        <w:spacing w:after="0" w:line="240" w:lineRule="auto"/>
      </w:pPr>
      <w:r w:rsidRPr="00A1465C">
        <w:rPr>
          <w:rFonts w:eastAsia="Times New Roman" w:cs="Times New Roman"/>
          <w:color w:val="000000"/>
        </w:rPr>
        <w:t xml:space="preserve">The </w:t>
      </w:r>
      <w:r w:rsidRPr="0027779A">
        <w:t>CAISO will perform a bid range capacity test</w:t>
      </w:r>
      <w:r>
        <w:t xml:space="preserve"> for each of the four fifteen-minute intervals in</w:t>
      </w:r>
      <w:r w:rsidRPr="0027779A">
        <w:t xml:space="preserve"> every hour.</w:t>
      </w:r>
      <w:r>
        <w:t xml:space="preserve"> The CAISO will calculate the </w:t>
      </w:r>
      <w:r w:rsidRPr="0027779A">
        <w:t>additional</w:t>
      </w:r>
      <w:r>
        <w:t xml:space="preserve"> up and down</w:t>
      </w:r>
      <w:r w:rsidRPr="0027779A">
        <w:t xml:space="preserve"> requirements as</w:t>
      </w:r>
      <w:r>
        <w:t xml:space="preserve"> follows</w:t>
      </w:r>
      <w:r w:rsidRPr="0027779A">
        <w:t>:</w:t>
      </w:r>
    </w:p>
    <w:p w14:paraId="3B6358DF" w14:textId="77777777" w:rsidR="005E261F" w:rsidRDefault="005E261F" w:rsidP="00A008A8">
      <w:pPr>
        <w:spacing w:after="0" w:line="240" w:lineRule="auto"/>
        <w:ind w:left="540"/>
        <w:rPr>
          <w:rFonts w:ascii="Calibri" w:eastAsia="Times New Roman" w:hAnsi="Calibri" w:cs="Times New Roman"/>
          <w:color w:val="000000"/>
        </w:rPr>
      </w:pPr>
    </w:p>
    <w:p w14:paraId="79237357" w14:textId="63D90194" w:rsidR="005E261F" w:rsidRDefault="005E261F" w:rsidP="00A008A8">
      <w:pPr>
        <w:spacing w:after="0" w:line="240" w:lineRule="auto"/>
        <w:rPr>
          <w:rFonts w:eastAsia="Times New Roman" w:cs="Times New Roman"/>
          <w:color w:val="000000"/>
        </w:rPr>
      </w:pPr>
      <w:r>
        <w:rPr>
          <w:rFonts w:ascii="Calibri" w:eastAsia="Times New Roman" w:hAnsi="Calibri" w:cs="Times New Roman"/>
          <w:color w:val="000000"/>
        </w:rPr>
        <w:t xml:space="preserve">The CAISO calculates </w:t>
      </w:r>
      <w:r>
        <w:rPr>
          <w:rFonts w:eastAsia="Times New Roman" w:cs="Times New Roman"/>
          <w:color w:val="000000"/>
        </w:rPr>
        <w:t>a</w:t>
      </w:r>
      <w:r w:rsidRPr="00A1465C">
        <w:rPr>
          <w:rFonts w:eastAsia="Times New Roman" w:cs="Times New Roman"/>
          <w:color w:val="000000"/>
        </w:rPr>
        <w:t xml:space="preserve">dditional upward capacity requirement </w:t>
      </w:r>
      <w:r>
        <w:rPr>
          <w:rFonts w:eastAsia="Times New Roman" w:cs="Times New Roman"/>
          <w:color w:val="000000"/>
        </w:rPr>
        <w:t xml:space="preserve">using data from both the absolute and relative histograms. First, consider a scenario with net imports for a trade hour. In this case, the application considers the minimum of the highest expectation of the net import or the minimum of the absolute difference in net imports for the past 90 days. Second, consider a </w:t>
      </w:r>
      <w:r>
        <w:rPr>
          <w:rFonts w:eastAsia="Times New Roman" w:cs="Times New Roman"/>
          <w:color w:val="000000"/>
        </w:rPr>
        <w:lastRenderedPageBreak/>
        <w:t>scenario with net exports for the hour under consideration. In this case, the application considers the minimum of the highest expectation of the net export or the minimum of the absolute difference in net imports for the past 90 days. The calculations for both these scenarios are captured in the equation below.</w:t>
      </w:r>
    </w:p>
    <w:p w14:paraId="0D5086F3" w14:textId="77777777" w:rsidR="00290A52" w:rsidRDefault="00290A52" w:rsidP="00A008A8">
      <w:pPr>
        <w:spacing w:after="0" w:line="240" w:lineRule="auto"/>
        <w:rPr>
          <w:rFonts w:eastAsia="Times New Roman" w:cs="Times New Roman"/>
          <w:color w:val="000000"/>
        </w:rPr>
      </w:pPr>
    </w:p>
    <w:p w14:paraId="600CC4F8" w14:textId="67DFBC87" w:rsidR="005E261F" w:rsidRDefault="005E261F" w:rsidP="00A008A8">
      <w:pPr>
        <w:spacing w:after="0" w:line="240" w:lineRule="auto"/>
        <w:rPr>
          <w:rFonts w:eastAsia="Times New Roman" w:cs="Times New Roman"/>
          <w:color w:val="000000"/>
        </w:rPr>
      </w:pPr>
      <w:r>
        <w:rPr>
          <w:rFonts w:eastAsia="Times New Roman" w:cs="Times New Roman"/>
          <w:color w:val="000000"/>
        </w:rPr>
        <w:t>For Net Import:</w:t>
      </w:r>
    </w:p>
    <w:p w14:paraId="27069452" w14:textId="77777777" w:rsidR="00290A52" w:rsidRDefault="00290A52" w:rsidP="00A008A8">
      <w:pPr>
        <w:spacing w:after="0" w:line="240" w:lineRule="auto"/>
        <w:rPr>
          <w:rFonts w:eastAsia="Times New Roman" w:cs="Times New Roman"/>
          <w:color w:val="000000"/>
        </w:rPr>
      </w:pPr>
    </w:p>
    <w:p w14:paraId="64ED3B61" w14:textId="10EB1EBB" w:rsidR="005E261F" w:rsidRDefault="005E261F" w:rsidP="00A008A8">
      <w:pPr>
        <w:spacing w:after="0" w:line="240" w:lineRule="auto"/>
        <w:rPr>
          <w:rFonts w:eastAsia="Times New Roman" w:cs="Times New Roman"/>
          <w:color w:val="000000"/>
        </w:rPr>
      </w:pPr>
      <w:r w:rsidRPr="00994496">
        <w:rPr>
          <w:rFonts w:eastAsia="Times New Roman" w:cs="Times New Roman"/>
          <w:color w:val="000000"/>
        </w:rPr>
        <w:t>Additional upward capacity requirement = min(–</w:t>
      </w:r>
      <w:r>
        <w:rPr>
          <w:rFonts w:eastAsia="Times New Roman" w:cs="Times New Roman"/>
          <w:color w:val="000000"/>
        </w:rPr>
        <w:t>1*</w:t>
      </w:r>
      <w:r w:rsidRPr="00994496">
        <w:rPr>
          <w:rFonts w:eastAsia="Times New Roman" w:cs="Times New Roman"/>
          <w:color w:val="000000"/>
        </w:rPr>
        <w:t>relative low percentile * net base intertie schedule, –absolute low percentile)</w:t>
      </w:r>
      <w:r w:rsidRPr="00A1465C">
        <w:rPr>
          <w:rFonts w:eastAsia="Times New Roman" w:cs="Times New Roman"/>
          <w:color w:val="000000"/>
        </w:rPr>
        <w:t xml:space="preserve"> </w:t>
      </w:r>
    </w:p>
    <w:p w14:paraId="076B1EFF" w14:textId="77777777" w:rsidR="00290A52" w:rsidRDefault="00290A52" w:rsidP="00A008A8">
      <w:pPr>
        <w:spacing w:after="0" w:line="240" w:lineRule="auto"/>
        <w:rPr>
          <w:rFonts w:eastAsia="Times New Roman" w:cs="Times New Roman"/>
          <w:color w:val="000000"/>
        </w:rPr>
      </w:pPr>
    </w:p>
    <w:p w14:paraId="7C0BD78B" w14:textId="017BDA1C" w:rsidR="005E261F" w:rsidRDefault="005E261F" w:rsidP="00A008A8">
      <w:pPr>
        <w:spacing w:after="0" w:line="240" w:lineRule="auto"/>
        <w:rPr>
          <w:rFonts w:eastAsia="Times New Roman" w:cs="Times New Roman"/>
          <w:color w:val="000000"/>
        </w:rPr>
      </w:pPr>
      <w:r>
        <w:rPr>
          <w:rFonts w:eastAsia="Times New Roman" w:cs="Times New Roman"/>
          <w:color w:val="000000"/>
        </w:rPr>
        <w:t>For Net Export:</w:t>
      </w:r>
    </w:p>
    <w:p w14:paraId="2714291A" w14:textId="77777777" w:rsidR="00290A52" w:rsidRDefault="00290A52" w:rsidP="00A008A8">
      <w:pPr>
        <w:spacing w:after="0" w:line="240" w:lineRule="auto"/>
        <w:textAlignment w:val="center"/>
        <w:rPr>
          <w:rFonts w:eastAsia="Times New Roman" w:cs="Times New Roman"/>
          <w:color w:val="000000"/>
        </w:rPr>
      </w:pPr>
    </w:p>
    <w:p w14:paraId="083574AD" w14:textId="1977E18A" w:rsidR="005E261F" w:rsidRPr="00A1465C" w:rsidRDefault="005E261F" w:rsidP="00A008A8">
      <w:pPr>
        <w:spacing w:after="0" w:line="240" w:lineRule="auto"/>
        <w:textAlignment w:val="center"/>
        <w:rPr>
          <w:rFonts w:eastAsia="Times New Roman" w:cs="Times New Roman"/>
          <w:color w:val="000000"/>
        </w:rPr>
      </w:pPr>
      <w:r w:rsidRPr="00994496">
        <w:rPr>
          <w:rFonts w:eastAsia="Times New Roman" w:cs="Times New Roman"/>
          <w:color w:val="000000"/>
        </w:rPr>
        <w:t>Additional upward capacity requirement = min(–</w:t>
      </w:r>
      <w:r>
        <w:rPr>
          <w:rFonts w:eastAsia="Times New Roman" w:cs="Times New Roman"/>
          <w:color w:val="000000"/>
        </w:rPr>
        <w:t>1*</w:t>
      </w:r>
      <w:r w:rsidRPr="00994496">
        <w:rPr>
          <w:rFonts w:eastAsia="Times New Roman" w:cs="Times New Roman"/>
          <w:color w:val="000000"/>
        </w:rPr>
        <w:t>relative high percentile * net base intertie schedule, absolute high percentile)</w:t>
      </w:r>
      <w:r w:rsidRPr="00A1465C">
        <w:rPr>
          <w:rFonts w:eastAsia="Times New Roman" w:cs="Times New Roman"/>
          <w:color w:val="000000"/>
        </w:rPr>
        <w:t xml:space="preserve"> </w:t>
      </w:r>
      <w:r w:rsidRPr="00A1465C">
        <w:rPr>
          <w:rFonts w:eastAsia="Times New Roman" w:cs="Times New Roman"/>
          <w:color w:val="000000"/>
        </w:rPr>
        <w:cr/>
      </w:r>
      <w:r w:rsidRPr="00A1465C" w:rsidDel="00716EFF">
        <w:rPr>
          <w:rFonts w:eastAsia="Times New Roman" w:cs="Times New Roman"/>
          <w:color w:val="000000"/>
        </w:rPr>
        <w:t xml:space="preserve"> </w:t>
      </w:r>
    </w:p>
    <w:p w14:paraId="05C9B4BE" w14:textId="4163AE74" w:rsidR="005E261F" w:rsidRPr="00A1465C" w:rsidRDefault="005E261F" w:rsidP="00A008A8">
      <w:pPr>
        <w:spacing w:after="0" w:line="240" w:lineRule="auto"/>
        <w:rPr>
          <w:rFonts w:eastAsia="Times New Roman" w:cs="Times New Roman"/>
          <w:color w:val="000000"/>
        </w:rPr>
      </w:pPr>
      <w:r>
        <w:rPr>
          <w:rFonts w:ascii="Calibri" w:eastAsia="Times New Roman" w:hAnsi="Calibri" w:cs="Times New Roman"/>
          <w:color w:val="000000"/>
        </w:rPr>
        <w:t>Similarly, the ISO calculates the additional downward capacity requirements in case of overscheduling using the equation captured below.</w:t>
      </w:r>
    </w:p>
    <w:p w14:paraId="262790BA" w14:textId="77777777" w:rsidR="005E261F" w:rsidRDefault="005E261F" w:rsidP="00A008A8">
      <w:pPr>
        <w:rPr>
          <w:rFonts w:eastAsia="Times New Roman" w:cs="Times New Roman"/>
          <w:color w:val="000000"/>
        </w:rPr>
      </w:pPr>
    </w:p>
    <w:p w14:paraId="56E7EFC8" w14:textId="36340553" w:rsidR="005E261F" w:rsidRDefault="000776CD" w:rsidP="00A008A8">
      <w:pPr>
        <w:rPr>
          <w:rFonts w:eastAsia="Times New Roman" w:cs="Times New Roman"/>
          <w:color w:val="000000"/>
        </w:rPr>
      </w:pPr>
      <w:r>
        <w:rPr>
          <w:rFonts w:eastAsia="Times New Roman" w:cs="Times New Roman"/>
          <w:color w:val="000000"/>
        </w:rPr>
        <w:t>For Net I</w:t>
      </w:r>
      <w:r w:rsidR="005E261F">
        <w:rPr>
          <w:rFonts w:eastAsia="Times New Roman" w:cs="Times New Roman"/>
          <w:color w:val="000000"/>
        </w:rPr>
        <w:t>mport:</w:t>
      </w:r>
    </w:p>
    <w:p w14:paraId="1AE6BF0C" w14:textId="77777777" w:rsidR="005E261F" w:rsidRDefault="005E261F" w:rsidP="00A008A8">
      <w:pPr>
        <w:rPr>
          <w:rFonts w:eastAsia="Times New Roman" w:cs="Times New Roman"/>
          <w:color w:val="000000"/>
        </w:rPr>
      </w:pPr>
      <w:r w:rsidRPr="00FA5703">
        <w:rPr>
          <w:rFonts w:eastAsia="Times New Roman" w:cs="Times New Roman"/>
          <w:color w:val="000000"/>
        </w:rPr>
        <w:t>A</w:t>
      </w:r>
      <w:r w:rsidRPr="00994496">
        <w:rPr>
          <w:rFonts w:eastAsia="Times New Roman" w:cs="Times New Roman"/>
          <w:color w:val="000000"/>
        </w:rPr>
        <w:t>dditional downward capacity requirement = max(–</w:t>
      </w:r>
      <w:r>
        <w:rPr>
          <w:rFonts w:eastAsia="Times New Roman" w:cs="Times New Roman"/>
          <w:color w:val="000000"/>
        </w:rPr>
        <w:t>1*</w:t>
      </w:r>
      <w:r w:rsidRPr="00994496">
        <w:rPr>
          <w:rFonts w:eastAsia="Times New Roman" w:cs="Times New Roman"/>
          <w:color w:val="000000"/>
        </w:rPr>
        <w:t>relative high percentile * net base intertie schedule, –absolute high percentile)</w:t>
      </w:r>
      <w:r w:rsidRPr="00A1465C">
        <w:rPr>
          <w:rFonts w:eastAsia="Times New Roman" w:cs="Times New Roman"/>
          <w:color w:val="000000"/>
        </w:rPr>
        <w:t xml:space="preserve"> </w:t>
      </w:r>
    </w:p>
    <w:p w14:paraId="213BFEB6" w14:textId="77777777" w:rsidR="005E261F" w:rsidRDefault="005E261F" w:rsidP="00A008A8">
      <w:pPr>
        <w:rPr>
          <w:rFonts w:eastAsia="Times New Roman" w:cs="Times New Roman"/>
          <w:color w:val="000000"/>
        </w:rPr>
      </w:pPr>
    </w:p>
    <w:p w14:paraId="15A74D4F" w14:textId="0DF9A626" w:rsidR="005E261F" w:rsidRDefault="000776CD" w:rsidP="00A008A8">
      <w:pPr>
        <w:rPr>
          <w:rFonts w:eastAsia="Times New Roman" w:cs="Times New Roman"/>
          <w:color w:val="000000"/>
        </w:rPr>
      </w:pPr>
      <w:r>
        <w:rPr>
          <w:rFonts w:eastAsia="Times New Roman" w:cs="Times New Roman"/>
          <w:color w:val="000000"/>
        </w:rPr>
        <w:t>For Net E</w:t>
      </w:r>
      <w:r w:rsidR="005E261F">
        <w:rPr>
          <w:rFonts w:eastAsia="Times New Roman" w:cs="Times New Roman"/>
          <w:color w:val="000000"/>
        </w:rPr>
        <w:t>xport:</w:t>
      </w:r>
    </w:p>
    <w:p w14:paraId="7DEB4AAF" w14:textId="6DC2AE62" w:rsidR="004515FF" w:rsidRDefault="005E261F" w:rsidP="008C1669">
      <w:pPr>
        <w:rPr>
          <w:rFonts w:eastAsia="Times New Roman" w:cs="Times New Roman"/>
          <w:color w:val="000000"/>
        </w:rPr>
      </w:pPr>
      <w:r w:rsidRPr="00FA5703">
        <w:rPr>
          <w:rFonts w:eastAsia="Times New Roman" w:cs="Times New Roman"/>
          <w:color w:val="000000"/>
        </w:rPr>
        <w:t>A</w:t>
      </w:r>
      <w:r w:rsidRPr="00994496">
        <w:rPr>
          <w:rFonts w:eastAsia="Times New Roman" w:cs="Times New Roman"/>
          <w:color w:val="000000"/>
        </w:rPr>
        <w:t>dditional downward capacity requirement = max(–</w:t>
      </w:r>
      <w:r>
        <w:rPr>
          <w:rFonts w:eastAsia="Times New Roman" w:cs="Times New Roman"/>
          <w:color w:val="000000"/>
        </w:rPr>
        <w:t>1*</w:t>
      </w:r>
      <w:r w:rsidRPr="00994496">
        <w:rPr>
          <w:rFonts w:eastAsia="Times New Roman" w:cs="Times New Roman"/>
          <w:color w:val="000000"/>
        </w:rPr>
        <w:t>relative low percentile * net base intertie schedule, absolute low percentile)</w:t>
      </w:r>
      <w:r w:rsidRPr="00A1465C">
        <w:rPr>
          <w:rFonts w:eastAsia="Times New Roman" w:cs="Times New Roman"/>
          <w:color w:val="000000"/>
        </w:rPr>
        <w:t xml:space="preserve"> </w:t>
      </w:r>
      <w:r w:rsidRPr="00A1465C">
        <w:rPr>
          <w:rFonts w:eastAsia="Times New Roman" w:cs="Times New Roman"/>
          <w:color w:val="000000"/>
        </w:rPr>
        <w:cr/>
      </w:r>
    </w:p>
    <w:p w14:paraId="4737A522" w14:textId="77777777" w:rsidR="0019386D" w:rsidRPr="0019386D" w:rsidRDefault="0019386D" w:rsidP="0019386D">
      <w:pPr>
        <w:rPr>
          <w:rFonts w:eastAsia="Times New Roman" w:cs="Times New Roman"/>
          <w:color w:val="000000"/>
        </w:rPr>
      </w:pPr>
      <w:r w:rsidRPr="0019386D">
        <w:rPr>
          <w:rFonts w:eastAsia="Times New Roman" w:cs="Times New Roman"/>
          <w:color w:val="000000"/>
          <w:u w:val="single"/>
        </w:rPr>
        <w:t>Exclusion of Outlier Data from Histogram Calculations:</w:t>
      </w:r>
    </w:p>
    <w:p w14:paraId="635948E2" w14:textId="77777777" w:rsidR="00E61BDB" w:rsidRPr="00E61BDB" w:rsidRDefault="00E61BDB" w:rsidP="00E61BDB">
      <w:pPr>
        <w:kinsoku w:val="0"/>
        <w:overflowPunct w:val="0"/>
        <w:contextualSpacing/>
        <w:textAlignment w:val="baseline"/>
      </w:pPr>
      <w:r w:rsidRPr="00E61BDB">
        <w:t>EIM entities may request that the CAISO exclude certain outlier data from the absolute and relative net intertie schedule deviation histograms. The following data is eligible for exclusion from the histograms:</w:t>
      </w:r>
    </w:p>
    <w:p w14:paraId="734DF105" w14:textId="77777777" w:rsidR="00E61BDB" w:rsidRPr="00E61BDB" w:rsidRDefault="00E61BDB" w:rsidP="00E61BDB">
      <w:pPr>
        <w:pStyle w:val="ListParagraph"/>
        <w:numPr>
          <w:ilvl w:val="0"/>
          <w:numId w:val="95"/>
        </w:numPr>
        <w:kinsoku w:val="0"/>
        <w:overflowPunct w:val="0"/>
        <w:contextualSpacing/>
        <w:textAlignment w:val="baseline"/>
      </w:pPr>
      <w:r w:rsidRPr="00E61BDB">
        <w:t>Data samples impacted by an intertie path capacity reduction as a result of a forced outage.</w:t>
      </w:r>
    </w:p>
    <w:p w14:paraId="102454BD" w14:textId="77777777" w:rsidR="00E61BDB" w:rsidRPr="00E61BDB" w:rsidRDefault="00E61BDB" w:rsidP="00E61BDB">
      <w:pPr>
        <w:pStyle w:val="ListParagraph"/>
        <w:numPr>
          <w:ilvl w:val="0"/>
          <w:numId w:val="95"/>
        </w:numPr>
        <w:kinsoku w:val="0"/>
        <w:overflowPunct w:val="0"/>
        <w:contextualSpacing/>
        <w:textAlignment w:val="baseline"/>
      </w:pPr>
      <w:r w:rsidRPr="00E61BDB">
        <w:t xml:space="preserve">Data samples impacted by energy assistance sent to a participant in a reserve sharing group. </w:t>
      </w:r>
    </w:p>
    <w:p w14:paraId="5CD39D51" w14:textId="77777777" w:rsidR="00E61BDB" w:rsidRPr="00E61BDB" w:rsidRDefault="00E61BDB" w:rsidP="00E61BDB">
      <w:pPr>
        <w:kinsoku w:val="0"/>
        <w:overflowPunct w:val="0"/>
        <w:contextualSpacing/>
        <w:textAlignment w:val="baseline"/>
      </w:pPr>
    </w:p>
    <w:p w14:paraId="3D471148" w14:textId="5E798C09" w:rsidR="00E61BDB" w:rsidRDefault="00E61BDB" w:rsidP="00E61BDB">
      <w:pPr>
        <w:kinsoku w:val="0"/>
        <w:overflowPunct w:val="0"/>
        <w:contextualSpacing/>
        <w:textAlignment w:val="baseline"/>
      </w:pPr>
      <w:r w:rsidRPr="00E61BDB">
        <w:t>In order to request the exclusion of the above data from the histogram calculation,</w:t>
      </w:r>
      <w:r w:rsidR="005F24C1">
        <w:t xml:space="preserve"> WEIM </w:t>
      </w:r>
      <w:r w:rsidRPr="00E61BDB">
        <w:t xml:space="preserve">entity Scheduling Coordinators should submit a CIDI ticket with the following information: </w:t>
      </w:r>
    </w:p>
    <w:p w14:paraId="0880DAB1" w14:textId="77777777" w:rsidR="00E61BDB" w:rsidRPr="00E61BDB" w:rsidRDefault="00E61BDB" w:rsidP="00E61BDB">
      <w:pPr>
        <w:kinsoku w:val="0"/>
        <w:overflowPunct w:val="0"/>
        <w:contextualSpacing/>
        <w:textAlignment w:val="baseline"/>
      </w:pPr>
    </w:p>
    <w:p w14:paraId="6A6EBD5D" w14:textId="77777777" w:rsidR="00E61BDB" w:rsidRPr="00E61BDB" w:rsidRDefault="00E61BDB" w:rsidP="00E61BDB">
      <w:pPr>
        <w:numPr>
          <w:ilvl w:val="0"/>
          <w:numId w:val="94"/>
        </w:numPr>
        <w:kinsoku w:val="0"/>
        <w:overflowPunct w:val="0"/>
        <w:contextualSpacing/>
        <w:textAlignment w:val="baseline"/>
      </w:pPr>
      <w:r w:rsidRPr="00E61BDB">
        <w:t>Subject Line: Exclusion of Outlier Data from NSI Uncertainty Calculations</w:t>
      </w:r>
    </w:p>
    <w:p w14:paraId="35637A31" w14:textId="77777777" w:rsidR="00E61BDB" w:rsidRPr="00E61BDB" w:rsidRDefault="00E61BDB" w:rsidP="00E61BDB">
      <w:pPr>
        <w:numPr>
          <w:ilvl w:val="0"/>
          <w:numId w:val="94"/>
        </w:numPr>
        <w:kinsoku w:val="0"/>
        <w:overflowPunct w:val="0"/>
        <w:contextualSpacing/>
        <w:textAlignment w:val="baseline"/>
      </w:pPr>
      <w:r w:rsidRPr="00E61BDB">
        <w:t>Trade date</w:t>
      </w:r>
    </w:p>
    <w:p w14:paraId="445388BC" w14:textId="77777777" w:rsidR="00E61BDB" w:rsidRPr="00E61BDB" w:rsidRDefault="00E61BDB" w:rsidP="00E61BDB">
      <w:pPr>
        <w:numPr>
          <w:ilvl w:val="0"/>
          <w:numId w:val="94"/>
        </w:numPr>
        <w:kinsoku w:val="0"/>
        <w:overflowPunct w:val="0"/>
        <w:contextualSpacing/>
        <w:textAlignment w:val="baseline"/>
      </w:pPr>
      <w:r w:rsidRPr="00E61BDB">
        <w:t>Hour(s)</w:t>
      </w:r>
    </w:p>
    <w:p w14:paraId="53B17374" w14:textId="77777777" w:rsidR="00E61BDB" w:rsidRPr="00E61BDB" w:rsidRDefault="00E61BDB" w:rsidP="00E61BDB">
      <w:pPr>
        <w:numPr>
          <w:ilvl w:val="0"/>
          <w:numId w:val="94"/>
        </w:numPr>
        <w:kinsoku w:val="0"/>
        <w:overflowPunct w:val="0"/>
        <w:contextualSpacing/>
        <w:textAlignment w:val="baseline"/>
      </w:pPr>
      <w:r w:rsidRPr="00E61BDB">
        <w:t>BAA name</w:t>
      </w:r>
    </w:p>
    <w:p w14:paraId="59A71D34" w14:textId="3D6EB74B" w:rsidR="00E61BDB" w:rsidRDefault="00E61BDB" w:rsidP="00E61BDB">
      <w:pPr>
        <w:numPr>
          <w:ilvl w:val="0"/>
          <w:numId w:val="94"/>
        </w:numPr>
        <w:kinsoku w:val="0"/>
        <w:overflowPunct w:val="0"/>
        <w:contextualSpacing/>
        <w:textAlignment w:val="baseline"/>
      </w:pPr>
      <w:r w:rsidRPr="00E61BDB">
        <w:t>Justification for exclusion of data</w:t>
      </w:r>
    </w:p>
    <w:p w14:paraId="5B7A9B4D" w14:textId="77777777" w:rsidR="00E61BDB" w:rsidRPr="00E61BDB" w:rsidRDefault="00E61BDB" w:rsidP="00E61BDB">
      <w:pPr>
        <w:kinsoku w:val="0"/>
        <w:overflowPunct w:val="0"/>
        <w:ind w:left="720"/>
        <w:contextualSpacing/>
        <w:textAlignment w:val="baseline"/>
      </w:pPr>
    </w:p>
    <w:p w14:paraId="469D127C" w14:textId="68403AB9" w:rsidR="000E624A" w:rsidRDefault="00E61BDB" w:rsidP="00E61BDB">
      <w:pPr>
        <w:kinsoku w:val="0"/>
        <w:overflowPunct w:val="0"/>
        <w:contextualSpacing/>
        <w:textAlignment w:val="baseline"/>
      </w:pPr>
      <w:r w:rsidRPr="00E61BDB">
        <w:t>Once the</w:t>
      </w:r>
      <w:r w:rsidR="005F24C1">
        <w:t xml:space="preserve"> WEIM </w:t>
      </w:r>
      <w:r w:rsidRPr="00E61BDB">
        <w:t>entity Scheduling Coordinator submits the CIDI ticket with the appropriate information, the CAISO will review the request. The CAISO expects to complete the process within ten (10) business days. However, if there are any delays processing this request, the CAISO will inform the Scheduling Coordinator of the root cause of the delay</w:t>
      </w:r>
      <w:r>
        <w:t>.</w:t>
      </w:r>
    </w:p>
    <w:p w14:paraId="2934B8DA" w14:textId="77777777" w:rsidR="00E61BDB" w:rsidRPr="000F299B" w:rsidRDefault="00E61BDB" w:rsidP="00E61BDB">
      <w:pPr>
        <w:kinsoku w:val="0"/>
        <w:overflowPunct w:val="0"/>
        <w:contextualSpacing/>
        <w:textAlignment w:val="baseline"/>
      </w:pPr>
    </w:p>
    <w:p w14:paraId="12DB0314" w14:textId="77777777" w:rsidR="0008033D" w:rsidRDefault="0008033D" w:rsidP="000B754E">
      <w:pPr>
        <w:pStyle w:val="Heading3"/>
        <w:spacing w:line="300" w:lineRule="auto"/>
        <w:rPr>
          <w:rFonts w:eastAsia="Calibri"/>
        </w:rPr>
      </w:pPr>
      <w:bookmarkStart w:id="1939" w:name="_Toc390946294"/>
      <w:bookmarkStart w:id="1940" w:name="_Toc391969855"/>
      <w:bookmarkStart w:id="1941" w:name="_Toc229054505"/>
      <w:bookmarkStart w:id="1942" w:name="_Toc390869269"/>
      <w:r>
        <w:rPr>
          <w:rFonts w:eastAsia="Calibri"/>
        </w:rPr>
        <w:t>Locational Marginal Prices</w:t>
      </w:r>
      <w:bookmarkEnd w:id="1939"/>
      <w:bookmarkEnd w:id="1940"/>
      <w:bookmarkEnd w:id="1941"/>
    </w:p>
    <w:p w14:paraId="7711DC8C" w14:textId="77777777" w:rsidR="00D71B97" w:rsidRPr="00D71B97" w:rsidRDefault="00D71B97" w:rsidP="002F635A">
      <w:pPr>
        <w:spacing w:after="240" w:line="300" w:lineRule="auto"/>
        <w:rPr>
          <w:rFonts w:eastAsia="Calibri"/>
        </w:rPr>
      </w:pPr>
      <w:r>
        <w:rPr>
          <w:rFonts w:eastAsia="Calibri"/>
        </w:rPr>
        <w:t>The CAISO Markets, including the EIM, are based on using a Full Network Model coupled with locational marginal pricing.  This coupling is meant to ensure that the Locational Marginal Prices (LMPs) reflect both the physical system as well as the schedules produced by the market applications.  A detailed explanation for how the LM</w:t>
      </w:r>
      <w:r w:rsidR="007970DF">
        <w:rPr>
          <w:rFonts w:eastAsia="Calibri"/>
        </w:rPr>
        <w:t>Ps are derived is contained in S</w:t>
      </w:r>
      <w:r>
        <w:rPr>
          <w:rFonts w:eastAsia="Calibri"/>
        </w:rPr>
        <w:t>ection 3.2 of the</w:t>
      </w:r>
      <w:r w:rsidRPr="00A746D3">
        <w:rPr>
          <w:rFonts w:eastAsia="Calibri"/>
          <w:b/>
        </w:rPr>
        <w:t xml:space="preserve"> </w:t>
      </w:r>
      <w:hyperlink r:id="rId86" w:history="1">
        <w:r w:rsidRPr="00A746D3">
          <w:rPr>
            <w:rStyle w:val="Hyperlink"/>
            <w:rFonts w:eastAsia="Calibri"/>
            <w:b/>
          </w:rPr>
          <w:t>BPM for Market Operations</w:t>
        </w:r>
      </w:hyperlink>
      <w:r>
        <w:rPr>
          <w:rFonts w:eastAsia="Calibri"/>
        </w:rPr>
        <w:t xml:space="preserve">.  </w:t>
      </w:r>
    </w:p>
    <w:p w14:paraId="0346CF3D" w14:textId="77777777" w:rsidR="008817D0" w:rsidRPr="008817D0" w:rsidRDefault="008817D0" w:rsidP="00C33762">
      <w:pPr>
        <w:pStyle w:val="Heading4"/>
        <w:rPr>
          <w:rFonts w:eastAsia="Calibri"/>
          <w:i/>
        </w:rPr>
      </w:pPr>
      <w:r w:rsidRPr="008817D0">
        <w:rPr>
          <w:rFonts w:eastAsia="Calibri"/>
        </w:rPr>
        <w:t>Accounting for Greenhouse Gas Regulation</w:t>
      </w:r>
      <w:r w:rsidRPr="008817D0">
        <w:rPr>
          <w:rFonts w:eastAsia="Calibri"/>
          <w:i/>
        </w:rPr>
        <w:t xml:space="preserve"> </w:t>
      </w:r>
    </w:p>
    <w:p w14:paraId="4E890BAF" w14:textId="77777777" w:rsidR="008817D0" w:rsidRPr="008817D0" w:rsidRDefault="009D507A">
      <w:pPr>
        <w:spacing w:after="240" w:line="300" w:lineRule="auto"/>
        <w:rPr>
          <w:rFonts w:eastAsia="Calibri"/>
        </w:rPr>
      </w:pPr>
      <w:r>
        <w:rPr>
          <w:rFonts w:eastAsia="Calibri"/>
        </w:rPr>
        <w:t xml:space="preserve">Imports of energy into </w:t>
      </w:r>
      <w:r w:rsidR="008817D0" w:rsidRPr="008817D0">
        <w:rPr>
          <w:rFonts w:eastAsia="Calibri"/>
        </w:rPr>
        <w:t xml:space="preserve">CAISO and </w:t>
      </w:r>
      <w:r>
        <w:rPr>
          <w:rFonts w:eastAsia="Calibri"/>
        </w:rPr>
        <w:t xml:space="preserve">generation of energy within </w:t>
      </w:r>
      <w:r w:rsidR="008817D0" w:rsidRPr="008817D0">
        <w:rPr>
          <w:rFonts w:eastAsia="Calibri"/>
        </w:rPr>
        <w:t xml:space="preserve">CAISO from greenhouse gas emitting resources are subject to the California Cap on Greenhouse Gas Emissions regulated by the California Air Resources Board (CARB). According to CARB rules, energy generated outside of California that is not imported into California is not subject to this regulation. </w:t>
      </w:r>
    </w:p>
    <w:p w14:paraId="7A921F13" w14:textId="0B140111" w:rsidR="008817D0" w:rsidRPr="008817D0" w:rsidRDefault="008817D0">
      <w:pPr>
        <w:spacing w:after="240" w:line="300" w:lineRule="auto"/>
        <w:rPr>
          <w:rFonts w:eastAsia="Calibri"/>
        </w:rPr>
      </w:pPr>
      <w:r w:rsidRPr="008817D0">
        <w:rPr>
          <w:rFonts w:eastAsia="Calibri"/>
        </w:rPr>
        <w:t>The</w:t>
      </w:r>
      <w:r w:rsidR="005F24C1">
        <w:rPr>
          <w:rFonts w:eastAsia="Calibri"/>
        </w:rPr>
        <w:t xml:space="preserve"> WEIM </w:t>
      </w:r>
      <w:r w:rsidRPr="008817D0">
        <w:rPr>
          <w:rFonts w:eastAsia="Calibri"/>
        </w:rPr>
        <w:t xml:space="preserve">design accounts for this regulation through the following: </w:t>
      </w:r>
    </w:p>
    <w:p w14:paraId="52BF1F53" w14:textId="26FE3FDF" w:rsidR="00120F26" w:rsidRPr="008D74F0" w:rsidRDefault="008817D0" w:rsidP="00E80005">
      <w:pPr>
        <w:pStyle w:val="ListParagraph"/>
        <w:numPr>
          <w:ilvl w:val="0"/>
          <w:numId w:val="43"/>
        </w:numPr>
      </w:pPr>
      <w:r w:rsidRPr="000F1AD7">
        <w:rPr>
          <w:rFonts w:eastAsia="Calibri"/>
        </w:rPr>
        <w:t xml:space="preserve">For generation within </w:t>
      </w:r>
      <w:r w:rsidR="00153940">
        <w:rPr>
          <w:rFonts w:eastAsia="Calibri"/>
        </w:rPr>
        <w:t>a WEIM</w:t>
      </w:r>
      <w:r w:rsidR="005F24C1">
        <w:rPr>
          <w:rFonts w:eastAsia="Calibri"/>
        </w:rPr>
        <w:t xml:space="preserve"> </w:t>
      </w:r>
      <w:r w:rsidRPr="000F1AD7">
        <w:rPr>
          <w:rFonts w:eastAsia="Calibri"/>
        </w:rPr>
        <w:t xml:space="preserve">balancing authority, the cost of the greenhouse gas compliance obligation will be included in dispatching energy </w:t>
      </w:r>
      <w:r w:rsidR="00120F26" w:rsidRPr="00B94F9D">
        <w:t>from resources located outside of the CAISO BAA that serve CAISO load as determined by the</w:t>
      </w:r>
      <w:r w:rsidR="005F24C1">
        <w:t xml:space="preserve"> WEIM </w:t>
      </w:r>
      <w:r w:rsidR="00120F26" w:rsidRPr="00B94F9D">
        <w:t xml:space="preserve">market optimization, but will otherwise be excluded.  Thus, for resources located outside CAISO </w:t>
      </w:r>
      <w:r w:rsidR="00120F26" w:rsidRPr="00B94F9D">
        <w:lastRenderedPageBreak/>
        <w:t>that do not serve CAISO load under the</w:t>
      </w:r>
      <w:r w:rsidR="005F24C1">
        <w:t xml:space="preserve"> WEIM </w:t>
      </w:r>
      <w:r w:rsidR="00120F26" w:rsidRPr="00B94F9D">
        <w:t xml:space="preserve">market optimization, the cost of the greenhouse gas compliance obligation will be excluded from dispatching energy from these resources.  </w:t>
      </w:r>
    </w:p>
    <w:p w14:paraId="0921A413" w14:textId="2859D45B" w:rsidR="008817D0" w:rsidRPr="00885130" w:rsidRDefault="008817D0" w:rsidP="00E80005">
      <w:pPr>
        <w:pStyle w:val="ListParagraph"/>
        <w:numPr>
          <w:ilvl w:val="0"/>
          <w:numId w:val="43"/>
        </w:numPr>
        <w:rPr>
          <w:rFonts w:eastAsia="Calibri"/>
        </w:rPr>
      </w:pPr>
      <w:r w:rsidRPr="00885130">
        <w:rPr>
          <w:rFonts w:eastAsia="Calibri"/>
        </w:rPr>
        <w:t>The</w:t>
      </w:r>
      <w:r w:rsidRPr="008D74F0">
        <w:rPr>
          <w:rFonts w:eastAsia="Calibri"/>
        </w:rPr>
        <w:t xml:space="preserve"> energy produced by each generator within </w:t>
      </w:r>
      <w:r w:rsidR="00153940">
        <w:rPr>
          <w:rFonts w:eastAsia="Calibri"/>
        </w:rPr>
        <w:t>a WEIM</w:t>
      </w:r>
      <w:r w:rsidR="005F24C1">
        <w:rPr>
          <w:rFonts w:eastAsia="Calibri"/>
        </w:rPr>
        <w:t xml:space="preserve"> </w:t>
      </w:r>
      <w:r w:rsidRPr="008D74F0">
        <w:rPr>
          <w:rFonts w:eastAsia="Calibri"/>
        </w:rPr>
        <w:t xml:space="preserve">balancing authority that serves </w:t>
      </w:r>
      <w:r w:rsidR="00E4613C" w:rsidRPr="00885130">
        <w:rPr>
          <w:rFonts w:eastAsia="Calibri"/>
        </w:rPr>
        <w:t>CA</w:t>
      </w:r>
      <w:r w:rsidRPr="00885130">
        <w:rPr>
          <w:rFonts w:eastAsia="Calibri"/>
        </w:rPr>
        <w:t>ISO</w:t>
      </w:r>
      <w:r w:rsidR="009D507A" w:rsidRPr="00885130">
        <w:rPr>
          <w:rFonts w:eastAsia="Calibri"/>
        </w:rPr>
        <w:t xml:space="preserve"> load will be calculated by </w:t>
      </w:r>
      <w:r w:rsidR="00E4613C" w:rsidRPr="00885130">
        <w:rPr>
          <w:rFonts w:eastAsia="Calibri"/>
        </w:rPr>
        <w:t>CA</w:t>
      </w:r>
      <w:r w:rsidR="00120F26" w:rsidRPr="00885130">
        <w:rPr>
          <w:rFonts w:eastAsia="Calibri"/>
        </w:rPr>
        <w:t xml:space="preserve">ISO. </w:t>
      </w:r>
      <w:r w:rsidR="00120F26" w:rsidRPr="00B94F9D">
        <w:t>Through a market results interface, CAISO will provide</w:t>
      </w:r>
      <w:r w:rsidR="005F24C1">
        <w:t xml:space="preserve"> WEIM </w:t>
      </w:r>
      <w:r w:rsidR="00120F26" w:rsidRPr="00B94F9D">
        <w:t xml:space="preserve">Participating Resource Scheduling Coordinators with summary reports listing the amounts of </w:t>
      </w:r>
      <w:r w:rsidR="00E04ABD">
        <w:t xml:space="preserve">energy exported to CA </w:t>
      </w:r>
      <w:r w:rsidR="00120F26" w:rsidRPr="00B94F9D">
        <w:t>as determined by the</w:t>
      </w:r>
      <w:r w:rsidR="005F24C1">
        <w:t xml:space="preserve"> WEIM </w:t>
      </w:r>
      <w:r w:rsidR="00120F26" w:rsidRPr="00B94F9D">
        <w:t>market optimization,</w:t>
      </w:r>
      <w:r w:rsidRPr="008D74F0">
        <w:rPr>
          <w:rFonts w:eastAsia="Calibri"/>
        </w:rPr>
        <w:t xml:space="preserve"> which will be the basis of their greenhouse gas regulation compliance obligation with the California Air Resources Board</w:t>
      </w:r>
      <w:r w:rsidR="00D578BA" w:rsidRPr="00885130">
        <w:rPr>
          <w:rFonts w:eastAsia="Calibri"/>
        </w:rPr>
        <w:t xml:space="preserve"> (CARB)</w:t>
      </w:r>
      <w:r w:rsidR="00F11752">
        <w:rPr>
          <w:rFonts w:eastAsia="Calibri"/>
        </w:rPr>
        <w:t>.</w:t>
      </w:r>
      <w:r w:rsidRPr="00885130">
        <w:rPr>
          <w:rFonts w:eastAsia="Calibri"/>
        </w:rPr>
        <w:t xml:space="preserve"> </w:t>
      </w:r>
    </w:p>
    <w:p w14:paraId="6AA0161C" w14:textId="77777777" w:rsidR="008817D0" w:rsidRPr="00885130" w:rsidRDefault="00D71222" w:rsidP="00E80005">
      <w:pPr>
        <w:pStyle w:val="ListParagraph"/>
        <w:numPr>
          <w:ilvl w:val="0"/>
          <w:numId w:val="43"/>
        </w:numPr>
        <w:rPr>
          <w:rFonts w:eastAsia="Calibri"/>
        </w:rPr>
      </w:pPr>
      <w:r w:rsidRPr="00885130">
        <w:rPr>
          <w:rFonts w:eastAsia="Calibri"/>
        </w:rPr>
        <w:t>EIM</w:t>
      </w:r>
      <w:r w:rsidRPr="008D74F0">
        <w:rPr>
          <w:rFonts w:eastAsia="Calibri"/>
        </w:rPr>
        <w:t xml:space="preserve"> Participating Resource Scheduling C</w:t>
      </w:r>
      <w:r w:rsidR="008817D0" w:rsidRPr="00885130">
        <w:rPr>
          <w:rFonts w:eastAsia="Calibri"/>
        </w:rPr>
        <w:t xml:space="preserve">oordinators can include the costs of their greenhouse gas regulation compliance obligation as an adder to their energy bids. </w:t>
      </w:r>
    </w:p>
    <w:p w14:paraId="1A7D2CA1" w14:textId="39F90672" w:rsidR="008D74F0" w:rsidRDefault="008817D0" w:rsidP="000F299B">
      <w:pPr>
        <w:spacing w:after="240" w:line="300" w:lineRule="auto"/>
        <w:rPr>
          <w:rFonts w:eastAsia="Calibri"/>
        </w:rPr>
      </w:pPr>
      <w:r w:rsidRPr="000778EC">
        <w:rPr>
          <w:rFonts w:eastAsia="Calibri"/>
        </w:rPr>
        <w:t>The</w:t>
      </w:r>
      <w:r w:rsidR="005F24C1">
        <w:rPr>
          <w:rFonts w:eastAsia="Calibri"/>
        </w:rPr>
        <w:t xml:space="preserve"> WEIM </w:t>
      </w:r>
      <w:r w:rsidRPr="000778EC">
        <w:rPr>
          <w:rFonts w:eastAsia="Calibri"/>
        </w:rPr>
        <w:t>has been designed so that the greenhouse gas compliance costs</w:t>
      </w:r>
      <w:r w:rsidRPr="00D02938">
        <w:rPr>
          <w:rFonts w:eastAsia="Calibri"/>
        </w:rPr>
        <w:t xml:space="preserve"> will not affect the locational marginal price in </w:t>
      </w:r>
      <w:r w:rsidR="00153940">
        <w:rPr>
          <w:rFonts w:eastAsia="Calibri"/>
        </w:rPr>
        <w:t>a WEIM</w:t>
      </w:r>
      <w:r w:rsidR="005F24C1">
        <w:rPr>
          <w:rFonts w:eastAsia="Calibri"/>
        </w:rPr>
        <w:t xml:space="preserve"> </w:t>
      </w:r>
      <w:r w:rsidRPr="00D02938">
        <w:rPr>
          <w:rFonts w:eastAsia="Calibri"/>
        </w:rPr>
        <w:t>balancing authority area. Rather, the market optimization will calculate the marginal cost difference between</w:t>
      </w:r>
      <w:r w:rsidR="005F24C1">
        <w:rPr>
          <w:rFonts w:eastAsia="Calibri"/>
        </w:rPr>
        <w:t xml:space="preserve"> WEIM </w:t>
      </w:r>
      <w:r w:rsidR="009D507A" w:rsidRPr="000778EC">
        <w:rPr>
          <w:rFonts w:eastAsia="Calibri"/>
        </w:rPr>
        <w:t xml:space="preserve">generation serving load in </w:t>
      </w:r>
      <w:r w:rsidR="00E4613C" w:rsidRPr="000778EC">
        <w:rPr>
          <w:rFonts w:eastAsia="Calibri"/>
        </w:rPr>
        <w:t>CA</w:t>
      </w:r>
      <w:r w:rsidRPr="000778EC">
        <w:rPr>
          <w:rFonts w:eastAsia="Calibri"/>
        </w:rPr>
        <w:t xml:space="preserve">ISO </w:t>
      </w:r>
      <w:r w:rsidR="009D507A" w:rsidRPr="000778EC">
        <w:rPr>
          <w:rFonts w:eastAsia="Calibri"/>
        </w:rPr>
        <w:t xml:space="preserve">and serving load outside of </w:t>
      </w:r>
      <w:r w:rsidR="00E4613C" w:rsidRPr="000778EC">
        <w:rPr>
          <w:rFonts w:eastAsia="Calibri"/>
        </w:rPr>
        <w:t>CA</w:t>
      </w:r>
      <w:r w:rsidRPr="000778EC">
        <w:rPr>
          <w:rFonts w:eastAsia="Calibri"/>
        </w:rPr>
        <w:t>ISO. This difference will be the marginal greenhouse gas regulation complianc</w:t>
      </w:r>
      <w:r w:rsidR="0072794B" w:rsidRPr="00E33AAC">
        <w:rPr>
          <w:rFonts w:eastAsia="Calibri"/>
        </w:rPr>
        <w:t xml:space="preserve">e cost and will be the rate </w:t>
      </w:r>
      <w:r w:rsidR="00E4613C" w:rsidRPr="00E33AAC">
        <w:rPr>
          <w:rFonts w:eastAsia="Calibri"/>
        </w:rPr>
        <w:t>CA</w:t>
      </w:r>
      <w:r w:rsidRPr="00E33AAC">
        <w:rPr>
          <w:rFonts w:eastAsia="Calibri"/>
        </w:rPr>
        <w:t xml:space="preserve">ISO will use to calculate a payment to each generator in </w:t>
      </w:r>
      <w:r w:rsidR="00153940">
        <w:rPr>
          <w:rFonts w:eastAsia="Calibri"/>
        </w:rPr>
        <w:t>a WEIM</w:t>
      </w:r>
      <w:r w:rsidR="005F24C1">
        <w:rPr>
          <w:rFonts w:eastAsia="Calibri"/>
        </w:rPr>
        <w:t xml:space="preserve"> </w:t>
      </w:r>
      <w:r w:rsidRPr="00E33AAC">
        <w:rPr>
          <w:rFonts w:eastAsia="Calibri"/>
        </w:rPr>
        <w:t xml:space="preserve">balancing authority </w:t>
      </w:r>
      <w:r w:rsidRPr="00D02938">
        <w:rPr>
          <w:rFonts w:eastAsia="Calibri"/>
        </w:rPr>
        <w:t xml:space="preserve">for its output that served </w:t>
      </w:r>
      <w:r w:rsidR="00E4613C" w:rsidRPr="00D02938">
        <w:rPr>
          <w:rFonts w:eastAsia="Calibri"/>
        </w:rPr>
        <w:t>CA</w:t>
      </w:r>
      <w:r w:rsidRPr="00D02938">
        <w:rPr>
          <w:rFonts w:eastAsia="Calibri"/>
        </w:rPr>
        <w:t>ISO imbalances. This payment will be funded th</w:t>
      </w:r>
      <w:r w:rsidR="0072794B" w:rsidRPr="00D02938">
        <w:rPr>
          <w:rFonts w:eastAsia="Calibri"/>
        </w:rPr>
        <w:t xml:space="preserve">rough the price paid within </w:t>
      </w:r>
      <w:r w:rsidR="00E4613C" w:rsidRPr="00D02938">
        <w:rPr>
          <w:rFonts w:eastAsia="Calibri"/>
        </w:rPr>
        <w:t>CA</w:t>
      </w:r>
      <w:r w:rsidRPr="00D02938">
        <w:rPr>
          <w:rFonts w:eastAsia="Calibri"/>
        </w:rPr>
        <w:t xml:space="preserve">ISO for imbalance energy. </w:t>
      </w:r>
      <w:r w:rsidR="00DA49BB" w:rsidRPr="000778EC">
        <w:rPr>
          <w:rFonts w:eastAsia="Calibri"/>
        </w:rPr>
        <w:t xml:space="preserve"> CAISO will publish the marginal GHG compliance price.</w:t>
      </w:r>
    </w:p>
    <w:p w14:paraId="4F25EB03" w14:textId="77777777" w:rsidR="008D74F0" w:rsidRDefault="008D74F0" w:rsidP="00C33762">
      <w:pPr>
        <w:pStyle w:val="Heading4"/>
        <w:rPr>
          <w:rFonts w:eastAsia="Calibri"/>
        </w:rPr>
      </w:pPr>
      <w:r>
        <w:rPr>
          <w:rFonts w:eastAsia="Calibri"/>
        </w:rPr>
        <w:t>Greenhouse Gas Methodology</w:t>
      </w:r>
    </w:p>
    <w:p w14:paraId="7CB5B9B6" w14:textId="7526C5F5" w:rsidR="001E7023" w:rsidRDefault="001E7023" w:rsidP="000F299B">
      <w:pPr>
        <w:spacing w:after="240" w:line="300" w:lineRule="auto"/>
        <w:rPr>
          <w:rFonts w:eastAsia="Calibri"/>
        </w:rPr>
      </w:pPr>
      <w:r>
        <w:rPr>
          <w:rFonts w:eastAsia="Calibri"/>
        </w:rPr>
        <w:t>The following methodology describes the real time optimal dispatch that accounts for the greenhouse gas allowance costs of resources in</w:t>
      </w:r>
      <w:r w:rsidR="005F24C1">
        <w:rPr>
          <w:rFonts w:eastAsia="Calibri"/>
        </w:rPr>
        <w:t xml:space="preserve"> WEIM </w:t>
      </w:r>
      <w:r>
        <w:rPr>
          <w:rFonts w:eastAsia="Calibri"/>
        </w:rPr>
        <w:t>Entity BAAs</w:t>
      </w:r>
      <w:r w:rsidR="005F7ABA">
        <w:rPr>
          <w:rFonts w:eastAsia="Calibri"/>
        </w:rPr>
        <w:t xml:space="preserve"> outside California</w:t>
      </w:r>
      <w:r w:rsidR="000F1AD7">
        <w:rPr>
          <w:rFonts w:eastAsia="Calibri"/>
        </w:rPr>
        <w:t>:</w:t>
      </w:r>
    </w:p>
    <w:p w14:paraId="62A28356" w14:textId="2D2A2B2C" w:rsidR="001E7023" w:rsidRPr="001E7023" w:rsidRDefault="001E7023" w:rsidP="00E80005">
      <w:pPr>
        <w:numPr>
          <w:ilvl w:val="0"/>
          <w:numId w:val="42"/>
        </w:numPr>
        <w:rPr>
          <w:rFonts w:eastAsia="Calibri"/>
        </w:rPr>
      </w:pPr>
      <w:r w:rsidRPr="001E7023">
        <w:rPr>
          <w:rFonts w:eastAsia="Calibri"/>
        </w:rPr>
        <w:t>The net imbalance energy export from all</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 exclusive of import/export imbalance energy schedules to non-EIM BAAs, is imbalance energy imported into the C</w:t>
      </w:r>
      <w:r w:rsidR="00D769E5">
        <w:rPr>
          <w:rFonts w:eastAsia="Calibri"/>
        </w:rPr>
        <w:t>A</w:t>
      </w:r>
      <w:r w:rsidRPr="001E7023">
        <w:rPr>
          <w:rFonts w:eastAsia="Calibri"/>
        </w:rPr>
        <w:t>ISO BAA</w:t>
      </w:r>
      <w:r w:rsidR="005F7ABA">
        <w:rPr>
          <w:rFonts w:eastAsia="Calibri"/>
        </w:rPr>
        <w:t xml:space="preserve"> and</w:t>
      </w:r>
      <w:r w:rsidR="005F24C1">
        <w:rPr>
          <w:rFonts w:eastAsia="Calibri"/>
        </w:rPr>
        <w:t xml:space="preserve"> WEIM </w:t>
      </w:r>
      <w:r w:rsidR="005F7ABA">
        <w:rPr>
          <w:rFonts w:eastAsia="Calibri"/>
        </w:rPr>
        <w:t>Entity BAAs inside California</w:t>
      </w:r>
      <w:r w:rsidRPr="001E7023">
        <w:rPr>
          <w:rFonts w:eastAsia="Calibri"/>
        </w:rPr>
        <w:t>. This energy would be allocated optimally to supply resources in the</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w:t>
      </w:r>
    </w:p>
    <w:p w14:paraId="0F955CC7" w14:textId="5A8EEE3F" w:rsidR="001E7023" w:rsidRPr="001E7023" w:rsidRDefault="001E7023" w:rsidP="00E80005">
      <w:pPr>
        <w:numPr>
          <w:ilvl w:val="0"/>
          <w:numId w:val="42"/>
        </w:numPr>
        <w:rPr>
          <w:rFonts w:eastAsia="Calibri"/>
        </w:rPr>
      </w:pPr>
      <w:r w:rsidRPr="001E7023">
        <w:rPr>
          <w:rFonts w:eastAsia="Calibri"/>
        </w:rPr>
        <w:t>The net imbalance energy export allocation to supply resources in</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 xml:space="preserve"> does not depend on the location of these resources; no shift factors are used in this allocation. The rationale is that this allocation is an accounting problem, which is irrelevant to the actual flow of energy on the network; in other words, supply resources in</w:t>
      </w:r>
      <w:r w:rsidR="005F24C1">
        <w:rPr>
          <w:rFonts w:eastAsia="Calibri"/>
        </w:rPr>
        <w:t xml:space="preserve"> WEIM </w:t>
      </w:r>
      <w:r w:rsidRPr="001E7023">
        <w:rPr>
          <w:rFonts w:eastAsia="Calibri"/>
        </w:rPr>
        <w:t>Entity BAAs</w:t>
      </w:r>
      <w:r w:rsidR="005F7ABA">
        <w:rPr>
          <w:rFonts w:eastAsia="Calibri"/>
        </w:rPr>
        <w:t xml:space="preserve"> outside California</w:t>
      </w:r>
      <w:r w:rsidRPr="001E7023">
        <w:rPr>
          <w:rFonts w:eastAsia="Calibri"/>
        </w:rPr>
        <w:t xml:space="preserve"> are only differentiated in terms of their </w:t>
      </w:r>
      <w:r w:rsidRPr="001E7023">
        <w:rPr>
          <w:rFonts w:eastAsia="Calibri"/>
        </w:rPr>
        <w:lastRenderedPageBreak/>
        <w:t>respective energy and emission costs, as reflected by a greenhouse gas (GHG) bid adder, and not in terms of their physical location.</w:t>
      </w:r>
    </w:p>
    <w:p w14:paraId="7014EC4C" w14:textId="3ADAA106" w:rsidR="00695FB7" w:rsidRPr="00B816FC" w:rsidRDefault="00695FB7" w:rsidP="00E80005">
      <w:pPr>
        <w:pStyle w:val="Default"/>
        <w:numPr>
          <w:ilvl w:val="0"/>
          <w:numId w:val="42"/>
        </w:numPr>
        <w:spacing w:after="160" w:line="259" w:lineRule="auto"/>
        <w:rPr>
          <w:rFonts w:asciiTheme="minorHAnsi" w:eastAsia="Calibri" w:hAnsiTheme="minorHAnsi"/>
          <w:szCs w:val="22"/>
        </w:rPr>
      </w:pPr>
      <w:r w:rsidRPr="00927518">
        <w:rPr>
          <w:rFonts w:asciiTheme="minorHAnsi" w:hAnsiTheme="minorHAnsi"/>
          <w:sz w:val="22"/>
          <w:szCs w:val="22"/>
        </w:rPr>
        <w:t>On an hourly basis by T-75, the</w:t>
      </w:r>
      <w:r w:rsidR="005F24C1">
        <w:rPr>
          <w:rFonts w:asciiTheme="minorHAnsi" w:hAnsiTheme="minorHAnsi"/>
          <w:sz w:val="22"/>
          <w:szCs w:val="22"/>
        </w:rPr>
        <w:t xml:space="preserve"> WEIM </w:t>
      </w:r>
      <w:r w:rsidRPr="00927518">
        <w:rPr>
          <w:rFonts w:asciiTheme="minorHAnsi" w:hAnsiTheme="minorHAnsi"/>
          <w:sz w:val="22"/>
          <w:szCs w:val="22"/>
        </w:rPr>
        <w:t xml:space="preserve">participating resource SC </w:t>
      </w:r>
      <w:r w:rsidR="005F7ABA">
        <w:rPr>
          <w:rFonts w:asciiTheme="minorHAnsi" w:hAnsiTheme="minorHAnsi"/>
          <w:sz w:val="22"/>
          <w:szCs w:val="22"/>
        </w:rPr>
        <w:t xml:space="preserve">in </w:t>
      </w:r>
      <w:r w:rsidR="00153940">
        <w:rPr>
          <w:rFonts w:asciiTheme="minorHAnsi" w:hAnsiTheme="minorHAnsi"/>
          <w:sz w:val="22"/>
          <w:szCs w:val="22"/>
        </w:rPr>
        <w:t>a WEIM</w:t>
      </w:r>
      <w:r w:rsidR="005F24C1">
        <w:rPr>
          <w:rFonts w:asciiTheme="minorHAnsi" w:hAnsiTheme="minorHAnsi"/>
          <w:sz w:val="22"/>
          <w:szCs w:val="22"/>
        </w:rPr>
        <w:t xml:space="preserve"> </w:t>
      </w:r>
      <w:r w:rsidR="005F7ABA">
        <w:rPr>
          <w:rFonts w:asciiTheme="minorHAnsi" w:hAnsiTheme="minorHAnsi"/>
          <w:sz w:val="22"/>
          <w:szCs w:val="22"/>
        </w:rPr>
        <w:t>Entity BAA outside California may</w:t>
      </w:r>
      <w:r w:rsidRPr="00927518">
        <w:rPr>
          <w:rFonts w:asciiTheme="minorHAnsi" w:hAnsiTheme="minorHAnsi"/>
          <w:sz w:val="22"/>
          <w:szCs w:val="22"/>
        </w:rPr>
        <w:t xml:space="preserve"> submit a single</w:t>
      </w:r>
      <w:r w:rsidR="00B816FC">
        <w:rPr>
          <w:rFonts w:asciiTheme="minorHAnsi" w:hAnsiTheme="minorHAnsi"/>
          <w:sz w:val="22"/>
          <w:szCs w:val="22"/>
        </w:rPr>
        <w:t xml:space="preserve"> GHG bid capacity</w:t>
      </w:r>
      <w:r w:rsidRPr="00927518">
        <w:rPr>
          <w:rFonts w:asciiTheme="minorHAnsi" w:hAnsiTheme="minorHAnsi"/>
          <w:sz w:val="22"/>
          <w:szCs w:val="22"/>
        </w:rPr>
        <w:t xml:space="preserve"> </w:t>
      </w:r>
      <w:r w:rsidR="00B816FC">
        <w:rPr>
          <w:rFonts w:asciiTheme="minorHAnsi" w:hAnsiTheme="minorHAnsi"/>
          <w:sz w:val="22"/>
          <w:szCs w:val="22"/>
        </w:rPr>
        <w:t>(</w:t>
      </w:r>
      <w:r w:rsidRPr="00927518">
        <w:rPr>
          <w:rFonts w:asciiTheme="minorHAnsi" w:hAnsiTheme="minorHAnsi"/>
          <w:sz w:val="22"/>
          <w:szCs w:val="22"/>
        </w:rPr>
        <w:t>MW</w:t>
      </w:r>
      <w:r w:rsidR="00B816FC">
        <w:rPr>
          <w:rFonts w:asciiTheme="minorHAnsi" w:hAnsiTheme="minorHAnsi"/>
          <w:sz w:val="22"/>
          <w:szCs w:val="22"/>
        </w:rPr>
        <w:t>)</w:t>
      </w:r>
      <w:r w:rsidRPr="00927518">
        <w:rPr>
          <w:rFonts w:asciiTheme="minorHAnsi" w:hAnsiTheme="minorHAnsi"/>
          <w:sz w:val="22"/>
          <w:szCs w:val="22"/>
        </w:rPr>
        <w:t xml:space="preserve"> quantity and single</w:t>
      </w:r>
      <w:r w:rsidR="00B816FC">
        <w:rPr>
          <w:rFonts w:asciiTheme="minorHAnsi" w:hAnsiTheme="minorHAnsi"/>
          <w:sz w:val="22"/>
          <w:szCs w:val="22"/>
        </w:rPr>
        <w:t xml:space="preserve"> GHG</w:t>
      </w:r>
      <w:r w:rsidRPr="00927518">
        <w:rPr>
          <w:rFonts w:asciiTheme="minorHAnsi" w:hAnsiTheme="minorHAnsi"/>
          <w:sz w:val="22"/>
          <w:szCs w:val="22"/>
        </w:rPr>
        <w:t xml:space="preserve"> bid price </w:t>
      </w:r>
      <w:r w:rsidR="00B816FC">
        <w:rPr>
          <w:rFonts w:asciiTheme="minorHAnsi" w:hAnsiTheme="minorHAnsi"/>
          <w:sz w:val="22"/>
          <w:szCs w:val="22"/>
        </w:rPr>
        <w:t xml:space="preserve">($/MWh) </w:t>
      </w:r>
      <w:r w:rsidRPr="00927518">
        <w:rPr>
          <w:rFonts w:asciiTheme="minorHAnsi" w:hAnsiTheme="minorHAnsi"/>
          <w:sz w:val="22"/>
          <w:szCs w:val="22"/>
        </w:rPr>
        <w:t xml:space="preserve">expressing its willingness </w:t>
      </w:r>
      <w:r w:rsidR="00B816FC">
        <w:rPr>
          <w:rFonts w:asciiTheme="minorHAnsi" w:hAnsiTheme="minorHAnsi"/>
          <w:sz w:val="22"/>
          <w:szCs w:val="22"/>
        </w:rPr>
        <w:t xml:space="preserve">for its energy </w:t>
      </w:r>
      <w:r w:rsidRPr="00927518">
        <w:rPr>
          <w:rFonts w:asciiTheme="minorHAnsi" w:hAnsiTheme="minorHAnsi"/>
          <w:sz w:val="22"/>
          <w:szCs w:val="22"/>
        </w:rPr>
        <w:t xml:space="preserve">to be deemed delivered to the </w:t>
      </w:r>
      <w:r w:rsidR="0058562B" w:rsidRPr="00927518">
        <w:rPr>
          <w:rFonts w:asciiTheme="minorHAnsi" w:hAnsiTheme="minorHAnsi"/>
          <w:sz w:val="22"/>
          <w:szCs w:val="22"/>
        </w:rPr>
        <w:t>CA</w:t>
      </w:r>
      <w:r w:rsidRPr="00927518">
        <w:rPr>
          <w:rFonts w:asciiTheme="minorHAnsi" w:hAnsiTheme="minorHAnsi"/>
          <w:sz w:val="22"/>
          <w:szCs w:val="22"/>
        </w:rPr>
        <w:t>ISO</w:t>
      </w:r>
      <w:r w:rsidR="00B816FC">
        <w:rPr>
          <w:rFonts w:asciiTheme="minorHAnsi" w:hAnsiTheme="minorHAnsi"/>
          <w:sz w:val="22"/>
          <w:szCs w:val="22"/>
        </w:rPr>
        <w:t xml:space="preserve"> </w:t>
      </w:r>
      <w:r w:rsidR="00B816FC" w:rsidRPr="008B4912">
        <w:rPr>
          <w:rFonts w:asciiTheme="minorHAnsi" w:hAnsiTheme="minorHAnsi"/>
          <w:sz w:val="22"/>
          <w:szCs w:val="22"/>
        </w:rPr>
        <w:t>BAA and</w:t>
      </w:r>
      <w:r w:rsidR="005F24C1">
        <w:rPr>
          <w:rFonts w:asciiTheme="minorHAnsi" w:hAnsiTheme="minorHAnsi"/>
          <w:sz w:val="22"/>
          <w:szCs w:val="22"/>
        </w:rPr>
        <w:t xml:space="preserve"> WEIM </w:t>
      </w:r>
      <w:r w:rsidR="00B816FC" w:rsidRPr="008B4912">
        <w:rPr>
          <w:rFonts w:asciiTheme="minorHAnsi" w:hAnsiTheme="minorHAnsi"/>
          <w:sz w:val="22"/>
          <w:szCs w:val="22"/>
        </w:rPr>
        <w:t>Entity BAAs inside California</w:t>
      </w:r>
      <w:r w:rsidRPr="00927518">
        <w:rPr>
          <w:rFonts w:asciiTheme="minorHAnsi" w:hAnsiTheme="minorHAnsi"/>
          <w:sz w:val="22"/>
          <w:szCs w:val="22"/>
        </w:rPr>
        <w:t>. The MW quantity is independent of the</w:t>
      </w:r>
      <w:r w:rsidR="00B816FC">
        <w:rPr>
          <w:rFonts w:asciiTheme="minorHAnsi" w:hAnsiTheme="minorHAnsi"/>
          <w:sz w:val="22"/>
          <w:szCs w:val="22"/>
        </w:rPr>
        <w:t xml:space="preserve"> submitted</w:t>
      </w:r>
      <w:r w:rsidRPr="00927518">
        <w:rPr>
          <w:rFonts w:asciiTheme="minorHAnsi" w:hAnsiTheme="minorHAnsi"/>
          <w:sz w:val="22"/>
          <w:szCs w:val="22"/>
        </w:rPr>
        <w:t xml:space="preserve"> energy bid curve</w:t>
      </w:r>
      <w:r w:rsidR="00B816FC">
        <w:rPr>
          <w:rFonts w:asciiTheme="minorHAnsi" w:hAnsiTheme="minorHAnsi"/>
          <w:sz w:val="22"/>
          <w:szCs w:val="22"/>
        </w:rPr>
        <w:t>.</w:t>
      </w:r>
      <w:r w:rsidRPr="00927518">
        <w:rPr>
          <w:rFonts w:asciiTheme="minorHAnsi" w:hAnsiTheme="minorHAnsi"/>
          <w:sz w:val="22"/>
          <w:szCs w:val="22"/>
        </w:rPr>
        <w:t xml:space="preserve"> </w:t>
      </w:r>
    </w:p>
    <w:p w14:paraId="3DC65A12" w14:textId="01DA56B0" w:rsidR="00B816FC" w:rsidRPr="003C4DBD" w:rsidRDefault="00B816FC" w:rsidP="00E80005">
      <w:pPr>
        <w:pStyle w:val="Default"/>
        <w:numPr>
          <w:ilvl w:val="0"/>
          <w:numId w:val="42"/>
        </w:numPr>
        <w:spacing w:after="160" w:line="259" w:lineRule="auto"/>
        <w:rPr>
          <w:rFonts w:asciiTheme="minorHAnsi" w:eastAsia="Calibri" w:hAnsiTheme="minorHAnsi"/>
          <w:szCs w:val="22"/>
        </w:rPr>
      </w:pPr>
      <w:r>
        <w:rPr>
          <w:rFonts w:asciiTheme="minorHAnsi" w:hAnsiTheme="minorHAnsi"/>
          <w:sz w:val="22"/>
          <w:szCs w:val="22"/>
        </w:rPr>
        <w:t>The GHG allocation will be limited by the GHG bid capacity, the optimal dispatch, and the difference between the upper economic limit (UEL) and the base schedule:</w:t>
      </w:r>
    </w:p>
    <w:p w14:paraId="7D7A37DB" w14:textId="303C5336" w:rsidR="00B816FC" w:rsidRDefault="00B816FC" w:rsidP="00B816FC">
      <w:pPr>
        <w:pStyle w:val="Default"/>
        <w:spacing w:after="160" w:line="259" w:lineRule="auto"/>
        <w:ind w:left="720"/>
        <w:rPr>
          <w:rFonts w:asciiTheme="minorHAnsi" w:hAnsiTheme="minorHAnsi"/>
          <w:sz w:val="22"/>
          <w:szCs w:val="22"/>
        </w:rPr>
      </w:pPr>
      <w:r>
        <w:rPr>
          <w:rFonts w:asciiTheme="minorHAnsi" w:hAnsiTheme="minorHAnsi"/>
          <w:sz w:val="22"/>
          <w:szCs w:val="22"/>
        </w:rPr>
        <w:t xml:space="preserve">GHG MW = </w:t>
      </w:r>
      <w:r w:rsidRPr="00641824">
        <w:rPr>
          <w:rFonts w:asciiTheme="minorHAnsi" w:hAnsiTheme="minorHAnsi" w:cstheme="minorHAnsi"/>
          <w:sz w:val="22"/>
          <w:szCs w:val="22"/>
        </w:rPr>
        <w:t>max(0, min(GHG Bid</w:t>
      </w:r>
      <w:r w:rsidRPr="00641824">
        <w:rPr>
          <w:rFonts w:ascii="Calibri" w:hAnsi="Calibri" w:cs="Calibri"/>
          <w:sz w:val="22"/>
          <w:szCs w:val="22"/>
        </w:rPr>
        <w:t xml:space="preserve"> , UEL - Base Schedule, Optimal Dispatch))</w:t>
      </w:r>
    </w:p>
    <w:p w14:paraId="54BDCC29" w14:textId="282A6FBD" w:rsidR="00B816FC" w:rsidRDefault="00B816FC" w:rsidP="00B816FC">
      <w:pPr>
        <w:pStyle w:val="Default"/>
        <w:spacing w:after="160" w:line="259" w:lineRule="auto"/>
        <w:ind w:left="720"/>
        <w:rPr>
          <w:rFonts w:asciiTheme="minorHAnsi" w:hAnsiTheme="minorHAnsi"/>
          <w:sz w:val="22"/>
          <w:szCs w:val="22"/>
        </w:rPr>
      </w:pPr>
      <w:r>
        <w:rPr>
          <w:rFonts w:asciiTheme="minorHAnsi" w:hAnsiTheme="minorHAnsi"/>
          <w:sz w:val="22"/>
          <w:szCs w:val="22"/>
        </w:rPr>
        <w:t>for all</w:t>
      </w:r>
      <w:r w:rsidR="005F24C1">
        <w:rPr>
          <w:rFonts w:asciiTheme="minorHAnsi" w:hAnsiTheme="minorHAnsi"/>
          <w:sz w:val="22"/>
          <w:szCs w:val="22"/>
        </w:rPr>
        <w:t xml:space="preserve"> WEIM </w:t>
      </w:r>
      <w:r>
        <w:rPr>
          <w:rFonts w:asciiTheme="minorHAnsi" w:hAnsiTheme="minorHAnsi"/>
          <w:sz w:val="22"/>
          <w:szCs w:val="22"/>
        </w:rPr>
        <w:t>participating resources in</w:t>
      </w:r>
      <w:r w:rsidR="005F24C1">
        <w:rPr>
          <w:rFonts w:asciiTheme="minorHAnsi" w:hAnsiTheme="minorHAnsi"/>
          <w:sz w:val="22"/>
          <w:szCs w:val="22"/>
        </w:rPr>
        <w:t xml:space="preserve"> WEIM </w:t>
      </w:r>
      <w:r>
        <w:rPr>
          <w:rFonts w:asciiTheme="minorHAnsi" w:hAnsiTheme="minorHAnsi"/>
          <w:sz w:val="22"/>
          <w:szCs w:val="22"/>
        </w:rPr>
        <w:t>Entity BAAs outside California that submit a GHG bid.</w:t>
      </w:r>
    </w:p>
    <w:p w14:paraId="7F8EACA4" w14:textId="16C9ADAA" w:rsidR="00B816FC" w:rsidRPr="00927518" w:rsidRDefault="00B816FC" w:rsidP="00B816FC">
      <w:pPr>
        <w:pStyle w:val="Default"/>
        <w:spacing w:after="160" w:line="259" w:lineRule="auto"/>
        <w:ind w:left="720"/>
        <w:rPr>
          <w:rFonts w:asciiTheme="minorHAnsi" w:eastAsia="Calibri" w:hAnsiTheme="minorHAnsi"/>
          <w:szCs w:val="22"/>
        </w:rPr>
      </w:pPr>
      <w:r>
        <w:rPr>
          <w:rFonts w:asciiTheme="minorHAnsi" w:hAnsiTheme="minorHAnsi"/>
          <w:sz w:val="22"/>
          <w:szCs w:val="22"/>
        </w:rPr>
        <w:t>The UEL is the top of the energy bid after accounting for applicable derates and capacity reservation for upward ancillary services (regulation up, and spinning and non-spinning reserves).</w:t>
      </w:r>
    </w:p>
    <w:p w14:paraId="6DBA0DAD" w14:textId="3611E600" w:rsidR="00860F46" w:rsidRPr="00927518" w:rsidRDefault="00695FB7" w:rsidP="00E80005">
      <w:pPr>
        <w:pStyle w:val="Default"/>
        <w:numPr>
          <w:ilvl w:val="0"/>
          <w:numId w:val="42"/>
        </w:numPr>
        <w:spacing w:after="160" w:line="259" w:lineRule="auto"/>
        <w:rPr>
          <w:rFonts w:asciiTheme="minorHAnsi" w:eastAsia="Calibri" w:hAnsiTheme="minorHAnsi"/>
          <w:szCs w:val="22"/>
        </w:rPr>
      </w:pPr>
      <w:r w:rsidRPr="00927518">
        <w:rPr>
          <w:rFonts w:asciiTheme="minorHAnsi" w:hAnsiTheme="minorHAnsi"/>
          <w:sz w:val="22"/>
          <w:szCs w:val="22"/>
        </w:rPr>
        <w:t>EIM participating resource can, through its</w:t>
      </w:r>
      <w:r w:rsidR="00BE34A8">
        <w:rPr>
          <w:rFonts w:asciiTheme="minorHAnsi" w:hAnsiTheme="minorHAnsi"/>
          <w:sz w:val="22"/>
          <w:szCs w:val="22"/>
        </w:rPr>
        <w:t xml:space="preserve"> GHG</w:t>
      </w:r>
      <w:r w:rsidRPr="00927518">
        <w:rPr>
          <w:rFonts w:asciiTheme="minorHAnsi" w:hAnsiTheme="minorHAnsi"/>
          <w:sz w:val="22"/>
          <w:szCs w:val="22"/>
        </w:rPr>
        <w:t xml:space="preserve"> bid, accomplish the objective of not being considered for</w:t>
      </w:r>
      <w:r w:rsidR="005F24C1">
        <w:rPr>
          <w:rFonts w:asciiTheme="minorHAnsi" w:hAnsiTheme="minorHAnsi"/>
          <w:sz w:val="22"/>
          <w:szCs w:val="22"/>
        </w:rPr>
        <w:t xml:space="preserve"> WEIM </w:t>
      </w:r>
      <w:r w:rsidRPr="00927518">
        <w:rPr>
          <w:rFonts w:asciiTheme="minorHAnsi" w:hAnsiTheme="minorHAnsi"/>
          <w:sz w:val="22"/>
          <w:szCs w:val="22"/>
        </w:rPr>
        <w:t xml:space="preserve">transfers into the </w:t>
      </w:r>
      <w:r w:rsidR="0058562B" w:rsidRPr="00927518">
        <w:rPr>
          <w:rFonts w:asciiTheme="minorHAnsi" w:hAnsiTheme="minorHAnsi"/>
          <w:sz w:val="22"/>
          <w:szCs w:val="22"/>
        </w:rPr>
        <w:t>CA</w:t>
      </w:r>
      <w:r w:rsidRPr="00927518">
        <w:rPr>
          <w:rFonts w:asciiTheme="minorHAnsi" w:hAnsiTheme="minorHAnsi"/>
          <w:sz w:val="22"/>
          <w:szCs w:val="22"/>
        </w:rPr>
        <w:t>ISO</w:t>
      </w:r>
      <w:r w:rsidR="00BE34A8">
        <w:rPr>
          <w:rFonts w:asciiTheme="minorHAnsi" w:hAnsiTheme="minorHAnsi"/>
          <w:sz w:val="22"/>
          <w:szCs w:val="22"/>
        </w:rPr>
        <w:t xml:space="preserve"> </w:t>
      </w:r>
      <w:r w:rsidR="00BE34A8" w:rsidRPr="008B4912">
        <w:rPr>
          <w:rFonts w:asciiTheme="minorHAnsi" w:hAnsiTheme="minorHAnsi"/>
          <w:sz w:val="22"/>
          <w:szCs w:val="22"/>
        </w:rPr>
        <w:t>BAA and</w:t>
      </w:r>
      <w:r w:rsidR="005F24C1">
        <w:rPr>
          <w:rFonts w:asciiTheme="minorHAnsi" w:hAnsiTheme="minorHAnsi"/>
          <w:sz w:val="22"/>
          <w:szCs w:val="22"/>
        </w:rPr>
        <w:t xml:space="preserve"> WEIM </w:t>
      </w:r>
      <w:r w:rsidR="00BE34A8" w:rsidRPr="008B4912">
        <w:rPr>
          <w:rFonts w:asciiTheme="minorHAnsi" w:hAnsiTheme="minorHAnsi"/>
          <w:sz w:val="22"/>
          <w:szCs w:val="22"/>
        </w:rPr>
        <w:t>Entity BAAs inside California</w:t>
      </w:r>
      <w:r w:rsidRPr="00927518">
        <w:rPr>
          <w:rFonts w:asciiTheme="minorHAnsi" w:hAnsiTheme="minorHAnsi"/>
          <w:sz w:val="22"/>
          <w:szCs w:val="22"/>
        </w:rPr>
        <w:t xml:space="preserve"> by bidding zero</w:t>
      </w:r>
      <w:r w:rsidR="00BE34A8">
        <w:rPr>
          <w:rFonts w:asciiTheme="minorHAnsi" w:hAnsiTheme="minorHAnsi"/>
          <w:sz w:val="22"/>
          <w:szCs w:val="22"/>
        </w:rPr>
        <w:t xml:space="preserve"> GHG</w:t>
      </w:r>
      <w:r w:rsidRPr="00927518">
        <w:rPr>
          <w:rFonts w:asciiTheme="minorHAnsi" w:hAnsiTheme="minorHAnsi"/>
          <w:sz w:val="22"/>
          <w:szCs w:val="22"/>
        </w:rPr>
        <w:t xml:space="preserve"> MW. In addition, the </w:t>
      </w:r>
      <w:r w:rsidR="0058562B" w:rsidRPr="00927518">
        <w:rPr>
          <w:rFonts w:asciiTheme="minorHAnsi" w:hAnsiTheme="minorHAnsi"/>
          <w:sz w:val="22"/>
          <w:szCs w:val="22"/>
        </w:rPr>
        <w:t>CA</w:t>
      </w:r>
      <w:r w:rsidRPr="00927518">
        <w:rPr>
          <w:rFonts w:asciiTheme="minorHAnsi" w:hAnsiTheme="minorHAnsi"/>
          <w:sz w:val="22"/>
          <w:szCs w:val="22"/>
        </w:rPr>
        <w:t xml:space="preserve">ISO will set the default value of the MW bid to zero. If </w:t>
      </w:r>
      <w:r w:rsidR="00153940">
        <w:rPr>
          <w:rFonts w:asciiTheme="minorHAnsi" w:hAnsiTheme="minorHAnsi"/>
          <w:sz w:val="22"/>
          <w:szCs w:val="22"/>
        </w:rPr>
        <w:t>a WEIM</w:t>
      </w:r>
      <w:r w:rsidR="005F24C1">
        <w:rPr>
          <w:rFonts w:asciiTheme="minorHAnsi" w:hAnsiTheme="minorHAnsi"/>
          <w:sz w:val="22"/>
          <w:szCs w:val="22"/>
        </w:rPr>
        <w:t xml:space="preserve"> </w:t>
      </w:r>
      <w:r w:rsidRPr="00927518">
        <w:rPr>
          <w:rFonts w:asciiTheme="minorHAnsi" w:hAnsiTheme="minorHAnsi"/>
          <w:sz w:val="22"/>
          <w:szCs w:val="22"/>
        </w:rPr>
        <w:t xml:space="preserve">participating resource SC, does not submit a </w:t>
      </w:r>
      <w:r w:rsidR="00BE34A8">
        <w:rPr>
          <w:rFonts w:asciiTheme="minorHAnsi" w:hAnsiTheme="minorHAnsi"/>
          <w:sz w:val="22"/>
          <w:szCs w:val="22"/>
        </w:rPr>
        <w:t>GHG</w:t>
      </w:r>
      <w:r w:rsidR="00BE34A8" w:rsidRPr="00927518">
        <w:rPr>
          <w:rFonts w:asciiTheme="minorHAnsi" w:hAnsiTheme="minorHAnsi"/>
          <w:sz w:val="22"/>
          <w:szCs w:val="22"/>
        </w:rPr>
        <w:t xml:space="preserve"> </w:t>
      </w:r>
      <w:r w:rsidRPr="00927518">
        <w:rPr>
          <w:rFonts w:asciiTheme="minorHAnsi" w:hAnsiTheme="minorHAnsi"/>
          <w:sz w:val="22"/>
          <w:szCs w:val="22"/>
        </w:rPr>
        <w:t>bid, it will not be considered for</w:t>
      </w:r>
      <w:r w:rsidR="005F24C1">
        <w:rPr>
          <w:rFonts w:asciiTheme="minorHAnsi" w:hAnsiTheme="minorHAnsi"/>
          <w:sz w:val="22"/>
          <w:szCs w:val="22"/>
        </w:rPr>
        <w:t xml:space="preserve"> WEIM </w:t>
      </w:r>
      <w:r w:rsidRPr="00927518">
        <w:rPr>
          <w:rFonts w:asciiTheme="minorHAnsi" w:hAnsiTheme="minorHAnsi"/>
          <w:sz w:val="22"/>
          <w:szCs w:val="22"/>
        </w:rPr>
        <w:t xml:space="preserve">transfer into the </w:t>
      </w:r>
      <w:r w:rsidR="0058562B" w:rsidRPr="00927518">
        <w:rPr>
          <w:rFonts w:asciiTheme="minorHAnsi" w:hAnsiTheme="minorHAnsi"/>
          <w:sz w:val="22"/>
          <w:szCs w:val="22"/>
        </w:rPr>
        <w:t>CA</w:t>
      </w:r>
      <w:r w:rsidRPr="00927518">
        <w:rPr>
          <w:rFonts w:asciiTheme="minorHAnsi" w:hAnsiTheme="minorHAnsi"/>
          <w:sz w:val="22"/>
          <w:szCs w:val="22"/>
        </w:rPr>
        <w:t xml:space="preserve">ISO </w:t>
      </w:r>
      <w:r w:rsidR="00BE34A8" w:rsidRPr="008B4912">
        <w:rPr>
          <w:rFonts w:asciiTheme="minorHAnsi" w:hAnsiTheme="minorHAnsi"/>
          <w:sz w:val="22"/>
          <w:szCs w:val="22"/>
        </w:rPr>
        <w:t>BAA and</w:t>
      </w:r>
      <w:r w:rsidR="005F24C1">
        <w:rPr>
          <w:rFonts w:asciiTheme="minorHAnsi" w:hAnsiTheme="minorHAnsi"/>
          <w:sz w:val="22"/>
          <w:szCs w:val="22"/>
        </w:rPr>
        <w:t xml:space="preserve"> WEIM </w:t>
      </w:r>
      <w:r w:rsidR="00BE34A8" w:rsidRPr="008B4912">
        <w:rPr>
          <w:rFonts w:asciiTheme="minorHAnsi" w:hAnsiTheme="minorHAnsi"/>
          <w:sz w:val="22"/>
          <w:szCs w:val="22"/>
        </w:rPr>
        <w:t>Entity BAAs inside California</w:t>
      </w:r>
      <w:r w:rsidR="00BE34A8" w:rsidRPr="00927518">
        <w:rPr>
          <w:rFonts w:asciiTheme="minorHAnsi" w:hAnsiTheme="minorHAnsi"/>
          <w:sz w:val="22"/>
          <w:szCs w:val="22"/>
        </w:rPr>
        <w:t xml:space="preserve"> </w:t>
      </w:r>
      <w:r w:rsidRPr="00927518">
        <w:rPr>
          <w:rFonts w:asciiTheme="minorHAnsi" w:hAnsiTheme="minorHAnsi"/>
          <w:sz w:val="22"/>
          <w:szCs w:val="22"/>
        </w:rPr>
        <w:t xml:space="preserve">because the </w:t>
      </w:r>
      <w:r w:rsidR="00BE34A8">
        <w:rPr>
          <w:rFonts w:asciiTheme="minorHAnsi" w:hAnsiTheme="minorHAnsi"/>
          <w:sz w:val="22"/>
          <w:szCs w:val="22"/>
        </w:rPr>
        <w:t xml:space="preserve">GHG </w:t>
      </w:r>
      <w:r w:rsidRPr="00927518">
        <w:rPr>
          <w:rFonts w:asciiTheme="minorHAnsi" w:hAnsiTheme="minorHAnsi"/>
          <w:sz w:val="22"/>
          <w:szCs w:val="22"/>
        </w:rPr>
        <w:t xml:space="preserve">MW quantity will be set to zero. </w:t>
      </w:r>
    </w:p>
    <w:p w14:paraId="15AB9F9C" w14:textId="19545286" w:rsidR="001E7023" w:rsidRDefault="001E7023" w:rsidP="00E80005">
      <w:pPr>
        <w:numPr>
          <w:ilvl w:val="0"/>
          <w:numId w:val="42"/>
        </w:numPr>
        <w:rPr>
          <w:rFonts w:eastAsia="Calibri"/>
        </w:rPr>
      </w:pPr>
      <w:r w:rsidRPr="001E7023">
        <w:rPr>
          <w:rFonts w:eastAsia="Calibri"/>
        </w:rPr>
        <w:t>Each</w:t>
      </w:r>
      <w:r w:rsidR="005F24C1">
        <w:rPr>
          <w:rFonts w:eastAsia="Calibri"/>
        </w:rPr>
        <w:t xml:space="preserve"> WEIM </w:t>
      </w:r>
      <w:r w:rsidRPr="001E7023">
        <w:rPr>
          <w:rFonts w:eastAsia="Calibri"/>
        </w:rPr>
        <w:t xml:space="preserve">Participating Resource in </w:t>
      </w:r>
      <w:r w:rsidR="00153940">
        <w:rPr>
          <w:rFonts w:eastAsia="Calibri"/>
        </w:rPr>
        <w:t>a WEIM</w:t>
      </w:r>
      <w:r w:rsidR="005F24C1">
        <w:rPr>
          <w:rFonts w:eastAsia="Calibri"/>
        </w:rPr>
        <w:t xml:space="preserve"> </w:t>
      </w:r>
      <w:r w:rsidRPr="001E7023">
        <w:rPr>
          <w:rFonts w:eastAsia="Calibri"/>
        </w:rPr>
        <w:t>Entity BAA</w:t>
      </w:r>
      <w:r w:rsidR="00BE34A8">
        <w:rPr>
          <w:rFonts w:eastAsia="Calibri"/>
        </w:rPr>
        <w:t xml:space="preserve"> outside California</w:t>
      </w:r>
      <w:r w:rsidRPr="001E7023">
        <w:rPr>
          <w:rFonts w:eastAsia="Calibri"/>
        </w:rPr>
        <w:t xml:space="preserve"> may submit a greenhouse gas bid adder that reflects the cost of procuring GHG allowances required by CARB for energy imports to California. This cost is added to the objective function for an efficient cost-effective imbalance energy dispatch.</w:t>
      </w:r>
    </w:p>
    <w:p w14:paraId="7416DD97" w14:textId="55F04723" w:rsidR="00860F46" w:rsidRPr="0025727C" w:rsidRDefault="00860F46" w:rsidP="00E80005">
      <w:pPr>
        <w:numPr>
          <w:ilvl w:val="0"/>
          <w:numId w:val="42"/>
        </w:numPr>
        <w:rPr>
          <w:rFonts w:eastAsia="Calibri"/>
        </w:rPr>
      </w:pPr>
      <w:r>
        <w:t xml:space="preserve">The </w:t>
      </w:r>
      <w:r w:rsidR="0058562B">
        <w:t>CA</w:t>
      </w:r>
      <w:r>
        <w:t>ISO will use a process similar to establishing the GHG cost adder included in the default energy bids</w:t>
      </w:r>
      <w:r>
        <w:rPr>
          <w:b/>
          <w:bCs/>
          <w:sz w:val="17"/>
          <w:szCs w:val="17"/>
        </w:rPr>
        <w:t xml:space="preserve"> </w:t>
      </w:r>
      <w:r>
        <w:t xml:space="preserve">of </w:t>
      </w:r>
      <w:r w:rsidR="0058562B">
        <w:t>CA</w:t>
      </w:r>
      <w:r>
        <w:t>ISO resources</w:t>
      </w:r>
      <w:r w:rsidR="00A20AB0">
        <w:t xml:space="preserve"> to determine</w:t>
      </w:r>
      <w:r w:rsidR="005F24C1">
        <w:t xml:space="preserve"> WEIM </w:t>
      </w:r>
      <w:r w:rsidR="00A20AB0">
        <w:t xml:space="preserve">Greenhouse Gas </w:t>
      </w:r>
      <w:r w:rsidR="008F46B7">
        <w:t>Maximum Cost</w:t>
      </w:r>
      <w:r>
        <w:t xml:space="preserve">. This includes a variable cost option and a negotiated rate option. The negotiated rate option may be used for new participating resources that do not have an emission rate used by the CARB in assessing GHG compliance obligations. However, rather than calculating a GHG cost curve, the </w:t>
      </w:r>
      <w:r w:rsidR="00BE02D8">
        <w:t>CA</w:t>
      </w:r>
      <w:r>
        <w:t>ISO will calculate a single daily value based upon the maximum heat rate of the</w:t>
      </w:r>
      <w:r w:rsidR="005F24C1">
        <w:t xml:space="preserve"> WEIM </w:t>
      </w:r>
      <w:r>
        <w:t>participating resource.</w:t>
      </w:r>
    </w:p>
    <w:p w14:paraId="2C3FD35B" w14:textId="312DCFAE" w:rsidR="00860F46" w:rsidRPr="009E20E8" w:rsidRDefault="00860F46" w:rsidP="00E80005">
      <w:pPr>
        <w:numPr>
          <w:ilvl w:val="0"/>
          <w:numId w:val="42"/>
        </w:numPr>
        <w:rPr>
          <w:rFonts w:eastAsia="Calibri"/>
        </w:rPr>
      </w:pPr>
      <w:r>
        <w:t xml:space="preserve">Under the variable cost option, on a daily basis, the </w:t>
      </w:r>
      <w:r w:rsidR="0058562B">
        <w:t>CA</w:t>
      </w:r>
      <w:r>
        <w:t>ISO will calculate a single</w:t>
      </w:r>
      <w:r w:rsidR="005F24C1">
        <w:t xml:space="preserve"> WEIM </w:t>
      </w:r>
      <w:r>
        <w:t xml:space="preserve">GHG </w:t>
      </w:r>
      <w:r w:rsidR="0038790D">
        <w:t xml:space="preserve">maximum </w:t>
      </w:r>
      <w:r>
        <w:t xml:space="preserve">cost. The </w:t>
      </w:r>
      <w:r w:rsidR="0058562B">
        <w:t>CA</w:t>
      </w:r>
      <w:r>
        <w:t>ISO calculate</w:t>
      </w:r>
      <w:r w:rsidR="003E44C1">
        <w:t>s</w:t>
      </w:r>
      <w:r>
        <w:t xml:space="preserve"> each unit’s greenhouse gas emissions </w:t>
      </w:r>
      <w:r w:rsidR="0038790D">
        <w:lastRenderedPageBreak/>
        <w:t xml:space="preserve">maximum </w:t>
      </w:r>
      <w:r>
        <w:t xml:space="preserve">cost based on the </w:t>
      </w:r>
      <w:r w:rsidR="003E44C1">
        <w:t>resource’s highest registered average heat rate</w:t>
      </w:r>
      <w:r>
        <w:t xml:space="preserve">, the applicable </w:t>
      </w:r>
      <w:r w:rsidR="003E44C1">
        <w:t xml:space="preserve">California </w:t>
      </w:r>
      <w:r>
        <w:t>GHG allowance price, the resource’s emission rate</w:t>
      </w:r>
      <w:r w:rsidR="00622ABA">
        <w:t xml:space="preserve"> to serve load in California</w:t>
      </w:r>
      <w:r w:rsidR="003E44C1">
        <w:t>, and a unit conversion factor</w:t>
      </w:r>
      <w:r>
        <w:t xml:space="preserve">. Similar to the default energy bids of </w:t>
      </w:r>
      <w:r w:rsidR="0058562B">
        <w:t>CA</w:t>
      </w:r>
      <w:r>
        <w:t xml:space="preserve">ISO resources, there will be a 10% adder to the calculated cost. </w:t>
      </w:r>
      <w:r w:rsidR="003E44C1">
        <w:t>The formula is as follows:</w:t>
      </w:r>
    </w:p>
    <w:p w14:paraId="642F79DF" w14:textId="77777777" w:rsidR="003E44C1" w:rsidRDefault="003E44C1" w:rsidP="009E20E8">
      <w:pPr>
        <w:pStyle w:val="ListParagraph"/>
      </w:pPr>
      <w:r>
        <w:t>GHG Maximum Cost ($/MWh) = 110% * Heat rate (Btu/kWh) * GHG emission rate (MTCO2e/MMBtu) * California GHG allowance index price ($/MTCO2e) * Unit conversion factor (1/1,000,000 MMBtu/Btu * 1000 Kwh/MWh)</w:t>
      </w:r>
    </w:p>
    <w:p w14:paraId="45630F02" w14:textId="611F5779" w:rsidR="003E44C1" w:rsidRPr="003E44C1" w:rsidRDefault="003E44C1" w:rsidP="009E20E8">
      <w:pPr>
        <w:pStyle w:val="ListParagraph"/>
        <w:rPr>
          <w:rFonts w:eastAsia="Calibri"/>
        </w:rPr>
      </w:pPr>
      <w:r>
        <w:t>Where the heat rate used is the resource’s highest registered average heat rate. For MSG resources, the heat rate used will the highest average heat rate of any MSG configuration</w:t>
      </w:r>
      <w:r w:rsidR="00622ABA">
        <w:t>.</w:t>
      </w:r>
      <w:r w:rsidR="00622ABA" w:rsidRPr="00622ABA">
        <w:t xml:space="preserve"> The emission rate used in this calculation will be the emission rate registered to serve load in California. This emission rate is indicated in the GRDT as records that have ‘CA’ in the State column of the GHG_EMISSION_RATE tab</w:t>
      </w:r>
    </w:p>
    <w:p w14:paraId="279C1A4F" w14:textId="441CDE91" w:rsidR="00860F46" w:rsidRPr="00BE02D8" w:rsidRDefault="00153940" w:rsidP="00E80005">
      <w:pPr>
        <w:numPr>
          <w:ilvl w:val="0"/>
          <w:numId w:val="42"/>
        </w:numPr>
        <w:rPr>
          <w:rFonts w:eastAsia="Calibri"/>
        </w:rPr>
      </w:pPr>
      <w:r>
        <w:t>A WEIM</w:t>
      </w:r>
      <w:r w:rsidR="005F24C1">
        <w:t xml:space="preserve"> </w:t>
      </w:r>
      <w:r w:rsidR="00860F46">
        <w:t xml:space="preserve">participating resource SC must submit a GHG bid price equal to or less than its GHG </w:t>
      </w:r>
      <w:r w:rsidR="0038790D">
        <w:t xml:space="preserve">maximum </w:t>
      </w:r>
      <w:r w:rsidR="00860F46">
        <w:t xml:space="preserve">cost, but not less than zero. If </w:t>
      </w:r>
      <w:r>
        <w:t>a WEIM</w:t>
      </w:r>
      <w:r w:rsidR="005F24C1">
        <w:t xml:space="preserve"> </w:t>
      </w:r>
      <w:r w:rsidR="00860F46">
        <w:t xml:space="preserve">participating resource SC submits a GHG bid price above the GHG </w:t>
      </w:r>
      <w:r w:rsidR="0038790D">
        <w:t xml:space="preserve">maximum </w:t>
      </w:r>
      <w:r w:rsidR="00860F46">
        <w:t>cost of the</w:t>
      </w:r>
      <w:r w:rsidR="005F24C1">
        <w:t xml:space="preserve"> WEIM </w:t>
      </w:r>
      <w:r w:rsidR="00860F46">
        <w:t xml:space="preserve">participating resource, the GHG bid price will be set to the calculated GHG </w:t>
      </w:r>
      <w:r w:rsidR="0038790D">
        <w:t xml:space="preserve">maximum </w:t>
      </w:r>
      <w:r w:rsidR="00860F46">
        <w:t xml:space="preserve">cost. If a resource submits a MW quantity, but fails to submit a GHG bid price, the default will be the calculated GHG </w:t>
      </w:r>
      <w:r w:rsidR="0038790D">
        <w:t xml:space="preserve">maximum </w:t>
      </w:r>
      <w:r w:rsidR="00860F46">
        <w:t>cost.</w:t>
      </w:r>
    </w:p>
    <w:p w14:paraId="2AAA10C8" w14:textId="2468FB50" w:rsidR="00FE1D6E" w:rsidRPr="00927518" w:rsidRDefault="00FE1D6E" w:rsidP="00E80005">
      <w:pPr>
        <w:numPr>
          <w:ilvl w:val="0"/>
          <w:numId w:val="42"/>
        </w:numPr>
        <w:rPr>
          <w:rFonts w:eastAsia="Calibri"/>
        </w:rPr>
      </w:pPr>
      <w:r>
        <w:t xml:space="preserve">If </w:t>
      </w:r>
      <w:r w:rsidR="00153940">
        <w:t>a WEIM</w:t>
      </w:r>
      <w:r w:rsidR="005F24C1">
        <w:t xml:space="preserve"> </w:t>
      </w:r>
      <w:r>
        <w:t>entity</w:t>
      </w:r>
      <w:r w:rsidR="00BE34A8">
        <w:t xml:space="preserve"> for </w:t>
      </w:r>
      <w:r w:rsidR="00153940">
        <w:t>a WEIM</w:t>
      </w:r>
      <w:r w:rsidR="005F24C1">
        <w:t xml:space="preserve"> </w:t>
      </w:r>
      <w:r w:rsidR="00BE34A8">
        <w:t>Entity BAA outside California</w:t>
      </w:r>
      <w:r>
        <w:t xml:space="preserve"> allows economic participation in the FMM by imports on</w:t>
      </w:r>
      <w:r w:rsidR="005F24C1">
        <w:t xml:space="preserve"> WEIM </w:t>
      </w:r>
      <w:r>
        <w:t xml:space="preserve">external interties, the imports </w:t>
      </w:r>
      <w:r w:rsidR="009425B7">
        <w:t xml:space="preserve">may </w:t>
      </w:r>
      <w:r>
        <w:t xml:space="preserve">also submit an hourly GHG MW quantity and bid price. </w:t>
      </w:r>
      <w:r w:rsidRPr="0038790D">
        <w:t xml:space="preserve">If the import is registered as a resource specific resource, the GHG emissions rate authorized by CARB for the specific resource will be used in the calculation of the maximum GHG cost. If the import is registered as a system resource, </w:t>
      </w:r>
      <w:r w:rsidR="00F40388" w:rsidRPr="0038790D">
        <w:t xml:space="preserve">the carbon dioxide equivalent emission rate of the resource with the highest such rate in the WECC region and the applicable Greenhouse Gas Allowance Price Index </w:t>
      </w:r>
      <w:r w:rsidRPr="0038790D">
        <w:t>will be used in the calculation of the maximum GHG cost.</w:t>
      </w:r>
    </w:p>
    <w:p w14:paraId="59529874" w14:textId="7EC3CB73" w:rsidR="00EB4341" w:rsidRPr="001E7023" w:rsidRDefault="00153940" w:rsidP="00E80005">
      <w:pPr>
        <w:numPr>
          <w:ilvl w:val="0"/>
          <w:numId w:val="42"/>
        </w:numPr>
        <w:rPr>
          <w:rFonts w:eastAsia="Calibri"/>
        </w:rPr>
      </w:pPr>
      <w:r>
        <w:t>A WEIM</w:t>
      </w:r>
      <w:r w:rsidR="005F24C1">
        <w:t xml:space="preserve"> </w:t>
      </w:r>
      <w:r w:rsidR="00EB4341">
        <w:t xml:space="preserve">participating resource SC may negotiate an alternative GHG maximum cost through the </w:t>
      </w:r>
      <w:r w:rsidR="00EB4341" w:rsidRPr="00EB4341">
        <w:t xml:space="preserve">negotiated rate option procedures </w:t>
      </w:r>
      <w:r w:rsidR="00EB4341">
        <w:t xml:space="preserve">described </w:t>
      </w:r>
      <w:r w:rsidR="00EB4341" w:rsidRPr="00EB4341">
        <w:t xml:space="preserve">in </w:t>
      </w:r>
      <w:r w:rsidR="00EB4341">
        <w:t xml:space="preserve">tariff </w:t>
      </w:r>
      <w:r w:rsidR="00EB4341" w:rsidRPr="00EB4341">
        <w:t>section 39.7.1.3.1</w:t>
      </w:r>
      <w:r w:rsidR="00EB4341">
        <w:t xml:space="preserve">.  An SC wishing to negotiate a GHG maximum cost may contact the CAISO by submitting a </w:t>
      </w:r>
      <w:r w:rsidR="00703FC7" w:rsidRPr="00703FC7">
        <w:t>CIDI ticket with Case Record Type “Negotiated Rate Application” and Application Type “Other”.</w:t>
      </w:r>
    </w:p>
    <w:p w14:paraId="50AF8523" w14:textId="6828D9D2" w:rsidR="001E7023" w:rsidRPr="001E7023" w:rsidRDefault="001E7023" w:rsidP="00E80005">
      <w:pPr>
        <w:numPr>
          <w:ilvl w:val="0"/>
          <w:numId w:val="42"/>
        </w:numPr>
        <w:rPr>
          <w:rFonts w:eastAsia="Calibri"/>
        </w:rPr>
      </w:pPr>
      <w:r w:rsidRPr="001E7023">
        <w:rPr>
          <w:rFonts w:eastAsia="Calibri"/>
        </w:rPr>
        <w:t>If the net imbalance energy export from all</w:t>
      </w:r>
      <w:r w:rsidR="005F24C1">
        <w:rPr>
          <w:rFonts w:eastAsia="Calibri"/>
        </w:rPr>
        <w:t xml:space="preserve"> WEIM </w:t>
      </w:r>
      <w:r w:rsidRPr="001E7023">
        <w:rPr>
          <w:rFonts w:eastAsia="Calibri"/>
        </w:rPr>
        <w:t>Entity BAAs</w:t>
      </w:r>
      <w:r w:rsidR="009425B7">
        <w:rPr>
          <w:rFonts w:eastAsia="Calibri"/>
        </w:rPr>
        <w:t xml:space="preserve"> outside California</w:t>
      </w:r>
      <w:r w:rsidRPr="001E7023">
        <w:rPr>
          <w:rFonts w:eastAsia="Calibri"/>
        </w:rPr>
        <w:t xml:space="preserve"> as a group is negative or zero, there is no associated net imbalance energy export allocation </w:t>
      </w:r>
      <w:r w:rsidRPr="001E7023">
        <w:rPr>
          <w:rFonts w:eastAsia="Calibri"/>
        </w:rPr>
        <w:lastRenderedPageBreak/>
        <w:t>or greenhouse gas allowance cost. Otherwise the net imbalance energy export allocation constraint is binding and it may have a nonzero shadow price.</w:t>
      </w:r>
    </w:p>
    <w:p w14:paraId="7893783D" w14:textId="3C011379" w:rsidR="001E7023" w:rsidRPr="001E7023" w:rsidRDefault="001E7023" w:rsidP="00E80005">
      <w:pPr>
        <w:numPr>
          <w:ilvl w:val="0"/>
          <w:numId w:val="42"/>
        </w:numPr>
        <w:rPr>
          <w:rFonts w:eastAsia="Calibri"/>
        </w:rPr>
      </w:pPr>
      <w:r w:rsidRPr="001E7023">
        <w:rPr>
          <w:rFonts w:eastAsia="Calibri"/>
        </w:rPr>
        <w:t>Greenhouse gas allowance costs are reflected through the net imbalance energy export allocation shadow prices in the Locational Marginal Prices (LMPs) in the</w:t>
      </w:r>
      <w:r w:rsidR="005F24C1">
        <w:rPr>
          <w:rFonts w:eastAsia="Calibri"/>
        </w:rPr>
        <w:t xml:space="preserve"> WEIM </w:t>
      </w:r>
      <w:r w:rsidRPr="001E7023">
        <w:rPr>
          <w:rFonts w:eastAsia="Calibri"/>
        </w:rPr>
        <w:t>Entity BAAs</w:t>
      </w:r>
      <w:r w:rsidR="00200F76" w:rsidRPr="00200F76">
        <w:rPr>
          <w:rFonts w:eastAsia="Calibri"/>
        </w:rPr>
        <w:t xml:space="preserve"> </w:t>
      </w:r>
      <w:r w:rsidR="00200F76">
        <w:rPr>
          <w:rFonts w:eastAsia="Calibri"/>
        </w:rPr>
        <w:t>outside California</w:t>
      </w:r>
      <w:r w:rsidRPr="001E7023">
        <w:rPr>
          <w:rFonts w:eastAsia="Calibri"/>
        </w:rPr>
        <w:t xml:space="preserve"> through a fourth component that is the same for all locations in the</w:t>
      </w:r>
      <w:r w:rsidR="00200F76">
        <w:rPr>
          <w:rFonts w:eastAsia="Calibri"/>
        </w:rPr>
        <w:t>se</w:t>
      </w:r>
      <w:r w:rsidR="005F24C1">
        <w:rPr>
          <w:rFonts w:eastAsia="Calibri"/>
        </w:rPr>
        <w:t xml:space="preserve"> WEIM </w:t>
      </w:r>
      <w:r w:rsidRPr="001E7023">
        <w:rPr>
          <w:rFonts w:eastAsia="Calibri"/>
        </w:rPr>
        <w:t>Entity BAAs. This LMP component can be seen as an adder to the marginal energy component that reflects the marginal cost of greenhouse gas allowance credits in</w:t>
      </w:r>
      <w:r w:rsidR="005F24C1">
        <w:rPr>
          <w:rFonts w:eastAsia="Calibri"/>
        </w:rPr>
        <w:t xml:space="preserve"> WEIM </w:t>
      </w:r>
      <w:r w:rsidRPr="001E7023">
        <w:rPr>
          <w:rFonts w:eastAsia="Calibri"/>
        </w:rPr>
        <w:t>Entity BAAs. This LMP component is absent for locations in</w:t>
      </w:r>
      <w:r w:rsidR="00200F76">
        <w:rPr>
          <w:rFonts w:eastAsia="Calibri"/>
        </w:rPr>
        <w:t xml:space="preserve"> the</w:t>
      </w:r>
      <w:r w:rsidRPr="001E7023">
        <w:rPr>
          <w:rFonts w:eastAsia="Calibri"/>
        </w:rPr>
        <w:t xml:space="preserve"> CAISO</w:t>
      </w:r>
      <w:r w:rsidR="00200F76" w:rsidRPr="00200F76">
        <w:t xml:space="preserve"> </w:t>
      </w:r>
      <w:r w:rsidR="00200F76" w:rsidRPr="008B4912">
        <w:t>BAA and</w:t>
      </w:r>
      <w:r w:rsidR="005F24C1">
        <w:t xml:space="preserve"> WEIM </w:t>
      </w:r>
      <w:r w:rsidR="00200F76" w:rsidRPr="008B4912">
        <w:t>Entity BAAs inside California</w:t>
      </w:r>
      <w:r w:rsidRPr="001E7023">
        <w:rPr>
          <w:rFonts w:eastAsia="Calibri"/>
        </w:rPr>
        <w:t>, because in these cases the cost of greenhouse gas allowance credits is included in the energy bids; hence it is already reflected in the marginal energy component.</w:t>
      </w:r>
    </w:p>
    <w:p w14:paraId="4C78A4E9" w14:textId="244295A3" w:rsidR="001E7023" w:rsidRPr="001E7023" w:rsidRDefault="001E7023" w:rsidP="00E80005">
      <w:pPr>
        <w:numPr>
          <w:ilvl w:val="0"/>
          <w:numId w:val="42"/>
        </w:numPr>
        <w:rPr>
          <w:rFonts w:eastAsia="Calibri"/>
        </w:rPr>
      </w:pPr>
      <w:r w:rsidRPr="001E7023">
        <w:rPr>
          <w:rFonts w:eastAsia="Calibri"/>
        </w:rPr>
        <w:t>The absence of the fourth LMP component for locations in</w:t>
      </w:r>
      <w:r w:rsidR="00200F76">
        <w:rPr>
          <w:rFonts w:eastAsia="Calibri"/>
        </w:rPr>
        <w:t xml:space="preserve"> the</w:t>
      </w:r>
      <w:r w:rsidRPr="001E7023">
        <w:rPr>
          <w:rFonts w:eastAsia="Calibri"/>
        </w:rPr>
        <w:t xml:space="preserve"> CAISO</w:t>
      </w:r>
      <w:r w:rsidR="00200F76" w:rsidRPr="00200F76">
        <w:t xml:space="preserve"> </w:t>
      </w:r>
      <w:r w:rsidR="00200F76" w:rsidRPr="008B4912">
        <w:t>BAA and</w:t>
      </w:r>
      <w:r w:rsidR="005F24C1">
        <w:t xml:space="preserve"> WEIM </w:t>
      </w:r>
      <w:r w:rsidR="00200F76" w:rsidRPr="008B4912">
        <w:t>Entity BAAs inside California</w:t>
      </w:r>
      <w:r w:rsidRPr="001E7023">
        <w:rPr>
          <w:rFonts w:eastAsia="Calibri"/>
        </w:rPr>
        <w:t xml:space="preserve"> results in no impact on existing Market Participants that would not have to modify their systems.</w:t>
      </w:r>
    </w:p>
    <w:p w14:paraId="4B5B5616" w14:textId="165232F9" w:rsidR="001E7023" w:rsidRPr="001E7023" w:rsidRDefault="001E7023" w:rsidP="00E80005">
      <w:pPr>
        <w:numPr>
          <w:ilvl w:val="0"/>
          <w:numId w:val="42"/>
        </w:numPr>
        <w:rPr>
          <w:rFonts w:eastAsia="Calibri"/>
        </w:rPr>
      </w:pPr>
      <w:r w:rsidRPr="001E7023">
        <w:rPr>
          <w:rFonts w:eastAsia="Calibri"/>
        </w:rPr>
        <w:t xml:space="preserve">As a result of the imbalance energy settlement, the CAISO </w:t>
      </w:r>
      <w:r w:rsidR="00885130">
        <w:rPr>
          <w:rFonts w:eastAsia="Calibri"/>
        </w:rPr>
        <w:t>will</w:t>
      </w:r>
      <w:r w:rsidRPr="001E7023">
        <w:rPr>
          <w:rFonts w:eastAsia="Calibri"/>
        </w:rPr>
        <w:t xml:space="preserve"> collect greenhouse gas allowance revenue for the net imbalance energy export from the</w:t>
      </w:r>
      <w:r w:rsidR="005F24C1">
        <w:rPr>
          <w:rFonts w:eastAsia="Calibri"/>
        </w:rPr>
        <w:t xml:space="preserve"> WEIM </w:t>
      </w:r>
      <w:r w:rsidRPr="001E7023">
        <w:rPr>
          <w:rFonts w:eastAsia="Calibri"/>
        </w:rPr>
        <w:t>Entity BAAs</w:t>
      </w:r>
      <w:r w:rsidR="00200F76" w:rsidRPr="00200F76">
        <w:rPr>
          <w:rFonts w:eastAsia="Calibri"/>
        </w:rPr>
        <w:t xml:space="preserve"> </w:t>
      </w:r>
      <w:r w:rsidR="00200F76">
        <w:rPr>
          <w:rFonts w:eastAsia="Calibri"/>
        </w:rPr>
        <w:t>outside California</w:t>
      </w:r>
      <w:r w:rsidRPr="001E7023">
        <w:rPr>
          <w:rFonts w:eastAsia="Calibri"/>
        </w:rPr>
        <w:t xml:space="preserve"> at the respective net imbalance energy export allocation constraint shadow price, similarly to the congestion revenue. Distributing this revenue back to the optimal net imbalance</w:t>
      </w:r>
      <w:r>
        <w:rPr>
          <w:rFonts w:eastAsia="Calibri"/>
        </w:rPr>
        <w:t xml:space="preserve"> </w:t>
      </w:r>
      <w:r w:rsidRPr="001E7023">
        <w:rPr>
          <w:rFonts w:eastAsia="Calibri"/>
        </w:rPr>
        <w:t>energy export allocations in addition to the imbalance energy settlement at the LMP would adequately compensate supply resources in</w:t>
      </w:r>
      <w:r w:rsidR="005F24C1">
        <w:rPr>
          <w:rFonts w:eastAsia="Calibri"/>
        </w:rPr>
        <w:t xml:space="preserve"> WEIM </w:t>
      </w:r>
      <w:r w:rsidRPr="001E7023">
        <w:rPr>
          <w:rFonts w:eastAsia="Calibri"/>
        </w:rPr>
        <w:t>Entity BAAs</w:t>
      </w:r>
      <w:r w:rsidR="00200F76" w:rsidRPr="00200F76">
        <w:rPr>
          <w:rFonts w:eastAsia="Calibri"/>
        </w:rPr>
        <w:t xml:space="preserve"> </w:t>
      </w:r>
      <w:r w:rsidR="00200F76">
        <w:rPr>
          <w:rFonts w:eastAsia="Calibri"/>
        </w:rPr>
        <w:t>outside California</w:t>
      </w:r>
      <w:r w:rsidRPr="001E7023">
        <w:rPr>
          <w:rFonts w:eastAsia="Calibri"/>
        </w:rPr>
        <w:t xml:space="preserve"> for their energy and greenhouse gas allowance costs without a need for any side payments and uplift.</w:t>
      </w:r>
    </w:p>
    <w:p w14:paraId="0A0262DC" w14:textId="32B0B3FF" w:rsidR="001E7023" w:rsidRDefault="001E7023" w:rsidP="00E80005">
      <w:pPr>
        <w:numPr>
          <w:ilvl w:val="0"/>
          <w:numId w:val="42"/>
        </w:numPr>
        <w:rPr>
          <w:rFonts w:eastAsia="Calibri"/>
        </w:rPr>
      </w:pPr>
      <w:r>
        <w:rPr>
          <w:rFonts w:eastAsia="Calibri"/>
        </w:rPr>
        <w:t>This</w:t>
      </w:r>
      <w:r w:rsidRPr="001E7023">
        <w:rPr>
          <w:rFonts w:eastAsia="Calibri"/>
        </w:rPr>
        <w:t xml:space="preserve"> methodology is very general and robust and it does not depend on the particular network configuration or how the various BAAs are interconnected. Therefore, it is readily expandable to any number of BAAs in the Full Network Model (FNM) with any number of</w:t>
      </w:r>
      <w:r w:rsidR="005F24C1">
        <w:rPr>
          <w:rFonts w:eastAsia="Calibri"/>
        </w:rPr>
        <w:t xml:space="preserve"> WEIM </w:t>
      </w:r>
      <w:r w:rsidRPr="001E7023">
        <w:rPr>
          <w:rFonts w:eastAsia="Calibri"/>
        </w:rPr>
        <w:t>Entity BAAs and any BAA interconnection pattern.</w:t>
      </w:r>
    </w:p>
    <w:p w14:paraId="3FF60EEF" w14:textId="2D9EB7B5" w:rsidR="003E44C1" w:rsidRPr="009E20E8" w:rsidRDefault="003E44C1" w:rsidP="003E44C1">
      <w:pPr>
        <w:numPr>
          <w:ilvl w:val="0"/>
          <w:numId w:val="42"/>
        </w:numPr>
      </w:pPr>
      <w:r>
        <w:rPr>
          <w:rFonts w:eastAsia="Calibri"/>
        </w:rPr>
        <w:t xml:space="preserve">The state of Washington also has a GHG compliance program. </w:t>
      </w:r>
      <w:r w:rsidR="00622ABA">
        <w:rPr>
          <w:rFonts w:eastAsia="Calibri"/>
        </w:rPr>
        <w:t>The</w:t>
      </w:r>
      <w:r>
        <w:rPr>
          <w:rFonts w:eastAsia="Calibri"/>
        </w:rPr>
        <w:t xml:space="preserve"> CAISO allows supply resources located within the state of Washington to include the cost of allowances for Washington’s GHG compliance program in their reference levels (default energy bids, default commitment costs) similar to how such costs are included for supply resources located within the state of California. See the BPM for Market Instruments, Attachments D, G, and K for more information.</w:t>
      </w:r>
      <w:r w:rsidRPr="000D6751">
        <w:t xml:space="preserve"> </w:t>
      </w:r>
    </w:p>
    <w:p w14:paraId="189755BC" w14:textId="77777777" w:rsidR="001E7023" w:rsidRDefault="001E7023" w:rsidP="00C33762">
      <w:pPr>
        <w:pStyle w:val="Heading5"/>
      </w:pPr>
      <w:r>
        <w:lastRenderedPageBreak/>
        <w:t>Mathematical Formulation</w:t>
      </w:r>
    </w:p>
    <w:p w14:paraId="00C0CF8A" w14:textId="25158463" w:rsidR="001E7023" w:rsidRPr="000F299B" w:rsidRDefault="001E7023" w:rsidP="00877DDB">
      <w:pPr>
        <w:pStyle w:val="BPM"/>
      </w:pPr>
      <w:r w:rsidRPr="000F299B">
        <w:t>To illustrate the method, consider a simple network configuration that consists only of the CAISO and a single</w:t>
      </w:r>
      <w:r w:rsidR="005F24C1">
        <w:t xml:space="preserve"> WEIM </w:t>
      </w:r>
      <w:r w:rsidRPr="000F299B">
        <w:t>Entity BAA. Furthermore, day-ahead and base schedules are ignored for simplicity, as well as ancillary services, transmission losses, and inter-temporal constraints, focusing on a single time period.</w:t>
      </w:r>
    </w:p>
    <w:p w14:paraId="7FE6841F" w14:textId="77777777" w:rsidR="001E7023" w:rsidRPr="00225179" w:rsidRDefault="001E7023" w:rsidP="00225179">
      <w:pPr>
        <w:rPr>
          <w:b/>
        </w:rPr>
      </w:pPr>
      <w:r w:rsidRPr="00225179">
        <w:rPr>
          <w:b/>
        </w:rPr>
        <w:t>Notation</w:t>
      </w:r>
    </w:p>
    <w:p w14:paraId="496792CC" w14:textId="77777777" w:rsidR="001E7023" w:rsidRPr="000F299B" w:rsidRDefault="001E7023" w:rsidP="00877DDB">
      <w:pPr>
        <w:pStyle w:val="BPM"/>
      </w:pPr>
      <w:r w:rsidRPr="000F299B">
        <w:t>The following notation is used to formulate the problem:</w:t>
      </w:r>
    </w:p>
    <w:tbl>
      <w:tblPr>
        <w:tblW w:w="0" w:type="auto"/>
        <w:tblLook w:val="04A0" w:firstRow="1" w:lastRow="0" w:firstColumn="1" w:lastColumn="0" w:noHBand="0" w:noVBand="1"/>
      </w:tblPr>
      <w:tblGrid>
        <w:gridCol w:w="830"/>
        <w:gridCol w:w="8530"/>
      </w:tblGrid>
      <w:tr w:rsidR="001E7023" w14:paraId="7701040A" w14:textId="77777777" w:rsidTr="001E7023">
        <w:tc>
          <w:tcPr>
            <w:tcW w:w="828" w:type="dxa"/>
            <w:hideMark/>
          </w:tcPr>
          <w:p w14:paraId="257772F4" w14:textId="77777777" w:rsidR="001E7023" w:rsidRPr="00877DDB" w:rsidRDefault="001E7023" w:rsidP="00877DDB">
            <w:pPr>
              <w:pStyle w:val="BPM"/>
              <w:rPr>
                <w:i/>
              </w:rPr>
            </w:pPr>
            <w:r w:rsidRPr="00877DDB">
              <w:rPr>
                <w:i/>
              </w:rPr>
              <w:t>i</w:t>
            </w:r>
          </w:p>
        </w:tc>
        <w:tc>
          <w:tcPr>
            <w:tcW w:w="8748" w:type="dxa"/>
            <w:hideMark/>
          </w:tcPr>
          <w:p w14:paraId="7281C21F" w14:textId="77777777" w:rsidR="001E7023" w:rsidRPr="000F299B" w:rsidRDefault="001E7023" w:rsidP="00877DDB">
            <w:pPr>
              <w:pStyle w:val="BPM"/>
              <w:rPr>
                <w:rFonts w:ascii="Arial" w:hAnsi="Arial" w:cs="Arial"/>
              </w:rPr>
            </w:pPr>
            <w:r w:rsidRPr="000F299B">
              <w:rPr>
                <w:rFonts w:ascii="Arial" w:hAnsi="Arial" w:cs="Arial"/>
              </w:rPr>
              <w:t>Node index in CAISO.</w:t>
            </w:r>
          </w:p>
        </w:tc>
      </w:tr>
      <w:tr w:rsidR="001E7023" w14:paraId="440B708C" w14:textId="77777777" w:rsidTr="001E7023">
        <w:tc>
          <w:tcPr>
            <w:tcW w:w="828" w:type="dxa"/>
            <w:hideMark/>
          </w:tcPr>
          <w:p w14:paraId="7D04D94F" w14:textId="77777777" w:rsidR="001E7023" w:rsidRDefault="001E7023">
            <w:pPr>
              <w:pStyle w:val="Paragraph"/>
              <w:rPr>
                <w:rFonts w:ascii="Cambria Math" w:hAnsi="Cambria Math"/>
                <w:i/>
              </w:rPr>
            </w:pPr>
            <w:r>
              <w:rPr>
                <w:rFonts w:ascii="Cambria Math" w:hAnsi="Cambria Math"/>
                <w:i/>
              </w:rPr>
              <w:t>j</w:t>
            </w:r>
          </w:p>
        </w:tc>
        <w:tc>
          <w:tcPr>
            <w:tcW w:w="8748" w:type="dxa"/>
            <w:hideMark/>
          </w:tcPr>
          <w:p w14:paraId="3E119845" w14:textId="0B53959C" w:rsidR="001E7023" w:rsidRPr="000F299B" w:rsidRDefault="001E7023">
            <w:pPr>
              <w:pStyle w:val="Paragraph"/>
              <w:rPr>
                <w:rFonts w:ascii="Arial" w:hAnsi="Arial" w:cs="Arial"/>
              </w:rPr>
            </w:pPr>
            <w:r w:rsidRPr="000F299B">
              <w:rPr>
                <w:rFonts w:ascii="Arial" w:hAnsi="Arial" w:cs="Arial"/>
              </w:rPr>
              <w:t>Node index in</w:t>
            </w:r>
            <w:r w:rsidR="005F24C1">
              <w:rPr>
                <w:rFonts w:ascii="Arial" w:hAnsi="Arial" w:cs="Arial"/>
              </w:rPr>
              <w:t xml:space="preserve"> WEIM </w:t>
            </w:r>
            <w:r w:rsidRPr="000F299B">
              <w:rPr>
                <w:rFonts w:ascii="Arial" w:hAnsi="Arial" w:cs="Arial"/>
              </w:rPr>
              <w:t>Entity BAA.</w:t>
            </w:r>
          </w:p>
        </w:tc>
      </w:tr>
      <w:tr w:rsidR="001E7023" w14:paraId="3BFB7CD0" w14:textId="77777777" w:rsidTr="001E7023">
        <w:tc>
          <w:tcPr>
            <w:tcW w:w="828" w:type="dxa"/>
            <w:hideMark/>
          </w:tcPr>
          <w:p w14:paraId="05E990C4" w14:textId="77777777" w:rsidR="001E7023" w:rsidRDefault="001E7023">
            <w:pPr>
              <w:pStyle w:val="Paragraph"/>
              <w:rPr>
                <w:rFonts w:ascii="Cambria Math" w:hAnsi="Cambria Math"/>
                <w:i/>
              </w:rPr>
            </w:pPr>
            <w:r>
              <w:rPr>
                <w:rFonts w:ascii="Cambria Math" w:hAnsi="Cambria Math"/>
                <w:i/>
              </w:rPr>
              <w:t>k</w:t>
            </w:r>
          </w:p>
        </w:tc>
        <w:tc>
          <w:tcPr>
            <w:tcW w:w="8748" w:type="dxa"/>
            <w:hideMark/>
          </w:tcPr>
          <w:p w14:paraId="6C6363E0" w14:textId="77777777" w:rsidR="001E7023" w:rsidRPr="000F299B" w:rsidRDefault="001E7023">
            <w:pPr>
              <w:pStyle w:val="Paragraph"/>
              <w:rPr>
                <w:rFonts w:ascii="Arial" w:hAnsi="Arial" w:cs="Arial"/>
              </w:rPr>
            </w:pPr>
            <w:r w:rsidRPr="000F299B">
              <w:rPr>
                <w:rFonts w:ascii="Arial" w:hAnsi="Arial" w:cs="Arial"/>
              </w:rPr>
              <w:t>Oriented transmission line index.</w:t>
            </w:r>
          </w:p>
        </w:tc>
      </w:tr>
      <w:tr w:rsidR="001E7023" w14:paraId="5D862A70" w14:textId="77777777" w:rsidTr="001E7023">
        <w:tc>
          <w:tcPr>
            <w:tcW w:w="828" w:type="dxa"/>
            <w:hideMark/>
          </w:tcPr>
          <w:p w14:paraId="39F01BE4" w14:textId="77777777" w:rsidR="001E7023" w:rsidRDefault="001E7023">
            <w:pPr>
              <w:pStyle w:val="Paragraph"/>
              <w:rPr>
                <w:rFonts w:ascii="Cambria Math" w:hAnsi="Cambria Math"/>
              </w:rPr>
            </w:pPr>
            <w:r>
              <w:rPr>
                <w:rFonts w:ascii="Cambria Math" w:hAnsi="Cambria Math"/>
              </w:rPr>
              <w:sym w:font="Symbol" w:char="F022"/>
            </w:r>
          </w:p>
        </w:tc>
        <w:tc>
          <w:tcPr>
            <w:tcW w:w="8748" w:type="dxa"/>
            <w:hideMark/>
          </w:tcPr>
          <w:p w14:paraId="4B6ADBFC" w14:textId="77777777" w:rsidR="001E7023" w:rsidRPr="000F299B" w:rsidRDefault="001E7023">
            <w:pPr>
              <w:pStyle w:val="Paragraph"/>
              <w:rPr>
                <w:rFonts w:ascii="Arial" w:hAnsi="Arial" w:cs="Arial"/>
              </w:rPr>
            </w:pPr>
            <w:r w:rsidRPr="000F299B">
              <w:rPr>
                <w:rFonts w:ascii="Arial" w:hAnsi="Arial" w:cs="Arial"/>
              </w:rPr>
              <w:t>For all…</w:t>
            </w:r>
          </w:p>
        </w:tc>
      </w:tr>
      <w:tr w:rsidR="001E7023" w14:paraId="60524C56" w14:textId="77777777" w:rsidTr="001E7023">
        <w:tc>
          <w:tcPr>
            <w:tcW w:w="828" w:type="dxa"/>
            <w:hideMark/>
          </w:tcPr>
          <w:p w14:paraId="7F16E6FF" w14:textId="77777777" w:rsidR="001E7023" w:rsidRDefault="001E7023">
            <w:pPr>
              <w:pStyle w:val="Paragraph"/>
              <w:rPr>
                <w:rFonts w:ascii="Cambria Math" w:hAnsi="Cambria Math"/>
                <w:i/>
                <w:vertAlign w:val="subscript"/>
              </w:rPr>
            </w:pPr>
            <w:r>
              <w:rPr>
                <w:rFonts w:ascii="Cambria Math" w:hAnsi="Cambria Math"/>
                <w:i/>
              </w:rPr>
              <w:t>G</w:t>
            </w:r>
            <w:r>
              <w:rPr>
                <w:rFonts w:ascii="Cambria Math" w:hAnsi="Cambria Math"/>
                <w:i/>
                <w:vertAlign w:val="subscript"/>
              </w:rPr>
              <w:t>i</w:t>
            </w:r>
          </w:p>
        </w:tc>
        <w:tc>
          <w:tcPr>
            <w:tcW w:w="8748" w:type="dxa"/>
            <w:hideMark/>
          </w:tcPr>
          <w:p w14:paraId="2CA8BC73" w14:textId="77777777" w:rsidR="001E7023" w:rsidRPr="000F299B" w:rsidRDefault="001E7023">
            <w:pPr>
              <w:pStyle w:val="Paragraph"/>
              <w:rPr>
                <w:rFonts w:ascii="Arial" w:hAnsi="Arial" w:cs="Arial"/>
              </w:rPr>
            </w:pPr>
            <w:r w:rsidRPr="000F299B">
              <w:rPr>
                <w:rFonts w:ascii="Arial" w:hAnsi="Arial" w:cs="Arial"/>
              </w:rPr>
              <w:t xml:space="preserve">Imbalance energy dispatch for generator at node </w:t>
            </w:r>
            <w:r w:rsidRPr="000F299B">
              <w:rPr>
                <w:rFonts w:ascii="Arial" w:hAnsi="Arial" w:cs="Arial"/>
                <w:i/>
              </w:rPr>
              <w:t>i</w:t>
            </w:r>
            <w:r w:rsidRPr="000F299B">
              <w:rPr>
                <w:rFonts w:ascii="Arial" w:hAnsi="Arial" w:cs="Arial"/>
              </w:rPr>
              <w:t>.</w:t>
            </w:r>
          </w:p>
        </w:tc>
      </w:tr>
      <w:tr w:rsidR="001E7023" w14:paraId="489D9A1A" w14:textId="77777777" w:rsidTr="001E7023">
        <w:tc>
          <w:tcPr>
            <w:tcW w:w="828" w:type="dxa"/>
            <w:hideMark/>
          </w:tcPr>
          <w:p w14:paraId="504760CC" w14:textId="77777777" w:rsidR="001E7023" w:rsidRDefault="001E7023">
            <w:pPr>
              <w:pStyle w:val="Paragraph"/>
              <w:rPr>
                <w:rFonts w:ascii="Cambria Math" w:hAnsi="Cambria Math"/>
                <w:i/>
                <w:vertAlign w:val="subscript"/>
              </w:rPr>
            </w:pPr>
            <w:r>
              <w:rPr>
                <w:rFonts w:ascii="Cambria Math" w:hAnsi="Cambria Math"/>
                <w:i/>
              </w:rPr>
              <w:t>G</w:t>
            </w:r>
            <w:r>
              <w:rPr>
                <w:rFonts w:ascii="Cambria Math" w:hAnsi="Cambria Math"/>
                <w:vertAlign w:val="subscript"/>
              </w:rPr>
              <w:t>MIN</w:t>
            </w:r>
            <w:r>
              <w:rPr>
                <w:rFonts w:ascii="Cambria Math" w:hAnsi="Cambria Math"/>
                <w:i/>
                <w:vertAlign w:val="subscript"/>
              </w:rPr>
              <w:t>i</w:t>
            </w:r>
          </w:p>
        </w:tc>
        <w:tc>
          <w:tcPr>
            <w:tcW w:w="8748" w:type="dxa"/>
            <w:hideMark/>
          </w:tcPr>
          <w:p w14:paraId="5D595EFB" w14:textId="77777777" w:rsidR="001E7023" w:rsidRPr="000F299B" w:rsidRDefault="001E7023">
            <w:pPr>
              <w:pStyle w:val="Paragraph"/>
              <w:rPr>
                <w:rFonts w:ascii="Arial" w:hAnsi="Arial" w:cs="Arial"/>
              </w:rPr>
            </w:pPr>
            <w:r w:rsidRPr="000F299B">
              <w:rPr>
                <w:rFonts w:ascii="Arial" w:hAnsi="Arial" w:cs="Arial"/>
              </w:rPr>
              <w:t xml:space="preserve">Minimum capacity for generator at node </w:t>
            </w:r>
            <w:r w:rsidRPr="000F299B">
              <w:rPr>
                <w:rFonts w:ascii="Arial" w:hAnsi="Arial" w:cs="Arial"/>
                <w:i/>
              </w:rPr>
              <w:t>i</w:t>
            </w:r>
            <w:r w:rsidRPr="000F299B">
              <w:rPr>
                <w:rFonts w:ascii="Arial" w:hAnsi="Arial" w:cs="Arial"/>
              </w:rPr>
              <w:t>.</w:t>
            </w:r>
          </w:p>
        </w:tc>
      </w:tr>
      <w:tr w:rsidR="001E7023" w14:paraId="173FC4D0" w14:textId="77777777" w:rsidTr="001E7023">
        <w:tc>
          <w:tcPr>
            <w:tcW w:w="828" w:type="dxa"/>
            <w:hideMark/>
          </w:tcPr>
          <w:p w14:paraId="612DA5E5" w14:textId="77777777" w:rsidR="001E7023" w:rsidRDefault="001E7023">
            <w:pPr>
              <w:pStyle w:val="Paragraph"/>
              <w:rPr>
                <w:rFonts w:ascii="Cambria Math" w:hAnsi="Cambria Math"/>
                <w:i/>
                <w:vertAlign w:val="subscript"/>
              </w:rPr>
            </w:pPr>
            <w:r>
              <w:rPr>
                <w:rFonts w:ascii="Cambria Math" w:hAnsi="Cambria Math"/>
                <w:i/>
              </w:rPr>
              <w:t>G</w:t>
            </w:r>
            <w:r>
              <w:rPr>
                <w:rFonts w:ascii="Cambria Math" w:hAnsi="Cambria Math"/>
                <w:vertAlign w:val="subscript"/>
              </w:rPr>
              <w:t>MAX</w:t>
            </w:r>
            <w:r>
              <w:rPr>
                <w:rFonts w:ascii="Cambria Math" w:hAnsi="Cambria Math"/>
                <w:i/>
                <w:vertAlign w:val="subscript"/>
              </w:rPr>
              <w:t>i</w:t>
            </w:r>
          </w:p>
        </w:tc>
        <w:tc>
          <w:tcPr>
            <w:tcW w:w="8748" w:type="dxa"/>
            <w:hideMark/>
          </w:tcPr>
          <w:p w14:paraId="2F4222DA" w14:textId="77777777" w:rsidR="001E7023" w:rsidRPr="00D769E5" w:rsidRDefault="001E7023">
            <w:pPr>
              <w:pStyle w:val="Paragraph"/>
              <w:rPr>
                <w:rFonts w:ascii="Arial" w:hAnsi="Arial" w:cs="Arial"/>
              </w:rPr>
            </w:pPr>
            <w:r w:rsidRPr="000F299B">
              <w:rPr>
                <w:rFonts w:ascii="Arial" w:hAnsi="Arial" w:cs="Arial"/>
              </w:rPr>
              <w:t xml:space="preserve">Maximum capacity for generator at node </w:t>
            </w:r>
            <w:r w:rsidRPr="000F299B">
              <w:rPr>
                <w:rFonts w:ascii="Arial" w:hAnsi="Arial" w:cs="Arial"/>
                <w:i/>
              </w:rPr>
              <w:t>i</w:t>
            </w:r>
            <w:r w:rsidRPr="000F299B">
              <w:rPr>
                <w:rFonts w:ascii="Arial" w:hAnsi="Arial" w:cs="Arial"/>
              </w:rPr>
              <w:t>.</w:t>
            </w:r>
          </w:p>
        </w:tc>
      </w:tr>
      <w:tr w:rsidR="001E7023" w14:paraId="6EC0F7CE" w14:textId="77777777" w:rsidTr="001E7023">
        <w:tc>
          <w:tcPr>
            <w:tcW w:w="828" w:type="dxa"/>
            <w:hideMark/>
          </w:tcPr>
          <w:p w14:paraId="046E1B36" w14:textId="77777777" w:rsidR="001E7023" w:rsidRDefault="001E7023">
            <w:pPr>
              <w:pStyle w:val="Paragraph"/>
              <w:rPr>
                <w:rFonts w:ascii="Cambria Math" w:hAnsi="Cambria Math"/>
                <w:i/>
                <w:vertAlign w:val="subscript"/>
              </w:rPr>
            </w:pPr>
            <w:r>
              <w:rPr>
                <w:rFonts w:ascii="Cambria Math" w:hAnsi="Cambria Math"/>
                <w:i/>
              </w:rPr>
              <w:t>L</w:t>
            </w:r>
            <w:r>
              <w:rPr>
                <w:rFonts w:ascii="Cambria Math" w:hAnsi="Cambria Math"/>
                <w:i/>
                <w:vertAlign w:val="subscript"/>
              </w:rPr>
              <w:t>i</w:t>
            </w:r>
          </w:p>
        </w:tc>
        <w:tc>
          <w:tcPr>
            <w:tcW w:w="8748" w:type="dxa"/>
            <w:hideMark/>
          </w:tcPr>
          <w:p w14:paraId="0F168A36" w14:textId="77777777" w:rsidR="001E7023" w:rsidRPr="00D769E5" w:rsidRDefault="001E7023">
            <w:pPr>
              <w:pStyle w:val="Paragraph"/>
              <w:rPr>
                <w:rFonts w:ascii="Arial" w:hAnsi="Arial" w:cs="Arial"/>
              </w:rPr>
            </w:pPr>
            <w:r w:rsidRPr="00D769E5">
              <w:rPr>
                <w:rFonts w:ascii="Arial" w:hAnsi="Arial" w:cs="Arial"/>
              </w:rPr>
              <w:t xml:space="preserve">Distributed load forecast at node </w:t>
            </w:r>
            <w:r w:rsidRPr="00D769E5">
              <w:rPr>
                <w:rFonts w:ascii="Arial" w:hAnsi="Arial" w:cs="Arial"/>
                <w:i/>
              </w:rPr>
              <w:t>i</w:t>
            </w:r>
            <w:r w:rsidRPr="00D769E5">
              <w:rPr>
                <w:rFonts w:ascii="Arial" w:hAnsi="Arial" w:cs="Arial"/>
              </w:rPr>
              <w:t>.</w:t>
            </w:r>
          </w:p>
        </w:tc>
      </w:tr>
      <w:tr w:rsidR="001E7023" w14:paraId="1B984A03" w14:textId="77777777" w:rsidTr="001E7023">
        <w:tc>
          <w:tcPr>
            <w:tcW w:w="828" w:type="dxa"/>
            <w:hideMark/>
          </w:tcPr>
          <w:p w14:paraId="7BEF90E5" w14:textId="77777777" w:rsidR="001E7023" w:rsidRDefault="001E7023">
            <w:pPr>
              <w:pStyle w:val="Paragraph"/>
              <w:rPr>
                <w:rFonts w:ascii="Cambria Math" w:hAnsi="Cambria Math"/>
                <w:i/>
                <w:vertAlign w:val="subscript"/>
              </w:rPr>
            </w:pPr>
            <w:r>
              <w:rPr>
                <w:rFonts w:ascii="Cambria Math" w:hAnsi="Cambria Math"/>
                <w:i/>
              </w:rPr>
              <w:t>C</w:t>
            </w:r>
            <w:r>
              <w:rPr>
                <w:rFonts w:ascii="Cambria Math" w:hAnsi="Cambria Math"/>
                <w:i/>
                <w:vertAlign w:val="subscript"/>
              </w:rPr>
              <w:t>i</w:t>
            </w:r>
          </w:p>
        </w:tc>
        <w:tc>
          <w:tcPr>
            <w:tcW w:w="8748" w:type="dxa"/>
            <w:hideMark/>
          </w:tcPr>
          <w:p w14:paraId="30969329" w14:textId="77777777" w:rsidR="001E7023" w:rsidRPr="00D769E5" w:rsidRDefault="001E7023">
            <w:pPr>
              <w:pStyle w:val="Paragraph"/>
              <w:rPr>
                <w:rFonts w:ascii="Arial" w:hAnsi="Arial" w:cs="Arial"/>
              </w:rPr>
            </w:pPr>
            <w:r w:rsidRPr="00D769E5">
              <w:rPr>
                <w:rFonts w:ascii="Arial" w:hAnsi="Arial" w:cs="Arial"/>
              </w:rPr>
              <w:t xml:space="preserve">Incremental energy bid for generator at node </w:t>
            </w:r>
            <w:r w:rsidRPr="00D769E5">
              <w:rPr>
                <w:rFonts w:ascii="Arial" w:hAnsi="Arial" w:cs="Arial"/>
                <w:i/>
              </w:rPr>
              <w:t>i</w:t>
            </w:r>
            <w:r w:rsidRPr="00D769E5">
              <w:rPr>
                <w:rFonts w:ascii="Arial" w:hAnsi="Arial" w:cs="Arial"/>
              </w:rPr>
              <w:t>.</w:t>
            </w:r>
          </w:p>
        </w:tc>
      </w:tr>
      <w:tr w:rsidR="001E7023" w14:paraId="554A2D3F" w14:textId="77777777" w:rsidTr="001E7023">
        <w:tc>
          <w:tcPr>
            <w:tcW w:w="828" w:type="dxa"/>
            <w:hideMark/>
          </w:tcPr>
          <w:p w14:paraId="3C5C1ED2" w14:textId="77777777" w:rsidR="001E7023" w:rsidRDefault="001E7023">
            <w:pPr>
              <w:pStyle w:val="Paragraph"/>
              <w:rPr>
                <w:rFonts w:ascii="Cambria Math" w:hAnsi="Cambria Math"/>
                <w:i/>
                <w:vertAlign w:val="subscript"/>
              </w:rPr>
            </w:pPr>
            <w:r>
              <w:rPr>
                <w:rFonts w:ascii="Cambria Math" w:hAnsi="Cambria Math"/>
                <w:i/>
              </w:rPr>
              <w:t>C</w:t>
            </w:r>
            <w:r>
              <w:rPr>
                <w:rFonts w:ascii="Cambria Math" w:hAnsi="Cambria Math"/>
                <w:i/>
                <w:vertAlign w:val="subscript"/>
              </w:rPr>
              <w:t>Gj</w:t>
            </w:r>
          </w:p>
        </w:tc>
        <w:tc>
          <w:tcPr>
            <w:tcW w:w="8748" w:type="dxa"/>
            <w:hideMark/>
          </w:tcPr>
          <w:p w14:paraId="35172DF0" w14:textId="77777777" w:rsidR="001E7023" w:rsidRPr="00D769E5" w:rsidRDefault="001E7023">
            <w:pPr>
              <w:pStyle w:val="Paragraph"/>
              <w:rPr>
                <w:rFonts w:ascii="Arial" w:hAnsi="Arial" w:cs="Arial"/>
              </w:rPr>
            </w:pPr>
            <w:r w:rsidRPr="00D769E5">
              <w:rPr>
                <w:rFonts w:ascii="Arial" w:hAnsi="Arial" w:cs="Arial"/>
              </w:rPr>
              <w:t xml:space="preserve">GHG bid adder for generator at node </w:t>
            </w:r>
            <w:r w:rsidRPr="00D769E5">
              <w:rPr>
                <w:rFonts w:ascii="Arial" w:hAnsi="Arial" w:cs="Arial"/>
                <w:i/>
              </w:rPr>
              <w:t>j</w:t>
            </w:r>
            <w:r w:rsidRPr="00D769E5">
              <w:rPr>
                <w:rFonts w:ascii="Arial" w:hAnsi="Arial" w:cs="Arial"/>
              </w:rPr>
              <w:t>.</w:t>
            </w:r>
          </w:p>
        </w:tc>
      </w:tr>
      <w:tr w:rsidR="001E7023" w14:paraId="770BFE74" w14:textId="77777777" w:rsidTr="001E7023">
        <w:tc>
          <w:tcPr>
            <w:tcW w:w="828" w:type="dxa"/>
            <w:hideMark/>
          </w:tcPr>
          <w:p w14:paraId="19B6BAA8" w14:textId="77777777" w:rsidR="001E7023" w:rsidRDefault="001E7023">
            <w:pPr>
              <w:pStyle w:val="Paragraph"/>
              <w:rPr>
                <w:rFonts w:ascii="Cambria Math" w:hAnsi="Cambria Math"/>
                <w:i/>
                <w:vertAlign w:val="subscript"/>
              </w:rPr>
            </w:pPr>
            <w:r>
              <w:rPr>
                <w:rFonts w:ascii="Cambria Math" w:hAnsi="Cambria Math"/>
                <w:i/>
              </w:rPr>
              <w:t>S</w:t>
            </w:r>
            <w:r>
              <w:rPr>
                <w:rFonts w:ascii="Cambria Math" w:hAnsi="Cambria Math"/>
                <w:i/>
                <w:vertAlign w:val="subscript"/>
              </w:rPr>
              <w:t>i</w:t>
            </w:r>
            <w:r>
              <w:rPr>
                <w:rFonts w:ascii="Cambria Math" w:hAnsi="Cambria Math"/>
                <w:vertAlign w:val="subscript"/>
              </w:rPr>
              <w:t>,</w:t>
            </w:r>
            <w:r>
              <w:rPr>
                <w:rFonts w:ascii="Cambria Math" w:hAnsi="Cambria Math"/>
                <w:i/>
                <w:vertAlign w:val="subscript"/>
              </w:rPr>
              <w:t>k</w:t>
            </w:r>
          </w:p>
        </w:tc>
        <w:tc>
          <w:tcPr>
            <w:tcW w:w="8748" w:type="dxa"/>
            <w:hideMark/>
          </w:tcPr>
          <w:p w14:paraId="122380AC" w14:textId="77777777" w:rsidR="001E7023" w:rsidRPr="00D769E5" w:rsidRDefault="001E7023">
            <w:pPr>
              <w:pStyle w:val="Paragraph"/>
              <w:rPr>
                <w:rFonts w:ascii="Arial" w:hAnsi="Arial" w:cs="Arial"/>
              </w:rPr>
            </w:pPr>
            <w:r w:rsidRPr="00D769E5">
              <w:rPr>
                <w:rFonts w:ascii="Arial" w:hAnsi="Arial" w:cs="Arial"/>
              </w:rPr>
              <w:t xml:space="preserve">Shift Factor of power injection at node </w:t>
            </w:r>
            <w:r w:rsidRPr="00D769E5">
              <w:rPr>
                <w:rFonts w:ascii="Arial" w:hAnsi="Arial" w:cs="Arial"/>
                <w:i/>
              </w:rPr>
              <w:t>i</w:t>
            </w:r>
            <w:r w:rsidRPr="00D769E5">
              <w:rPr>
                <w:rFonts w:ascii="Arial" w:hAnsi="Arial" w:cs="Arial"/>
              </w:rPr>
              <w:t xml:space="preserve"> on transmission line </w:t>
            </w:r>
            <w:r w:rsidRPr="00D769E5">
              <w:rPr>
                <w:rFonts w:ascii="Arial" w:hAnsi="Arial" w:cs="Arial"/>
                <w:i/>
              </w:rPr>
              <w:t>k</w:t>
            </w:r>
            <w:r w:rsidRPr="00D769E5">
              <w:rPr>
                <w:rFonts w:ascii="Arial" w:hAnsi="Arial" w:cs="Arial"/>
              </w:rPr>
              <w:t>.</w:t>
            </w:r>
          </w:p>
        </w:tc>
      </w:tr>
      <w:tr w:rsidR="001E7023" w14:paraId="585BD950" w14:textId="77777777" w:rsidTr="001E7023">
        <w:tc>
          <w:tcPr>
            <w:tcW w:w="828" w:type="dxa"/>
            <w:hideMark/>
          </w:tcPr>
          <w:p w14:paraId="222D9C48" w14:textId="77777777" w:rsidR="001E7023" w:rsidRDefault="001E7023">
            <w:pPr>
              <w:pStyle w:val="Paragraph"/>
              <w:rPr>
                <w:rFonts w:ascii="Cambria Math" w:hAnsi="Cambria Math"/>
                <w:i/>
                <w:vertAlign w:val="subscript"/>
              </w:rPr>
            </w:pPr>
            <w:r>
              <w:rPr>
                <w:rFonts w:ascii="Cambria Math" w:hAnsi="Cambria Math"/>
                <w:i/>
              </w:rPr>
              <w:t>F</w:t>
            </w:r>
            <w:r>
              <w:rPr>
                <w:rFonts w:ascii="Cambria Math" w:hAnsi="Cambria Math"/>
                <w:i/>
                <w:vertAlign w:val="subscript"/>
              </w:rPr>
              <w:t>k</w:t>
            </w:r>
          </w:p>
        </w:tc>
        <w:tc>
          <w:tcPr>
            <w:tcW w:w="8748" w:type="dxa"/>
            <w:hideMark/>
          </w:tcPr>
          <w:p w14:paraId="4AD13E9D" w14:textId="77777777" w:rsidR="001E7023" w:rsidRPr="00D769E5" w:rsidRDefault="001E7023">
            <w:pPr>
              <w:pStyle w:val="Paragraph"/>
              <w:rPr>
                <w:rFonts w:ascii="Arial" w:hAnsi="Arial" w:cs="Arial"/>
              </w:rPr>
            </w:pPr>
            <w:r w:rsidRPr="00D769E5">
              <w:rPr>
                <w:rFonts w:ascii="Arial" w:hAnsi="Arial" w:cs="Arial"/>
              </w:rPr>
              <w:t xml:space="preserve">Active power flow on transmission line </w:t>
            </w:r>
            <w:r w:rsidRPr="00D769E5">
              <w:rPr>
                <w:rFonts w:ascii="Arial" w:hAnsi="Arial" w:cs="Arial"/>
                <w:i/>
              </w:rPr>
              <w:t>k</w:t>
            </w:r>
            <w:r w:rsidRPr="00D769E5">
              <w:rPr>
                <w:rFonts w:ascii="Arial" w:hAnsi="Arial" w:cs="Arial"/>
              </w:rPr>
              <w:t>.</w:t>
            </w:r>
          </w:p>
        </w:tc>
      </w:tr>
      <w:tr w:rsidR="001E7023" w14:paraId="52030946" w14:textId="77777777" w:rsidTr="001E7023">
        <w:tc>
          <w:tcPr>
            <w:tcW w:w="828" w:type="dxa"/>
            <w:hideMark/>
          </w:tcPr>
          <w:p w14:paraId="56ACA874" w14:textId="77777777" w:rsidR="001E7023" w:rsidRDefault="001E7023">
            <w:pPr>
              <w:pStyle w:val="Paragraph"/>
              <w:rPr>
                <w:rFonts w:ascii="Cambria Math" w:hAnsi="Cambria Math"/>
                <w:i/>
                <w:vertAlign w:val="subscript"/>
              </w:rPr>
            </w:pPr>
            <w:r>
              <w:rPr>
                <w:rFonts w:ascii="Cambria Math" w:hAnsi="Cambria Math"/>
                <w:i/>
              </w:rPr>
              <w:t>F</w:t>
            </w:r>
            <w:r>
              <w:rPr>
                <w:rFonts w:ascii="Cambria Math" w:hAnsi="Cambria Math"/>
                <w:vertAlign w:val="subscript"/>
              </w:rPr>
              <w:t>MAX</w:t>
            </w:r>
            <w:r>
              <w:rPr>
                <w:rFonts w:ascii="Cambria Math" w:hAnsi="Cambria Math"/>
                <w:i/>
                <w:vertAlign w:val="subscript"/>
              </w:rPr>
              <w:t>k</w:t>
            </w:r>
          </w:p>
        </w:tc>
        <w:tc>
          <w:tcPr>
            <w:tcW w:w="8748" w:type="dxa"/>
            <w:hideMark/>
          </w:tcPr>
          <w:p w14:paraId="38C7548A" w14:textId="77777777" w:rsidR="001E7023" w:rsidRPr="00D769E5" w:rsidRDefault="001E7023">
            <w:pPr>
              <w:pStyle w:val="Paragraph"/>
              <w:rPr>
                <w:rFonts w:ascii="Arial" w:hAnsi="Arial" w:cs="Arial"/>
              </w:rPr>
            </w:pPr>
            <w:r w:rsidRPr="00D769E5">
              <w:rPr>
                <w:rFonts w:ascii="Arial" w:hAnsi="Arial" w:cs="Arial"/>
              </w:rPr>
              <w:t xml:space="preserve">Active power flow limit on transmission line </w:t>
            </w:r>
            <w:r w:rsidRPr="00D769E5">
              <w:rPr>
                <w:rFonts w:ascii="Arial" w:hAnsi="Arial" w:cs="Arial"/>
                <w:i/>
              </w:rPr>
              <w:t>k</w:t>
            </w:r>
            <w:r w:rsidRPr="00D769E5">
              <w:rPr>
                <w:rFonts w:ascii="Arial" w:hAnsi="Arial" w:cs="Arial"/>
              </w:rPr>
              <w:t>.</w:t>
            </w:r>
          </w:p>
        </w:tc>
      </w:tr>
      <w:tr w:rsidR="001E7023" w14:paraId="6516B829" w14:textId="77777777" w:rsidTr="001E7023">
        <w:tc>
          <w:tcPr>
            <w:tcW w:w="828" w:type="dxa"/>
            <w:hideMark/>
          </w:tcPr>
          <w:p w14:paraId="5987A5C9" w14:textId="77777777" w:rsidR="001E7023" w:rsidRDefault="001E7023">
            <w:pPr>
              <w:pStyle w:val="Paragraph"/>
              <w:rPr>
                <w:rFonts w:ascii="Cambria Math" w:hAnsi="Cambria Math"/>
                <w:i/>
              </w:rPr>
            </w:pPr>
            <w:r>
              <w:rPr>
                <w:rFonts w:ascii="Cambria Math" w:hAnsi="Cambria Math"/>
                <w:i/>
              </w:rPr>
              <w:t>E</w:t>
            </w:r>
          </w:p>
        </w:tc>
        <w:tc>
          <w:tcPr>
            <w:tcW w:w="8748" w:type="dxa"/>
            <w:hideMark/>
          </w:tcPr>
          <w:p w14:paraId="43EFE450" w14:textId="15093886" w:rsidR="001E7023" w:rsidRPr="00D769E5" w:rsidRDefault="001E7023">
            <w:pPr>
              <w:pStyle w:val="Paragraph"/>
              <w:rPr>
                <w:rFonts w:ascii="Arial" w:hAnsi="Arial" w:cs="Arial"/>
              </w:rPr>
            </w:pPr>
            <w:r w:rsidRPr="00D769E5">
              <w:rPr>
                <w:rFonts w:ascii="Arial" w:hAnsi="Arial" w:cs="Arial"/>
              </w:rPr>
              <w:t>Net imbalance energy export from</w:t>
            </w:r>
            <w:r w:rsidR="005F24C1">
              <w:rPr>
                <w:rFonts w:ascii="Arial" w:hAnsi="Arial" w:cs="Arial"/>
              </w:rPr>
              <w:t xml:space="preserve"> WEIM </w:t>
            </w:r>
            <w:r w:rsidRPr="00D769E5">
              <w:rPr>
                <w:rFonts w:ascii="Arial" w:hAnsi="Arial" w:cs="Arial"/>
              </w:rPr>
              <w:t>Entity BAA.</w:t>
            </w:r>
          </w:p>
        </w:tc>
      </w:tr>
      <w:tr w:rsidR="001E7023" w14:paraId="7D4B7E00" w14:textId="77777777" w:rsidTr="001E7023">
        <w:tc>
          <w:tcPr>
            <w:tcW w:w="828" w:type="dxa"/>
            <w:hideMark/>
          </w:tcPr>
          <w:p w14:paraId="33A3FAB3" w14:textId="77777777" w:rsidR="001E7023" w:rsidRDefault="001E7023">
            <w:pPr>
              <w:pStyle w:val="Paragraph"/>
              <w:rPr>
                <w:rFonts w:ascii="Cambria Math" w:hAnsi="Cambria Math"/>
                <w:i/>
              </w:rPr>
            </w:pPr>
            <w:r>
              <w:rPr>
                <w:rFonts w:ascii="Cambria Math" w:hAnsi="Cambria Math"/>
                <w:i/>
              </w:rPr>
              <w:lastRenderedPageBreak/>
              <w:t>E</w:t>
            </w:r>
            <w:r>
              <w:rPr>
                <w:rFonts w:ascii="Cambria Math" w:hAnsi="Cambria Math"/>
                <w:i/>
                <w:vertAlign w:val="subscript"/>
              </w:rPr>
              <w:t>S</w:t>
            </w:r>
          </w:p>
        </w:tc>
        <w:tc>
          <w:tcPr>
            <w:tcW w:w="8748" w:type="dxa"/>
            <w:hideMark/>
          </w:tcPr>
          <w:p w14:paraId="34D57DE5" w14:textId="77777777" w:rsidR="001E7023" w:rsidRPr="00D769E5" w:rsidRDefault="001E7023">
            <w:pPr>
              <w:pStyle w:val="Paragraph"/>
              <w:rPr>
                <w:rFonts w:ascii="Arial" w:hAnsi="Arial" w:cs="Arial"/>
              </w:rPr>
            </w:pPr>
            <w:r w:rsidRPr="00D769E5">
              <w:rPr>
                <w:rFonts w:ascii="Arial" w:hAnsi="Arial" w:cs="Arial"/>
              </w:rPr>
              <w:t>Net imbalance energy export surplus (cannot be allocated).</w:t>
            </w:r>
          </w:p>
        </w:tc>
      </w:tr>
      <w:tr w:rsidR="001E7023" w14:paraId="6D414424" w14:textId="77777777" w:rsidTr="001E7023">
        <w:tc>
          <w:tcPr>
            <w:tcW w:w="828" w:type="dxa"/>
            <w:hideMark/>
          </w:tcPr>
          <w:p w14:paraId="542DAE99" w14:textId="77777777" w:rsidR="001E7023" w:rsidRDefault="001E7023">
            <w:pPr>
              <w:pStyle w:val="Paragraph"/>
              <w:rPr>
                <w:rFonts w:ascii="Cambria Math" w:hAnsi="Cambria Math"/>
                <w:i/>
                <w:vertAlign w:val="subscript"/>
              </w:rPr>
            </w:pPr>
            <w:r>
              <w:rPr>
                <w:rFonts w:ascii="Cambria Math" w:hAnsi="Cambria Math"/>
                <w:i/>
              </w:rPr>
              <w:t>E</w:t>
            </w:r>
            <w:r>
              <w:rPr>
                <w:rFonts w:ascii="Cambria Math" w:hAnsi="Cambria Math"/>
                <w:i/>
                <w:vertAlign w:val="subscript"/>
              </w:rPr>
              <w:t>j</w:t>
            </w:r>
          </w:p>
        </w:tc>
        <w:tc>
          <w:tcPr>
            <w:tcW w:w="8748" w:type="dxa"/>
            <w:hideMark/>
          </w:tcPr>
          <w:p w14:paraId="7790134C" w14:textId="71EC65E9" w:rsidR="001E7023" w:rsidRPr="00D769E5" w:rsidRDefault="001E7023">
            <w:pPr>
              <w:pStyle w:val="Paragraph"/>
              <w:rPr>
                <w:rFonts w:ascii="Arial" w:hAnsi="Arial" w:cs="Arial"/>
              </w:rPr>
            </w:pPr>
            <w:r w:rsidRPr="00D769E5">
              <w:rPr>
                <w:rFonts w:ascii="Arial" w:hAnsi="Arial" w:cs="Arial"/>
              </w:rPr>
              <w:t>Net imbalance energy export from</w:t>
            </w:r>
            <w:r w:rsidR="005F24C1">
              <w:rPr>
                <w:rFonts w:ascii="Arial" w:hAnsi="Arial" w:cs="Arial"/>
              </w:rPr>
              <w:t xml:space="preserve"> WEIM </w:t>
            </w:r>
            <w:r w:rsidRPr="00D769E5">
              <w:rPr>
                <w:rFonts w:ascii="Arial" w:hAnsi="Arial" w:cs="Arial"/>
              </w:rPr>
              <w:t xml:space="preserve">Entity BAA allocated to generator </w:t>
            </w:r>
            <w:r w:rsidRPr="00D769E5">
              <w:rPr>
                <w:rFonts w:ascii="Arial" w:hAnsi="Arial" w:cs="Arial"/>
                <w:i/>
              </w:rPr>
              <w:t>j</w:t>
            </w:r>
            <w:r w:rsidRPr="00D769E5">
              <w:rPr>
                <w:rFonts w:ascii="Arial" w:hAnsi="Arial" w:cs="Arial"/>
              </w:rPr>
              <w:t>.</w:t>
            </w:r>
          </w:p>
        </w:tc>
      </w:tr>
      <w:tr w:rsidR="00BD153C" w14:paraId="1B5E0359" w14:textId="77777777" w:rsidTr="001E7023">
        <w:tc>
          <w:tcPr>
            <w:tcW w:w="828" w:type="dxa"/>
          </w:tcPr>
          <w:p w14:paraId="7BE00AE4" w14:textId="77777777" w:rsidR="00BD153C" w:rsidRDefault="00461DCC">
            <w:pPr>
              <w:pStyle w:val="Paragraph"/>
              <w:rPr>
                <w:rFonts w:ascii="Cambria Math" w:hAnsi="Cambria Math"/>
                <w:i/>
              </w:rPr>
            </w:pPr>
            <m:oMathPara>
              <m:oMath>
                <m:sSub>
                  <m:sSubPr>
                    <m:ctrlPr>
                      <w:rPr>
                        <w:rFonts w:ascii="Cambria Math" w:hAnsi="Cambria Math"/>
                        <w:i/>
                      </w:rPr>
                    </m:ctrlPr>
                  </m:sSubPr>
                  <m:e>
                    <m:r>
                      <w:rPr>
                        <w:rFonts w:ascii="Cambria Math" w:hAnsi="Cambria Math"/>
                      </w:rPr>
                      <m:t>E</m:t>
                    </m:r>
                  </m:e>
                  <m:sub>
                    <m:r>
                      <m:rPr>
                        <m:sty m:val="p"/>
                      </m:rPr>
                      <w:rPr>
                        <w:rFonts w:ascii="Cambria Math" w:hAnsi="Cambria Math"/>
                      </w:rPr>
                      <m:t>MAX</m:t>
                    </m:r>
                    <m:r>
                      <w:rPr>
                        <w:rFonts w:ascii="Cambria Math" w:hAnsi="Cambria Math"/>
                      </w:rPr>
                      <m:t>j</m:t>
                    </m:r>
                  </m:sub>
                </m:sSub>
              </m:oMath>
            </m:oMathPara>
          </w:p>
        </w:tc>
        <w:tc>
          <w:tcPr>
            <w:tcW w:w="8748" w:type="dxa"/>
          </w:tcPr>
          <w:p w14:paraId="5D0EC9BB" w14:textId="77777777" w:rsidR="00BD153C" w:rsidRPr="00D769E5" w:rsidRDefault="00BD153C" w:rsidP="00BD153C">
            <w:pPr>
              <w:pStyle w:val="Paragraph"/>
              <w:rPr>
                <w:rFonts w:ascii="Arial" w:hAnsi="Arial" w:cs="Arial"/>
              </w:rPr>
            </w:pPr>
            <w:r>
              <w:rPr>
                <w:rFonts w:ascii="Arial" w:hAnsi="Arial" w:cs="Arial"/>
              </w:rPr>
              <w:t xml:space="preserve">GHG quantity bid for </w:t>
            </w:r>
            <w:r w:rsidRPr="00D769E5">
              <w:rPr>
                <w:rFonts w:ascii="Arial" w:hAnsi="Arial" w:cs="Arial"/>
              </w:rPr>
              <w:t xml:space="preserve">generator </w:t>
            </w:r>
            <w:r>
              <w:rPr>
                <w:rFonts w:ascii="Arial" w:hAnsi="Arial" w:cs="Arial"/>
              </w:rPr>
              <w:t xml:space="preserve">at node </w:t>
            </w:r>
            <w:r w:rsidRPr="00D769E5">
              <w:rPr>
                <w:rFonts w:ascii="Arial" w:hAnsi="Arial" w:cs="Arial"/>
                <w:i/>
              </w:rPr>
              <w:t>j</w:t>
            </w:r>
            <w:r w:rsidRPr="00D769E5">
              <w:rPr>
                <w:rFonts w:ascii="Arial" w:hAnsi="Arial" w:cs="Arial"/>
              </w:rPr>
              <w:t>.</w:t>
            </w:r>
          </w:p>
        </w:tc>
      </w:tr>
      <w:tr w:rsidR="001E7023" w14:paraId="528F3632" w14:textId="77777777" w:rsidTr="001E7023">
        <w:tc>
          <w:tcPr>
            <w:tcW w:w="828" w:type="dxa"/>
            <w:hideMark/>
          </w:tcPr>
          <w:p w14:paraId="00B31CD7" w14:textId="77777777" w:rsidR="001E7023" w:rsidRDefault="001E7023">
            <w:pPr>
              <w:pStyle w:val="Paragraph"/>
              <w:rPr>
                <w:rFonts w:ascii="Cambria Math" w:hAnsi="Cambria Math"/>
                <w:i/>
                <w:vertAlign w:val="subscript"/>
              </w:rPr>
            </w:pPr>
            <w:r>
              <w:rPr>
                <w:rFonts w:ascii="Cambria Math" w:hAnsi="Cambria Math"/>
                <w:i/>
              </w:rPr>
              <w:t>LMP</w:t>
            </w:r>
            <w:r>
              <w:rPr>
                <w:rFonts w:ascii="Cambria Math" w:hAnsi="Cambria Math"/>
                <w:i/>
                <w:vertAlign w:val="subscript"/>
              </w:rPr>
              <w:t>i</w:t>
            </w:r>
          </w:p>
        </w:tc>
        <w:tc>
          <w:tcPr>
            <w:tcW w:w="8748" w:type="dxa"/>
            <w:hideMark/>
          </w:tcPr>
          <w:p w14:paraId="72661DB9" w14:textId="77777777" w:rsidR="001E7023" w:rsidRPr="00D769E5" w:rsidRDefault="001E7023">
            <w:pPr>
              <w:pStyle w:val="Paragraph"/>
              <w:rPr>
                <w:rFonts w:ascii="Arial" w:hAnsi="Arial" w:cs="Arial"/>
              </w:rPr>
            </w:pPr>
            <w:r w:rsidRPr="00D769E5">
              <w:rPr>
                <w:rFonts w:ascii="Arial" w:hAnsi="Arial" w:cs="Arial"/>
              </w:rPr>
              <w:t xml:space="preserve">Locational Marginal Price at node </w:t>
            </w:r>
            <w:r w:rsidRPr="00D769E5">
              <w:rPr>
                <w:rFonts w:ascii="Arial" w:hAnsi="Arial" w:cs="Arial"/>
                <w:i/>
              </w:rPr>
              <w:t>i</w:t>
            </w:r>
            <w:r w:rsidRPr="00D769E5">
              <w:rPr>
                <w:rFonts w:ascii="Arial" w:hAnsi="Arial" w:cs="Arial"/>
              </w:rPr>
              <w:t>.</w:t>
            </w:r>
          </w:p>
        </w:tc>
      </w:tr>
      <w:tr w:rsidR="001E7023" w14:paraId="442B31C3" w14:textId="77777777" w:rsidTr="001E7023">
        <w:tc>
          <w:tcPr>
            <w:tcW w:w="828" w:type="dxa"/>
            <w:hideMark/>
          </w:tcPr>
          <w:p w14:paraId="5B1F086F" w14:textId="77777777" w:rsidR="001E7023" w:rsidRDefault="001E7023">
            <w:pPr>
              <w:pStyle w:val="Paragraph"/>
              <w:rPr>
                <w:rFonts w:ascii="Cambria Math" w:hAnsi="Cambria Math"/>
                <w:i/>
              </w:rPr>
            </w:pPr>
            <w:r>
              <w:rPr>
                <w:rFonts w:ascii="Cambria Math" w:hAnsi="Cambria Math"/>
                <w:i/>
              </w:rPr>
              <w:sym w:font="Symbol" w:char="F06C"/>
            </w:r>
          </w:p>
        </w:tc>
        <w:tc>
          <w:tcPr>
            <w:tcW w:w="8748" w:type="dxa"/>
            <w:hideMark/>
          </w:tcPr>
          <w:p w14:paraId="50937638" w14:textId="77777777" w:rsidR="001E7023" w:rsidRPr="00D769E5" w:rsidRDefault="001E7023">
            <w:pPr>
              <w:pStyle w:val="Paragraph"/>
              <w:rPr>
                <w:rFonts w:ascii="Arial" w:hAnsi="Arial" w:cs="Arial"/>
              </w:rPr>
            </w:pPr>
            <w:r w:rsidRPr="00D769E5">
              <w:rPr>
                <w:rFonts w:ascii="Arial" w:hAnsi="Arial" w:cs="Arial"/>
              </w:rPr>
              <w:t>Shadow price of power balance constraint.</w:t>
            </w:r>
          </w:p>
        </w:tc>
      </w:tr>
      <w:tr w:rsidR="001E7023" w14:paraId="7DA0BAE9" w14:textId="77777777" w:rsidTr="001E7023">
        <w:tc>
          <w:tcPr>
            <w:tcW w:w="828" w:type="dxa"/>
            <w:hideMark/>
          </w:tcPr>
          <w:p w14:paraId="4820E380" w14:textId="77777777" w:rsidR="001E7023" w:rsidRDefault="001E7023">
            <w:pPr>
              <w:pStyle w:val="Paragraph"/>
              <w:rPr>
                <w:rFonts w:ascii="Cambria Math" w:hAnsi="Cambria Math"/>
                <w:i/>
                <w:vertAlign w:val="subscript"/>
              </w:rPr>
            </w:pPr>
            <w:r>
              <w:rPr>
                <w:rFonts w:ascii="Cambria Math" w:hAnsi="Cambria Math"/>
                <w:i/>
              </w:rPr>
              <w:sym w:font="Symbol" w:char="F06D"/>
            </w:r>
            <w:r>
              <w:rPr>
                <w:rFonts w:ascii="Cambria Math" w:hAnsi="Cambria Math"/>
                <w:i/>
                <w:vertAlign w:val="subscript"/>
              </w:rPr>
              <w:t>k</w:t>
            </w:r>
          </w:p>
        </w:tc>
        <w:tc>
          <w:tcPr>
            <w:tcW w:w="8748" w:type="dxa"/>
            <w:hideMark/>
          </w:tcPr>
          <w:p w14:paraId="30C4814A" w14:textId="77777777" w:rsidR="00DB39CD" w:rsidRPr="00D769E5" w:rsidRDefault="001E7023" w:rsidP="00DB39CD">
            <w:pPr>
              <w:pStyle w:val="Paragraph"/>
              <w:rPr>
                <w:rFonts w:ascii="Arial" w:hAnsi="Arial" w:cs="Arial"/>
              </w:rPr>
            </w:pPr>
            <w:r w:rsidRPr="00D769E5">
              <w:rPr>
                <w:rFonts w:ascii="Arial" w:hAnsi="Arial" w:cs="Arial"/>
              </w:rPr>
              <w:t xml:space="preserve">Shadow price of active power flow limit constraint on transmission line </w:t>
            </w:r>
            <w:r w:rsidRPr="00D769E5">
              <w:rPr>
                <w:rFonts w:ascii="Arial" w:hAnsi="Arial" w:cs="Arial"/>
                <w:i/>
              </w:rPr>
              <w:t>k</w:t>
            </w:r>
            <w:r w:rsidRPr="00D769E5">
              <w:rPr>
                <w:rFonts w:ascii="Arial" w:hAnsi="Arial" w:cs="Arial"/>
              </w:rPr>
              <w:t>.</w:t>
            </w:r>
          </w:p>
        </w:tc>
      </w:tr>
      <w:tr w:rsidR="00DB39CD" w14:paraId="6AB50530" w14:textId="77777777" w:rsidTr="00DB39CD">
        <w:tc>
          <w:tcPr>
            <w:tcW w:w="828" w:type="dxa"/>
            <w:hideMark/>
          </w:tcPr>
          <w:p w14:paraId="1A2F8458" w14:textId="77777777" w:rsidR="00DB39CD" w:rsidRDefault="00DB39CD">
            <w:pPr>
              <w:pStyle w:val="Paragraph"/>
              <w:rPr>
                <w:rFonts w:ascii="Cambria Math" w:hAnsi="Cambria Math"/>
                <w:i/>
              </w:rPr>
            </w:pPr>
            <w:r>
              <w:rPr>
                <w:rFonts w:ascii="Cambria Math" w:hAnsi="Cambria Math"/>
                <w:i/>
              </w:rPr>
              <w:sym w:font="Symbol" w:char="F068"/>
            </w:r>
          </w:p>
        </w:tc>
        <w:tc>
          <w:tcPr>
            <w:tcW w:w="8748" w:type="dxa"/>
            <w:hideMark/>
          </w:tcPr>
          <w:p w14:paraId="2BF4D5A6" w14:textId="77777777" w:rsidR="00DB39CD" w:rsidRPr="00D769E5" w:rsidRDefault="00DB39CD">
            <w:pPr>
              <w:pStyle w:val="Paragraph"/>
              <w:rPr>
                <w:rFonts w:ascii="Arial" w:hAnsi="Arial"/>
              </w:rPr>
            </w:pPr>
            <w:r w:rsidRPr="00D769E5">
              <w:rPr>
                <w:rFonts w:ascii="Arial" w:hAnsi="Arial"/>
              </w:rPr>
              <w:t>Shadow price of net imbalance energy export allocation constraint.</w:t>
            </w:r>
          </w:p>
        </w:tc>
      </w:tr>
      <w:tr w:rsidR="00DB39CD" w14:paraId="3E12DFEA" w14:textId="77777777" w:rsidTr="00DB39CD">
        <w:tc>
          <w:tcPr>
            <w:tcW w:w="828" w:type="dxa"/>
            <w:hideMark/>
          </w:tcPr>
          <w:p w14:paraId="3D94F202" w14:textId="77777777" w:rsidR="00DB39CD" w:rsidRDefault="00DB39CD">
            <w:pPr>
              <w:pStyle w:val="Paragraph"/>
              <w:rPr>
                <w:rFonts w:ascii="Cambria Math" w:hAnsi="Cambria Math"/>
                <w:i/>
                <w:vertAlign w:val="subscript"/>
              </w:rPr>
            </w:pPr>
            <w:r>
              <w:rPr>
                <w:rFonts w:ascii="Cambria Math" w:hAnsi="Cambria Math"/>
                <w:i/>
              </w:rPr>
              <w:t>R</w:t>
            </w:r>
            <w:r>
              <w:rPr>
                <w:rFonts w:ascii="Cambria Math" w:hAnsi="Cambria Math"/>
                <w:i/>
                <w:vertAlign w:val="subscript"/>
              </w:rPr>
              <w:t>G</w:t>
            </w:r>
          </w:p>
        </w:tc>
        <w:tc>
          <w:tcPr>
            <w:tcW w:w="8748" w:type="dxa"/>
            <w:hideMark/>
          </w:tcPr>
          <w:p w14:paraId="1614FBF7" w14:textId="77777777" w:rsidR="00DB39CD" w:rsidRPr="00D769E5" w:rsidRDefault="00DB39CD">
            <w:pPr>
              <w:pStyle w:val="Paragraph"/>
              <w:rPr>
                <w:rFonts w:ascii="Arial" w:hAnsi="Arial"/>
              </w:rPr>
            </w:pPr>
            <w:r w:rsidRPr="00D769E5">
              <w:rPr>
                <w:rFonts w:ascii="Arial" w:hAnsi="Arial"/>
              </w:rPr>
              <w:t>Greenhouse gas allowance revenue.</w:t>
            </w:r>
          </w:p>
        </w:tc>
      </w:tr>
      <w:tr w:rsidR="00DB39CD" w14:paraId="7509D1AD" w14:textId="77777777" w:rsidTr="00DB39CD">
        <w:tc>
          <w:tcPr>
            <w:tcW w:w="828" w:type="dxa"/>
            <w:hideMark/>
          </w:tcPr>
          <w:p w14:paraId="7524DBC9" w14:textId="77777777" w:rsidR="00DB39CD" w:rsidRDefault="00DB39CD">
            <w:pPr>
              <w:pStyle w:val="Paragraph"/>
              <w:rPr>
                <w:rFonts w:ascii="Cambria Math" w:hAnsi="Cambria Math"/>
                <w:i/>
                <w:vertAlign w:val="subscript"/>
              </w:rPr>
            </w:pPr>
            <w:r>
              <w:rPr>
                <w:rFonts w:ascii="Cambria Math" w:hAnsi="Cambria Math"/>
                <w:i/>
              </w:rPr>
              <w:t>R</w:t>
            </w:r>
            <w:r>
              <w:rPr>
                <w:rFonts w:ascii="Cambria Math" w:hAnsi="Cambria Math"/>
                <w:i/>
                <w:vertAlign w:val="subscript"/>
              </w:rPr>
              <w:t>Gj</w:t>
            </w:r>
          </w:p>
        </w:tc>
        <w:tc>
          <w:tcPr>
            <w:tcW w:w="8748" w:type="dxa"/>
            <w:hideMark/>
          </w:tcPr>
          <w:p w14:paraId="2210AEAC" w14:textId="77777777" w:rsidR="00DB39CD" w:rsidRPr="00D769E5" w:rsidRDefault="00DB39CD">
            <w:pPr>
              <w:pStyle w:val="Paragraph"/>
              <w:rPr>
                <w:rFonts w:ascii="Arial" w:hAnsi="Arial"/>
              </w:rPr>
            </w:pPr>
            <w:r w:rsidRPr="00D769E5">
              <w:rPr>
                <w:rFonts w:ascii="Arial" w:hAnsi="Arial"/>
              </w:rPr>
              <w:t xml:space="preserve">Greenhouse gas allowance revenue distribution to generator at node </w:t>
            </w:r>
            <w:r w:rsidRPr="00D769E5">
              <w:rPr>
                <w:rFonts w:ascii="Arial" w:hAnsi="Arial"/>
                <w:i/>
              </w:rPr>
              <w:t>j</w:t>
            </w:r>
            <w:r w:rsidRPr="00D769E5">
              <w:rPr>
                <w:rFonts w:ascii="Arial" w:hAnsi="Arial"/>
              </w:rPr>
              <w:t>.</w:t>
            </w:r>
          </w:p>
        </w:tc>
      </w:tr>
      <w:tr w:rsidR="00DB39CD" w14:paraId="0CBCD6A7" w14:textId="77777777" w:rsidTr="00DB39CD">
        <w:tc>
          <w:tcPr>
            <w:tcW w:w="828" w:type="dxa"/>
            <w:hideMark/>
          </w:tcPr>
          <w:p w14:paraId="14BDC7D8" w14:textId="77777777" w:rsidR="00DB39CD" w:rsidRDefault="00DB39CD">
            <w:pPr>
              <w:pStyle w:val="Paragraph"/>
              <w:rPr>
                <w:rFonts w:ascii="Cambria Math" w:hAnsi="Cambria Math"/>
                <w:i/>
              </w:rPr>
            </w:pPr>
            <w:r>
              <w:rPr>
                <w:rFonts w:ascii="Cambria Math" w:hAnsi="Cambria Math"/>
                <w:i/>
              </w:rPr>
              <w:t>M</w:t>
            </w:r>
          </w:p>
        </w:tc>
        <w:tc>
          <w:tcPr>
            <w:tcW w:w="8748" w:type="dxa"/>
            <w:hideMark/>
          </w:tcPr>
          <w:p w14:paraId="4FA875D2" w14:textId="77777777" w:rsidR="00DB39CD" w:rsidRPr="00D769E5" w:rsidRDefault="00DB39CD">
            <w:pPr>
              <w:pStyle w:val="Paragraph"/>
              <w:rPr>
                <w:rFonts w:ascii="Arial" w:hAnsi="Arial"/>
              </w:rPr>
            </w:pPr>
            <w:r w:rsidRPr="00D769E5">
              <w:rPr>
                <w:rFonts w:ascii="Arial" w:hAnsi="Arial"/>
              </w:rPr>
              <w:t>Penalty cost for net imbalance energy export surplus (</w:t>
            </w:r>
            <w:r w:rsidRPr="00D769E5">
              <w:rPr>
                <w:rFonts w:ascii="Arial" w:hAnsi="Arial"/>
                <w:i/>
              </w:rPr>
              <w:t>E</w:t>
            </w:r>
            <w:r w:rsidRPr="00D769E5">
              <w:rPr>
                <w:rFonts w:ascii="Arial" w:hAnsi="Arial"/>
                <w:i/>
                <w:vertAlign w:val="subscript"/>
              </w:rPr>
              <w:t>S</w:t>
            </w:r>
            <w:r w:rsidRPr="00D769E5">
              <w:rPr>
                <w:rFonts w:ascii="Arial" w:hAnsi="Arial"/>
              </w:rPr>
              <w:t>).</w:t>
            </w:r>
          </w:p>
        </w:tc>
      </w:tr>
      <w:tr w:rsidR="00DB39CD" w14:paraId="1B92F392" w14:textId="77777777" w:rsidTr="00DB39CD">
        <w:tc>
          <w:tcPr>
            <w:tcW w:w="828" w:type="dxa"/>
            <w:hideMark/>
          </w:tcPr>
          <w:p w14:paraId="43838495" w14:textId="77777777" w:rsidR="00DB39CD" w:rsidRDefault="00DB39CD">
            <w:pPr>
              <w:pStyle w:val="Paragraph"/>
              <w:rPr>
                <w:rFonts w:ascii="Cambria Math" w:hAnsi="Cambria Math"/>
                <w:i/>
              </w:rPr>
            </w:pPr>
            <w:r>
              <w:rPr>
                <w:rFonts w:ascii="Cambria Math" w:hAnsi="Cambria Math"/>
                <w:i/>
              </w:rPr>
              <w:sym w:font="Symbol" w:char="F065"/>
            </w:r>
          </w:p>
        </w:tc>
        <w:tc>
          <w:tcPr>
            <w:tcW w:w="8748" w:type="dxa"/>
            <w:hideMark/>
          </w:tcPr>
          <w:p w14:paraId="27821FA6" w14:textId="77777777" w:rsidR="00447056" w:rsidRPr="00D769E5" w:rsidRDefault="00DB39CD">
            <w:pPr>
              <w:pStyle w:val="Paragraph"/>
              <w:rPr>
                <w:rFonts w:ascii="Arial" w:hAnsi="Arial"/>
              </w:rPr>
            </w:pPr>
            <w:r w:rsidRPr="00D769E5">
              <w:rPr>
                <w:rFonts w:ascii="Arial" w:hAnsi="Arial"/>
              </w:rPr>
              <w:t>A small tolerance.</w:t>
            </w:r>
          </w:p>
          <w:p w14:paraId="4604DCC6" w14:textId="77777777" w:rsidR="00DB39CD" w:rsidRPr="005F6CDE" w:rsidRDefault="00DB39CD" w:rsidP="005F6CDE">
            <w:pPr>
              <w:spacing w:before="240"/>
              <w:rPr>
                <w:b/>
              </w:rPr>
            </w:pPr>
            <w:bookmarkStart w:id="1943" w:name="_Ref397090901"/>
            <w:r w:rsidRPr="005F6CDE">
              <w:rPr>
                <w:b/>
              </w:rPr>
              <w:t>Optimization Problem</w:t>
            </w:r>
            <w:bookmarkEnd w:id="1943"/>
          </w:p>
          <w:p w14:paraId="43967DFB" w14:textId="77777777" w:rsidR="00DB39CD" w:rsidRPr="00D769E5" w:rsidRDefault="00DB39CD" w:rsidP="00877DDB">
            <w:pPr>
              <w:pStyle w:val="BPM"/>
            </w:pPr>
            <w:r w:rsidRPr="00D769E5">
              <w:t>The mathematical formulation is as follows:</w:t>
            </w:r>
          </w:p>
          <w:p w14:paraId="7F6BEF28" w14:textId="77777777" w:rsidR="00DB39CD" w:rsidRDefault="00461DCC" w:rsidP="00D769E5">
            <w:pPr>
              <w:pStyle w:val="Paragraph"/>
              <w:ind w:left="720"/>
            </w:pPr>
            <m:oMathPara>
              <m:oMathParaPr>
                <m:jc m:val="left"/>
              </m:oMathParaPr>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i</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Gj</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j</m:t>
                                    </m:r>
                                  </m:sub>
                                </m:sSub>
                              </m:e>
                            </m:d>
                          </m:e>
                        </m:nary>
                      </m:e>
                    </m:d>
                  </m:e>
                </m:func>
              </m:oMath>
            </m:oMathPara>
          </w:p>
          <w:p w14:paraId="6AC2BDBA" w14:textId="77777777" w:rsidR="00DB39CD" w:rsidRDefault="00DB39CD" w:rsidP="00D769E5">
            <w:pPr>
              <w:pStyle w:val="Paragraph"/>
              <w:ind w:left="720"/>
              <w:rPr>
                <w:i/>
              </w:rPr>
            </w:pPr>
            <w:r>
              <w:rPr>
                <w:i/>
              </w:rPr>
              <w:t>subject to:</w:t>
            </w:r>
          </w:p>
          <w:p w14:paraId="4BF56D80" w14:textId="77777777" w:rsidR="00DB39CD" w:rsidRDefault="00DB39CD" w:rsidP="00D769E5">
            <w:pPr>
              <w:pStyle w:val="Paragraph"/>
              <w:ind w:left="720"/>
            </w:pPr>
            <m:oMathPara>
              <m:oMathParaPr>
                <m:jc m:val="left"/>
              </m:oMathParaPr>
              <m:oMath>
                <m:r>
                  <m:rPr>
                    <m:sty m:val="p"/>
                  </m:rPr>
                  <w:rPr>
                    <w:rFonts w:ascii="Cambria Math" w:hAnsi="Cambria Math"/>
                  </w:rPr>
                  <m:t>power balance:</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j</m:t>
                            </m:r>
                          </m:sub>
                        </m:sSub>
                      </m:e>
                    </m:d>
                  </m:e>
                </m:nary>
                <m:r>
                  <w:rPr>
                    <w:rFonts w:ascii="Cambria Math" w:hAnsi="Cambria Math"/>
                  </w:rPr>
                  <m:t>=0</m:t>
                </m:r>
              </m:oMath>
            </m:oMathPara>
          </w:p>
          <w:p w14:paraId="217694AE" w14:textId="77777777" w:rsidR="00DB39CD" w:rsidRDefault="00DB39CD" w:rsidP="00D769E5">
            <w:pPr>
              <w:pStyle w:val="Paragraph"/>
              <w:ind w:left="720"/>
            </w:pPr>
            <m:oMathPara>
              <m:oMathParaPr>
                <m:jc m:val="left"/>
              </m:oMathParaPr>
              <m:oMath>
                <m:r>
                  <m:rPr>
                    <m:sty m:val="p"/>
                  </m:rPr>
                  <w:rPr>
                    <w:rFonts w:ascii="Cambria Math" w:hAnsi="Cambria Math"/>
                  </w:rPr>
                  <m:t xml:space="preserve">transmission line flow: </m:t>
                </m:r>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S</m:t>
                        </m:r>
                      </m:e>
                      <m:sub>
                        <m:r>
                          <w:rPr>
                            <w:rFonts w:ascii="Cambria Math" w:hAnsi="Cambria Math"/>
                          </w:rPr>
                          <m:t>i,k</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S</m:t>
                        </m:r>
                      </m:e>
                      <m:sub>
                        <m:r>
                          <w:rPr>
                            <w:rFonts w:ascii="Cambria Math" w:hAnsi="Cambria Math"/>
                          </w:rPr>
                          <m:t>j,k</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j</m:t>
                            </m:r>
                          </m:sub>
                        </m:sSub>
                      </m:e>
                    </m:d>
                  </m:e>
                </m:nary>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MAX</m:t>
                    </m:r>
                    <m:r>
                      <w:rPr>
                        <w:rFonts w:ascii="Cambria Math" w:hAnsi="Cambria Math"/>
                      </w:rPr>
                      <m:t>k</m:t>
                    </m:r>
                  </m:sub>
                </m:sSub>
                <m:r>
                  <w:rPr>
                    <w:rFonts w:ascii="Cambria Math" w:hAnsi="Cambria Math"/>
                  </w:rPr>
                  <m:t>, ∀k</m:t>
                </m:r>
              </m:oMath>
            </m:oMathPara>
          </w:p>
          <w:p w14:paraId="5D328E22" w14:textId="77777777" w:rsidR="00DB39CD" w:rsidRDefault="00DB39CD" w:rsidP="00D769E5">
            <w:pPr>
              <w:pStyle w:val="Paragraph"/>
              <w:ind w:left="720"/>
            </w:pPr>
            <m:oMathPara>
              <m:oMathParaPr>
                <m:jc m:val="left"/>
              </m:oMathParaPr>
              <m:oMath>
                <m:r>
                  <m:rPr>
                    <m:sty m:val="p"/>
                  </m:rPr>
                  <w:rPr>
                    <w:rFonts w:ascii="Cambria Math" w:hAnsi="Cambria Math"/>
                  </w:rPr>
                  <w:lastRenderedPageBreak/>
                  <m:t xml:space="preserve">net export allocation: </m:t>
                </m:r>
                <m:r>
                  <w:rPr>
                    <w:rFonts w:ascii="Cambria Math" w:hAnsi="Cambria Math"/>
                  </w:rPr>
                  <m:t>E≡</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j</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E</m:t>
                        </m:r>
                      </m:e>
                      <m:sub>
                        <m:r>
                          <w:rPr>
                            <w:rFonts w:ascii="Cambria Math" w:hAnsi="Cambria Math"/>
                          </w:rPr>
                          <m:t>j</m:t>
                        </m:r>
                      </m:sub>
                    </m:sSub>
                  </m:e>
                </m:nary>
              </m:oMath>
            </m:oMathPara>
          </w:p>
          <w:p w14:paraId="77838DA8" w14:textId="77777777" w:rsidR="00DB39CD" w:rsidRDefault="00DB39CD" w:rsidP="00D769E5">
            <w:pPr>
              <w:pStyle w:val="Paragraph"/>
              <w:ind w:left="720"/>
            </w:pPr>
            <m:oMathPara>
              <m:oMathParaPr>
                <m:jc m:val="left"/>
              </m:oMathParaPr>
              <m:oMath>
                <m:r>
                  <m:rPr>
                    <m:sty m:val="p"/>
                  </m:rPr>
                  <w:rPr>
                    <w:rFonts w:ascii="Cambria Math" w:hAnsi="Cambria Math"/>
                  </w:rPr>
                  <m:t xml:space="preserve">generator limits: </m:t>
                </m:r>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G</m:t>
                          </m:r>
                        </m:e>
                        <m:sub>
                          <m:r>
                            <m:rPr>
                              <m:sty m:val="p"/>
                            </m:rPr>
                            <w:rPr>
                              <w:rFonts w:ascii="Cambria Math" w:hAnsi="Cambria Math"/>
                            </w:rPr>
                            <m:t>MIN</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G</m:t>
                          </m:r>
                        </m:e>
                        <m:sub>
                          <m:r>
                            <m:rPr>
                              <m:sty m:val="p"/>
                            </m:rPr>
                            <w:rPr>
                              <w:rFonts w:ascii="Cambria Math" w:hAnsi="Cambria Math"/>
                            </w:rPr>
                            <m:t>MAX</m:t>
                          </m:r>
                          <m:r>
                            <w:rPr>
                              <w:rFonts w:ascii="Cambria Math" w:hAnsi="Cambria Math"/>
                            </w:rPr>
                            <m:t>i</m:t>
                          </m:r>
                        </m:sub>
                      </m:sSub>
                      <m:r>
                        <w:rPr>
                          <w:rFonts w:ascii="Cambria Math" w:hAnsi="Cambria Math"/>
                        </w:rPr>
                        <m:t>, ∀i</m:t>
                      </m:r>
                    </m:e>
                  </m:mr>
                  <m:mr>
                    <m:e>
                      <m:sSub>
                        <m:sSubPr>
                          <m:ctrlPr>
                            <w:rPr>
                              <w:rFonts w:ascii="Cambria Math" w:hAnsi="Cambria Math"/>
                              <w:i/>
                            </w:rPr>
                          </m:ctrlPr>
                        </m:sSubPr>
                        <m:e>
                          <m:r>
                            <w:rPr>
                              <w:rFonts w:ascii="Cambria Math" w:hAnsi="Cambria Math"/>
                            </w:rPr>
                            <m:t>G</m:t>
                          </m:r>
                        </m:e>
                        <m:sub>
                          <m:r>
                            <m:rPr>
                              <m:sty m:val="p"/>
                            </m:rPr>
                            <w:rPr>
                              <w:rFonts w:ascii="Cambria Math" w:hAnsi="Cambria Math"/>
                            </w:rPr>
                            <m:t>MIN</m:t>
                          </m:r>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G</m:t>
                          </m:r>
                        </m:e>
                        <m:sub>
                          <m:r>
                            <m:rPr>
                              <m:sty m:val="p"/>
                            </m:rPr>
                            <w:rPr>
                              <w:rFonts w:ascii="Cambria Math" w:hAnsi="Cambria Math"/>
                            </w:rPr>
                            <m:t>MAX</m:t>
                          </m:r>
                          <m:r>
                            <w:rPr>
                              <w:rFonts w:ascii="Cambria Math" w:hAnsi="Cambria Math"/>
                            </w:rPr>
                            <m:t>j</m:t>
                          </m:r>
                        </m:sub>
                      </m:sSub>
                      <m:r>
                        <w:rPr>
                          <w:rFonts w:ascii="Cambria Math" w:hAnsi="Cambria Math"/>
                        </w:rPr>
                        <m:t>, ∀j</m:t>
                      </m:r>
                    </m:e>
                  </m:mr>
                </m:m>
              </m:oMath>
            </m:oMathPara>
          </w:p>
          <w:p w14:paraId="0CDE6809" w14:textId="77777777" w:rsidR="00DB39CD" w:rsidRPr="004741AC" w:rsidRDefault="00DB39CD" w:rsidP="00D769E5">
            <w:pPr>
              <w:pStyle w:val="Paragraph"/>
              <w:ind w:left="720"/>
            </w:pPr>
            <m:oMathPara>
              <m:oMathParaPr>
                <m:jc m:val="left"/>
              </m:oMathParaPr>
              <m:oMath>
                <m:r>
                  <m:rPr>
                    <m:sty m:val="p"/>
                  </m:rPr>
                  <w:rPr>
                    <w:rFonts w:ascii="Cambria Math" w:hAnsi="Cambria Math"/>
                  </w:rPr>
                  <m:t xml:space="preserve">allocation limits: </m:t>
                </m:r>
                <m:r>
                  <w:rPr>
                    <w:rFonts w:ascii="Cambria Math" w:hAnsi="Cambria Math"/>
                  </w:rPr>
                  <m:t>0≤</m:t>
                </m:r>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m:t>
                </m:r>
                <m:r>
                  <m:rPr>
                    <m:sty m:val="p"/>
                  </m:rP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m:rPr>
                            <m:sty m:val="p"/>
                          </m:rPr>
                          <w:rPr>
                            <w:rFonts w:ascii="Cambria Math" w:hAnsi="Cambria Math"/>
                          </w:rPr>
                          <m:t>MAX</m:t>
                        </m:r>
                        <m:r>
                          <w:rPr>
                            <w:rFonts w:ascii="Cambria Math" w:hAnsi="Cambria Math"/>
                          </w:rPr>
                          <m:t>j</m:t>
                        </m:r>
                      </m:sub>
                    </m:sSub>
                  </m:e>
                </m:d>
                <m:r>
                  <w:rPr>
                    <w:rFonts w:ascii="Cambria Math" w:hAnsi="Cambria Math"/>
                  </w:rPr>
                  <m:t>, ∀j</m:t>
                </m:r>
              </m:oMath>
            </m:oMathPara>
          </w:p>
          <w:p w14:paraId="4B49DA71" w14:textId="77777777" w:rsidR="00E243C7" w:rsidRDefault="00E243C7" w:rsidP="00D769E5">
            <w:pPr>
              <w:pStyle w:val="Paragraph"/>
              <w:ind w:left="720"/>
            </w:pPr>
          </w:p>
          <w:p w14:paraId="6B4DEB3A" w14:textId="77777777" w:rsidR="00DB39CD" w:rsidRPr="00D769E5" w:rsidRDefault="00DB39CD" w:rsidP="00877DDB">
            <w:pPr>
              <w:pStyle w:val="BPM"/>
            </w:pPr>
            <w:r w:rsidRPr="00E62C48">
              <w:t>When the net export</w:t>
            </w:r>
            <w:r>
              <w:t xml:space="preserve"> </w:t>
            </w:r>
            <w:r>
              <w:rPr>
                <w:i/>
              </w:rPr>
              <w:t>E</w:t>
            </w:r>
            <w:r>
              <w:t xml:space="preserve"> </w:t>
            </w:r>
            <w:r w:rsidRPr="00E62C48">
              <w:t xml:space="preserve">is zero or negative (import), the net export allocation constraint is not binding and all allocations </w:t>
            </w:r>
            <w:r>
              <w:rPr>
                <w:i/>
              </w:rPr>
              <w:t>E</w:t>
            </w:r>
            <w:r>
              <w:rPr>
                <w:i/>
                <w:vertAlign w:val="subscript"/>
              </w:rPr>
              <w:t>j</w:t>
            </w:r>
            <w:r>
              <w:t xml:space="preserve"> </w:t>
            </w:r>
            <w:r w:rsidRPr="00D769E5">
              <w:t>are zero.</w:t>
            </w:r>
          </w:p>
          <w:p w14:paraId="27460988" w14:textId="77777777" w:rsidR="00DB39CD" w:rsidRPr="00D769E5" w:rsidRDefault="00DB39CD" w:rsidP="00877DDB">
            <w:pPr>
              <w:pStyle w:val="BPM"/>
            </w:pPr>
            <w:r w:rsidRPr="00D769E5">
              <w:t>The LMPs are determined as follows:</w:t>
            </w:r>
          </w:p>
          <w:p w14:paraId="44E86AD1" w14:textId="77777777" w:rsidR="00DB39CD" w:rsidRDefault="00461DCC" w:rsidP="00DB39CD">
            <w:pPr>
              <w:pStyle w:val="Paragraph"/>
              <w:ind w:left="720"/>
            </w:pPr>
            <m:oMathPara>
              <m:oMathParaPr>
                <m:jc m:val="left"/>
              </m:oMathParaPr>
              <m:oMath>
                <m:sSub>
                  <m:sSubPr>
                    <m:ctrlPr>
                      <w:rPr>
                        <w:rFonts w:ascii="Cambria Math" w:hAnsi="Cambria Math"/>
                        <w:i/>
                      </w:rPr>
                    </m:ctrlPr>
                  </m:sSubPr>
                  <m:e>
                    <m:r>
                      <w:rPr>
                        <w:rFonts w:ascii="Cambria Math" w:hAnsi="Cambria Math"/>
                      </w:rPr>
                      <m:t>LMP</m:t>
                    </m:r>
                  </m:e>
                  <m:sub>
                    <m:r>
                      <w:rPr>
                        <w:rFonts w:ascii="Cambria Math" w:hAnsi="Cambria Math"/>
                      </w:rPr>
                      <m:t>i</m:t>
                    </m:r>
                  </m:sub>
                </m:sSub>
                <m:r>
                  <w:rPr>
                    <w:rFonts w:ascii="Cambria Math" w:hAnsi="Cambria Math"/>
                  </w:rPr>
                  <m:t>=λ+</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S</m:t>
                        </m:r>
                      </m:e>
                      <m:sub>
                        <m:r>
                          <w:rPr>
                            <w:rFonts w:ascii="Cambria Math" w:hAnsi="Cambria Math"/>
                          </w:rPr>
                          <m:t>i,k</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k</m:t>
                        </m:r>
                      </m:sub>
                    </m:sSub>
                  </m:e>
                </m:nary>
                <m:r>
                  <w:rPr>
                    <w:rFonts w:ascii="Cambria Math" w:hAnsi="Cambria Math"/>
                  </w:rPr>
                  <m:t>, ∀i</m:t>
                </m:r>
              </m:oMath>
            </m:oMathPara>
          </w:p>
          <w:p w14:paraId="2356A78C" w14:textId="77777777" w:rsidR="00DB39CD" w:rsidRDefault="00461DCC" w:rsidP="00DB39CD">
            <w:pPr>
              <w:pStyle w:val="Paragraph"/>
              <w:ind w:left="720"/>
            </w:pPr>
            <m:oMathPara>
              <m:oMathParaPr>
                <m:jc m:val="left"/>
              </m:oMathParaPr>
              <m:oMath>
                <m:sSub>
                  <m:sSubPr>
                    <m:ctrlPr>
                      <w:rPr>
                        <w:rFonts w:ascii="Cambria Math" w:hAnsi="Cambria Math"/>
                        <w:i/>
                      </w:rPr>
                    </m:ctrlPr>
                  </m:sSubPr>
                  <m:e>
                    <m:r>
                      <w:rPr>
                        <w:rFonts w:ascii="Cambria Math" w:hAnsi="Cambria Math"/>
                      </w:rPr>
                      <m:t>LMP</m:t>
                    </m:r>
                  </m:e>
                  <m:sub>
                    <m:r>
                      <w:rPr>
                        <w:rFonts w:ascii="Cambria Math" w:hAnsi="Cambria Math"/>
                      </w:rPr>
                      <m:t>j</m:t>
                    </m:r>
                  </m:sub>
                </m:sSub>
                <m:r>
                  <w:rPr>
                    <w:rFonts w:ascii="Cambria Math" w:hAnsi="Cambria Math"/>
                  </w:rPr>
                  <m:t>=λ+</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S</m:t>
                        </m:r>
                      </m:e>
                      <m:sub>
                        <m:r>
                          <w:rPr>
                            <w:rFonts w:ascii="Cambria Math" w:hAnsi="Cambria Math"/>
                          </w:rPr>
                          <m:t>j,k</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k</m:t>
                        </m:r>
                      </m:sub>
                    </m:sSub>
                  </m:e>
                </m:nary>
                <m:r>
                  <w:rPr>
                    <w:rFonts w:ascii="Cambria Math" w:hAnsi="Cambria Math"/>
                  </w:rPr>
                  <m:t>+η, ∀j</m:t>
                </m:r>
              </m:oMath>
            </m:oMathPara>
          </w:p>
          <w:p w14:paraId="4E66749C" w14:textId="77777777" w:rsidR="00DB39CD" w:rsidRPr="00D769E5" w:rsidRDefault="00DB39CD" w:rsidP="00877DDB">
            <w:pPr>
              <w:pStyle w:val="BPM"/>
            </w:pPr>
            <w:r w:rsidRPr="00D769E5">
              <w:t>Where the marginal loss component is missing because transmission losses are ignored.</w:t>
            </w:r>
          </w:p>
          <w:p w14:paraId="4B945AD7" w14:textId="77777777" w:rsidR="00DB39CD" w:rsidRPr="00D769E5" w:rsidRDefault="00DB39CD" w:rsidP="00877DDB">
            <w:pPr>
              <w:pStyle w:val="BPM"/>
            </w:pPr>
            <w:r w:rsidRPr="00D769E5">
              <w:t>The greenhouse gas allowance revenue is calculated as follows:</w:t>
            </w:r>
          </w:p>
          <w:p w14:paraId="156DBF9A" w14:textId="77777777" w:rsidR="00DB39CD" w:rsidRDefault="00461DCC" w:rsidP="00DB39CD">
            <w:pPr>
              <w:pStyle w:val="Paragraph"/>
              <w:ind w:left="720"/>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G</m:t>
                    </m:r>
                  </m:sub>
                </m:sSub>
                <m:r>
                  <w:rPr>
                    <w:rFonts w:ascii="Cambria Math" w:hAnsi="Cambria Math"/>
                  </w:rPr>
                  <m:t>=-η E</m:t>
                </m:r>
              </m:oMath>
            </m:oMathPara>
          </w:p>
          <w:p w14:paraId="2E5C3417" w14:textId="77777777" w:rsidR="00DB39CD" w:rsidRPr="00D769E5" w:rsidRDefault="00DB39CD" w:rsidP="00877DDB">
            <w:pPr>
              <w:pStyle w:val="BPM"/>
            </w:pPr>
            <w:r w:rsidRPr="00D769E5">
              <w:t>This revenue is then distributed to the optimal net imbalance energy export allocations as follows:</w:t>
            </w:r>
          </w:p>
          <w:p w14:paraId="2247123A" w14:textId="77777777" w:rsidR="00DB39CD" w:rsidRDefault="00461DCC" w:rsidP="00DB39CD">
            <w:pPr>
              <w:pStyle w:val="Paragraph"/>
            </w:pPr>
            <m:oMathPara>
              <m:oMath>
                <m:sSub>
                  <m:sSubPr>
                    <m:ctrlPr>
                      <w:rPr>
                        <w:rFonts w:ascii="Cambria Math" w:hAnsi="Cambria Math"/>
                        <w:i/>
                      </w:rPr>
                    </m:ctrlPr>
                  </m:sSubPr>
                  <m:e>
                    <m:r>
                      <w:rPr>
                        <w:rFonts w:ascii="Cambria Math" w:hAnsi="Cambria Math"/>
                      </w:rPr>
                      <m:t>R</m:t>
                    </m:r>
                  </m:e>
                  <m:sub>
                    <m:r>
                      <w:rPr>
                        <w:rFonts w:ascii="Cambria Math" w:hAnsi="Cambria Math"/>
                      </w:rPr>
                      <m:t>Gj</m:t>
                    </m:r>
                  </m:sub>
                </m:sSub>
                <m:r>
                  <w:rPr>
                    <w:rFonts w:ascii="Cambria Math" w:hAnsi="Cambria Math"/>
                  </w:rPr>
                  <m:t xml:space="preserve">=-η </m:t>
                </m:r>
                <m:sSub>
                  <m:sSubPr>
                    <m:ctrlPr>
                      <w:rPr>
                        <w:rFonts w:ascii="Cambria Math" w:hAnsi="Cambria Math"/>
                        <w:i/>
                      </w:rPr>
                    </m:ctrlPr>
                  </m:sSubPr>
                  <m:e>
                    <m:r>
                      <w:rPr>
                        <w:rFonts w:ascii="Cambria Math" w:hAnsi="Cambria Math"/>
                      </w:rPr>
                      <m:t>E</m:t>
                    </m:r>
                  </m:e>
                  <m:sub>
                    <m:r>
                      <w:rPr>
                        <w:rFonts w:ascii="Cambria Math" w:hAnsi="Cambria Math"/>
                      </w:rPr>
                      <m:t>j</m:t>
                    </m:r>
                  </m:sub>
                </m:sSub>
              </m:oMath>
            </m:oMathPara>
          </w:p>
        </w:tc>
      </w:tr>
    </w:tbl>
    <w:p w14:paraId="6F96D9DD" w14:textId="77777777" w:rsidR="001E7023" w:rsidRDefault="001E7023" w:rsidP="00D769E5">
      <w:pPr>
        <w:spacing w:after="240" w:line="300" w:lineRule="auto"/>
        <w:rPr>
          <w:rFonts w:eastAsia="Calibri"/>
        </w:rPr>
      </w:pPr>
    </w:p>
    <w:p w14:paraId="0930EB79" w14:textId="77777777" w:rsidR="00DB39CD" w:rsidRDefault="00DB39CD" w:rsidP="00C33762">
      <w:pPr>
        <w:pStyle w:val="Heading5"/>
      </w:pPr>
      <w:r>
        <w:t>Implementation Details</w:t>
      </w:r>
    </w:p>
    <w:p w14:paraId="34C641EC" w14:textId="763C7A9B" w:rsidR="00DB39CD" w:rsidRPr="00D769E5" w:rsidRDefault="00DB39CD" w:rsidP="00877DDB">
      <w:pPr>
        <w:pStyle w:val="BPM"/>
      </w:pPr>
      <w:r w:rsidRPr="00D769E5">
        <w:t>With non-EIM BAAs in the FNM, the net export allocation</w:t>
      </w:r>
      <w:r>
        <w:t xml:space="preserve"> </w:t>
      </w:r>
      <w:r>
        <w:rPr>
          <w:i/>
        </w:rPr>
        <w:t>E</w:t>
      </w:r>
      <w:r>
        <w:t xml:space="preserve"> </w:t>
      </w:r>
      <w:r w:rsidRPr="00D769E5">
        <w:t>in the formulation of</w:t>
      </w:r>
      <w:r>
        <w:t xml:space="preserve"> §</w:t>
      </w:r>
      <w:r w:rsidR="002957E6">
        <w:t>11.3.3.2.1</w:t>
      </w:r>
      <w:r>
        <w:t xml:space="preserve"> </w:t>
      </w:r>
      <w:r w:rsidRPr="00D769E5">
        <w:t>is the net</w:t>
      </w:r>
      <w:r w:rsidR="005F24C1">
        <w:t xml:space="preserve"> WEIM </w:t>
      </w:r>
      <w:r w:rsidRPr="00D769E5">
        <w:t>Transfer from all</w:t>
      </w:r>
      <w:r w:rsidR="005F24C1">
        <w:t xml:space="preserve"> WEIM </w:t>
      </w:r>
      <w:r w:rsidRPr="00D769E5">
        <w:t>BAAs, i.e., the opposite of the</w:t>
      </w:r>
      <w:r w:rsidR="005F24C1">
        <w:t xml:space="preserve"> WEIM </w:t>
      </w:r>
      <w:r w:rsidRPr="00D769E5">
        <w:t>Transfer for the CAISO BAA. When it is negative, i.e., an import to the</w:t>
      </w:r>
      <w:r w:rsidR="005F24C1">
        <w:t xml:space="preserve"> WEIM </w:t>
      </w:r>
      <w:r w:rsidRPr="00D769E5">
        <w:t xml:space="preserve">BAAs from the CAISO BAA, the net export allocation constraint is irrelevant (not binding) and its shadow price is zero. When it is </w:t>
      </w:r>
      <w:r w:rsidRPr="00D769E5">
        <w:lastRenderedPageBreak/>
        <w:t>positive, i.e., an export from the</w:t>
      </w:r>
      <w:r w:rsidR="005F24C1">
        <w:t xml:space="preserve"> WEIM </w:t>
      </w:r>
      <w:r w:rsidRPr="00D769E5">
        <w:t>BAAs to the CAISO BAA, the net export allocation constraint is binding and its shadow price may be nonzero. In the latter case, the positive</w:t>
      </w:r>
      <w:r w:rsidR="005F24C1">
        <w:t xml:space="preserve"> WEIM </w:t>
      </w:r>
      <w:r w:rsidRPr="00D769E5">
        <w:t>Transfer from all</w:t>
      </w:r>
      <w:r w:rsidR="005F24C1">
        <w:t xml:space="preserve"> WEIM </w:t>
      </w:r>
      <w:r w:rsidRPr="00D769E5">
        <w:t>BAAs must be allocated to</w:t>
      </w:r>
      <w:r w:rsidR="005F24C1">
        <w:t xml:space="preserve"> WEIM </w:t>
      </w:r>
      <w:r w:rsidRPr="00D769E5">
        <w:t>Participating Resources. There should be no allocation to</w:t>
      </w:r>
      <w:r w:rsidR="005F24C1">
        <w:t xml:space="preserve"> WEIM </w:t>
      </w:r>
      <w:r w:rsidRPr="00D769E5">
        <w:t>Non-Participating Resources because these resources do not bid in the EIM, thus they do not submit a GHG compliance bid.</w:t>
      </w:r>
    </w:p>
    <w:p w14:paraId="34DBC0B8" w14:textId="7B9A8027" w:rsidR="00DB39CD" w:rsidRPr="00D8261A" w:rsidRDefault="00DB39CD" w:rsidP="00877DDB">
      <w:pPr>
        <w:pStyle w:val="BPM"/>
      </w:pPr>
      <w:r w:rsidRPr="00D769E5">
        <w:t>Specifically, in RTUC, since the net base</w:t>
      </w:r>
      <w:r w:rsidR="005F24C1">
        <w:t xml:space="preserve"> WEIM </w:t>
      </w:r>
      <w:r w:rsidRPr="00D769E5">
        <w:t>Transfer from all</w:t>
      </w:r>
      <w:r w:rsidR="005F24C1">
        <w:t xml:space="preserve"> WEIM </w:t>
      </w:r>
      <w:r w:rsidRPr="00D769E5">
        <w:t>BAAs is zero, the positive 15</w:t>
      </w:r>
      <w:r w:rsidR="00BA7FCD">
        <w:t>-</w:t>
      </w:r>
      <w:r w:rsidRPr="00D769E5">
        <w:t>min</w:t>
      </w:r>
      <w:r w:rsidR="00BA7FCD">
        <w:t>ute</w:t>
      </w:r>
      <w:r w:rsidRPr="00D769E5">
        <w:t xml:space="preserve"> net</w:t>
      </w:r>
      <w:r w:rsidR="005F24C1">
        <w:t xml:space="preserve"> WEIM </w:t>
      </w:r>
      <w:r w:rsidRPr="00D769E5">
        <w:t>Transfer must be allocated to the 15</w:t>
      </w:r>
      <w:r w:rsidR="00BA7FCD">
        <w:t>-</w:t>
      </w:r>
      <w:r w:rsidRPr="00D769E5">
        <w:t>min</w:t>
      </w:r>
      <w:r w:rsidR="00BA7FCD">
        <w:t>ute</w:t>
      </w:r>
      <w:r w:rsidRPr="00D769E5">
        <w:t xml:space="preserve"> schedule of</w:t>
      </w:r>
      <w:r w:rsidR="005F24C1">
        <w:t xml:space="preserve"> WEIM </w:t>
      </w:r>
      <w:r w:rsidRPr="00D769E5">
        <w:t xml:space="preserve">Participating Resources. This allocation considers the </w:t>
      </w:r>
      <w:r w:rsidRPr="00D769E5">
        <w:rPr>
          <w:u w:val="single"/>
        </w:rPr>
        <w:t>entire</w:t>
      </w:r>
      <w:r w:rsidRPr="00D769E5">
        <w:t xml:space="preserve"> 15</w:t>
      </w:r>
      <w:r w:rsidR="00BA7FCD">
        <w:t>-</w:t>
      </w:r>
      <w:r w:rsidRPr="00D8261A">
        <w:t>min</w:t>
      </w:r>
      <w:r w:rsidR="00BA7FCD">
        <w:t>ute</w:t>
      </w:r>
      <w:r w:rsidRPr="00D8261A">
        <w:t xml:space="preserve"> schedule and not only the incremental portion above the base schedule. This is because the energy from these resources is used for meeting imbalance energy requirements in the</w:t>
      </w:r>
      <w:r w:rsidR="005F24C1">
        <w:t xml:space="preserve"> WEIM </w:t>
      </w:r>
      <w:r w:rsidRPr="00D8261A">
        <w:t>BAAs as well as supplying energy exports to the CAISO BAA. Therefore, it can be argued that these resources could potentially be decremented below their base schedule absorbing negative imbalance energy to meet imbalance energy requirements in the</w:t>
      </w:r>
      <w:r w:rsidR="005F24C1">
        <w:t xml:space="preserve"> WEIM </w:t>
      </w:r>
      <w:r w:rsidRPr="00D8261A">
        <w:t>BAAs, while producing positive imbalance energy to supply exports to the CAISO BAAs. Hence, it is conceivable that the imbalance energy export allocation quantity that receives GHG compliance revenue at the 15</w:t>
      </w:r>
      <w:r w:rsidR="00BA7FCD">
        <w:t>-</w:t>
      </w:r>
      <w:r w:rsidRPr="00D8261A">
        <w:t>min</w:t>
      </w:r>
      <w:r w:rsidR="00BA7FCD">
        <w:t>ute</w:t>
      </w:r>
      <w:r w:rsidRPr="00D8261A">
        <w:t xml:space="preserve"> marginal GHG compliance price could exceed the 15</w:t>
      </w:r>
      <w:r w:rsidR="00BA7FCD">
        <w:t>-</w:t>
      </w:r>
      <w:r w:rsidRPr="00D8261A">
        <w:t>min</w:t>
      </w:r>
      <w:r w:rsidR="00BA7FCD">
        <w:t>ute</w:t>
      </w:r>
      <w:r w:rsidRPr="00D8261A">
        <w:t xml:space="preserve"> incremental imbalance energy that receives a 15</w:t>
      </w:r>
      <w:r w:rsidR="00BA7FCD">
        <w:t>-</w:t>
      </w:r>
      <w:r w:rsidRPr="00D8261A">
        <w:t>min</w:t>
      </w:r>
      <w:r w:rsidR="00BA7FCD">
        <w:t>ute</w:t>
      </w:r>
      <w:r w:rsidRPr="00D8261A">
        <w:t xml:space="preserve"> imbalance energy settlement, both on </w:t>
      </w:r>
      <w:r w:rsidR="00153940">
        <w:t>a WEIM</w:t>
      </w:r>
      <w:r w:rsidR="005F24C1">
        <w:t xml:space="preserve"> </w:t>
      </w:r>
      <w:r w:rsidRPr="00D8261A">
        <w:t>Participating Resource level, and overall.</w:t>
      </w:r>
    </w:p>
    <w:p w14:paraId="6D7D1F58" w14:textId="24ADDD22" w:rsidR="00DB39CD" w:rsidRPr="00D8261A" w:rsidRDefault="00DB39CD" w:rsidP="00877DDB">
      <w:pPr>
        <w:pStyle w:val="BPM"/>
      </w:pPr>
      <w:r w:rsidRPr="00D8261A">
        <w:t>In RTD, the mathematical formulation is no different than in RTUC: the positive 5</w:t>
      </w:r>
      <w:r w:rsidR="00BA7FCD">
        <w:t>-</w:t>
      </w:r>
      <w:r w:rsidRPr="00D8261A">
        <w:t>min</w:t>
      </w:r>
      <w:r w:rsidR="00BA7FCD">
        <w:t>ute</w:t>
      </w:r>
      <w:r w:rsidRPr="00D8261A">
        <w:t xml:space="preserve"> net</w:t>
      </w:r>
      <w:r w:rsidR="005F24C1">
        <w:t xml:space="preserve"> WEIM </w:t>
      </w:r>
      <w:r w:rsidRPr="00D8261A">
        <w:t>Transfer must be allocated to the 5</w:t>
      </w:r>
      <w:r w:rsidR="00BA7FCD">
        <w:t>-</w:t>
      </w:r>
      <w:r w:rsidRPr="00D8261A">
        <w:t>min</w:t>
      </w:r>
      <w:r w:rsidR="00BA7FCD">
        <w:t>ute</w:t>
      </w:r>
      <w:r w:rsidRPr="00D8261A">
        <w:t xml:space="preserve"> dispatch of</w:t>
      </w:r>
      <w:r w:rsidR="005F24C1">
        <w:t xml:space="preserve"> WEIM </w:t>
      </w:r>
      <w:r w:rsidRPr="00D8261A">
        <w:t>Participating Resources. Similarly, to the RTUC allocation, the 5</w:t>
      </w:r>
      <w:r w:rsidR="00BA7FCD">
        <w:t>-</w:t>
      </w:r>
      <w:r w:rsidRPr="00D8261A">
        <w:t>min</w:t>
      </w:r>
      <w:r w:rsidR="00BA7FCD">
        <w:t>ute</w:t>
      </w:r>
      <w:r w:rsidRPr="00D8261A">
        <w:t xml:space="preserve"> allocation considers the </w:t>
      </w:r>
      <w:r w:rsidRPr="00D8261A">
        <w:rPr>
          <w:u w:val="single"/>
        </w:rPr>
        <w:t>entire</w:t>
      </w:r>
      <w:r w:rsidRPr="00D8261A">
        <w:t xml:space="preserve"> 5</w:t>
      </w:r>
      <w:r w:rsidR="00BA7FCD">
        <w:t>-</w:t>
      </w:r>
      <w:r w:rsidRPr="00D8261A">
        <w:t>min</w:t>
      </w:r>
      <w:r w:rsidR="00BA7FCD">
        <w:t>ute</w:t>
      </w:r>
      <w:r w:rsidRPr="00D8261A">
        <w:t xml:space="preserve"> dispatch and not only the incremental portion above the 15</w:t>
      </w:r>
      <w:r w:rsidR="00BA7FCD">
        <w:t>-</w:t>
      </w:r>
      <w:r w:rsidRPr="00D8261A">
        <w:t>min</w:t>
      </w:r>
      <w:r w:rsidR="00BA7FCD">
        <w:t>ute</w:t>
      </w:r>
      <w:r w:rsidRPr="00D8261A">
        <w:t xml:space="preserve"> schedule or the base schedule. However, the settlement for the 5</w:t>
      </w:r>
      <w:r w:rsidR="00BA7FCD">
        <w:t>-</w:t>
      </w:r>
      <w:r w:rsidRPr="00D8261A">
        <w:t>min</w:t>
      </w:r>
      <w:r w:rsidR="00BA7FCD">
        <w:t>ute</w:t>
      </w:r>
      <w:r w:rsidRPr="00D8261A">
        <w:t xml:space="preserve"> GHG compliance revenue at the 5</w:t>
      </w:r>
      <w:r w:rsidR="00BA7FCD">
        <w:t>-</w:t>
      </w:r>
      <w:r w:rsidRPr="00D8261A">
        <w:t>min</w:t>
      </w:r>
      <w:r w:rsidR="00BA7FCD">
        <w:t>ute</w:t>
      </w:r>
      <w:r w:rsidRPr="00D8261A">
        <w:t xml:space="preserve"> marginal GHG compliance price is for the algebraic deviation of the imbalance energy export allocation between the 5</w:t>
      </w:r>
      <w:r w:rsidR="00BA7FCD">
        <w:t>-</w:t>
      </w:r>
      <w:r w:rsidRPr="00D8261A">
        <w:t>min</w:t>
      </w:r>
      <w:r w:rsidR="00BA7FCD">
        <w:t>ute</w:t>
      </w:r>
      <w:r w:rsidRPr="00D8261A">
        <w:t xml:space="preserve"> and the 15</w:t>
      </w:r>
      <w:r w:rsidR="00BA7FCD">
        <w:t>-</w:t>
      </w:r>
      <w:r w:rsidRPr="00D8261A">
        <w:t>min</w:t>
      </w:r>
      <w:r w:rsidR="00BA7FCD">
        <w:t>ute</w:t>
      </w:r>
      <w:r w:rsidRPr="00D8261A">
        <w:t xml:space="preserve"> quantities. If the 5</w:t>
      </w:r>
      <w:r w:rsidR="00BA7FCD">
        <w:t>-</w:t>
      </w:r>
      <w:r w:rsidRPr="00D8261A">
        <w:t>min</w:t>
      </w:r>
      <w:r w:rsidR="00BA7FCD">
        <w:t>ute</w:t>
      </w:r>
      <w:r w:rsidRPr="00D8261A">
        <w:t xml:space="preserve"> allocation is lower than the 15</w:t>
      </w:r>
      <w:r w:rsidR="009D57CA">
        <w:t>-</w:t>
      </w:r>
      <w:r w:rsidRPr="00831D03">
        <w:t>min</w:t>
      </w:r>
      <w:r w:rsidR="009D57CA">
        <w:t>ute</w:t>
      </w:r>
      <w:r w:rsidRPr="00831D03">
        <w:t xml:space="preserve"> allocation, the participant will buy back the difference at the 5</w:t>
      </w:r>
      <w:r w:rsidR="009D57CA">
        <w:t>-</w:t>
      </w:r>
      <w:r w:rsidRPr="00831D03">
        <w:t>min</w:t>
      </w:r>
      <w:r w:rsidR="009D57CA">
        <w:t>ute</w:t>
      </w:r>
      <w:r w:rsidRPr="00831D03">
        <w:t xml:space="preserve"> marginal GHG compliance price. Nevertheless, since the imbalance energy export allocation is optimally determined in both RTUC and RTD based on the GHG compliance bids, the net settlement will not result in a financial loss. The participant will be required to report to CARB only the 5</w:t>
      </w:r>
      <w:r w:rsidR="009D57CA">
        <w:t>-</w:t>
      </w:r>
      <w:r w:rsidRPr="00831D03">
        <w:t>min</w:t>
      </w:r>
      <w:r w:rsidR="009D57CA">
        <w:t>ute</w:t>
      </w:r>
      <w:r w:rsidRPr="00831D03">
        <w:t xml:space="preserve"> imbalance energy export allocations from RTD, for which they may need to acquire emission credits.</w:t>
      </w:r>
    </w:p>
    <w:p w14:paraId="74285E43" w14:textId="77777777" w:rsidR="00DB39CD" w:rsidRDefault="00DB39CD" w:rsidP="00C33762">
      <w:pPr>
        <w:pStyle w:val="Heading5"/>
      </w:pPr>
      <w:r>
        <w:lastRenderedPageBreak/>
        <w:t>Examples</w:t>
      </w:r>
    </w:p>
    <w:p w14:paraId="4BB534BD" w14:textId="77777777" w:rsidR="009D57CA" w:rsidRDefault="00DB39CD" w:rsidP="00877DDB">
      <w:pPr>
        <w:pStyle w:val="BPM"/>
      </w:pPr>
      <w:r w:rsidRPr="00D8261A">
        <w:t>The following examples show the application of this method</w:t>
      </w:r>
      <w:r w:rsidR="00FC6F91">
        <w:t>:</w:t>
      </w:r>
    </w:p>
    <w:p w14:paraId="01B50F01" w14:textId="77777777" w:rsidR="00DB39CD" w:rsidRDefault="00DB39CD" w:rsidP="00DB39CD">
      <w:pPr>
        <w:pStyle w:val="Paragraph"/>
        <w:rPr>
          <w:rFonts w:ascii="Arial" w:hAnsi="Arial" w:cs="Arial"/>
        </w:rPr>
      </w:pPr>
    </w:p>
    <w:p w14:paraId="1A0D52C3" w14:textId="77777777" w:rsidR="00FC6F91" w:rsidRPr="00877DDB" w:rsidRDefault="00FC6F91" w:rsidP="00877DDB">
      <w:pPr>
        <w:pStyle w:val="Heading5"/>
        <w:numPr>
          <w:ilvl w:val="0"/>
          <w:numId w:val="0"/>
        </w:numPr>
        <w:ind w:left="1080" w:hanging="1080"/>
        <w:rPr>
          <w:rFonts w:ascii="Arial" w:hAnsi="Arial" w:cs="Arial"/>
        </w:rPr>
      </w:pPr>
      <w:r w:rsidRPr="00877DDB">
        <w:rPr>
          <w:rFonts w:ascii="Arial" w:hAnsi="Arial" w:cs="Arial"/>
        </w:rPr>
        <w:t>Example 1</w:t>
      </w:r>
    </w:p>
    <w:p w14:paraId="0C2CBB91" w14:textId="21EC499E" w:rsidR="00FC6F91" w:rsidRDefault="00DB39CD" w:rsidP="00877DDB">
      <w:pPr>
        <w:pStyle w:val="BPM"/>
      </w:pPr>
      <w:r w:rsidRPr="00FC6F91">
        <w:t>One generator and a load are in the CAISO, and two generators and a load are in the</w:t>
      </w:r>
      <w:r w:rsidR="005F24C1">
        <w:t xml:space="preserve"> WEIM </w:t>
      </w:r>
      <w:r w:rsidRPr="00FC6F91">
        <w:t>Entity BAA, as shown in the figure below.</w:t>
      </w:r>
    </w:p>
    <w:p w14:paraId="2B24610D" w14:textId="77777777" w:rsidR="00DB39CD" w:rsidRPr="00FC6F91" w:rsidRDefault="00DB39CD" w:rsidP="00D8261A">
      <w:r w:rsidRPr="00FC6F91">
        <w:t xml:space="preserve"> </w:t>
      </w:r>
    </w:p>
    <w:p w14:paraId="2DABEC1E" w14:textId="77777777" w:rsidR="00DB39CD" w:rsidRDefault="00DB39CD" w:rsidP="00DB39CD">
      <w:pPr>
        <w:pStyle w:val="Figure"/>
      </w:pPr>
      <w:r>
        <w:rPr>
          <w:noProof/>
        </w:rPr>
        <mc:AlternateContent>
          <mc:Choice Requires="wpc">
            <w:drawing>
              <wp:inline distT="0" distB="0" distL="0" distR="0" wp14:anchorId="1E609993" wp14:editId="7AF05831">
                <wp:extent cx="5943600" cy="2707640"/>
                <wp:effectExtent l="9525" t="0" r="0" b="0"/>
                <wp:docPr id="30"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Oval 2"/>
                        <wps:cNvSpPr>
                          <a:spLocks noChangeArrowheads="1"/>
                        </wps:cNvSpPr>
                        <wps:spPr bwMode="auto">
                          <a:xfrm>
                            <a:off x="0" y="24100"/>
                            <a:ext cx="2629200" cy="2628639"/>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9888D02" w14:textId="77777777" w:rsidR="002A2768" w:rsidRDefault="002A2768" w:rsidP="00DB39CD">
                              <w:pPr>
                                <w:jc w:val="center"/>
                                <w:rPr>
                                  <w:color w:val="000000" w:themeColor="text1"/>
                                </w:rPr>
                              </w:pPr>
                              <w:r>
                                <w:rPr>
                                  <w:color w:val="000000" w:themeColor="text1"/>
                                </w:rPr>
                                <w:t>CAISO</w:t>
                              </w:r>
                            </w:p>
                          </w:txbxContent>
                        </wps:txbx>
                        <wps:bodyPr rot="0" vert="horz" wrap="square" lIns="91440" tIns="45720" rIns="91440" bIns="45720" anchor="ctr" anchorCtr="0" upright="1">
                          <a:noAutofit/>
                        </wps:bodyPr>
                      </wps:wsp>
                      <wps:wsp>
                        <wps:cNvPr id="4" name="Oval 3"/>
                        <wps:cNvSpPr>
                          <a:spLocks noChangeArrowheads="1"/>
                        </wps:cNvSpPr>
                        <wps:spPr bwMode="auto">
                          <a:xfrm>
                            <a:off x="3306400" y="24100"/>
                            <a:ext cx="2629200" cy="2628939"/>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AB99026" w14:textId="523262F5" w:rsidR="002A2768" w:rsidRDefault="002A2768" w:rsidP="00DB39CD">
                              <w:pPr>
                                <w:jc w:val="center"/>
                                <w:rPr>
                                  <w:color w:val="000000" w:themeColor="text1"/>
                                </w:rPr>
                              </w:pPr>
                              <w:r>
                                <w:rPr>
                                  <w:color w:val="000000" w:themeColor="text1"/>
                                </w:rPr>
                                <w:t>EIM Entity BAA</w:t>
                              </w:r>
                            </w:p>
                          </w:txbxContent>
                        </wps:txbx>
                        <wps:bodyPr rot="0" vert="horz" wrap="square" lIns="91440" tIns="45720" rIns="91440" bIns="45720" anchor="ctr" anchorCtr="0" upright="1">
                          <a:noAutofit/>
                        </wps:bodyPr>
                      </wps:wsp>
                      <wps:wsp>
                        <wps:cNvPr id="5" name="Straight Connector 4"/>
                        <wps:cNvCnPr/>
                        <wps:spPr bwMode="auto">
                          <a:xfrm flipH="1">
                            <a:off x="2451700" y="1316519"/>
                            <a:ext cx="10287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Straight Connector 5"/>
                        <wps:cNvCnPr/>
                        <wps:spPr bwMode="auto">
                          <a:xfrm flipH="1">
                            <a:off x="1994500" y="387406"/>
                            <a:ext cx="19431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Straight Connector 6"/>
                        <wps:cNvCnPr/>
                        <wps:spPr bwMode="auto">
                          <a:xfrm flipH="1">
                            <a:off x="1994500" y="2245733"/>
                            <a:ext cx="19431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g:cNvPr id="8" name="Group 22"/>
                        <wpg:cNvGrpSpPr>
                          <a:grpSpLocks/>
                        </wpg:cNvGrpSpPr>
                        <wpg:grpSpPr bwMode="auto">
                          <a:xfrm>
                            <a:off x="508600" y="574008"/>
                            <a:ext cx="689600" cy="457207"/>
                            <a:chOff x="5086" y="3876"/>
                            <a:chExt cx="6896" cy="4572"/>
                          </a:xfrm>
                        </wpg:grpSpPr>
                        <wps:wsp>
                          <wps:cNvPr id="9" name="Oval 7"/>
                          <wps:cNvSpPr>
                            <a:spLocks noChangeArrowheads="1"/>
                          </wps:cNvSpPr>
                          <wps:spPr bwMode="auto">
                            <a:xfrm>
                              <a:off x="5086" y="3876"/>
                              <a:ext cx="4572" cy="4572"/>
                            </a:xfrm>
                            <a:prstGeom prst="ellipse">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106C6C2" w14:textId="77777777" w:rsidR="002A2768" w:rsidRDefault="002A2768" w:rsidP="00DB39CD">
                                <w:pPr>
                                  <w:jc w:val="center"/>
                                  <w:rPr>
                                    <w:color w:val="000000" w:themeColor="text1"/>
                                    <w:vertAlign w:val="subscript"/>
                                  </w:rPr>
                                </w:pPr>
                                <w:r>
                                  <w:rPr>
                                    <w:color w:val="000000" w:themeColor="text1"/>
                                  </w:rPr>
                                  <w:t>G</w:t>
                                </w:r>
                                <w:r>
                                  <w:rPr>
                                    <w:color w:val="000000" w:themeColor="text1"/>
                                    <w:vertAlign w:val="subscript"/>
                                  </w:rPr>
                                  <w:t>1</w:t>
                                </w:r>
                              </w:p>
                            </w:txbxContent>
                          </wps:txbx>
                          <wps:bodyPr rot="0" vert="horz" wrap="square" lIns="0" tIns="45720" rIns="0" bIns="45720" anchor="ctr" anchorCtr="0" upright="1">
                            <a:noAutofit/>
                          </wps:bodyPr>
                        </wps:wsp>
                        <wps:wsp>
                          <wps:cNvPr id="10" name="Straight Connector 8"/>
                          <wps:cNvCnPr/>
                          <wps:spPr bwMode="auto">
                            <a:xfrm flipV="1">
                              <a:off x="9658" y="6161"/>
                              <a:ext cx="2286" cy="1"/>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 name="Straight Connector 9"/>
                          <wps:cNvCnPr/>
                          <wps:spPr bwMode="auto">
                            <a:xfrm>
                              <a:off x="11982" y="3876"/>
                              <a:ext cx="0" cy="4572"/>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g:wgp>
                        <wpg:cNvPr id="12" name="Group 35"/>
                        <wpg:cNvGrpSpPr>
                          <a:grpSpLocks/>
                        </wpg:cNvGrpSpPr>
                        <wpg:grpSpPr bwMode="auto">
                          <a:xfrm>
                            <a:off x="4846300" y="574008"/>
                            <a:ext cx="691500" cy="457207"/>
                            <a:chOff x="48463" y="5740"/>
                            <a:chExt cx="6915" cy="4572"/>
                          </a:xfrm>
                        </wpg:grpSpPr>
                        <wps:wsp>
                          <wps:cNvPr id="13" name="Oval 10"/>
                          <wps:cNvSpPr>
                            <a:spLocks noChangeArrowheads="1"/>
                          </wps:cNvSpPr>
                          <wps:spPr bwMode="auto">
                            <a:xfrm>
                              <a:off x="50806" y="5740"/>
                              <a:ext cx="4572" cy="4572"/>
                            </a:xfrm>
                            <a:prstGeom prst="ellipse">
                              <a:avLst/>
                            </a:prstGeom>
                            <a:noFill/>
                            <a:ln w="12700">
                              <a:solidFill>
                                <a:srgbClr val="008000"/>
                              </a:solidFill>
                              <a:round/>
                              <a:headEnd/>
                              <a:tailEnd/>
                            </a:ln>
                            <a:extLst>
                              <a:ext uri="{909E8E84-426E-40DD-AFC4-6F175D3DCCD1}">
                                <a14:hiddenFill xmlns:a14="http://schemas.microsoft.com/office/drawing/2010/main">
                                  <a:solidFill>
                                    <a:srgbClr val="FFFFFF"/>
                                  </a:solidFill>
                                </a14:hiddenFill>
                              </a:ext>
                            </a:extLst>
                          </wps:spPr>
                          <wps:txbx>
                            <w:txbxContent>
                              <w:p w14:paraId="349A0F22" w14:textId="77777777" w:rsidR="002A2768" w:rsidRDefault="002A2768" w:rsidP="00DB39CD">
                                <w:pPr>
                                  <w:jc w:val="center"/>
                                  <w:rPr>
                                    <w:color w:val="008000"/>
                                    <w:vertAlign w:val="subscript"/>
                                  </w:rPr>
                                </w:pPr>
                                <w:r>
                                  <w:rPr>
                                    <w:color w:val="008000"/>
                                  </w:rPr>
                                  <w:t>G</w:t>
                                </w:r>
                                <w:r>
                                  <w:rPr>
                                    <w:color w:val="008000"/>
                                    <w:vertAlign w:val="subscript"/>
                                  </w:rPr>
                                  <w:t>2</w:t>
                                </w:r>
                              </w:p>
                            </w:txbxContent>
                          </wps:txbx>
                          <wps:bodyPr rot="0" vert="horz" wrap="square" lIns="0" tIns="45720" rIns="0" bIns="45720" anchor="ctr" anchorCtr="0" upright="1">
                            <a:noAutofit/>
                          </wps:bodyPr>
                        </wps:wsp>
                        <wps:wsp>
                          <wps:cNvPr id="14" name="Straight Connector 11"/>
                          <wps:cNvCnPr/>
                          <wps:spPr bwMode="auto">
                            <a:xfrm flipV="1">
                              <a:off x="48463" y="8049"/>
                              <a:ext cx="2286" cy="1"/>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Straight Connector 12"/>
                          <wps:cNvCnPr/>
                          <wps:spPr bwMode="auto">
                            <a:xfrm>
                              <a:off x="48463" y="5740"/>
                              <a:ext cx="0" cy="4572"/>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s:wsp>
                        <wps:cNvPr id="16" name="Oval 13"/>
                        <wps:cNvSpPr>
                          <a:spLocks noChangeArrowheads="1"/>
                        </wps:cNvSpPr>
                        <wps:spPr bwMode="auto">
                          <a:xfrm>
                            <a:off x="5086300" y="1602724"/>
                            <a:ext cx="457200" cy="457207"/>
                          </a:xfrm>
                          <a:prstGeom prst="ellipse">
                            <a:avLst/>
                          </a:prstGeom>
                          <a:noFill/>
                          <a:ln w="12700">
                            <a:solidFill>
                              <a:srgbClr val="663300"/>
                            </a:solidFill>
                            <a:round/>
                            <a:headEnd/>
                            <a:tailEnd/>
                          </a:ln>
                          <a:extLst>
                            <a:ext uri="{909E8E84-426E-40DD-AFC4-6F175D3DCCD1}">
                              <a14:hiddenFill xmlns:a14="http://schemas.microsoft.com/office/drawing/2010/main">
                                <a:solidFill>
                                  <a:srgbClr val="FFFFFF"/>
                                </a:solidFill>
                              </a14:hiddenFill>
                            </a:ext>
                          </a:extLst>
                        </wps:spPr>
                        <wps:txbx>
                          <w:txbxContent>
                            <w:p w14:paraId="5645D232" w14:textId="77777777" w:rsidR="002A2768" w:rsidRDefault="002A2768" w:rsidP="00DB39CD">
                              <w:pPr>
                                <w:jc w:val="center"/>
                                <w:rPr>
                                  <w:color w:val="663300"/>
                                  <w:vertAlign w:val="subscript"/>
                                </w:rPr>
                              </w:pPr>
                              <w:r>
                                <w:rPr>
                                  <w:color w:val="663300"/>
                                </w:rPr>
                                <w:t>G</w:t>
                              </w:r>
                              <w:r>
                                <w:rPr>
                                  <w:color w:val="663300"/>
                                  <w:vertAlign w:val="subscript"/>
                                </w:rPr>
                                <w:t>3</w:t>
                              </w:r>
                            </w:p>
                          </w:txbxContent>
                        </wps:txbx>
                        <wps:bodyPr rot="0" vert="horz" wrap="square" lIns="0" tIns="45720" rIns="0" bIns="45720" anchor="ctr" anchorCtr="0" upright="1">
                          <a:noAutofit/>
                        </wps:bodyPr>
                      </wps:wsp>
                      <wps:wsp>
                        <wps:cNvPr id="17" name="Straight Connector 14"/>
                        <wps:cNvCnPr/>
                        <wps:spPr bwMode="auto">
                          <a:xfrm flipV="1">
                            <a:off x="4852000" y="1831227"/>
                            <a:ext cx="2286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8" name="Straight Connector 15"/>
                        <wps:cNvCnPr/>
                        <wps:spPr bwMode="auto">
                          <a:xfrm>
                            <a:off x="4852000" y="1602724"/>
                            <a:ext cx="0" cy="457207"/>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wpg:cNvPr id="19" name="Group 24"/>
                        <wpg:cNvGrpSpPr>
                          <a:grpSpLocks/>
                        </wpg:cNvGrpSpPr>
                        <wpg:grpSpPr bwMode="auto">
                          <a:xfrm>
                            <a:off x="622900" y="1510322"/>
                            <a:ext cx="457200" cy="549608"/>
                            <a:chOff x="13087" y="14722"/>
                            <a:chExt cx="4572" cy="5496"/>
                          </a:xfrm>
                        </wpg:grpSpPr>
                        <wps:wsp>
                          <wps:cNvPr id="20" name="Straight Connector 16"/>
                          <wps:cNvCnPr/>
                          <wps:spPr bwMode="auto">
                            <a:xfrm>
                              <a:off x="13087" y="15646"/>
                              <a:ext cx="0" cy="4572"/>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1" name="Straight Arrow Connector 17"/>
                          <wps:cNvCnPr>
                            <a:cxnSpLocks noChangeShapeType="1"/>
                          </wps:cNvCnPr>
                          <wps:spPr bwMode="auto">
                            <a:xfrm>
                              <a:off x="13087" y="17954"/>
                              <a:ext cx="3429"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 name="Text Box 18"/>
                          <wps:cNvSpPr txBox="1">
                            <a:spLocks noChangeArrowheads="1"/>
                          </wps:cNvSpPr>
                          <wps:spPr bwMode="auto">
                            <a:xfrm>
                              <a:off x="13087" y="14722"/>
                              <a:ext cx="4572" cy="3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038A88" w14:textId="77777777" w:rsidR="002A2768" w:rsidRDefault="002A2768" w:rsidP="00DB39CD">
                                <w:pPr>
                                  <w:rPr>
                                    <w:vertAlign w:val="subscript"/>
                                  </w:rPr>
                                </w:pPr>
                                <w:r>
                                  <w:t>L</w:t>
                                </w:r>
                                <w:r>
                                  <w:rPr>
                                    <w:vertAlign w:val="subscript"/>
                                  </w:rPr>
                                  <w:t>1</w:t>
                                </w:r>
                              </w:p>
                            </w:txbxContent>
                          </wps:txbx>
                          <wps:bodyPr rot="0" vert="horz" wrap="square" lIns="91440" tIns="45720" rIns="91440" bIns="45720" anchor="t" anchorCtr="0" upright="1">
                            <a:noAutofit/>
                          </wps:bodyPr>
                        </wps:wsp>
                      </wpg:wgp>
                      <wpg:wgp>
                        <wpg:cNvPr id="23" name="Group 25"/>
                        <wpg:cNvGrpSpPr>
                          <a:grpSpLocks/>
                        </wpg:cNvGrpSpPr>
                        <wpg:grpSpPr bwMode="auto">
                          <a:xfrm>
                            <a:off x="3823300" y="1510322"/>
                            <a:ext cx="457200" cy="549608"/>
                            <a:chOff x="14230" y="24340"/>
                            <a:chExt cx="4572" cy="5496"/>
                          </a:xfrm>
                        </wpg:grpSpPr>
                        <wps:wsp>
                          <wps:cNvPr id="24" name="Straight Connector 19"/>
                          <wps:cNvCnPr/>
                          <wps:spPr bwMode="auto">
                            <a:xfrm>
                              <a:off x="14230" y="25265"/>
                              <a:ext cx="0" cy="4571"/>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Straight Arrow Connector 20"/>
                          <wps:cNvCnPr>
                            <a:cxnSpLocks noChangeShapeType="1"/>
                          </wps:cNvCnPr>
                          <wps:spPr bwMode="auto">
                            <a:xfrm>
                              <a:off x="14230" y="27572"/>
                              <a:ext cx="3429" cy="0"/>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4230" y="24340"/>
                              <a:ext cx="4572" cy="3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EF5974" w14:textId="77777777" w:rsidR="002A2768" w:rsidRDefault="002A2768" w:rsidP="00DB39CD">
                                <w:pPr>
                                  <w:rPr>
                                    <w:vertAlign w:val="subscript"/>
                                  </w:rPr>
                                </w:pPr>
                                <w:r>
                                  <w:t>L</w:t>
                                </w:r>
                                <w:r>
                                  <w:rPr>
                                    <w:vertAlign w:val="subscript"/>
                                  </w:rPr>
                                  <w:t>2</w:t>
                                </w:r>
                              </w:p>
                            </w:txbxContent>
                          </wps:txbx>
                          <wps:bodyPr rot="0" vert="horz" wrap="square" lIns="91440" tIns="45720" rIns="91440" bIns="45720" anchor="t" anchorCtr="0" upright="1">
                            <a:noAutofit/>
                          </wps:bodyPr>
                        </wps:wsp>
                      </wpg:wgp>
                      <wps:wsp>
                        <wps:cNvPr id="27" name="Arc 27"/>
                        <wps:cNvSpPr>
                          <a:spLocks/>
                        </wps:cNvSpPr>
                        <wps:spPr bwMode="auto">
                          <a:xfrm flipH="1" flipV="1">
                            <a:off x="3023200" y="2600"/>
                            <a:ext cx="1485900" cy="2628539"/>
                          </a:xfrm>
                          <a:custGeom>
                            <a:avLst/>
                            <a:gdLst>
                              <a:gd name="T0" fmla="*/ 1060983 w 1485900"/>
                              <a:gd name="T1" fmla="*/ 126502 h 2628519"/>
                              <a:gd name="T2" fmla="*/ 1485873 w 1485900"/>
                              <a:gd name="T3" fmla="*/ 1302937 h 2628519"/>
                              <a:gd name="T4" fmla="*/ 1091861 w 1485900"/>
                              <a:gd name="T5" fmla="*/ 2474573 h 2628519"/>
                              <a:gd name="T6" fmla="*/ 0 60000 65536"/>
                              <a:gd name="T7" fmla="*/ 0 60000 65536"/>
                              <a:gd name="T8" fmla="*/ 0 60000 65536"/>
                            </a:gdLst>
                            <a:ahLst/>
                            <a:cxnLst>
                              <a:cxn ang="T6">
                                <a:pos x="T0" y="T1"/>
                              </a:cxn>
                              <a:cxn ang="T7">
                                <a:pos x="T2" y="T3"/>
                              </a:cxn>
                              <a:cxn ang="T8">
                                <a:pos x="T4" y="T5"/>
                              </a:cxn>
                            </a:cxnLst>
                            <a:rect l="0" t="0" r="r" b="b"/>
                            <a:pathLst>
                              <a:path w="1485900" h="2628519" stroke="0">
                                <a:moveTo>
                                  <a:pt x="1060983" y="126502"/>
                                </a:moveTo>
                                <a:cubicBezTo>
                                  <a:pt x="1318375" y="342168"/>
                                  <a:pt x="1483419" y="799143"/>
                                  <a:pt x="1485873" y="1302937"/>
                                </a:cubicBezTo>
                                <a:cubicBezTo>
                                  <a:pt x="1488259" y="1792871"/>
                                  <a:pt x="1336388" y="2244478"/>
                                  <a:pt x="1091861" y="2474573"/>
                                </a:cubicBezTo>
                                <a:lnTo>
                                  <a:pt x="742950" y="1314260"/>
                                </a:lnTo>
                                <a:lnTo>
                                  <a:pt x="1060983" y="126502"/>
                                </a:lnTo>
                                <a:close/>
                              </a:path>
                              <a:path w="1485900" h="2628519" fill="none">
                                <a:moveTo>
                                  <a:pt x="1060983" y="126502"/>
                                </a:moveTo>
                                <a:cubicBezTo>
                                  <a:pt x="1318375" y="342168"/>
                                  <a:pt x="1483419" y="799143"/>
                                  <a:pt x="1485873" y="1302937"/>
                                </a:cubicBezTo>
                                <a:cubicBezTo>
                                  <a:pt x="1488259" y="1792871"/>
                                  <a:pt x="1336388" y="2244478"/>
                                  <a:pt x="1091861" y="2474573"/>
                                </a:cubicBezTo>
                              </a:path>
                            </a:pathLst>
                          </a:custGeom>
                          <a:noFill/>
                          <a:ln w="9525">
                            <a:solidFill>
                              <a:schemeClr val="tx1">
                                <a:lumMod val="100000"/>
                                <a:lumOff val="0"/>
                              </a:schemeClr>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Text Box 21"/>
                        <wps:cNvSpPr txBox="1">
                          <a:spLocks noChangeArrowheads="1"/>
                        </wps:cNvSpPr>
                        <wps:spPr bwMode="auto">
                          <a:xfrm>
                            <a:off x="2579300" y="503107"/>
                            <a:ext cx="457200" cy="32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633E66" w14:textId="77777777" w:rsidR="002A2768" w:rsidRDefault="002A2768" w:rsidP="00DB39CD">
                              <w:pPr>
                                <w:pStyle w:val="NormalWeb"/>
                                <w:spacing w:before="0" w:beforeAutospacing="0" w:after="0" w:afterAutospacing="0"/>
                                <w:jc w:val="right"/>
                                <w:rPr>
                                  <w:i/>
                                </w:rPr>
                              </w:pPr>
                              <w:r>
                                <w:rPr>
                                  <w:rFonts w:eastAsia="Times New Roman"/>
                                  <w:i/>
                                  <w:kern w:val="16"/>
                                </w:rPr>
                                <w:t>E</w:t>
                              </w:r>
                            </w:p>
                          </w:txbxContent>
                        </wps:txbx>
                        <wps:bodyPr rot="0" vert="horz" wrap="square" lIns="91440" tIns="45720" rIns="91440" bIns="45720" anchor="t" anchorCtr="0" upright="1">
                          <a:noAutofit/>
                        </wps:bodyPr>
                      </wps:wsp>
                      <wps:wsp>
                        <wps:cNvPr id="29" name="Straight Arrow Connector 29"/>
                        <wps:cNvCnPr>
                          <a:cxnSpLocks noChangeShapeType="1"/>
                        </wps:cNvCnPr>
                        <wps:spPr bwMode="auto">
                          <a:xfrm flipH="1">
                            <a:off x="2680300" y="819312"/>
                            <a:ext cx="571500" cy="0"/>
                          </a:xfrm>
                          <a:prstGeom prst="straightConnector1">
                            <a:avLst/>
                          </a:prstGeom>
                          <a:noFill/>
                          <a:ln w="12700" cmpd="dbl">
                            <a:solidFill>
                              <a:schemeClr val="tx1">
                                <a:lumMod val="100000"/>
                                <a:lumOff val="0"/>
                              </a:schemeClr>
                            </a:solidFill>
                            <a:round/>
                            <a:headEnd/>
                            <a:tailEnd type="stealth"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1E609993" id="Canvas 30" o:spid="_x0000_s1026" editas="canvas" style="width:468pt;height:213.2pt;mso-position-horizontal-relative:char;mso-position-vertical-relative:line" coordsize="59436,27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">
                <v:shape id="_x0000_s1027" type="#_x0000_t75" style="position:absolute;width:59436;height:27076;visibility:visible;mso-wrap-style:square">
                  <v:fill o:detectmouseclick="t"/>
                  <v:path o:connecttype="none"/>
                </v:shape>
                <v:oval id="Oval 2" o:spid="_x0000_s1028" style="position:absolute;top:241;width:26292;height:2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" filled="f" strokecolor="black [3213]" strokeweight="1pt">
                  <v:textbox>
                    <w:txbxContent>
                      <w:p w14:paraId="39888D02" w14:textId="77777777" w:rsidR="002A2768" w:rsidRDefault="002A2768" w:rsidP="00DB39CD">
                        <w:pPr>
                          <w:jc w:val="center"/>
                          <w:rPr>
                            <w:color w:val="000000" w:themeColor="text1"/>
                          </w:rPr>
                        </w:pPr>
                        <w:r>
                          <w:rPr>
                            <w:color w:val="000000" w:themeColor="text1"/>
                          </w:rPr>
                          <w:t>CAISO</w:t>
                        </w:r>
                      </w:p>
                    </w:txbxContent>
                  </v:textbox>
                </v:oval>
                <v:oval id="Oval 3" o:spid="_x0000_s1029" style="position:absolute;left:33064;top:241;width:26292;height:26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" filled="f" strokecolor="black [3213]" strokeweight="1pt">
                  <v:textbox>
                    <w:txbxContent>
                      <w:p w14:paraId="7AB99026" w14:textId="523262F5" w:rsidR="002A2768" w:rsidRDefault="002A2768" w:rsidP="00DB39CD">
                        <w:pPr>
                          <w:jc w:val="center"/>
                          <w:rPr>
                            <w:color w:val="000000" w:themeColor="text1"/>
                          </w:rPr>
                        </w:pPr>
                        <w:r>
                          <w:rPr>
                            <w:color w:val="000000" w:themeColor="text1"/>
                          </w:rPr>
                          <w:t>EIM Entity BAA</w:t>
                        </w:r>
                      </w:p>
                    </w:txbxContent>
                  </v:textbox>
                </v:oval>
                <v:line id="Straight Connector 4" o:spid="_x0000_s1030" style="position:absolute;flip:x;visibility:visible;mso-wrap-style:square" from="24517,13165" to="34804,1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" strokecolor="black [3213]" strokeweight="1pt"/>
                <v:line id="Straight Connector 5" o:spid="_x0000_s1031" style="position:absolute;flip:x;visibility:visible;mso-wrap-style:square" from="19945,3874" to="39376,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" strokecolor="black [3213]" strokeweight="1pt"/>
                <v:line id="Straight Connector 6" o:spid="_x0000_s1032" style="position:absolute;flip:x;visibility:visible;mso-wrap-style:square" from="19945,22457" to="39376,2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" strokecolor="black [3213]" strokeweight="1pt"/>
                <v:group id="Group 22" o:spid="_x0000_s1033" style="position:absolute;left:5086;top:5740;width:6896;height:4572" coordorigin="5086,3876" coordsize="689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 o:spid="_x0000_s1034" style="position:absolute;left:5086;top:3876;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" filled="f" strokecolor="black [3213]" strokeweight="1pt">
                    <v:textbox inset="0,,0">
                      <w:txbxContent>
                        <w:p w14:paraId="0106C6C2" w14:textId="77777777" w:rsidR="002A2768" w:rsidRDefault="002A2768" w:rsidP="00DB39CD">
                          <w:pPr>
                            <w:jc w:val="center"/>
                            <w:rPr>
                              <w:color w:val="000000" w:themeColor="text1"/>
                              <w:vertAlign w:val="subscript"/>
                            </w:rPr>
                          </w:pPr>
                          <w:r>
                            <w:rPr>
                              <w:color w:val="000000" w:themeColor="text1"/>
                            </w:rPr>
                            <w:t>G</w:t>
                          </w:r>
                          <w:r>
                            <w:rPr>
                              <w:color w:val="000000" w:themeColor="text1"/>
                              <w:vertAlign w:val="subscript"/>
                            </w:rPr>
                            <w:t>1</w:t>
                          </w:r>
                        </w:p>
                      </w:txbxContent>
                    </v:textbox>
                  </v:oval>
                  <v:line id="Straight Connector 8" o:spid="_x0000_s1035" style="position:absolute;flip:y;visibility:visible;mso-wrap-style:square" from="9658,6161" to="11944,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" strokecolor="black [3213]" strokeweight="1pt"/>
                  <v:line id="Straight Connector 9" o:spid="_x0000_s1036" style="position:absolute;visibility:visible;mso-wrap-style:square" from="11982,3876" to="11982,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" strokecolor="black [3213]" strokeweight="2pt"/>
                </v:group>
                <v:group id="Group 35" o:spid="_x0000_s1037" style="position:absolute;left:48463;top:5740;width:6915;height:4572" coordorigin="48463,5740" coordsize="691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0" o:spid="_x0000_s1038" style="position:absolute;left:50806;top:5740;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" filled="f" strokecolor="green" strokeweight="1pt">
                    <v:textbox inset="0,,0">
                      <w:txbxContent>
                        <w:p w14:paraId="349A0F22" w14:textId="77777777" w:rsidR="002A2768" w:rsidRDefault="002A2768" w:rsidP="00DB39CD">
                          <w:pPr>
                            <w:jc w:val="center"/>
                            <w:rPr>
                              <w:color w:val="008000"/>
                              <w:vertAlign w:val="subscript"/>
                            </w:rPr>
                          </w:pPr>
                          <w:r>
                            <w:rPr>
                              <w:color w:val="008000"/>
                            </w:rPr>
                            <w:t>G</w:t>
                          </w:r>
                          <w:r>
                            <w:rPr>
                              <w:color w:val="008000"/>
                              <w:vertAlign w:val="subscript"/>
                            </w:rPr>
                            <w:t>2</w:t>
                          </w:r>
                        </w:p>
                      </w:txbxContent>
                    </v:textbox>
                  </v:oval>
                  <v:line id="Straight Connector 11" o:spid="_x0000_s1039" style="position:absolute;flip:y;visibility:visible;mso-wrap-style:square" from="48463,8049" to="50749,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" strokecolor="black [3213]" strokeweight="1pt"/>
                  <v:line id="Straight Connector 12" o:spid="_x0000_s1040" style="position:absolute;visibility:visible;mso-wrap-style:square" from="48463,5740" to="48463,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" strokecolor="black [3213]" strokeweight="2pt"/>
                </v:group>
                <v:oval id="Oval 13" o:spid="_x0000_s1041" style="position:absolute;left:50863;top:16027;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" filled="f" strokecolor="#630" strokeweight="1pt">
                  <v:textbox inset="0,,0">
                    <w:txbxContent>
                      <w:p w14:paraId="5645D232" w14:textId="77777777" w:rsidR="002A2768" w:rsidRDefault="002A2768" w:rsidP="00DB39CD">
                        <w:pPr>
                          <w:jc w:val="center"/>
                          <w:rPr>
                            <w:color w:val="663300"/>
                            <w:vertAlign w:val="subscript"/>
                          </w:rPr>
                        </w:pPr>
                        <w:r>
                          <w:rPr>
                            <w:color w:val="663300"/>
                          </w:rPr>
                          <w:t>G</w:t>
                        </w:r>
                        <w:r>
                          <w:rPr>
                            <w:color w:val="663300"/>
                            <w:vertAlign w:val="subscript"/>
                          </w:rPr>
                          <w:t>3</w:t>
                        </w:r>
                      </w:p>
                    </w:txbxContent>
                  </v:textbox>
                </v:oval>
                <v:line id="Straight Connector 14" o:spid="_x0000_s1042" style="position:absolute;flip:y;visibility:visible;mso-wrap-style:square" from="48520,18312" to="50806,1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" strokecolor="black [3213]" strokeweight="1pt"/>
                <v:line id="Straight Connector 15" o:spid="_x0000_s1043" style="position:absolute;visibility:visible;mso-wrap-style:square" from="48520,16027" to="48520,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" strokecolor="black [3213]" strokeweight="2pt"/>
                <v:group id="Group 24" o:spid="_x0000_s1044" style="position:absolute;left:6229;top:15103;width:4572;height:5496" coordorigin="13087,14722" coordsize="4572,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16" o:spid="_x0000_s1045" style="position:absolute;visibility:visible;mso-wrap-style:square" from="13087,15646" to="13087,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" strokecolor="black [3213]" strokeweight="2pt"/>
                  <v:shapetype id="_x0000_t32" coordsize="21600,21600" o:spt="32" o:oned="t" path="m,l21600,21600e" filled="f">
                    <v:path arrowok="t" fillok="f" o:connecttype="none"/>
                    <o:lock v:ext="edit" shapetype="t"/>
                  </v:shapetype>
                  <v:shape id="Straight Arrow Connector 17" o:spid="_x0000_s1046" type="#_x0000_t32" style="position:absolute;left:13087;top:17954;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" strokecolor="black [3213]" strokeweight="1pt">
                    <v:stroke endarrow="block"/>
                  </v:shape>
                  <v:shapetype id="_x0000_t202" coordsize="21600,21600" o:spt="202" path="m,l,21600r21600,l21600,xe">
                    <v:stroke joinstyle="miter"/>
                    <v:path gradientshapeok="t" o:connecttype="rect"/>
                  </v:shapetype>
                  <v:shape id="Text Box 18" o:spid="_x0000_s1047" type="#_x0000_t202" style="position:absolute;left:13087;top:14722;width:45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E038A88" w14:textId="77777777" w:rsidR="002A2768" w:rsidRDefault="002A2768" w:rsidP="00DB39CD">
                          <w:pPr>
                            <w:rPr>
                              <w:vertAlign w:val="subscript"/>
                            </w:rPr>
                          </w:pPr>
                          <w:r>
                            <w:t>L</w:t>
                          </w:r>
                          <w:r>
                            <w:rPr>
                              <w:vertAlign w:val="subscript"/>
                            </w:rPr>
                            <w:t>1</w:t>
                          </w:r>
                        </w:p>
                      </w:txbxContent>
                    </v:textbox>
                  </v:shape>
                </v:group>
                <v:group id="Group 25" o:spid="_x0000_s1048" style="position:absolute;left:38233;top:15103;width:4572;height:5496" coordorigin="14230,24340" coordsize="4572,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19" o:spid="_x0000_s1049" style="position:absolute;visibility:visible;mso-wrap-style:square" from="14230,25265" to="14230,29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" strokecolor="black [3213]" strokeweight="2pt"/>
                  <v:shape id="Straight Arrow Connector 20" o:spid="_x0000_s1050" type="#_x0000_t32" style="position:absolute;left:14230;top:27572;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" strokecolor="black [3213]" strokeweight="1pt">
                    <v:stroke endarrow="block"/>
                  </v:shape>
                  <v:shape id="Text Box 21" o:spid="_x0000_s1051" type="#_x0000_t202" style="position:absolute;left:14230;top:24340;width:45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5CEF5974" w14:textId="77777777" w:rsidR="002A2768" w:rsidRDefault="002A2768" w:rsidP="00DB39CD">
                          <w:pPr>
                            <w:rPr>
                              <w:vertAlign w:val="subscript"/>
                            </w:rPr>
                          </w:pPr>
                          <w:r>
                            <w:t>L</w:t>
                          </w:r>
                          <w:r>
                            <w:rPr>
                              <w:vertAlign w:val="subscript"/>
                            </w:rPr>
                            <w:t>2</w:t>
                          </w:r>
                        </w:p>
                      </w:txbxContent>
                    </v:textbox>
                  </v:shape>
                </v:group>
                <v:shape id="Arc 27" o:spid="_x0000_s1052" style="position:absolute;left:30232;top:26;width:14859;height:26285;flip:x y;visibility:visible;mso-wrap-style:square;v-text-anchor:middle" coordsize="1485900,26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" path="m1060983,126502nsc1318375,342168,1483419,799143,1485873,1302937v2386,489934,-149485,941541,-394012,1171636l742950,1314260,1060983,126502xem1060983,126502nfc1318375,342168,1483419,799143,1485873,1302937v2386,489934,-149485,941541,-394012,1171636e" filled="f" strokecolor="black [3213]">
                  <v:stroke dashstyle="dashDot"/>
                  <v:path arrowok="t" o:connecttype="custom" o:connectlocs="1060983,126503;1485873,1302947;1091861,2474592" o:connectangles="0,0,0"/>
                </v:shape>
                <v:shape id="Text Box 21" o:spid="_x0000_s1053" type="#_x0000_t202" style="position:absolute;left:25793;top:5031;width:457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8633E66" w14:textId="77777777" w:rsidR="002A2768" w:rsidRDefault="002A2768" w:rsidP="00DB39CD">
                        <w:pPr>
                          <w:pStyle w:val="NormalWeb"/>
                          <w:spacing w:before="0" w:beforeAutospacing="0" w:after="0" w:afterAutospacing="0"/>
                          <w:jc w:val="right"/>
                          <w:rPr>
                            <w:i/>
                          </w:rPr>
                        </w:pPr>
                        <w:r>
                          <w:rPr>
                            <w:rFonts w:eastAsia="Times New Roman"/>
                            <w:i/>
                            <w:kern w:val="16"/>
                          </w:rPr>
                          <w:t>E</w:t>
                        </w:r>
                      </w:p>
                    </w:txbxContent>
                  </v:textbox>
                </v:shape>
                <v:shape id="Straight Arrow Connector 29" o:spid="_x0000_s1054" type="#_x0000_t32" style="position:absolute;left:26803;top:8193;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" strokecolor="black [3213]" strokeweight="1pt">
                  <v:stroke endarrow="classic" endarrowwidth="wide" endarrowlength="long" linestyle="thinThin"/>
                </v:shape>
                <w10:anchorlock/>
              </v:group>
            </w:pict>
          </mc:Fallback>
        </mc:AlternateContent>
      </w:r>
    </w:p>
    <w:p w14:paraId="378DFDCF" w14:textId="77777777" w:rsidR="009D57CA" w:rsidRDefault="009D57CA" w:rsidP="00DB39CD">
      <w:pPr>
        <w:spacing w:before="240"/>
      </w:pPr>
    </w:p>
    <w:p w14:paraId="5D4ECFE7" w14:textId="77777777" w:rsidR="009D57CA" w:rsidRDefault="009D57CA" w:rsidP="00DB39CD">
      <w:pPr>
        <w:spacing w:before="240"/>
      </w:pPr>
    </w:p>
    <w:p w14:paraId="338ACBBA" w14:textId="77777777" w:rsidR="009D57CA" w:rsidRDefault="009D57CA" w:rsidP="00DB39CD">
      <w:pPr>
        <w:spacing w:before="240"/>
      </w:pPr>
    </w:p>
    <w:p w14:paraId="6EB66D3E" w14:textId="77777777" w:rsidR="009D57CA" w:rsidRDefault="009D57CA" w:rsidP="00DB39CD">
      <w:pPr>
        <w:spacing w:before="240"/>
      </w:pPr>
    </w:p>
    <w:p w14:paraId="6789D915" w14:textId="77777777" w:rsidR="009D57CA" w:rsidRDefault="00DB39CD" w:rsidP="00877DDB">
      <w:pPr>
        <w:pStyle w:val="BPM"/>
      </w:pPr>
      <w:r>
        <w:t>The power transfer (</w:t>
      </w:r>
      <w:r>
        <w:rPr>
          <w:i/>
        </w:rPr>
        <w:t>E</w:t>
      </w:r>
      <w:r>
        <w:t>) between the BAAs is limited to 100MW. The resource data is as follows:</w:t>
      </w:r>
    </w:p>
    <w:p w14:paraId="2E59FAAF" w14:textId="77777777" w:rsidR="001177A2" w:rsidRDefault="001177A2" w:rsidP="00DB39CD">
      <w:pPr>
        <w:spacing w:before="240"/>
      </w:pPr>
    </w:p>
    <w:tbl>
      <w:tblPr>
        <w:tblW w:w="0" w:type="auto"/>
        <w:jc w:val="center"/>
        <w:tblLook w:val="04A0" w:firstRow="1" w:lastRow="0" w:firstColumn="1" w:lastColumn="0" w:noHBand="0" w:noVBand="1"/>
      </w:tblPr>
      <w:tblGrid>
        <w:gridCol w:w="694"/>
        <w:gridCol w:w="1781"/>
      </w:tblGrid>
      <w:tr w:rsidR="001177A2" w14:paraId="3CDBE95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F2CF4F" w14:textId="77777777" w:rsidR="001177A2" w:rsidRDefault="001177A2">
            <w:pPr>
              <w:suppressAutoHyphens/>
              <w:jc w:val="center"/>
              <w:rPr>
                <w:b/>
                <w:kern w:val="16"/>
              </w:rPr>
            </w:pPr>
            <w:r>
              <w:rPr>
                <w:b/>
              </w:rPr>
              <w:t>Load</w:t>
            </w:r>
          </w:p>
        </w:tc>
        <w:tc>
          <w:tcPr>
            <w:tcW w:w="178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07EB55" w14:textId="77777777" w:rsidR="001177A2" w:rsidRDefault="001177A2">
            <w:pPr>
              <w:suppressAutoHyphens/>
              <w:jc w:val="center"/>
              <w:rPr>
                <w:b/>
                <w:kern w:val="16"/>
              </w:rPr>
            </w:pPr>
            <w:r>
              <w:rPr>
                <w:b/>
              </w:rPr>
              <w:t>Forecast (MW)</w:t>
            </w:r>
          </w:p>
        </w:tc>
      </w:tr>
      <w:tr w:rsidR="001177A2" w14:paraId="64E916B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B941ADA" w14:textId="77777777" w:rsidR="001177A2" w:rsidRDefault="001177A2">
            <w:pPr>
              <w:suppressAutoHyphens/>
              <w:jc w:val="center"/>
              <w:rPr>
                <w:kern w:val="16"/>
                <w:vertAlign w:val="subscript"/>
              </w:rPr>
            </w:pPr>
            <w:r>
              <w:lastRenderedPageBreak/>
              <w:t>L</w:t>
            </w:r>
            <w:r>
              <w:rPr>
                <w:vertAlign w:val="subscript"/>
              </w:rPr>
              <w:t>1</w:t>
            </w:r>
          </w:p>
        </w:tc>
        <w:tc>
          <w:tcPr>
            <w:tcW w:w="1781" w:type="dxa"/>
            <w:tcBorders>
              <w:top w:val="single" w:sz="4" w:space="0" w:color="auto"/>
              <w:left w:val="single" w:sz="4" w:space="0" w:color="auto"/>
              <w:bottom w:val="single" w:sz="4" w:space="0" w:color="auto"/>
              <w:right w:val="single" w:sz="4" w:space="0" w:color="auto"/>
            </w:tcBorders>
            <w:hideMark/>
          </w:tcPr>
          <w:p w14:paraId="5BD71262" w14:textId="77777777" w:rsidR="001177A2" w:rsidRDefault="001177A2">
            <w:pPr>
              <w:suppressAutoHyphens/>
              <w:jc w:val="center"/>
              <w:rPr>
                <w:kern w:val="16"/>
              </w:rPr>
            </w:pPr>
            <w:r>
              <w:t>200</w:t>
            </w:r>
          </w:p>
        </w:tc>
      </w:tr>
      <w:tr w:rsidR="001177A2" w14:paraId="492BADB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D1A2208" w14:textId="77777777" w:rsidR="001177A2" w:rsidRDefault="001177A2">
            <w:pPr>
              <w:suppressAutoHyphens/>
              <w:jc w:val="center"/>
              <w:rPr>
                <w:kern w:val="16"/>
                <w:vertAlign w:val="subscript"/>
              </w:rPr>
            </w:pPr>
            <w:r>
              <w:t>L</w:t>
            </w:r>
            <w:r>
              <w:rPr>
                <w:vertAlign w:val="subscript"/>
              </w:rPr>
              <w:t>2</w:t>
            </w:r>
          </w:p>
        </w:tc>
        <w:tc>
          <w:tcPr>
            <w:tcW w:w="1781" w:type="dxa"/>
            <w:tcBorders>
              <w:top w:val="single" w:sz="4" w:space="0" w:color="auto"/>
              <w:left w:val="single" w:sz="4" w:space="0" w:color="auto"/>
              <w:bottom w:val="single" w:sz="4" w:space="0" w:color="auto"/>
              <w:right w:val="single" w:sz="4" w:space="0" w:color="auto"/>
            </w:tcBorders>
            <w:hideMark/>
          </w:tcPr>
          <w:p w14:paraId="4E9870C9" w14:textId="77777777" w:rsidR="001177A2" w:rsidRDefault="001177A2">
            <w:pPr>
              <w:suppressAutoHyphens/>
              <w:jc w:val="center"/>
              <w:rPr>
                <w:kern w:val="16"/>
              </w:rPr>
            </w:pPr>
            <w:r>
              <w:t>50</w:t>
            </w:r>
          </w:p>
        </w:tc>
      </w:tr>
    </w:tbl>
    <w:p w14:paraId="2BB4A930" w14:textId="77777777" w:rsidR="001177A2" w:rsidRDefault="001177A2" w:rsidP="001177A2">
      <w:pPr>
        <w:rPr>
          <w:kern w:val="16"/>
        </w:rPr>
      </w:pPr>
    </w:p>
    <w:tbl>
      <w:tblPr>
        <w:tblW w:w="0" w:type="auto"/>
        <w:jc w:val="center"/>
        <w:tblLook w:val="04A0" w:firstRow="1" w:lastRow="0" w:firstColumn="1" w:lastColumn="0" w:noHBand="0" w:noVBand="1"/>
      </w:tblPr>
      <w:tblGrid>
        <w:gridCol w:w="1231"/>
        <w:gridCol w:w="1192"/>
        <w:gridCol w:w="1231"/>
        <w:gridCol w:w="1032"/>
        <w:gridCol w:w="1766"/>
      </w:tblGrid>
      <w:tr w:rsidR="001177A2" w14:paraId="0C9BD375"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CB7080" w14:textId="77777777" w:rsidR="001177A2" w:rsidRDefault="001177A2">
            <w:pPr>
              <w:suppressAutoHyphens/>
              <w:jc w:val="center"/>
              <w:rPr>
                <w:b/>
                <w:kern w:val="16"/>
              </w:rPr>
            </w:pPr>
            <w:r>
              <w:rPr>
                <w:b/>
              </w:rPr>
              <w:t>Generator</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A7C514" w14:textId="77777777" w:rsidR="001177A2" w:rsidRDefault="001177A2">
            <w:pPr>
              <w:suppressAutoHyphens/>
              <w:jc w:val="center"/>
              <w:rPr>
                <w:b/>
                <w:kern w:val="16"/>
              </w:rPr>
            </w:pPr>
            <w:r>
              <w:rPr>
                <w:b/>
              </w:rPr>
              <w:t>Minimum</w:t>
            </w:r>
            <w:r>
              <w:rPr>
                <w:b/>
              </w:rPr>
              <w:br/>
              <w:t>(</w:t>
            </w:r>
            <w:r>
              <w:rPr>
                <w:b/>
                <w:sz w:val="20"/>
              </w:rPr>
              <w:t>MW</w:t>
            </w:r>
            <w:r>
              <w:rPr>
                <w:b/>
              </w:rPr>
              <w:t>)</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405D4B" w14:textId="77777777" w:rsidR="001177A2" w:rsidRDefault="001177A2">
            <w:pPr>
              <w:suppressAutoHyphens/>
              <w:jc w:val="center"/>
              <w:rPr>
                <w:b/>
                <w:kern w:val="16"/>
              </w:rPr>
            </w:pPr>
            <w:r>
              <w:rPr>
                <w:b/>
              </w:rPr>
              <w:t>Maximum</w:t>
            </w:r>
            <w:r>
              <w:rPr>
                <w:b/>
              </w:rPr>
              <w:br/>
              <w:t>(</w:t>
            </w:r>
            <w:r>
              <w:rPr>
                <w:b/>
                <w:sz w:val="20"/>
              </w:rPr>
              <w:t>MW</w:t>
            </w:r>
            <w:r>
              <w:rPr>
                <w:b/>
              </w:rPr>
              <w:t>)</w:t>
            </w:r>
          </w:p>
        </w:tc>
        <w:tc>
          <w:tcPr>
            <w:tcW w:w="103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E47D599" w14:textId="77777777" w:rsidR="001177A2" w:rsidRDefault="001177A2">
            <w:pPr>
              <w:suppressAutoHyphens/>
              <w:jc w:val="center"/>
              <w:rPr>
                <w:b/>
                <w:kern w:val="16"/>
              </w:rPr>
            </w:pPr>
            <w:r>
              <w:rPr>
                <w:b/>
              </w:rPr>
              <w:t>Energy Bid</w:t>
            </w:r>
            <w:r>
              <w:rPr>
                <w:b/>
              </w:rPr>
              <w:br/>
              <w:t>(</w:t>
            </w:r>
            <w:r>
              <w:rPr>
                <w:b/>
                <w:sz w:val="20"/>
              </w:rPr>
              <w:t>$/MWh</w:t>
            </w:r>
            <w:r>
              <w:rPr>
                <w:b/>
              </w:rPr>
              <w:t>)</w:t>
            </w:r>
          </w:p>
        </w:tc>
        <w:tc>
          <w:tcPr>
            <w:tcW w:w="176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DA0FC6" w14:textId="77777777" w:rsidR="001177A2" w:rsidRDefault="001177A2">
            <w:pPr>
              <w:suppressAutoHyphens/>
              <w:jc w:val="center"/>
              <w:rPr>
                <w:b/>
                <w:kern w:val="16"/>
              </w:rPr>
            </w:pPr>
            <w:r>
              <w:rPr>
                <w:b/>
              </w:rPr>
              <w:t>GHG Compliance Bid Adder</w:t>
            </w:r>
            <w:r>
              <w:rPr>
                <w:b/>
              </w:rPr>
              <w:br/>
              <w:t>(</w:t>
            </w:r>
            <w:r>
              <w:rPr>
                <w:b/>
                <w:sz w:val="20"/>
              </w:rPr>
              <w:t>$/MWh</w:t>
            </w:r>
            <w:r>
              <w:rPr>
                <w:b/>
              </w:rPr>
              <w:t>)</w:t>
            </w:r>
          </w:p>
        </w:tc>
      </w:tr>
      <w:tr w:rsidR="001177A2" w14:paraId="6D299690"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10BEFA4"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51F55300"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4B7DFA78" w14:textId="77777777" w:rsidR="001177A2" w:rsidRDefault="001177A2">
            <w:pPr>
              <w:suppressAutoHyphens/>
              <w:jc w:val="center"/>
              <w:rPr>
                <w:kern w:val="16"/>
              </w:rPr>
            </w:pPr>
            <w:r>
              <w:t>300</w:t>
            </w:r>
          </w:p>
        </w:tc>
        <w:tc>
          <w:tcPr>
            <w:tcW w:w="1032" w:type="dxa"/>
            <w:tcBorders>
              <w:top w:val="single" w:sz="4" w:space="0" w:color="auto"/>
              <w:left w:val="single" w:sz="4" w:space="0" w:color="auto"/>
              <w:bottom w:val="single" w:sz="4" w:space="0" w:color="auto"/>
              <w:right w:val="single" w:sz="4" w:space="0" w:color="auto"/>
            </w:tcBorders>
            <w:hideMark/>
          </w:tcPr>
          <w:p w14:paraId="3AFEB4C5" w14:textId="77777777" w:rsidR="001177A2" w:rsidRDefault="001177A2">
            <w:pPr>
              <w:suppressAutoHyphens/>
              <w:jc w:val="center"/>
              <w:rPr>
                <w:kern w:val="16"/>
              </w:rPr>
            </w:pPr>
            <w:r>
              <w:t>50</w:t>
            </w:r>
          </w:p>
        </w:tc>
        <w:tc>
          <w:tcPr>
            <w:tcW w:w="1766" w:type="dxa"/>
            <w:tcBorders>
              <w:top w:val="single" w:sz="4" w:space="0" w:color="auto"/>
              <w:left w:val="single" w:sz="4" w:space="0" w:color="auto"/>
              <w:bottom w:val="single" w:sz="4" w:space="0" w:color="auto"/>
              <w:right w:val="single" w:sz="4" w:space="0" w:color="auto"/>
            </w:tcBorders>
            <w:hideMark/>
          </w:tcPr>
          <w:p w14:paraId="5869C7FA" w14:textId="77777777" w:rsidR="001177A2" w:rsidRDefault="001177A2">
            <w:pPr>
              <w:suppressAutoHyphens/>
              <w:jc w:val="center"/>
              <w:rPr>
                <w:kern w:val="16"/>
              </w:rPr>
            </w:pPr>
            <w:r>
              <w:t>-</w:t>
            </w:r>
          </w:p>
        </w:tc>
      </w:tr>
      <w:tr w:rsidR="001177A2" w14:paraId="0D34803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F81FCDC"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68CE6926"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1A4BFEE" w14:textId="77777777" w:rsidR="001177A2" w:rsidRDefault="001177A2">
            <w:pPr>
              <w:suppressAutoHyphens/>
              <w:jc w:val="center"/>
              <w:rPr>
                <w:kern w:val="16"/>
              </w:rPr>
            </w:pPr>
            <w:r>
              <w:t>200</w:t>
            </w:r>
          </w:p>
        </w:tc>
        <w:tc>
          <w:tcPr>
            <w:tcW w:w="1032" w:type="dxa"/>
            <w:tcBorders>
              <w:top w:val="single" w:sz="4" w:space="0" w:color="auto"/>
              <w:left w:val="single" w:sz="4" w:space="0" w:color="auto"/>
              <w:bottom w:val="single" w:sz="4" w:space="0" w:color="auto"/>
              <w:right w:val="single" w:sz="4" w:space="0" w:color="auto"/>
            </w:tcBorders>
            <w:hideMark/>
          </w:tcPr>
          <w:p w14:paraId="3863E13B" w14:textId="77777777" w:rsidR="001177A2" w:rsidRDefault="001177A2">
            <w:pPr>
              <w:suppressAutoHyphens/>
              <w:jc w:val="center"/>
              <w:rPr>
                <w:kern w:val="16"/>
              </w:rPr>
            </w:pPr>
            <w:r>
              <w:t>35</w:t>
            </w:r>
          </w:p>
        </w:tc>
        <w:tc>
          <w:tcPr>
            <w:tcW w:w="1766" w:type="dxa"/>
            <w:tcBorders>
              <w:top w:val="single" w:sz="4" w:space="0" w:color="auto"/>
              <w:left w:val="single" w:sz="4" w:space="0" w:color="auto"/>
              <w:bottom w:val="single" w:sz="4" w:space="0" w:color="auto"/>
              <w:right w:val="single" w:sz="4" w:space="0" w:color="auto"/>
            </w:tcBorders>
            <w:hideMark/>
          </w:tcPr>
          <w:p w14:paraId="6AC4711E" w14:textId="77777777" w:rsidR="001177A2" w:rsidRDefault="001177A2">
            <w:pPr>
              <w:suppressAutoHyphens/>
              <w:jc w:val="center"/>
              <w:rPr>
                <w:kern w:val="16"/>
              </w:rPr>
            </w:pPr>
            <w:r>
              <w:t>0</w:t>
            </w:r>
          </w:p>
        </w:tc>
      </w:tr>
      <w:tr w:rsidR="001177A2" w14:paraId="37687E4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22687AE"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0B2FFAAD"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4AB077DE" w14:textId="77777777" w:rsidR="001177A2" w:rsidRDefault="001177A2">
            <w:pPr>
              <w:suppressAutoHyphens/>
              <w:jc w:val="center"/>
              <w:rPr>
                <w:kern w:val="16"/>
              </w:rPr>
            </w:pPr>
            <w:r>
              <w:t>200</w:t>
            </w:r>
          </w:p>
        </w:tc>
        <w:tc>
          <w:tcPr>
            <w:tcW w:w="1032" w:type="dxa"/>
            <w:tcBorders>
              <w:top w:val="single" w:sz="4" w:space="0" w:color="auto"/>
              <w:left w:val="single" w:sz="4" w:space="0" w:color="auto"/>
              <w:bottom w:val="single" w:sz="4" w:space="0" w:color="auto"/>
              <w:right w:val="single" w:sz="4" w:space="0" w:color="auto"/>
            </w:tcBorders>
            <w:hideMark/>
          </w:tcPr>
          <w:p w14:paraId="6EF36240" w14:textId="77777777" w:rsidR="001177A2" w:rsidRDefault="001177A2">
            <w:pPr>
              <w:suppressAutoHyphens/>
              <w:jc w:val="center"/>
              <w:rPr>
                <w:kern w:val="16"/>
              </w:rPr>
            </w:pPr>
            <w:r>
              <w:t>30</w:t>
            </w:r>
          </w:p>
        </w:tc>
        <w:tc>
          <w:tcPr>
            <w:tcW w:w="1766" w:type="dxa"/>
            <w:tcBorders>
              <w:top w:val="single" w:sz="4" w:space="0" w:color="auto"/>
              <w:left w:val="single" w:sz="4" w:space="0" w:color="auto"/>
              <w:bottom w:val="single" w:sz="4" w:space="0" w:color="auto"/>
              <w:right w:val="single" w:sz="4" w:space="0" w:color="auto"/>
            </w:tcBorders>
            <w:hideMark/>
          </w:tcPr>
          <w:p w14:paraId="0A0D32F4" w14:textId="77777777" w:rsidR="001177A2" w:rsidRDefault="001177A2">
            <w:pPr>
              <w:suppressAutoHyphens/>
              <w:jc w:val="center"/>
              <w:rPr>
                <w:kern w:val="16"/>
              </w:rPr>
            </w:pPr>
            <w:r>
              <w:t>6</w:t>
            </w:r>
          </w:p>
        </w:tc>
      </w:tr>
    </w:tbl>
    <w:p w14:paraId="3EC22AA3" w14:textId="77777777" w:rsidR="00FC6F91" w:rsidRDefault="00FC6F91" w:rsidP="00D8261A">
      <w:pPr>
        <w:pStyle w:val="Paragraph"/>
        <w:spacing w:before="0" w:after="240" w:line="300" w:lineRule="auto"/>
        <w:rPr>
          <w:rFonts w:ascii="Arial" w:hAnsi="Arial" w:cs="Arial"/>
        </w:rPr>
      </w:pPr>
    </w:p>
    <w:p w14:paraId="39EA80D0" w14:textId="6DB59E81" w:rsidR="001177A2" w:rsidRPr="00A11346" w:rsidRDefault="001177A2" w:rsidP="00877DDB">
      <w:pPr>
        <w:pStyle w:val="BPM"/>
      </w:pPr>
      <w:r w:rsidRPr="00A11346">
        <w:t>Generator G</w:t>
      </w:r>
      <w:r w:rsidRPr="00A11346">
        <w:rPr>
          <w:vertAlign w:val="subscript"/>
        </w:rPr>
        <w:t>2</w:t>
      </w:r>
      <w:r w:rsidRPr="00A11346">
        <w:t xml:space="preserve"> is a non-emitting resource with a GHG compliance bid adder of zero, whereas G</w:t>
      </w:r>
      <w:r w:rsidRPr="00A11346">
        <w:rPr>
          <w:vertAlign w:val="subscript"/>
        </w:rPr>
        <w:t>3</w:t>
      </w:r>
      <w:r w:rsidRPr="00A11346">
        <w:t xml:space="preserve"> is an emitting resource with a GHG compliance bid adder of $6.00. They are both less expensive than G</w:t>
      </w:r>
      <w:r w:rsidRPr="00A11346">
        <w:rPr>
          <w:vertAlign w:val="subscript"/>
        </w:rPr>
        <w:t>1</w:t>
      </w:r>
      <w:r w:rsidRPr="00A11346">
        <w:t>. Therefore, the power export from the</w:t>
      </w:r>
      <w:r w:rsidR="005F24C1">
        <w:t xml:space="preserve"> WEIM </w:t>
      </w:r>
      <w:r w:rsidRPr="00A11346">
        <w:t xml:space="preserve">Entity BAA to the </w:t>
      </w:r>
      <w:r w:rsidR="0058562B">
        <w:t>CA</w:t>
      </w:r>
      <w:r w:rsidRPr="00A11346">
        <w:t>ISO is binding at the optimal solution at 100MW. The optimal dispatch and export allocation are as follows:</w:t>
      </w:r>
    </w:p>
    <w:tbl>
      <w:tblPr>
        <w:tblW w:w="0" w:type="auto"/>
        <w:jc w:val="center"/>
        <w:tblLook w:val="04A0" w:firstRow="1" w:lastRow="0" w:firstColumn="1" w:lastColumn="0" w:noHBand="0" w:noVBand="1"/>
      </w:tblPr>
      <w:tblGrid>
        <w:gridCol w:w="1126"/>
        <w:gridCol w:w="1077"/>
        <w:gridCol w:w="1930"/>
        <w:gridCol w:w="1147"/>
      </w:tblGrid>
      <w:tr w:rsidR="001177A2" w14:paraId="3FFCC926"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5C7DFB"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59FEE5" w14:textId="77777777" w:rsidR="001177A2" w:rsidRDefault="001177A2">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9462A4" w14:textId="77777777" w:rsidR="001177A2" w:rsidRDefault="001177A2">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992A68" w14:textId="77777777" w:rsidR="001177A2" w:rsidRDefault="001177A2">
            <w:pPr>
              <w:suppressAutoHyphens/>
              <w:jc w:val="center"/>
              <w:rPr>
                <w:b/>
                <w:kern w:val="16"/>
              </w:rPr>
            </w:pPr>
            <w:r>
              <w:rPr>
                <w:b/>
              </w:rPr>
              <w:t>LMP</w:t>
            </w:r>
            <w:r>
              <w:rPr>
                <w:b/>
              </w:rPr>
              <w:br/>
              <w:t>($/MWh)</w:t>
            </w:r>
          </w:p>
        </w:tc>
      </w:tr>
      <w:tr w:rsidR="001177A2" w14:paraId="133D39D4"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FBD89D3" w14:textId="77777777" w:rsidR="001177A2" w:rsidRDefault="001177A2">
            <w:pPr>
              <w:suppressAutoHyphens/>
              <w:jc w:val="center"/>
              <w:rPr>
                <w:kern w:val="16"/>
                <w:vertAlign w:val="subscript"/>
              </w:rPr>
            </w:pPr>
            <w:r>
              <w:t>G1</w:t>
            </w:r>
          </w:p>
        </w:tc>
        <w:tc>
          <w:tcPr>
            <w:tcW w:w="0" w:type="auto"/>
            <w:tcBorders>
              <w:top w:val="single" w:sz="4" w:space="0" w:color="auto"/>
              <w:left w:val="single" w:sz="4" w:space="0" w:color="auto"/>
              <w:bottom w:val="single" w:sz="4" w:space="0" w:color="auto"/>
              <w:right w:val="single" w:sz="4" w:space="0" w:color="auto"/>
            </w:tcBorders>
            <w:hideMark/>
          </w:tcPr>
          <w:p w14:paraId="055D4763"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66884B5F"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15C07460" w14:textId="77777777" w:rsidR="001177A2" w:rsidRDefault="001177A2">
            <w:pPr>
              <w:suppressAutoHyphens/>
              <w:jc w:val="center"/>
              <w:rPr>
                <w:kern w:val="16"/>
              </w:rPr>
            </w:pPr>
            <w:r>
              <w:t>50</w:t>
            </w:r>
          </w:p>
        </w:tc>
      </w:tr>
      <w:tr w:rsidR="001177A2" w14:paraId="2C481DDA"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EE04146" w14:textId="77777777" w:rsidR="001177A2" w:rsidRDefault="001177A2">
            <w:pPr>
              <w:suppressAutoHyphens/>
              <w:jc w:val="center"/>
              <w:rPr>
                <w:kern w:val="16"/>
                <w:vertAlign w:val="subscript"/>
              </w:rPr>
            </w:pPr>
            <w:r>
              <w:t>G2</w:t>
            </w:r>
          </w:p>
        </w:tc>
        <w:tc>
          <w:tcPr>
            <w:tcW w:w="0" w:type="auto"/>
            <w:tcBorders>
              <w:top w:val="single" w:sz="4" w:space="0" w:color="auto"/>
              <w:left w:val="single" w:sz="4" w:space="0" w:color="auto"/>
              <w:bottom w:val="single" w:sz="4" w:space="0" w:color="auto"/>
              <w:right w:val="single" w:sz="4" w:space="0" w:color="auto"/>
            </w:tcBorders>
            <w:hideMark/>
          </w:tcPr>
          <w:p w14:paraId="6C34EA4D"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450D7DF0"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31A544AB" w14:textId="77777777" w:rsidR="001177A2" w:rsidRDefault="001177A2">
            <w:pPr>
              <w:suppressAutoHyphens/>
              <w:jc w:val="center"/>
              <w:rPr>
                <w:kern w:val="16"/>
              </w:rPr>
            </w:pPr>
            <w:r>
              <w:t>30</w:t>
            </w:r>
          </w:p>
        </w:tc>
      </w:tr>
      <w:tr w:rsidR="001177A2" w14:paraId="4340F8D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5AE03D8" w14:textId="77777777" w:rsidR="001177A2" w:rsidRDefault="001177A2">
            <w:pPr>
              <w:suppressAutoHyphens/>
              <w:jc w:val="center"/>
              <w:rPr>
                <w:kern w:val="16"/>
                <w:vertAlign w:val="subscript"/>
              </w:rPr>
            </w:pPr>
            <w:r>
              <w:t>G3</w:t>
            </w:r>
          </w:p>
        </w:tc>
        <w:tc>
          <w:tcPr>
            <w:tcW w:w="0" w:type="auto"/>
            <w:tcBorders>
              <w:top w:val="single" w:sz="4" w:space="0" w:color="auto"/>
              <w:left w:val="single" w:sz="4" w:space="0" w:color="auto"/>
              <w:bottom w:val="single" w:sz="4" w:space="0" w:color="auto"/>
              <w:right w:val="single" w:sz="4" w:space="0" w:color="auto"/>
            </w:tcBorders>
            <w:hideMark/>
          </w:tcPr>
          <w:p w14:paraId="5FD65287"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3C28F5D0"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0A6AEE34" w14:textId="77777777" w:rsidR="001177A2" w:rsidRDefault="001177A2">
            <w:pPr>
              <w:suppressAutoHyphens/>
              <w:jc w:val="center"/>
              <w:rPr>
                <w:kern w:val="16"/>
              </w:rPr>
            </w:pPr>
            <w:r>
              <w:t>30</w:t>
            </w:r>
          </w:p>
        </w:tc>
      </w:tr>
      <w:tr w:rsidR="001177A2" w14:paraId="41CEE67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E980410" w14:textId="77777777" w:rsidR="001177A2" w:rsidRDefault="001177A2">
            <w:pPr>
              <w:suppressAutoHyphens/>
              <w:jc w:val="center"/>
              <w:rPr>
                <w:kern w:val="16"/>
              </w:rPr>
            </w:pPr>
            <w:r>
              <w:t>L1</w:t>
            </w:r>
          </w:p>
        </w:tc>
        <w:tc>
          <w:tcPr>
            <w:tcW w:w="0" w:type="auto"/>
            <w:tcBorders>
              <w:top w:val="single" w:sz="4" w:space="0" w:color="auto"/>
              <w:left w:val="single" w:sz="4" w:space="0" w:color="auto"/>
              <w:bottom w:val="single" w:sz="4" w:space="0" w:color="auto"/>
              <w:right w:val="single" w:sz="4" w:space="0" w:color="auto"/>
            </w:tcBorders>
            <w:hideMark/>
          </w:tcPr>
          <w:p w14:paraId="18E0A21F" w14:textId="77777777" w:rsidR="001177A2" w:rsidRDefault="001177A2">
            <w:pPr>
              <w:suppressAutoHyphens/>
              <w:jc w:val="center"/>
              <w:rPr>
                <w:kern w:val="16"/>
              </w:rPr>
            </w:pPr>
            <w:r>
              <w:t>200</w:t>
            </w:r>
          </w:p>
        </w:tc>
        <w:tc>
          <w:tcPr>
            <w:tcW w:w="0" w:type="auto"/>
            <w:tcBorders>
              <w:top w:val="single" w:sz="4" w:space="0" w:color="auto"/>
              <w:left w:val="single" w:sz="4" w:space="0" w:color="auto"/>
              <w:bottom w:val="single" w:sz="4" w:space="0" w:color="auto"/>
              <w:right w:val="single" w:sz="4" w:space="0" w:color="auto"/>
            </w:tcBorders>
            <w:hideMark/>
          </w:tcPr>
          <w:p w14:paraId="7CB83D99"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43201B94" w14:textId="77777777" w:rsidR="001177A2" w:rsidRDefault="001177A2">
            <w:pPr>
              <w:suppressAutoHyphens/>
              <w:jc w:val="center"/>
              <w:rPr>
                <w:kern w:val="16"/>
              </w:rPr>
            </w:pPr>
            <w:r>
              <w:t>50</w:t>
            </w:r>
          </w:p>
        </w:tc>
      </w:tr>
      <w:tr w:rsidR="001177A2" w14:paraId="5C7BDEAA"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96D2E90" w14:textId="77777777" w:rsidR="001177A2" w:rsidRDefault="001177A2">
            <w:pPr>
              <w:suppressAutoHyphens/>
              <w:jc w:val="center"/>
              <w:rPr>
                <w:kern w:val="16"/>
              </w:rPr>
            </w:pPr>
            <w:r>
              <w:t>L2</w:t>
            </w:r>
          </w:p>
        </w:tc>
        <w:tc>
          <w:tcPr>
            <w:tcW w:w="0" w:type="auto"/>
            <w:tcBorders>
              <w:top w:val="single" w:sz="4" w:space="0" w:color="auto"/>
              <w:left w:val="single" w:sz="4" w:space="0" w:color="auto"/>
              <w:bottom w:val="single" w:sz="4" w:space="0" w:color="auto"/>
              <w:right w:val="single" w:sz="4" w:space="0" w:color="auto"/>
            </w:tcBorders>
            <w:hideMark/>
          </w:tcPr>
          <w:p w14:paraId="2CA02C65"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17D3EF9E"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389C3A78" w14:textId="77777777" w:rsidR="001177A2" w:rsidRDefault="001177A2">
            <w:pPr>
              <w:suppressAutoHyphens/>
              <w:jc w:val="center"/>
              <w:rPr>
                <w:kern w:val="16"/>
              </w:rPr>
            </w:pPr>
            <w:r>
              <w:t>30</w:t>
            </w:r>
          </w:p>
        </w:tc>
      </w:tr>
    </w:tbl>
    <w:p w14:paraId="171A0E21" w14:textId="77777777" w:rsidR="001177A2" w:rsidRDefault="001177A2" w:rsidP="001177A2">
      <w:pPr>
        <w:jc w:val="center"/>
      </w:pPr>
      <w:r>
        <w:t xml:space="preserve">Example 1: </w:t>
      </w:r>
      <m:oMath>
        <m:r>
          <m:rPr>
            <m:sty m:val="p"/>
          </m:rPr>
          <w:rPr>
            <w:rFonts w:ascii="Cambria Math" w:hAnsi="Cambria Math"/>
          </w:rPr>
          <m:t>µ</m:t>
        </m:r>
      </m:oMath>
      <w:r>
        <w:t xml:space="preserve"> = –$15/MWh; </w:t>
      </w:r>
      <m:oMath>
        <m:r>
          <m:rPr>
            <m:sty m:val="p"/>
          </m:rPr>
          <w:rPr>
            <w:rFonts w:ascii="Cambria Math" w:hAnsi="Cambria Math"/>
          </w:rPr>
          <m:t>η</m:t>
        </m:r>
      </m:oMath>
      <w:r>
        <w:t xml:space="preserve"> = –$5/MWh</w:t>
      </w:r>
    </w:p>
    <w:p w14:paraId="5D9CD0D1" w14:textId="77777777" w:rsidR="00FC6F91" w:rsidRDefault="00FC6F91" w:rsidP="001177A2">
      <w:pPr>
        <w:jc w:val="center"/>
        <w:rPr>
          <w:kern w:val="16"/>
        </w:rPr>
      </w:pPr>
    </w:p>
    <w:p w14:paraId="6403D10B" w14:textId="5AE27888" w:rsidR="001177A2" w:rsidRPr="00A11346" w:rsidRDefault="001177A2" w:rsidP="00877DDB">
      <w:pPr>
        <w:pStyle w:val="BPM"/>
      </w:pPr>
      <w:r w:rsidRPr="00A11346">
        <w:t>Generator G</w:t>
      </w:r>
      <w:r w:rsidRPr="00A11346">
        <w:rPr>
          <w:vertAlign w:val="subscript"/>
        </w:rPr>
        <w:t>3</w:t>
      </w:r>
      <w:r w:rsidRPr="00A11346">
        <w:t xml:space="preserve"> is the least expensive resource for serving Load L</w:t>
      </w:r>
      <w:r w:rsidRPr="00A11346">
        <w:rPr>
          <w:vertAlign w:val="subscript"/>
        </w:rPr>
        <w:t>2</w:t>
      </w:r>
      <w:r w:rsidRPr="00A11346">
        <w:t>, and as such it sets the LMP in the</w:t>
      </w:r>
      <w:r w:rsidR="005F24C1">
        <w:t xml:space="preserve"> WEIM </w:t>
      </w:r>
      <w:r w:rsidRPr="00A11346">
        <w:t>Entity Area to $30/MWh. However, for serving Load L</w:t>
      </w:r>
      <w:r w:rsidRPr="00A11346">
        <w:rPr>
          <w:vertAlign w:val="subscript"/>
        </w:rPr>
        <w:t>1</w:t>
      </w:r>
      <w:r w:rsidRPr="00A11346">
        <w:t xml:space="preserve">, a $6/MWh additional GHG </w:t>
      </w:r>
      <w:r w:rsidRPr="00A11346">
        <w:lastRenderedPageBreak/>
        <w:t>compliance cost would be incurred to G</w:t>
      </w:r>
      <w:r w:rsidRPr="00A11346">
        <w:rPr>
          <w:vertAlign w:val="subscript"/>
        </w:rPr>
        <w:t>3</w:t>
      </w:r>
      <w:r w:rsidRPr="00A11346">
        <w:t>, making G</w:t>
      </w:r>
      <w:r w:rsidRPr="00A11346">
        <w:rPr>
          <w:vertAlign w:val="subscript"/>
        </w:rPr>
        <w:t>2</w:t>
      </w:r>
      <w:r w:rsidRPr="00A11346">
        <w:t xml:space="preserve"> more effective for that purpose. Consequently, G</w:t>
      </w:r>
      <w:r w:rsidRPr="00A11346">
        <w:rPr>
          <w:vertAlign w:val="subscript"/>
        </w:rPr>
        <w:t>2</w:t>
      </w:r>
      <w:r w:rsidRPr="00A11346">
        <w:t xml:space="preserve"> is dispatched with its energy all exported to the </w:t>
      </w:r>
      <w:r w:rsidR="0058562B">
        <w:t>CA</w:t>
      </w:r>
      <w:r w:rsidRPr="00A11346">
        <w:t>ISO at the limit of the power transfer capability. The balance of 100MW of L</w:t>
      </w:r>
      <w:r w:rsidRPr="00A11346">
        <w:rPr>
          <w:vertAlign w:val="subscript"/>
        </w:rPr>
        <w:t>1</w:t>
      </w:r>
      <w:r w:rsidRPr="00A11346">
        <w:t xml:space="preserve"> can only be served by G</w:t>
      </w:r>
      <w:r w:rsidRPr="00A11346">
        <w:rPr>
          <w:vertAlign w:val="subscript"/>
        </w:rPr>
        <w:t>1</w:t>
      </w:r>
      <w:r w:rsidRPr="00A11346">
        <w:t xml:space="preserve">, which sets the LMP in the </w:t>
      </w:r>
      <w:r w:rsidR="0058562B">
        <w:t>CA</w:t>
      </w:r>
      <w:r w:rsidRPr="00A11346">
        <w:t>ISO to $50/MWh.</w:t>
      </w:r>
    </w:p>
    <w:p w14:paraId="01777B27" w14:textId="77777777" w:rsidR="001177A2" w:rsidRPr="00A11346" w:rsidRDefault="001177A2" w:rsidP="00877DDB">
      <w:pPr>
        <w:pStyle w:val="BPM"/>
      </w:pPr>
      <w:r w:rsidRPr="00A11346">
        <w:t>The LMP difference of $20/MWh is made up by the marginal congestion cost of $15/MWh and the marginal GHG compliance cost of $5/MWh. The marginal congestion cost can be easily verified if the power transfer limit is relaxed by 1MW to 101MW, in which case one additional MWh from G</w:t>
      </w:r>
      <w:r w:rsidRPr="00A11346">
        <w:rPr>
          <w:vertAlign w:val="subscript"/>
        </w:rPr>
        <w:t>2</w:t>
      </w:r>
      <w:r w:rsidRPr="00A11346">
        <w:t xml:space="preserve"> will displace 1MWh from G</w:t>
      </w:r>
      <w:r w:rsidRPr="00A11346">
        <w:rPr>
          <w:vertAlign w:val="subscript"/>
        </w:rPr>
        <w:t>1</w:t>
      </w:r>
      <w:r w:rsidRPr="00A11346">
        <w:t xml:space="preserve"> for a net benefit of $15. The marginal GHG compliance cost can be easily verified if the export allocation (which carries the GHG compliance cost) is relaxed by 1 MW to 99MW, in which case one additional MWh from G</w:t>
      </w:r>
      <w:r w:rsidRPr="00A11346">
        <w:rPr>
          <w:vertAlign w:val="subscript"/>
        </w:rPr>
        <w:t>3</w:t>
      </w:r>
      <w:r w:rsidRPr="00A11346">
        <w:t xml:space="preserve"> will displace 1MWh from G</w:t>
      </w:r>
      <w:r w:rsidRPr="00A11346">
        <w:rPr>
          <w:vertAlign w:val="subscript"/>
        </w:rPr>
        <w:t>2</w:t>
      </w:r>
      <w:r w:rsidRPr="00A11346">
        <w:t xml:space="preserve"> for a net benefit of $5. It is interesting to note that there is a non-zero marginal GHG compliance cost in the optimal solution even when all the exported energy is allocated to the non-emitting resource G</w:t>
      </w:r>
      <w:r w:rsidRPr="00A11346">
        <w:rPr>
          <w:vertAlign w:val="subscript"/>
        </w:rPr>
        <w:t>2</w:t>
      </w:r>
      <w:r w:rsidRPr="00A11346">
        <w:t xml:space="preserve"> who bid zero.  This is because the cost of that export to California is $5/MWh higher than otherwise available energy from G3.</w:t>
      </w:r>
    </w:p>
    <w:p w14:paraId="5FBC26B6" w14:textId="77777777" w:rsidR="001177A2" w:rsidRPr="00A11346" w:rsidRDefault="001177A2" w:rsidP="00877DDB">
      <w:pPr>
        <w:pStyle w:val="BPM"/>
      </w:pPr>
      <w:r w:rsidRPr="00A11346">
        <w:t>The marginal congestion cost of $15/MWh and the marginal GHG compliance cost of $5/MWh on a 100MWh energy export result in a congestion revenue of $1,500 and a GHG compliance revenue of $500, respectively.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8"/>
        <w:gridCol w:w="893"/>
        <w:gridCol w:w="1383"/>
        <w:gridCol w:w="1123"/>
        <w:gridCol w:w="1123"/>
        <w:gridCol w:w="1383"/>
        <w:gridCol w:w="1150"/>
      </w:tblGrid>
      <w:tr w:rsidR="001177A2" w:rsidRPr="00093FD3" w14:paraId="1223EFAE"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260004" w14:textId="77777777" w:rsidR="001177A2" w:rsidRPr="00D8261A" w:rsidRDefault="001177A2">
            <w:pPr>
              <w:suppressAutoHyphens/>
              <w:jc w:val="center"/>
              <w:rPr>
                <w:rFonts w:cs="Arial"/>
                <w:b/>
                <w:kern w:val="16"/>
              </w:rPr>
            </w:pPr>
            <w:r w:rsidRPr="008D74F0">
              <w:rPr>
                <w:rFonts w:cs="Arial"/>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DB6DF9" w14:textId="77777777" w:rsidR="001177A2" w:rsidRPr="00D8261A" w:rsidRDefault="001177A2">
            <w:pPr>
              <w:suppressAutoHyphens/>
              <w:jc w:val="center"/>
              <w:rPr>
                <w:rFonts w:cs="Arial"/>
                <w:b/>
                <w:kern w:val="16"/>
              </w:rPr>
            </w:pPr>
            <w:r w:rsidRPr="00885130">
              <w:rPr>
                <w:b/>
              </w:rPr>
              <w:t>Energy</w:t>
            </w:r>
            <w:r w:rsidRPr="00885130">
              <w:rPr>
                <w:b/>
              </w:rPr>
              <w:br/>
              <w:t>Cost</w:t>
            </w:r>
          </w:p>
        </w:tc>
        <w:tc>
          <w:tcPr>
            <w:tcW w:w="1150"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6916BF19" w14:textId="77777777" w:rsidR="001177A2" w:rsidRPr="00D8261A" w:rsidRDefault="001177A2">
            <w:pPr>
              <w:suppressAutoHyphens/>
              <w:jc w:val="center"/>
              <w:rPr>
                <w:rFonts w:cs="Arial"/>
                <w:b/>
                <w:kern w:val="16"/>
              </w:rPr>
            </w:pPr>
            <w:r w:rsidRPr="008D74F0">
              <w:rPr>
                <w:rFonts w:cs="Arial"/>
                <w:b/>
              </w:rPr>
              <w:t>GHG Compliance Cost</w:t>
            </w:r>
          </w:p>
        </w:tc>
        <w:tc>
          <w:tcPr>
            <w:tcW w:w="1123"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28AE1386" w14:textId="77777777" w:rsidR="001177A2" w:rsidRPr="00D8261A" w:rsidRDefault="001177A2">
            <w:pPr>
              <w:suppressAutoHyphens/>
              <w:jc w:val="center"/>
              <w:rPr>
                <w:rFonts w:cs="Arial"/>
                <w:b/>
                <w:kern w:val="16"/>
              </w:rPr>
            </w:pPr>
            <w:r w:rsidRPr="008D74F0">
              <w:rPr>
                <w:rFonts w:cs="Arial"/>
                <w:b/>
              </w:rPr>
              <w:t>Total</w:t>
            </w:r>
            <w:r w:rsidRPr="008D74F0">
              <w:rPr>
                <w:rFonts w:cs="Arial"/>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392FD5AB" w14:textId="77777777" w:rsidR="001177A2" w:rsidRPr="00D8261A" w:rsidRDefault="001177A2">
            <w:pPr>
              <w:suppressAutoHyphens/>
              <w:jc w:val="center"/>
              <w:rPr>
                <w:rFonts w:cs="Arial"/>
                <w:b/>
                <w:kern w:val="16"/>
              </w:rPr>
            </w:pPr>
            <w:r w:rsidRPr="008D74F0">
              <w:rPr>
                <w:rFonts w:cs="Arial"/>
                <w:b/>
              </w:rPr>
              <w:t>Energy</w:t>
            </w:r>
            <w:r w:rsidRPr="008D74F0">
              <w:rPr>
                <w:rFonts w:cs="Arial"/>
                <w:b/>
              </w:rPr>
              <w:br/>
              <w:t>Payment</w:t>
            </w:r>
          </w:p>
        </w:tc>
        <w:tc>
          <w:tcPr>
            <w:tcW w:w="1150"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7B24E0BA" w14:textId="77777777" w:rsidR="001177A2" w:rsidRPr="00D8261A" w:rsidRDefault="001177A2">
            <w:pPr>
              <w:suppressAutoHyphens/>
              <w:jc w:val="center"/>
              <w:rPr>
                <w:rFonts w:cs="Arial"/>
                <w:b/>
                <w:kern w:val="16"/>
              </w:rPr>
            </w:pPr>
            <w:r w:rsidRPr="008D74F0">
              <w:rPr>
                <w:rFonts w:cs="Arial"/>
                <w:b/>
              </w:rPr>
              <w:t>GHG Compliance Payment</w:t>
            </w:r>
          </w:p>
        </w:tc>
        <w:tc>
          <w:tcPr>
            <w:tcW w:w="1150" w:type="dxa"/>
            <w:tcBorders>
              <w:top w:val="single" w:sz="18" w:space="0" w:color="auto"/>
              <w:left w:val="single" w:sz="18" w:space="0" w:color="auto"/>
              <w:bottom w:val="single" w:sz="8" w:space="0" w:color="auto"/>
              <w:right w:val="single" w:sz="18" w:space="0" w:color="auto"/>
            </w:tcBorders>
            <w:shd w:val="clear" w:color="auto" w:fill="C6D9F1" w:themeFill="text2" w:themeFillTint="33"/>
            <w:hideMark/>
          </w:tcPr>
          <w:p w14:paraId="50CE3715" w14:textId="77777777" w:rsidR="001177A2" w:rsidRPr="00D8261A" w:rsidRDefault="001177A2">
            <w:pPr>
              <w:suppressAutoHyphens/>
              <w:jc w:val="center"/>
              <w:rPr>
                <w:rFonts w:cs="Arial"/>
                <w:b/>
                <w:kern w:val="16"/>
              </w:rPr>
            </w:pPr>
            <w:r w:rsidRPr="008D74F0">
              <w:rPr>
                <w:rFonts w:cs="Arial"/>
                <w:b/>
              </w:rPr>
              <w:t>Total Payment</w:t>
            </w:r>
          </w:p>
        </w:tc>
      </w:tr>
      <w:tr w:rsidR="001177A2" w14:paraId="462EAD54"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7AEB1E4"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53EB3CD6" w14:textId="77777777" w:rsidR="001177A2" w:rsidRDefault="001177A2">
            <w:pPr>
              <w:suppressAutoHyphens/>
              <w:jc w:val="center"/>
              <w:rPr>
                <w:kern w:val="16"/>
              </w:rPr>
            </w:pPr>
            <w:r>
              <w:t>$5,000</w:t>
            </w:r>
          </w:p>
        </w:tc>
        <w:tc>
          <w:tcPr>
            <w:tcW w:w="1150" w:type="dxa"/>
            <w:tcBorders>
              <w:top w:val="single" w:sz="4" w:space="0" w:color="auto"/>
              <w:left w:val="single" w:sz="4" w:space="0" w:color="auto"/>
              <w:bottom w:val="single" w:sz="4" w:space="0" w:color="auto"/>
              <w:right w:val="single" w:sz="18" w:space="0" w:color="auto"/>
            </w:tcBorders>
            <w:hideMark/>
          </w:tcPr>
          <w:p w14:paraId="0289C2C0" w14:textId="77777777" w:rsidR="001177A2" w:rsidRDefault="001177A2">
            <w:pPr>
              <w:suppressAutoHyphens/>
              <w:jc w:val="center"/>
              <w:rPr>
                <w:kern w:val="16"/>
              </w:rPr>
            </w:pPr>
            <w:r>
              <w:t>-</w:t>
            </w:r>
          </w:p>
        </w:tc>
        <w:tc>
          <w:tcPr>
            <w:tcW w:w="1123" w:type="dxa"/>
            <w:tcBorders>
              <w:top w:val="single" w:sz="4" w:space="0" w:color="auto"/>
              <w:left w:val="single" w:sz="18" w:space="0" w:color="auto"/>
              <w:bottom w:val="single" w:sz="4" w:space="0" w:color="auto"/>
              <w:right w:val="single" w:sz="18" w:space="0" w:color="auto"/>
            </w:tcBorders>
            <w:hideMark/>
          </w:tcPr>
          <w:p w14:paraId="7A00ED87" w14:textId="77777777" w:rsidR="001177A2" w:rsidRDefault="001177A2">
            <w:pPr>
              <w:suppressAutoHyphens/>
              <w:jc w:val="center"/>
              <w:rPr>
                <w:kern w:val="16"/>
              </w:rPr>
            </w:pPr>
            <w:r>
              <w:t>$5,000</w:t>
            </w:r>
          </w:p>
        </w:tc>
        <w:tc>
          <w:tcPr>
            <w:tcW w:w="1123" w:type="dxa"/>
            <w:tcBorders>
              <w:top w:val="single" w:sz="4" w:space="0" w:color="auto"/>
              <w:left w:val="single" w:sz="18" w:space="0" w:color="auto"/>
              <w:bottom w:val="single" w:sz="4" w:space="0" w:color="auto"/>
              <w:right w:val="single" w:sz="4" w:space="0" w:color="auto"/>
            </w:tcBorders>
            <w:hideMark/>
          </w:tcPr>
          <w:p w14:paraId="10A55394" w14:textId="77777777" w:rsidR="001177A2" w:rsidRDefault="001177A2">
            <w:pPr>
              <w:suppressAutoHyphens/>
              <w:jc w:val="center"/>
              <w:rPr>
                <w:kern w:val="16"/>
              </w:rPr>
            </w:pPr>
            <w:r>
              <w:t>$5,000</w:t>
            </w:r>
          </w:p>
        </w:tc>
        <w:tc>
          <w:tcPr>
            <w:tcW w:w="1150" w:type="dxa"/>
            <w:tcBorders>
              <w:top w:val="single" w:sz="4" w:space="0" w:color="auto"/>
              <w:left w:val="single" w:sz="4" w:space="0" w:color="auto"/>
              <w:bottom w:val="single" w:sz="4" w:space="0" w:color="auto"/>
              <w:right w:val="single" w:sz="18" w:space="0" w:color="auto"/>
            </w:tcBorders>
            <w:hideMark/>
          </w:tcPr>
          <w:p w14:paraId="3183FECD" w14:textId="77777777" w:rsidR="001177A2" w:rsidRDefault="001177A2">
            <w:pPr>
              <w:suppressAutoHyphens/>
              <w:jc w:val="center"/>
              <w:rPr>
                <w:kern w:val="16"/>
              </w:rPr>
            </w:pPr>
            <w:r>
              <w:t>-</w:t>
            </w:r>
          </w:p>
        </w:tc>
        <w:tc>
          <w:tcPr>
            <w:tcW w:w="1150" w:type="dxa"/>
            <w:tcBorders>
              <w:top w:val="single" w:sz="8" w:space="0" w:color="auto"/>
              <w:left w:val="single" w:sz="18" w:space="0" w:color="auto"/>
              <w:bottom w:val="single" w:sz="8" w:space="0" w:color="auto"/>
              <w:right w:val="single" w:sz="18" w:space="0" w:color="auto"/>
            </w:tcBorders>
            <w:hideMark/>
          </w:tcPr>
          <w:p w14:paraId="2FD2D47E" w14:textId="77777777" w:rsidR="001177A2" w:rsidRDefault="001177A2">
            <w:pPr>
              <w:suppressAutoHyphens/>
              <w:jc w:val="center"/>
              <w:rPr>
                <w:kern w:val="16"/>
              </w:rPr>
            </w:pPr>
            <w:r>
              <w:t>$5,000</w:t>
            </w:r>
          </w:p>
        </w:tc>
      </w:tr>
      <w:tr w:rsidR="001177A2" w14:paraId="6B27B77D"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7BC5B44"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6005FAD2" w14:textId="77777777" w:rsidR="001177A2" w:rsidRDefault="001177A2">
            <w:pPr>
              <w:suppressAutoHyphens/>
              <w:jc w:val="center"/>
              <w:rPr>
                <w:kern w:val="16"/>
              </w:rPr>
            </w:pPr>
            <w:r>
              <w:t>$3,500</w:t>
            </w:r>
          </w:p>
        </w:tc>
        <w:tc>
          <w:tcPr>
            <w:tcW w:w="1150" w:type="dxa"/>
            <w:tcBorders>
              <w:top w:val="single" w:sz="4" w:space="0" w:color="auto"/>
              <w:left w:val="single" w:sz="4" w:space="0" w:color="auto"/>
              <w:bottom w:val="single" w:sz="4" w:space="0" w:color="auto"/>
              <w:right w:val="single" w:sz="18" w:space="0" w:color="auto"/>
            </w:tcBorders>
            <w:hideMark/>
          </w:tcPr>
          <w:p w14:paraId="60743031"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6469A2D6" w14:textId="77777777" w:rsidR="001177A2" w:rsidRDefault="001177A2">
            <w:pPr>
              <w:suppressAutoHyphens/>
              <w:jc w:val="center"/>
              <w:rPr>
                <w:kern w:val="16"/>
              </w:rPr>
            </w:pPr>
            <w:r>
              <w:t>$3,500</w:t>
            </w:r>
          </w:p>
        </w:tc>
        <w:tc>
          <w:tcPr>
            <w:tcW w:w="1123" w:type="dxa"/>
            <w:tcBorders>
              <w:top w:val="single" w:sz="4" w:space="0" w:color="auto"/>
              <w:left w:val="single" w:sz="18" w:space="0" w:color="auto"/>
              <w:bottom w:val="single" w:sz="4" w:space="0" w:color="auto"/>
              <w:right w:val="single" w:sz="4" w:space="0" w:color="auto"/>
            </w:tcBorders>
            <w:hideMark/>
          </w:tcPr>
          <w:p w14:paraId="4398E02E" w14:textId="77777777" w:rsidR="001177A2" w:rsidRDefault="001177A2">
            <w:pPr>
              <w:suppressAutoHyphens/>
              <w:jc w:val="center"/>
              <w:rPr>
                <w:kern w:val="16"/>
              </w:rPr>
            </w:pPr>
            <w:r>
              <w:t>$3,000</w:t>
            </w:r>
          </w:p>
        </w:tc>
        <w:tc>
          <w:tcPr>
            <w:tcW w:w="1150" w:type="dxa"/>
            <w:tcBorders>
              <w:top w:val="single" w:sz="4" w:space="0" w:color="auto"/>
              <w:left w:val="single" w:sz="4" w:space="0" w:color="auto"/>
              <w:bottom w:val="single" w:sz="4" w:space="0" w:color="auto"/>
              <w:right w:val="single" w:sz="18" w:space="0" w:color="auto"/>
            </w:tcBorders>
            <w:hideMark/>
          </w:tcPr>
          <w:p w14:paraId="5ADD28E4" w14:textId="77777777" w:rsidR="001177A2" w:rsidRDefault="001177A2">
            <w:pPr>
              <w:suppressAutoHyphens/>
              <w:jc w:val="center"/>
              <w:rPr>
                <w:kern w:val="16"/>
              </w:rPr>
            </w:pPr>
            <w:r>
              <w:t>$500</w:t>
            </w:r>
          </w:p>
        </w:tc>
        <w:tc>
          <w:tcPr>
            <w:tcW w:w="1150" w:type="dxa"/>
            <w:tcBorders>
              <w:top w:val="single" w:sz="8" w:space="0" w:color="auto"/>
              <w:left w:val="single" w:sz="18" w:space="0" w:color="auto"/>
              <w:bottom w:val="single" w:sz="8" w:space="0" w:color="auto"/>
              <w:right w:val="single" w:sz="18" w:space="0" w:color="auto"/>
            </w:tcBorders>
            <w:hideMark/>
          </w:tcPr>
          <w:p w14:paraId="7176870B" w14:textId="77777777" w:rsidR="001177A2" w:rsidRDefault="001177A2">
            <w:pPr>
              <w:suppressAutoHyphens/>
              <w:jc w:val="center"/>
              <w:rPr>
                <w:kern w:val="16"/>
              </w:rPr>
            </w:pPr>
            <w:r>
              <w:t>$3,500</w:t>
            </w:r>
          </w:p>
        </w:tc>
      </w:tr>
      <w:tr w:rsidR="001177A2" w14:paraId="2445548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DB73869"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28FBF3AE"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hideMark/>
          </w:tcPr>
          <w:p w14:paraId="64C02477"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3A43C34C" w14:textId="77777777" w:rsidR="001177A2" w:rsidRDefault="001177A2">
            <w:pPr>
              <w:suppressAutoHyphens/>
              <w:jc w:val="center"/>
              <w:rPr>
                <w:kern w:val="16"/>
              </w:rPr>
            </w:pPr>
            <w:r>
              <w:t>$1,500</w:t>
            </w:r>
          </w:p>
        </w:tc>
        <w:tc>
          <w:tcPr>
            <w:tcW w:w="1123" w:type="dxa"/>
            <w:tcBorders>
              <w:top w:val="single" w:sz="4" w:space="0" w:color="auto"/>
              <w:left w:val="single" w:sz="18" w:space="0" w:color="auto"/>
              <w:bottom w:val="single" w:sz="4" w:space="0" w:color="auto"/>
              <w:right w:val="single" w:sz="4" w:space="0" w:color="auto"/>
            </w:tcBorders>
            <w:hideMark/>
          </w:tcPr>
          <w:p w14:paraId="54A7FAD2"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hideMark/>
          </w:tcPr>
          <w:p w14:paraId="4B4E3DAE" w14:textId="77777777" w:rsidR="001177A2" w:rsidRDefault="001177A2">
            <w:pPr>
              <w:suppressAutoHyphens/>
              <w:jc w:val="center"/>
              <w:rPr>
                <w:kern w:val="16"/>
              </w:rPr>
            </w:pPr>
            <w:r>
              <w:t>$0</w:t>
            </w:r>
          </w:p>
        </w:tc>
        <w:tc>
          <w:tcPr>
            <w:tcW w:w="1150" w:type="dxa"/>
            <w:tcBorders>
              <w:top w:val="single" w:sz="8" w:space="0" w:color="auto"/>
              <w:left w:val="single" w:sz="18" w:space="0" w:color="auto"/>
              <w:bottom w:val="single" w:sz="8" w:space="0" w:color="auto"/>
              <w:right w:val="single" w:sz="18" w:space="0" w:color="auto"/>
            </w:tcBorders>
            <w:hideMark/>
          </w:tcPr>
          <w:p w14:paraId="13A10B90" w14:textId="77777777" w:rsidR="001177A2" w:rsidRDefault="001177A2">
            <w:pPr>
              <w:suppressAutoHyphens/>
              <w:jc w:val="center"/>
              <w:rPr>
                <w:kern w:val="16"/>
              </w:rPr>
            </w:pPr>
            <w:r>
              <w:t>$1,500</w:t>
            </w:r>
          </w:p>
        </w:tc>
      </w:tr>
      <w:tr w:rsidR="001177A2" w14:paraId="2DF8FE78"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12C78D64" w14:textId="77777777" w:rsidR="001177A2" w:rsidRDefault="001177A2">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0C87F578"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56E0C2A7"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07985424"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79E0A9E3" w14:textId="77777777" w:rsidR="001177A2" w:rsidRDefault="001177A2">
            <w:pPr>
              <w:suppressAutoHyphens/>
              <w:jc w:val="center"/>
              <w:rPr>
                <w:kern w:val="16"/>
              </w:rPr>
            </w:pPr>
            <w:r>
              <w:t>–$10,000</w:t>
            </w:r>
          </w:p>
        </w:tc>
        <w:tc>
          <w:tcPr>
            <w:tcW w:w="1150" w:type="dxa"/>
            <w:tcBorders>
              <w:top w:val="single" w:sz="4" w:space="0" w:color="auto"/>
              <w:left w:val="single" w:sz="4" w:space="0" w:color="auto"/>
              <w:bottom w:val="single" w:sz="4" w:space="0" w:color="auto"/>
              <w:right w:val="single" w:sz="18" w:space="0" w:color="auto"/>
            </w:tcBorders>
          </w:tcPr>
          <w:p w14:paraId="3AE26E3D" w14:textId="77777777" w:rsidR="001177A2" w:rsidRDefault="001177A2">
            <w:pPr>
              <w:suppressAutoHyphens/>
              <w:jc w:val="center"/>
              <w:rPr>
                <w:kern w:val="16"/>
              </w:rPr>
            </w:pPr>
          </w:p>
        </w:tc>
        <w:tc>
          <w:tcPr>
            <w:tcW w:w="1150" w:type="dxa"/>
            <w:tcBorders>
              <w:top w:val="single" w:sz="8" w:space="0" w:color="auto"/>
              <w:left w:val="single" w:sz="18" w:space="0" w:color="auto"/>
              <w:bottom w:val="single" w:sz="8" w:space="0" w:color="auto"/>
              <w:right w:val="single" w:sz="18" w:space="0" w:color="auto"/>
            </w:tcBorders>
          </w:tcPr>
          <w:p w14:paraId="1BABEEE8" w14:textId="77777777" w:rsidR="001177A2" w:rsidRDefault="001177A2">
            <w:pPr>
              <w:suppressAutoHyphens/>
              <w:jc w:val="center"/>
              <w:rPr>
                <w:kern w:val="16"/>
              </w:rPr>
            </w:pPr>
          </w:p>
        </w:tc>
      </w:tr>
      <w:tr w:rsidR="001177A2" w14:paraId="4632FFB8"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4447004F" w14:textId="77777777" w:rsidR="001177A2" w:rsidRDefault="001177A2">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72E3B1CF"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24294D9C"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5F931371"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285DB19D"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tcPr>
          <w:p w14:paraId="2D73AC87" w14:textId="77777777" w:rsidR="001177A2" w:rsidRDefault="001177A2">
            <w:pPr>
              <w:suppressAutoHyphens/>
              <w:jc w:val="center"/>
              <w:rPr>
                <w:kern w:val="16"/>
              </w:rPr>
            </w:pPr>
          </w:p>
        </w:tc>
        <w:tc>
          <w:tcPr>
            <w:tcW w:w="1150" w:type="dxa"/>
            <w:tcBorders>
              <w:top w:val="single" w:sz="8" w:space="0" w:color="auto"/>
              <w:left w:val="single" w:sz="18" w:space="0" w:color="auto"/>
              <w:bottom w:val="single" w:sz="8" w:space="0" w:color="auto"/>
              <w:right w:val="single" w:sz="18" w:space="0" w:color="auto"/>
            </w:tcBorders>
          </w:tcPr>
          <w:p w14:paraId="49AE7E60" w14:textId="77777777" w:rsidR="001177A2" w:rsidRDefault="001177A2">
            <w:pPr>
              <w:suppressAutoHyphens/>
              <w:jc w:val="center"/>
              <w:rPr>
                <w:kern w:val="16"/>
              </w:rPr>
            </w:pPr>
          </w:p>
        </w:tc>
      </w:tr>
      <w:tr w:rsidR="001177A2" w14:paraId="6A84F999"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D88FD54" w14:textId="77777777" w:rsidR="001177A2" w:rsidRDefault="001177A2">
            <w:pPr>
              <w:suppressAutoHyphens/>
              <w:jc w:val="center"/>
              <w:rPr>
                <w:kern w:val="16"/>
              </w:rPr>
            </w:pPr>
            <w:r>
              <w:lastRenderedPageBreak/>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7B6B3DED"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5C33B910"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474F8057"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4FFB682A" w14:textId="77777777" w:rsidR="001177A2" w:rsidRDefault="001177A2">
            <w:pPr>
              <w:suppressAutoHyphens/>
              <w:jc w:val="center"/>
              <w:rPr>
                <w:kern w:val="16"/>
              </w:rPr>
            </w:pPr>
            <w:r>
              <w:t>$1,500</w:t>
            </w:r>
          </w:p>
        </w:tc>
        <w:tc>
          <w:tcPr>
            <w:tcW w:w="1150" w:type="dxa"/>
            <w:tcBorders>
              <w:top w:val="single" w:sz="4" w:space="0" w:color="auto"/>
              <w:left w:val="single" w:sz="4" w:space="0" w:color="auto"/>
              <w:bottom w:val="single" w:sz="4" w:space="0" w:color="auto"/>
              <w:right w:val="single" w:sz="18" w:space="0" w:color="auto"/>
            </w:tcBorders>
          </w:tcPr>
          <w:p w14:paraId="7AD7F5EF" w14:textId="77777777" w:rsidR="001177A2" w:rsidRDefault="001177A2">
            <w:pPr>
              <w:suppressAutoHyphens/>
              <w:jc w:val="center"/>
              <w:rPr>
                <w:kern w:val="16"/>
              </w:rPr>
            </w:pPr>
          </w:p>
        </w:tc>
        <w:tc>
          <w:tcPr>
            <w:tcW w:w="1150" w:type="dxa"/>
            <w:tcBorders>
              <w:top w:val="single" w:sz="8" w:space="0" w:color="auto"/>
              <w:left w:val="single" w:sz="18" w:space="0" w:color="auto"/>
              <w:bottom w:val="single" w:sz="8" w:space="0" w:color="auto"/>
              <w:right w:val="single" w:sz="18" w:space="0" w:color="auto"/>
            </w:tcBorders>
          </w:tcPr>
          <w:p w14:paraId="4A02DA7E" w14:textId="77777777" w:rsidR="001177A2" w:rsidRDefault="001177A2">
            <w:pPr>
              <w:suppressAutoHyphens/>
              <w:jc w:val="center"/>
              <w:rPr>
                <w:kern w:val="16"/>
              </w:rPr>
            </w:pPr>
          </w:p>
        </w:tc>
      </w:tr>
      <w:tr w:rsidR="001177A2" w14:paraId="49521F99"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A685D05" w14:textId="77777777" w:rsidR="001177A2" w:rsidRDefault="001177A2">
            <w:pPr>
              <w:suppressAutoHyphens/>
              <w:jc w:val="center"/>
              <w:rPr>
                <w:kern w:val="16"/>
              </w:rPr>
            </w:pPr>
            <w:r>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60C534A6" w14:textId="77777777" w:rsidR="001177A2" w:rsidRDefault="001177A2">
            <w:pPr>
              <w:suppressAutoHyphens/>
              <w:jc w:val="center"/>
              <w:rPr>
                <w:kern w:val="16"/>
              </w:rPr>
            </w:pPr>
          </w:p>
        </w:tc>
        <w:tc>
          <w:tcPr>
            <w:tcW w:w="1150" w:type="dxa"/>
            <w:tcBorders>
              <w:top w:val="single" w:sz="4" w:space="0" w:color="auto"/>
              <w:left w:val="single" w:sz="4" w:space="0" w:color="auto"/>
              <w:bottom w:val="single" w:sz="4" w:space="0" w:color="auto"/>
              <w:right w:val="single" w:sz="18" w:space="0" w:color="auto"/>
            </w:tcBorders>
          </w:tcPr>
          <w:p w14:paraId="0881A81D" w14:textId="77777777" w:rsidR="001177A2" w:rsidRDefault="001177A2">
            <w:pPr>
              <w:suppressAutoHyphens/>
              <w:jc w:val="center"/>
              <w:rPr>
                <w:kern w:val="16"/>
              </w:rPr>
            </w:pPr>
          </w:p>
        </w:tc>
        <w:tc>
          <w:tcPr>
            <w:tcW w:w="1123" w:type="dxa"/>
            <w:tcBorders>
              <w:top w:val="single" w:sz="4" w:space="0" w:color="auto"/>
              <w:left w:val="single" w:sz="18" w:space="0" w:color="auto"/>
              <w:bottom w:val="single" w:sz="18" w:space="0" w:color="auto"/>
              <w:right w:val="single" w:sz="18" w:space="0" w:color="auto"/>
            </w:tcBorders>
          </w:tcPr>
          <w:p w14:paraId="711B11E9"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368B0C62" w14:textId="77777777" w:rsidR="001177A2" w:rsidRDefault="001177A2">
            <w:pPr>
              <w:suppressAutoHyphens/>
              <w:jc w:val="center"/>
              <w:rPr>
                <w:kern w:val="16"/>
              </w:rPr>
            </w:pPr>
            <w:r>
              <w:t>$500</w:t>
            </w:r>
          </w:p>
        </w:tc>
        <w:tc>
          <w:tcPr>
            <w:tcW w:w="1150" w:type="dxa"/>
            <w:tcBorders>
              <w:top w:val="single" w:sz="4" w:space="0" w:color="auto"/>
              <w:left w:val="single" w:sz="4" w:space="0" w:color="auto"/>
              <w:bottom w:val="single" w:sz="4" w:space="0" w:color="auto"/>
              <w:right w:val="single" w:sz="18" w:space="0" w:color="auto"/>
            </w:tcBorders>
          </w:tcPr>
          <w:p w14:paraId="0F66E572" w14:textId="77777777" w:rsidR="001177A2" w:rsidRDefault="001177A2">
            <w:pPr>
              <w:suppressAutoHyphens/>
              <w:jc w:val="center"/>
              <w:rPr>
                <w:kern w:val="16"/>
              </w:rPr>
            </w:pPr>
          </w:p>
        </w:tc>
        <w:tc>
          <w:tcPr>
            <w:tcW w:w="1150" w:type="dxa"/>
            <w:tcBorders>
              <w:top w:val="single" w:sz="8" w:space="0" w:color="auto"/>
              <w:left w:val="single" w:sz="18" w:space="0" w:color="auto"/>
              <w:bottom w:val="single" w:sz="18" w:space="0" w:color="auto"/>
              <w:right w:val="single" w:sz="18" w:space="0" w:color="auto"/>
            </w:tcBorders>
          </w:tcPr>
          <w:p w14:paraId="797CF1B8" w14:textId="77777777" w:rsidR="001177A2" w:rsidRDefault="001177A2">
            <w:pPr>
              <w:suppressAutoHyphens/>
              <w:jc w:val="center"/>
              <w:rPr>
                <w:kern w:val="16"/>
              </w:rPr>
            </w:pPr>
          </w:p>
        </w:tc>
      </w:tr>
    </w:tbl>
    <w:p w14:paraId="6E92FEE1" w14:textId="77777777" w:rsidR="007A2435" w:rsidRDefault="007A2435" w:rsidP="00D8261A">
      <w:pPr>
        <w:pStyle w:val="Paragraph"/>
        <w:spacing w:before="0" w:after="240" w:line="300" w:lineRule="auto"/>
        <w:rPr>
          <w:rFonts w:ascii="Arial" w:hAnsi="Arial" w:cs="Arial"/>
        </w:rPr>
      </w:pPr>
    </w:p>
    <w:p w14:paraId="1848F6D3" w14:textId="77777777" w:rsidR="00447056" w:rsidRPr="00D8261A" w:rsidRDefault="001177A2" w:rsidP="00877DDB">
      <w:pPr>
        <w:pStyle w:val="BPM"/>
      </w:pPr>
      <w:r w:rsidRPr="00D8261A">
        <w:t>Where it is assumed that GHG compliance costs for G</w:t>
      </w:r>
      <w:r w:rsidRPr="00D8261A">
        <w:rPr>
          <w:vertAlign w:val="subscript"/>
        </w:rPr>
        <w:t>1</w:t>
      </w:r>
      <w:r w:rsidRPr="00D8261A">
        <w:t xml:space="preserve"> are included in the energy bid (cost) and recovered through the energy payment, </w:t>
      </w:r>
      <w:r w:rsidR="00D220F2" w:rsidRPr="00A11346">
        <w:t xml:space="preserve">and </w:t>
      </w:r>
      <w:r w:rsidRPr="00D8261A">
        <w:t>as such</w:t>
      </w:r>
      <w:r w:rsidR="00D220F2" w:rsidRPr="00A11346">
        <w:t xml:space="preserve"> </w:t>
      </w:r>
      <w:r w:rsidRPr="00D8261A">
        <w:t>they are not shown explicitly. It can be seen in the settlement results above that the total payment to each generator is sufficient to cover the respective energy and GHG compliance costs.</w:t>
      </w:r>
    </w:p>
    <w:p w14:paraId="4231C482" w14:textId="77777777" w:rsidR="009C4072" w:rsidRPr="00A11346" w:rsidRDefault="009C4072" w:rsidP="00D8261A">
      <w:pPr>
        <w:pStyle w:val="Paragraph"/>
        <w:spacing w:before="0" w:after="240" w:line="300" w:lineRule="auto"/>
        <w:rPr>
          <w:rFonts w:ascii="Arial" w:hAnsi="Arial" w:cs="Arial"/>
        </w:rPr>
      </w:pPr>
    </w:p>
    <w:p w14:paraId="0A4C907D" w14:textId="77777777" w:rsidR="00690C93" w:rsidRDefault="00690C93" w:rsidP="00D8261A">
      <w:pPr>
        <w:pStyle w:val="Paragraph"/>
        <w:spacing w:before="0" w:after="240" w:line="300" w:lineRule="auto"/>
        <w:rPr>
          <w:rFonts w:cs="Arial"/>
        </w:rPr>
      </w:pPr>
    </w:p>
    <w:p w14:paraId="364FB60C" w14:textId="77777777" w:rsidR="009D57CA" w:rsidRPr="00D8261A" w:rsidRDefault="00690C93" w:rsidP="00877DDB">
      <w:pPr>
        <w:pStyle w:val="Paragraph"/>
        <w:spacing w:before="0" w:after="240" w:line="300" w:lineRule="auto"/>
        <w:rPr>
          <w:rFonts w:ascii="Arial" w:hAnsi="Arial" w:cs="Arial"/>
          <w:b/>
        </w:rPr>
      </w:pPr>
      <w:r w:rsidRPr="00D8261A">
        <w:rPr>
          <w:rFonts w:ascii="Arial" w:hAnsi="Arial" w:cs="Arial"/>
          <w:b/>
        </w:rPr>
        <w:t>Example 2</w:t>
      </w:r>
    </w:p>
    <w:p w14:paraId="2B07AB66" w14:textId="77777777" w:rsidR="001177A2" w:rsidRPr="004F3267" w:rsidRDefault="001177A2" w:rsidP="00877DDB">
      <w:pPr>
        <w:pStyle w:val="BPM"/>
      </w:pPr>
      <w:bookmarkStart w:id="1944" w:name="_Toc367722318"/>
      <w:bookmarkStart w:id="1945" w:name="_Toc364148863"/>
      <w:bookmarkStart w:id="1946" w:name="_Toc364147773"/>
      <w:bookmarkStart w:id="1947" w:name="_Toc363813082"/>
      <w:bookmarkStart w:id="1948" w:name="_Toc363802647"/>
      <w:bookmarkStart w:id="1949" w:name="_Toc363747655"/>
      <w:bookmarkStart w:id="1950" w:name="_Toc363747520"/>
      <w:bookmarkStart w:id="1951" w:name="_Toc360527188"/>
      <w:bookmarkStart w:id="1952" w:name="_Toc357770681"/>
      <w:bookmarkStart w:id="1953" w:name="_Toc357700103"/>
      <w:bookmarkStart w:id="1954" w:name="_Toc357692055"/>
      <w:bookmarkEnd w:id="1944"/>
      <w:bookmarkEnd w:id="1945"/>
      <w:bookmarkEnd w:id="1946"/>
      <w:bookmarkEnd w:id="1947"/>
      <w:bookmarkEnd w:id="1948"/>
      <w:bookmarkEnd w:id="1949"/>
      <w:bookmarkEnd w:id="1950"/>
      <w:bookmarkEnd w:id="1951"/>
      <w:bookmarkEnd w:id="1952"/>
      <w:bookmarkEnd w:id="1953"/>
      <w:bookmarkEnd w:id="1954"/>
      <w:r w:rsidRPr="004F3267">
        <w:t xml:space="preserve">This is a variation on the first example where G3 reduces its bid price to $28 to become a more competitive exporter to the </w:t>
      </w:r>
      <w:r w:rsidR="0058562B">
        <w:t>CA</w:t>
      </w:r>
      <w:r w:rsidRPr="004F3267">
        <w:t>ISO compared to G2, taking into account the additional GHG compliance bid of $6/MWh. In this case, the optimal dispatch and export allocation are as follows:</w:t>
      </w:r>
    </w:p>
    <w:tbl>
      <w:tblPr>
        <w:tblW w:w="0" w:type="auto"/>
        <w:jc w:val="center"/>
        <w:tblLook w:val="04A0" w:firstRow="1" w:lastRow="0" w:firstColumn="1" w:lastColumn="0" w:noHBand="0" w:noVBand="1"/>
      </w:tblPr>
      <w:tblGrid>
        <w:gridCol w:w="1126"/>
        <w:gridCol w:w="1077"/>
        <w:gridCol w:w="1930"/>
        <w:gridCol w:w="1147"/>
      </w:tblGrid>
      <w:tr w:rsidR="001177A2" w14:paraId="19138A3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473501"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C9561C" w14:textId="77777777" w:rsidR="001177A2" w:rsidRDefault="001177A2">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F9357C" w14:textId="77777777" w:rsidR="001177A2" w:rsidRDefault="001177A2">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7858A33" w14:textId="77777777" w:rsidR="001177A2" w:rsidRDefault="001177A2">
            <w:pPr>
              <w:suppressAutoHyphens/>
              <w:jc w:val="center"/>
              <w:rPr>
                <w:b/>
                <w:kern w:val="16"/>
              </w:rPr>
            </w:pPr>
            <w:r>
              <w:rPr>
                <w:b/>
              </w:rPr>
              <w:t>LMP</w:t>
            </w:r>
            <w:r>
              <w:rPr>
                <w:b/>
              </w:rPr>
              <w:br/>
              <w:t>($/MWh)</w:t>
            </w:r>
          </w:p>
        </w:tc>
      </w:tr>
      <w:tr w:rsidR="001177A2" w14:paraId="25F317C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1DA92E1A"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7E5A6D0A"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6E16116A"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5FA70837" w14:textId="77777777" w:rsidR="001177A2" w:rsidRDefault="001177A2">
            <w:pPr>
              <w:suppressAutoHyphens/>
              <w:jc w:val="center"/>
              <w:rPr>
                <w:kern w:val="16"/>
              </w:rPr>
            </w:pPr>
            <w:r>
              <w:t>50</w:t>
            </w:r>
          </w:p>
        </w:tc>
      </w:tr>
      <w:tr w:rsidR="001177A2" w14:paraId="14070E60"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79E4C393" w14:textId="77777777" w:rsidR="001177A2" w:rsidRDefault="001177A2">
            <w:pPr>
              <w:suppressAutoHyphens/>
              <w:jc w:val="center"/>
              <w:rPr>
                <w:kern w:val="16"/>
                <w:vertAlign w:val="subscript"/>
              </w:rPr>
            </w:pPr>
            <w:r>
              <w:t>G2</w:t>
            </w:r>
          </w:p>
        </w:tc>
        <w:tc>
          <w:tcPr>
            <w:tcW w:w="0" w:type="auto"/>
            <w:tcBorders>
              <w:top w:val="single" w:sz="4" w:space="0" w:color="auto"/>
              <w:left w:val="single" w:sz="4" w:space="0" w:color="auto"/>
              <w:bottom w:val="single" w:sz="4" w:space="0" w:color="auto"/>
              <w:right w:val="single" w:sz="4" w:space="0" w:color="auto"/>
            </w:tcBorders>
            <w:hideMark/>
          </w:tcPr>
          <w:p w14:paraId="582FCFC5"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D428BAA" w14:textId="77777777" w:rsidR="001177A2" w:rsidRDefault="001177A2">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CF4BD18" w14:textId="77777777" w:rsidR="001177A2" w:rsidRDefault="001177A2">
            <w:pPr>
              <w:suppressAutoHyphens/>
              <w:jc w:val="center"/>
              <w:rPr>
                <w:kern w:val="16"/>
              </w:rPr>
            </w:pPr>
            <w:r>
              <w:t>28</w:t>
            </w:r>
          </w:p>
        </w:tc>
      </w:tr>
      <w:tr w:rsidR="001177A2" w14:paraId="5257E6BF"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DBF2561"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5909F665" w14:textId="77777777" w:rsidR="001177A2" w:rsidRDefault="001177A2">
            <w:pPr>
              <w:suppressAutoHyphens/>
              <w:jc w:val="center"/>
              <w:rPr>
                <w:kern w:val="16"/>
              </w:rPr>
            </w:pPr>
            <w:r>
              <w:t>150</w:t>
            </w:r>
          </w:p>
        </w:tc>
        <w:tc>
          <w:tcPr>
            <w:tcW w:w="0" w:type="auto"/>
            <w:tcBorders>
              <w:top w:val="single" w:sz="4" w:space="0" w:color="auto"/>
              <w:left w:val="single" w:sz="4" w:space="0" w:color="auto"/>
              <w:bottom w:val="single" w:sz="4" w:space="0" w:color="auto"/>
              <w:right w:val="single" w:sz="4" w:space="0" w:color="auto"/>
            </w:tcBorders>
            <w:hideMark/>
          </w:tcPr>
          <w:p w14:paraId="6E3E59C7"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6907265F" w14:textId="77777777" w:rsidR="001177A2" w:rsidRDefault="001177A2">
            <w:pPr>
              <w:suppressAutoHyphens/>
              <w:jc w:val="center"/>
              <w:rPr>
                <w:kern w:val="16"/>
              </w:rPr>
            </w:pPr>
            <w:r>
              <w:t>28</w:t>
            </w:r>
          </w:p>
        </w:tc>
      </w:tr>
      <w:tr w:rsidR="001177A2" w14:paraId="4060D168"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113C1E3B" w14:textId="77777777" w:rsidR="001177A2" w:rsidRDefault="001177A2">
            <w:pPr>
              <w:suppressAutoHyphens/>
              <w:jc w:val="center"/>
              <w:rPr>
                <w:kern w:val="16"/>
              </w:rPr>
            </w:pPr>
            <w:r>
              <w:t>L1</w:t>
            </w:r>
          </w:p>
        </w:tc>
        <w:tc>
          <w:tcPr>
            <w:tcW w:w="0" w:type="auto"/>
            <w:tcBorders>
              <w:top w:val="single" w:sz="4" w:space="0" w:color="auto"/>
              <w:left w:val="single" w:sz="4" w:space="0" w:color="auto"/>
              <w:bottom w:val="single" w:sz="4" w:space="0" w:color="auto"/>
              <w:right w:val="single" w:sz="4" w:space="0" w:color="auto"/>
            </w:tcBorders>
            <w:hideMark/>
          </w:tcPr>
          <w:p w14:paraId="4A60860A" w14:textId="77777777" w:rsidR="001177A2" w:rsidRDefault="001177A2">
            <w:pPr>
              <w:suppressAutoHyphens/>
              <w:jc w:val="center"/>
              <w:rPr>
                <w:kern w:val="16"/>
              </w:rPr>
            </w:pPr>
            <w:r>
              <w:t>200</w:t>
            </w:r>
          </w:p>
        </w:tc>
        <w:tc>
          <w:tcPr>
            <w:tcW w:w="0" w:type="auto"/>
            <w:tcBorders>
              <w:top w:val="single" w:sz="4" w:space="0" w:color="auto"/>
              <w:left w:val="single" w:sz="4" w:space="0" w:color="auto"/>
              <w:bottom w:val="single" w:sz="4" w:space="0" w:color="auto"/>
              <w:right w:val="single" w:sz="4" w:space="0" w:color="auto"/>
            </w:tcBorders>
            <w:hideMark/>
          </w:tcPr>
          <w:p w14:paraId="740307D8"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3350DDFC" w14:textId="77777777" w:rsidR="001177A2" w:rsidRDefault="001177A2">
            <w:pPr>
              <w:suppressAutoHyphens/>
              <w:jc w:val="center"/>
              <w:rPr>
                <w:kern w:val="16"/>
              </w:rPr>
            </w:pPr>
            <w:r>
              <w:t>50</w:t>
            </w:r>
          </w:p>
        </w:tc>
      </w:tr>
      <w:tr w:rsidR="001177A2" w14:paraId="2AB2C4D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D4E59D9" w14:textId="77777777" w:rsidR="001177A2" w:rsidRDefault="001177A2">
            <w:pPr>
              <w:suppressAutoHyphens/>
              <w:jc w:val="center"/>
              <w:rPr>
                <w:kern w:val="16"/>
              </w:rPr>
            </w:pPr>
            <w:r>
              <w:t>L2</w:t>
            </w:r>
          </w:p>
        </w:tc>
        <w:tc>
          <w:tcPr>
            <w:tcW w:w="0" w:type="auto"/>
            <w:tcBorders>
              <w:top w:val="single" w:sz="4" w:space="0" w:color="auto"/>
              <w:left w:val="single" w:sz="4" w:space="0" w:color="auto"/>
              <w:bottom w:val="single" w:sz="4" w:space="0" w:color="auto"/>
              <w:right w:val="single" w:sz="4" w:space="0" w:color="auto"/>
            </w:tcBorders>
            <w:hideMark/>
          </w:tcPr>
          <w:p w14:paraId="21D9B639"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38305AC3"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3216AB34" w14:textId="77777777" w:rsidR="001177A2" w:rsidRDefault="001177A2">
            <w:pPr>
              <w:suppressAutoHyphens/>
              <w:jc w:val="center"/>
              <w:rPr>
                <w:kern w:val="16"/>
              </w:rPr>
            </w:pPr>
            <w:r>
              <w:t>28</w:t>
            </w:r>
          </w:p>
        </w:tc>
      </w:tr>
    </w:tbl>
    <w:p w14:paraId="2736CCAB" w14:textId="77777777" w:rsidR="001177A2" w:rsidRDefault="001177A2" w:rsidP="001177A2">
      <w:pPr>
        <w:jc w:val="center"/>
      </w:pPr>
      <w:r>
        <w:t xml:space="preserve">Example 2: </w:t>
      </w:r>
      <m:oMath>
        <m:r>
          <m:rPr>
            <m:sty m:val="p"/>
          </m:rPr>
          <w:rPr>
            <w:rFonts w:ascii="Cambria Math" w:hAnsi="Cambria Math"/>
          </w:rPr>
          <m:t>µ</m:t>
        </m:r>
      </m:oMath>
      <w:r>
        <w:t xml:space="preserve"> = –$16/MWh; </w:t>
      </w:r>
      <m:oMath>
        <m:r>
          <m:rPr>
            <m:sty m:val="p"/>
          </m:rPr>
          <w:rPr>
            <w:rFonts w:ascii="Cambria Math" w:hAnsi="Cambria Math"/>
          </w:rPr>
          <m:t>η</m:t>
        </m:r>
      </m:oMath>
      <w:r>
        <w:t xml:space="preserve"> = –$6/MWh</w:t>
      </w:r>
    </w:p>
    <w:p w14:paraId="7C567E0E" w14:textId="77777777" w:rsidR="00FC6F91" w:rsidRDefault="00FC6F91" w:rsidP="001177A2">
      <w:pPr>
        <w:jc w:val="center"/>
        <w:rPr>
          <w:kern w:val="16"/>
        </w:rPr>
      </w:pPr>
    </w:p>
    <w:p w14:paraId="1D2ED94C" w14:textId="7FD67591" w:rsidR="001177A2" w:rsidRPr="000F299B" w:rsidRDefault="001177A2" w:rsidP="00877DDB">
      <w:pPr>
        <w:pStyle w:val="BPM"/>
      </w:pPr>
      <w:r w:rsidRPr="000F299B">
        <w:lastRenderedPageBreak/>
        <w:t>G3 is the least expensive resource for serving L2, and as such it sets the LMP in the</w:t>
      </w:r>
      <w:r w:rsidR="005F24C1">
        <w:t xml:space="preserve"> WEIM </w:t>
      </w:r>
      <w:r w:rsidRPr="000F299B">
        <w:t xml:space="preserve">Entity Area to $28/MWh. It is also the least expensive resource for serving L1 at $34/MWh (including the $6/MWh GHG compliance cost). Consequently, G3 is dispatched at 150MW with 100MW exported to the </w:t>
      </w:r>
      <w:r w:rsidR="0058562B">
        <w:t>CA</w:t>
      </w:r>
      <w:r w:rsidRPr="000F299B">
        <w:t xml:space="preserve">ISO at the limit of the power transfer capability. The balance of 100MW of L1 can only be served by G1, which sets the LMP in the </w:t>
      </w:r>
      <w:r w:rsidR="0058562B">
        <w:t>CA</w:t>
      </w:r>
      <w:r w:rsidRPr="000F299B">
        <w:t>ISO to $50/MWh.</w:t>
      </w:r>
    </w:p>
    <w:p w14:paraId="2952F5FA" w14:textId="77777777" w:rsidR="001177A2" w:rsidRPr="000F299B" w:rsidRDefault="001177A2" w:rsidP="00877DDB">
      <w:pPr>
        <w:pStyle w:val="BPM"/>
      </w:pPr>
      <w:r w:rsidRPr="000F299B">
        <w:t>The LMP difference of $22/MWh is made up by the marginal congestion cost of $16/MWh and the marginal GHG compliance cost of $6/MWh. The marginal congestion cost can be easily verified if the power transfer limit is relaxed by 1MW to 101MW, in which case one additional MWh from G3 will displace 1MWh from G1 for a net benefit of $16. The marginal GHG compliance cost can be easily verified if the export allocation (which carries the GHYG allowance cost) is relaxed by 1 MW to 99MW, in which case 1MWh from G3 will not incur GHG allowance costs for a benefit of $6.</w:t>
      </w:r>
    </w:p>
    <w:p w14:paraId="6EB34897" w14:textId="77777777" w:rsidR="00970A1B" w:rsidRPr="000F299B" w:rsidRDefault="001177A2" w:rsidP="00877DDB">
      <w:pPr>
        <w:pStyle w:val="BPM"/>
      </w:pPr>
      <w:r w:rsidRPr="000F299B">
        <w:t>The marginal congestion cost of $16/MWh and the marginal GHG compliance cost of $6/MWh on a 100MWh energy export result in a congestion revenue of $1,600 and a GHG compliance revenue of $600, respectively.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8"/>
        <w:gridCol w:w="893"/>
        <w:gridCol w:w="1443"/>
        <w:gridCol w:w="1123"/>
        <w:gridCol w:w="1123"/>
        <w:gridCol w:w="1443"/>
        <w:gridCol w:w="1150"/>
      </w:tblGrid>
      <w:tr w:rsidR="001177A2" w14:paraId="740B1D3B"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EF4C1B6"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B862DF" w14:textId="77777777" w:rsidR="001177A2" w:rsidRDefault="001177A2">
            <w:pPr>
              <w:suppressAutoHyphens/>
              <w:jc w:val="center"/>
              <w:rPr>
                <w:b/>
                <w:kern w:val="16"/>
              </w:rPr>
            </w:pPr>
            <w:r>
              <w:rPr>
                <w:b/>
              </w:rPr>
              <w:t>Energy</w:t>
            </w:r>
            <w:r>
              <w:rPr>
                <w:b/>
              </w:rPr>
              <w:br/>
              <w:t>Cost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42B5D350" w14:textId="77777777" w:rsidR="001177A2" w:rsidRDefault="001177A2">
            <w:pPr>
              <w:suppressAutoHyphens/>
              <w:jc w:val="center"/>
              <w:rPr>
                <w:b/>
                <w:kern w:val="16"/>
              </w:rPr>
            </w:pPr>
            <w:r>
              <w:rPr>
                <w:b/>
              </w:rPr>
              <w:t>GHG Compliance Cost</w:t>
            </w:r>
          </w:p>
        </w:tc>
        <w:tc>
          <w:tcPr>
            <w:tcW w:w="1123"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547876C8" w14:textId="77777777" w:rsidR="001177A2" w:rsidRDefault="001177A2">
            <w:pPr>
              <w:suppressAutoHyphens/>
              <w:jc w:val="center"/>
              <w:rPr>
                <w:b/>
                <w:kern w:val="16"/>
              </w:rPr>
            </w:pPr>
            <w:r>
              <w:rPr>
                <w:b/>
              </w:rPr>
              <w:t>Total</w:t>
            </w:r>
            <w:r>
              <w:rPr>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2C71C4E1" w14:textId="77777777" w:rsidR="001177A2" w:rsidRDefault="001177A2">
            <w:pPr>
              <w:suppressAutoHyphens/>
              <w:jc w:val="center"/>
              <w:rPr>
                <w:b/>
                <w:kern w:val="16"/>
              </w:rPr>
            </w:pPr>
            <w:r>
              <w:rPr>
                <w:b/>
              </w:rPr>
              <w:t>Energy</w:t>
            </w:r>
            <w:r>
              <w:rPr>
                <w:b/>
              </w:rPr>
              <w:br/>
              <w:t>Payment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239AA6A2" w14:textId="77777777" w:rsidR="001177A2" w:rsidRDefault="001177A2">
            <w:pPr>
              <w:suppressAutoHyphens/>
              <w:jc w:val="center"/>
              <w:rPr>
                <w:b/>
                <w:kern w:val="16"/>
              </w:rPr>
            </w:pPr>
            <w:r>
              <w:rPr>
                <w:b/>
              </w:rPr>
              <w:t>GHG Compliance Payment</w:t>
            </w:r>
          </w:p>
        </w:tc>
        <w:tc>
          <w:tcPr>
            <w:tcW w:w="1150"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7EF765D8" w14:textId="77777777" w:rsidR="001177A2" w:rsidRDefault="001177A2">
            <w:pPr>
              <w:suppressAutoHyphens/>
              <w:jc w:val="center"/>
              <w:rPr>
                <w:b/>
                <w:kern w:val="16"/>
              </w:rPr>
            </w:pPr>
            <w:r>
              <w:rPr>
                <w:b/>
              </w:rPr>
              <w:t>Total Payment</w:t>
            </w:r>
          </w:p>
        </w:tc>
      </w:tr>
      <w:tr w:rsidR="001177A2" w14:paraId="39CAD907"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96D53BF"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2232B535" w14:textId="77777777" w:rsidR="001177A2" w:rsidRDefault="001177A2">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0E5E7E89" w14:textId="77777777" w:rsidR="001177A2" w:rsidRDefault="001177A2">
            <w:pPr>
              <w:suppressAutoHyphens/>
              <w:jc w:val="center"/>
              <w:rPr>
                <w:kern w:val="16"/>
              </w:rPr>
            </w:pPr>
            <w:r>
              <w:t>-</w:t>
            </w:r>
          </w:p>
        </w:tc>
        <w:tc>
          <w:tcPr>
            <w:tcW w:w="1123" w:type="dxa"/>
            <w:tcBorders>
              <w:top w:val="single" w:sz="4" w:space="0" w:color="auto"/>
              <w:left w:val="single" w:sz="18" w:space="0" w:color="auto"/>
              <w:bottom w:val="single" w:sz="4" w:space="0" w:color="auto"/>
              <w:right w:val="single" w:sz="18" w:space="0" w:color="auto"/>
            </w:tcBorders>
            <w:hideMark/>
          </w:tcPr>
          <w:p w14:paraId="5A28FDCC" w14:textId="77777777" w:rsidR="001177A2" w:rsidRDefault="001177A2">
            <w:pPr>
              <w:suppressAutoHyphens/>
              <w:jc w:val="center"/>
              <w:rPr>
                <w:kern w:val="16"/>
              </w:rPr>
            </w:pPr>
            <w:r>
              <w:t>$5,000</w:t>
            </w:r>
          </w:p>
        </w:tc>
        <w:tc>
          <w:tcPr>
            <w:tcW w:w="1123" w:type="dxa"/>
            <w:tcBorders>
              <w:top w:val="single" w:sz="4" w:space="0" w:color="auto"/>
              <w:left w:val="single" w:sz="18" w:space="0" w:color="auto"/>
              <w:bottom w:val="single" w:sz="4" w:space="0" w:color="auto"/>
              <w:right w:val="single" w:sz="4" w:space="0" w:color="auto"/>
            </w:tcBorders>
            <w:hideMark/>
          </w:tcPr>
          <w:p w14:paraId="719D6581" w14:textId="77777777" w:rsidR="001177A2" w:rsidRDefault="001177A2">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3E4C035E" w14:textId="77777777" w:rsidR="001177A2" w:rsidRDefault="001177A2">
            <w:pPr>
              <w:suppressAutoHyphens/>
              <w:jc w:val="center"/>
              <w:rPr>
                <w:kern w:val="16"/>
              </w:rPr>
            </w:pPr>
            <w:r>
              <w:t>-</w:t>
            </w:r>
          </w:p>
        </w:tc>
        <w:tc>
          <w:tcPr>
            <w:tcW w:w="1150" w:type="dxa"/>
            <w:tcBorders>
              <w:top w:val="single" w:sz="4" w:space="0" w:color="auto"/>
              <w:left w:val="single" w:sz="18" w:space="0" w:color="auto"/>
              <w:bottom w:val="single" w:sz="4" w:space="0" w:color="auto"/>
              <w:right w:val="single" w:sz="18" w:space="0" w:color="auto"/>
            </w:tcBorders>
            <w:hideMark/>
          </w:tcPr>
          <w:p w14:paraId="052A1095" w14:textId="77777777" w:rsidR="001177A2" w:rsidRDefault="001177A2">
            <w:pPr>
              <w:suppressAutoHyphens/>
              <w:jc w:val="center"/>
              <w:rPr>
                <w:kern w:val="16"/>
              </w:rPr>
            </w:pPr>
            <w:r>
              <w:t>$5,000</w:t>
            </w:r>
          </w:p>
        </w:tc>
      </w:tr>
      <w:tr w:rsidR="001177A2" w14:paraId="754F3310"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5F4C486"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0A242080" w14:textId="77777777" w:rsidR="001177A2" w:rsidRDefault="001177A2">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hideMark/>
          </w:tcPr>
          <w:p w14:paraId="26FF7D7B"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327DAD41" w14:textId="77777777" w:rsidR="001177A2" w:rsidRDefault="001177A2">
            <w:pPr>
              <w:suppressAutoHyphens/>
              <w:jc w:val="center"/>
              <w:rPr>
                <w:kern w:val="16"/>
              </w:rPr>
            </w:pPr>
            <w:r>
              <w:t>$0</w:t>
            </w:r>
          </w:p>
        </w:tc>
        <w:tc>
          <w:tcPr>
            <w:tcW w:w="1123" w:type="dxa"/>
            <w:tcBorders>
              <w:top w:val="single" w:sz="4" w:space="0" w:color="auto"/>
              <w:left w:val="single" w:sz="18" w:space="0" w:color="auto"/>
              <w:bottom w:val="single" w:sz="4" w:space="0" w:color="auto"/>
              <w:right w:val="single" w:sz="4" w:space="0" w:color="auto"/>
            </w:tcBorders>
            <w:hideMark/>
          </w:tcPr>
          <w:p w14:paraId="1A6C5ABA" w14:textId="77777777" w:rsidR="001177A2" w:rsidRDefault="001177A2">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hideMark/>
          </w:tcPr>
          <w:p w14:paraId="49E14951" w14:textId="77777777" w:rsidR="001177A2" w:rsidRDefault="001177A2">
            <w:pPr>
              <w:suppressAutoHyphens/>
              <w:jc w:val="center"/>
              <w:rPr>
                <w:kern w:val="16"/>
              </w:rPr>
            </w:pPr>
            <w:r>
              <w:t>$0</w:t>
            </w:r>
          </w:p>
        </w:tc>
        <w:tc>
          <w:tcPr>
            <w:tcW w:w="1150" w:type="dxa"/>
            <w:tcBorders>
              <w:top w:val="single" w:sz="4" w:space="0" w:color="auto"/>
              <w:left w:val="single" w:sz="18" w:space="0" w:color="auto"/>
              <w:bottom w:val="single" w:sz="4" w:space="0" w:color="auto"/>
              <w:right w:val="single" w:sz="18" w:space="0" w:color="auto"/>
            </w:tcBorders>
            <w:hideMark/>
          </w:tcPr>
          <w:p w14:paraId="62C687A8" w14:textId="77777777" w:rsidR="001177A2" w:rsidRDefault="001177A2">
            <w:pPr>
              <w:suppressAutoHyphens/>
              <w:jc w:val="center"/>
              <w:rPr>
                <w:kern w:val="16"/>
              </w:rPr>
            </w:pPr>
            <w:r>
              <w:t>$0</w:t>
            </w:r>
          </w:p>
        </w:tc>
      </w:tr>
      <w:tr w:rsidR="001177A2" w14:paraId="0F9CD52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7A66D064"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5555759A" w14:textId="77777777" w:rsidR="001177A2" w:rsidRDefault="001177A2">
            <w:pPr>
              <w:suppressAutoHyphens/>
              <w:jc w:val="center"/>
              <w:rPr>
                <w:kern w:val="16"/>
              </w:rPr>
            </w:pPr>
            <w:r>
              <w:t>$4,200</w:t>
            </w:r>
          </w:p>
        </w:tc>
        <w:tc>
          <w:tcPr>
            <w:tcW w:w="1443" w:type="dxa"/>
            <w:tcBorders>
              <w:top w:val="single" w:sz="4" w:space="0" w:color="auto"/>
              <w:left w:val="single" w:sz="4" w:space="0" w:color="auto"/>
              <w:bottom w:val="single" w:sz="4" w:space="0" w:color="auto"/>
              <w:right w:val="single" w:sz="18" w:space="0" w:color="auto"/>
            </w:tcBorders>
            <w:hideMark/>
          </w:tcPr>
          <w:p w14:paraId="4A8D76BA" w14:textId="77777777" w:rsidR="001177A2" w:rsidRDefault="001177A2">
            <w:pPr>
              <w:suppressAutoHyphens/>
              <w:jc w:val="center"/>
              <w:rPr>
                <w:kern w:val="16"/>
              </w:rPr>
            </w:pPr>
            <w:r>
              <w:t>$600</w:t>
            </w:r>
          </w:p>
        </w:tc>
        <w:tc>
          <w:tcPr>
            <w:tcW w:w="1123" w:type="dxa"/>
            <w:tcBorders>
              <w:top w:val="single" w:sz="4" w:space="0" w:color="auto"/>
              <w:left w:val="single" w:sz="18" w:space="0" w:color="auto"/>
              <w:bottom w:val="single" w:sz="4" w:space="0" w:color="auto"/>
              <w:right w:val="single" w:sz="18" w:space="0" w:color="auto"/>
            </w:tcBorders>
            <w:hideMark/>
          </w:tcPr>
          <w:p w14:paraId="301098FC" w14:textId="77777777" w:rsidR="001177A2" w:rsidRDefault="001177A2">
            <w:pPr>
              <w:suppressAutoHyphens/>
              <w:jc w:val="center"/>
              <w:rPr>
                <w:kern w:val="16"/>
              </w:rPr>
            </w:pPr>
            <w:r>
              <w:t>$4,800</w:t>
            </w:r>
          </w:p>
        </w:tc>
        <w:tc>
          <w:tcPr>
            <w:tcW w:w="1123" w:type="dxa"/>
            <w:tcBorders>
              <w:top w:val="single" w:sz="4" w:space="0" w:color="auto"/>
              <w:left w:val="single" w:sz="18" w:space="0" w:color="auto"/>
              <w:bottom w:val="single" w:sz="4" w:space="0" w:color="auto"/>
              <w:right w:val="single" w:sz="4" w:space="0" w:color="auto"/>
            </w:tcBorders>
            <w:hideMark/>
          </w:tcPr>
          <w:p w14:paraId="07C9C61B" w14:textId="77777777" w:rsidR="001177A2" w:rsidRDefault="001177A2">
            <w:pPr>
              <w:suppressAutoHyphens/>
              <w:jc w:val="center"/>
              <w:rPr>
                <w:kern w:val="16"/>
              </w:rPr>
            </w:pPr>
            <w:r>
              <w:t>$4,200</w:t>
            </w:r>
          </w:p>
        </w:tc>
        <w:tc>
          <w:tcPr>
            <w:tcW w:w="1443" w:type="dxa"/>
            <w:tcBorders>
              <w:top w:val="single" w:sz="4" w:space="0" w:color="auto"/>
              <w:left w:val="single" w:sz="4" w:space="0" w:color="auto"/>
              <w:bottom w:val="single" w:sz="4" w:space="0" w:color="auto"/>
              <w:right w:val="single" w:sz="18" w:space="0" w:color="auto"/>
            </w:tcBorders>
            <w:hideMark/>
          </w:tcPr>
          <w:p w14:paraId="62C1A304" w14:textId="77777777" w:rsidR="001177A2" w:rsidRDefault="001177A2">
            <w:pPr>
              <w:suppressAutoHyphens/>
              <w:jc w:val="center"/>
              <w:rPr>
                <w:kern w:val="16"/>
              </w:rPr>
            </w:pPr>
            <w:r>
              <w:t>$600</w:t>
            </w:r>
          </w:p>
        </w:tc>
        <w:tc>
          <w:tcPr>
            <w:tcW w:w="1150" w:type="dxa"/>
            <w:tcBorders>
              <w:top w:val="single" w:sz="4" w:space="0" w:color="auto"/>
              <w:left w:val="single" w:sz="18" w:space="0" w:color="auto"/>
              <w:bottom w:val="single" w:sz="4" w:space="0" w:color="auto"/>
              <w:right w:val="single" w:sz="18" w:space="0" w:color="auto"/>
            </w:tcBorders>
            <w:hideMark/>
          </w:tcPr>
          <w:p w14:paraId="3997CCE9" w14:textId="77777777" w:rsidR="001177A2" w:rsidRDefault="001177A2">
            <w:pPr>
              <w:suppressAutoHyphens/>
              <w:jc w:val="center"/>
              <w:rPr>
                <w:kern w:val="16"/>
              </w:rPr>
            </w:pPr>
            <w:r>
              <w:t>$4,800</w:t>
            </w:r>
          </w:p>
        </w:tc>
      </w:tr>
      <w:tr w:rsidR="001177A2" w14:paraId="50DF7F3C"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0EAABA40" w14:textId="77777777" w:rsidR="001177A2" w:rsidRDefault="001177A2">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46B7E4BE"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17CF2F68"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025A6F38"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26960ED" w14:textId="77777777" w:rsidR="001177A2" w:rsidRDefault="001177A2">
            <w:pPr>
              <w:suppressAutoHyphens/>
              <w:jc w:val="center"/>
              <w:rPr>
                <w:kern w:val="16"/>
              </w:rPr>
            </w:pPr>
            <w:r>
              <w:t>–$10,000</w:t>
            </w:r>
          </w:p>
        </w:tc>
        <w:tc>
          <w:tcPr>
            <w:tcW w:w="1443" w:type="dxa"/>
            <w:tcBorders>
              <w:top w:val="single" w:sz="4" w:space="0" w:color="auto"/>
              <w:left w:val="single" w:sz="4" w:space="0" w:color="auto"/>
              <w:bottom w:val="single" w:sz="4" w:space="0" w:color="auto"/>
              <w:right w:val="single" w:sz="18" w:space="0" w:color="auto"/>
            </w:tcBorders>
          </w:tcPr>
          <w:p w14:paraId="7FB85D08" w14:textId="77777777" w:rsidR="001177A2" w:rsidRDefault="001177A2">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5ED5F331" w14:textId="77777777" w:rsidR="001177A2" w:rsidRDefault="001177A2">
            <w:pPr>
              <w:suppressAutoHyphens/>
              <w:jc w:val="center"/>
              <w:rPr>
                <w:kern w:val="16"/>
              </w:rPr>
            </w:pPr>
          </w:p>
        </w:tc>
      </w:tr>
      <w:tr w:rsidR="001177A2" w14:paraId="055301C7"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920F1DF" w14:textId="77777777" w:rsidR="001177A2" w:rsidRDefault="001177A2">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6FEBC004"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423248A6"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1E19D110"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F761499" w14:textId="77777777" w:rsidR="001177A2" w:rsidRDefault="001177A2">
            <w:pPr>
              <w:suppressAutoHyphens/>
              <w:jc w:val="center"/>
              <w:rPr>
                <w:kern w:val="16"/>
              </w:rPr>
            </w:pPr>
            <w:r>
              <w:t>–$1,400</w:t>
            </w:r>
          </w:p>
        </w:tc>
        <w:tc>
          <w:tcPr>
            <w:tcW w:w="1443" w:type="dxa"/>
            <w:tcBorders>
              <w:top w:val="single" w:sz="4" w:space="0" w:color="auto"/>
              <w:left w:val="single" w:sz="4" w:space="0" w:color="auto"/>
              <w:bottom w:val="single" w:sz="4" w:space="0" w:color="auto"/>
              <w:right w:val="single" w:sz="18" w:space="0" w:color="auto"/>
            </w:tcBorders>
          </w:tcPr>
          <w:p w14:paraId="50011DDA" w14:textId="77777777" w:rsidR="001177A2" w:rsidRDefault="001177A2">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55E32017" w14:textId="77777777" w:rsidR="001177A2" w:rsidRDefault="001177A2">
            <w:pPr>
              <w:suppressAutoHyphens/>
              <w:jc w:val="center"/>
              <w:rPr>
                <w:kern w:val="16"/>
              </w:rPr>
            </w:pPr>
          </w:p>
        </w:tc>
      </w:tr>
      <w:tr w:rsidR="001177A2" w14:paraId="55AC55D9"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5C77E697" w14:textId="77777777" w:rsidR="001177A2" w:rsidRDefault="001177A2">
            <w:pPr>
              <w:suppressAutoHyphens/>
              <w:jc w:val="center"/>
              <w:rPr>
                <w:kern w:val="16"/>
              </w:rPr>
            </w:pPr>
            <w:r>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7ED60AA4"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746322F8"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1A418BCB"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F9C9C6C" w14:textId="77777777" w:rsidR="001177A2" w:rsidRDefault="001177A2">
            <w:pPr>
              <w:suppressAutoHyphens/>
              <w:jc w:val="center"/>
              <w:rPr>
                <w:kern w:val="16"/>
              </w:rPr>
            </w:pPr>
            <w:r>
              <w:t>$1,600</w:t>
            </w:r>
          </w:p>
        </w:tc>
        <w:tc>
          <w:tcPr>
            <w:tcW w:w="1443" w:type="dxa"/>
            <w:tcBorders>
              <w:top w:val="single" w:sz="4" w:space="0" w:color="auto"/>
              <w:left w:val="single" w:sz="4" w:space="0" w:color="auto"/>
              <w:bottom w:val="single" w:sz="4" w:space="0" w:color="auto"/>
              <w:right w:val="single" w:sz="18" w:space="0" w:color="auto"/>
            </w:tcBorders>
          </w:tcPr>
          <w:p w14:paraId="1629C57C" w14:textId="77777777" w:rsidR="001177A2" w:rsidRDefault="001177A2">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5B89EF40" w14:textId="77777777" w:rsidR="001177A2" w:rsidRDefault="001177A2">
            <w:pPr>
              <w:suppressAutoHyphens/>
              <w:jc w:val="center"/>
              <w:rPr>
                <w:kern w:val="16"/>
              </w:rPr>
            </w:pPr>
          </w:p>
        </w:tc>
      </w:tr>
      <w:tr w:rsidR="001177A2" w14:paraId="2BD4BCFA"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4F663960" w14:textId="77777777" w:rsidR="001177A2" w:rsidRDefault="001177A2">
            <w:pPr>
              <w:suppressAutoHyphens/>
              <w:jc w:val="center"/>
              <w:rPr>
                <w:kern w:val="16"/>
              </w:rPr>
            </w:pPr>
            <w:r>
              <w:lastRenderedPageBreak/>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1FB40606" w14:textId="77777777" w:rsidR="001177A2" w:rsidRDefault="001177A2">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5857C81B" w14:textId="77777777" w:rsidR="001177A2" w:rsidRDefault="001177A2">
            <w:pPr>
              <w:suppressAutoHyphens/>
              <w:jc w:val="center"/>
              <w:rPr>
                <w:kern w:val="16"/>
              </w:rPr>
            </w:pPr>
          </w:p>
        </w:tc>
        <w:tc>
          <w:tcPr>
            <w:tcW w:w="1123" w:type="dxa"/>
            <w:tcBorders>
              <w:top w:val="single" w:sz="4" w:space="0" w:color="auto"/>
              <w:left w:val="single" w:sz="18" w:space="0" w:color="auto"/>
              <w:bottom w:val="single" w:sz="18" w:space="0" w:color="auto"/>
              <w:right w:val="single" w:sz="18" w:space="0" w:color="auto"/>
            </w:tcBorders>
          </w:tcPr>
          <w:p w14:paraId="3AA488EE" w14:textId="77777777" w:rsidR="001177A2" w:rsidRDefault="001177A2">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525D320" w14:textId="77777777" w:rsidR="001177A2" w:rsidRDefault="001177A2">
            <w:pPr>
              <w:suppressAutoHyphens/>
              <w:jc w:val="center"/>
              <w:rPr>
                <w:kern w:val="16"/>
              </w:rPr>
            </w:pPr>
            <w:r>
              <w:t>$600</w:t>
            </w:r>
          </w:p>
        </w:tc>
        <w:tc>
          <w:tcPr>
            <w:tcW w:w="1443" w:type="dxa"/>
            <w:tcBorders>
              <w:top w:val="single" w:sz="4" w:space="0" w:color="auto"/>
              <w:left w:val="single" w:sz="4" w:space="0" w:color="auto"/>
              <w:bottom w:val="single" w:sz="4" w:space="0" w:color="auto"/>
              <w:right w:val="single" w:sz="18" w:space="0" w:color="auto"/>
            </w:tcBorders>
          </w:tcPr>
          <w:p w14:paraId="2721431A" w14:textId="77777777" w:rsidR="001177A2" w:rsidRDefault="001177A2">
            <w:pPr>
              <w:suppressAutoHyphens/>
              <w:jc w:val="center"/>
              <w:rPr>
                <w:kern w:val="16"/>
              </w:rPr>
            </w:pPr>
          </w:p>
        </w:tc>
        <w:tc>
          <w:tcPr>
            <w:tcW w:w="1150" w:type="dxa"/>
            <w:tcBorders>
              <w:top w:val="single" w:sz="4" w:space="0" w:color="auto"/>
              <w:left w:val="single" w:sz="18" w:space="0" w:color="auto"/>
              <w:bottom w:val="single" w:sz="18" w:space="0" w:color="auto"/>
              <w:right w:val="single" w:sz="18" w:space="0" w:color="auto"/>
            </w:tcBorders>
          </w:tcPr>
          <w:p w14:paraId="4217F311" w14:textId="77777777" w:rsidR="001177A2" w:rsidRDefault="001177A2">
            <w:pPr>
              <w:suppressAutoHyphens/>
              <w:jc w:val="center"/>
              <w:rPr>
                <w:kern w:val="16"/>
              </w:rPr>
            </w:pPr>
          </w:p>
        </w:tc>
      </w:tr>
    </w:tbl>
    <w:p w14:paraId="1B628895" w14:textId="77777777" w:rsidR="00FC6F91" w:rsidRDefault="00FC6F91" w:rsidP="000F299B">
      <w:pPr>
        <w:pStyle w:val="Paragraph"/>
        <w:spacing w:before="0" w:after="240" w:line="300" w:lineRule="auto"/>
        <w:rPr>
          <w:rFonts w:ascii="Arial" w:hAnsi="Arial" w:cs="Arial"/>
        </w:rPr>
      </w:pPr>
    </w:p>
    <w:p w14:paraId="2E1E73BA" w14:textId="77777777" w:rsidR="001177A2" w:rsidRPr="000F299B" w:rsidRDefault="001177A2" w:rsidP="00877DDB">
      <w:pPr>
        <w:pStyle w:val="BPM"/>
      </w:pPr>
      <w:r w:rsidRPr="00831D03">
        <w:t>It can be seen in the settlement results above that the total payment to each generator is sufficient to cover the respective energy and GHG allowance costs.</w:t>
      </w:r>
    </w:p>
    <w:p w14:paraId="614A77DE" w14:textId="77777777" w:rsidR="001177A2" w:rsidRPr="00877DDB" w:rsidRDefault="001177A2" w:rsidP="00877DDB">
      <w:pPr>
        <w:pStyle w:val="Heading5"/>
        <w:numPr>
          <w:ilvl w:val="0"/>
          <w:numId w:val="0"/>
        </w:numPr>
        <w:ind w:left="1080" w:hanging="1080"/>
        <w:rPr>
          <w:rFonts w:ascii="Arial" w:hAnsi="Arial" w:cs="Arial"/>
        </w:rPr>
      </w:pPr>
      <w:bookmarkStart w:id="1955" w:name="_Toc367722319"/>
      <w:bookmarkStart w:id="1956" w:name="_Toc364148864"/>
      <w:bookmarkStart w:id="1957" w:name="_Toc364147774"/>
      <w:bookmarkStart w:id="1958" w:name="_Toc363813083"/>
      <w:bookmarkStart w:id="1959" w:name="_Toc363802648"/>
      <w:bookmarkStart w:id="1960" w:name="_Toc363747656"/>
      <w:bookmarkStart w:id="1961" w:name="_Toc363747521"/>
      <w:bookmarkStart w:id="1962" w:name="_Toc360527189"/>
      <w:bookmarkStart w:id="1963" w:name="_Toc357770682"/>
      <w:bookmarkStart w:id="1964" w:name="_Toc357700104"/>
      <w:bookmarkStart w:id="1965" w:name="_Toc357692056"/>
      <w:r w:rsidRPr="00877DDB">
        <w:rPr>
          <w:rFonts w:ascii="Arial" w:hAnsi="Arial" w:cs="Arial"/>
        </w:rPr>
        <w:t>Example 3</w:t>
      </w:r>
      <w:bookmarkEnd w:id="1955"/>
      <w:bookmarkEnd w:id="1956"/>
      <w:bookmarkEnd w:id="1957"/>
      <w:bookmarkEnd w:id="1958"/>
      <w:bookmarkEnd w:id="1959"/>
      <w:bookmarkEnd w:id="1960"/>
      <w:bookmarkEnd w:id="1961"/>
      <w:bookmarkEnd w:id="1962"/>
      <w:bookmarkEnd w:id="1963"/>
      <w:bookmarkEnd w:id="1964"/>
      <w:bookmarkEnd w:id="1965"/>
    </w:p>
    <w:p w14:paraId="00E55C90" w14:textId="77777777" w:rsidR="001177A2" w:rsidRPr="000F299B" w:rsidRDefault="001177A2" w:rsidP="00877DDB">
      <w:pPr>
        <w:pStyle w:val="BPM"/>
      </w:pPr>
      <w:r w:rsidRPr="000F299B">
        <w:t>This is a variation on the second example where the available maximum capacity of G3 is reduced to 75MW in addition to reduced bid price of $28/MWh as in Example 2. In this case, G2 is dispatched to make up for the remaining 75MW and the optimal dispatch and export allocation are as follows:</w:t>
      </w:r>
    </w:p>
    <w:tbl>
      <w:tblPr>
        <w:tblW w:w="0" w:type="auto"/>
        <w:jc w:val="center"/>
        <w:tblLook w:val="04A0" w:firstRow="1" w:lastRow="0" w:firstColumn="1" w:lastColumn="0" w:noHBand="0" w:noVBand="1"/>
      </w:tblPr>
      <w:tblGrid>
        <w:gridCol w:w="1126"/>
        <w:gridCol w:w="1077"/>
        <w:gridCol w:w="1930"/>
        <w:gridCol w:w="1147"/>
      </w:tblGrid>
      <w:tr w:rsidR="001177A2" w14:paraId="1E1A040E"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1CBCC7" w14:textId="77777777" w:rsidR="001177A2" w:rsidRDefault="001177A2">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830E8A" w14:textId="77777777" w:rsidR="001177A2" w:rsidRDefault="001177A2">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D186E5" w14:textId="77777777" w:rsidR="001177A2" w:rsidRDefault="001177A2">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30D2F6" w14:textId="77777777" w:rsidR="001177A2" w:rsidRDefault="001177A2">
            <w:pPr>
              <w:suppressAutoHyphens/>
              <w:jc w:val="center"/>
              <w:rPr>
                <w:b/>
                <w:kern w:val="16"/>
              </w:rPr>
            </w:pPr>
            <w:r>
              <w:rPr>
                <w:b/>
              </w:rPr>
              <w:t>LMP</w:t>
            </w:r>
            <w:r>
              <w:rPr>
                <w:b/>
              </w:rPr>
              <w:br/>
              <w:t>($/MWh)</w:t>
            </w:r>
          </w:p>
        </w:tc>
      </w:tr>
      <w:tr w:rsidR="001177A2" w14:paraId="5A8BAD41"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71A5B02" w14:textId="77777777" w:rsidR="001177A2" w:rsidRDefault="001177A2">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79225854" w14:textId="77777777" w:rsidR="001177A2" w:rsidRDefault="001177A2">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35A39157"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5F0B9623" w14:textId="77777777" w:rsidR="001177A2" w:rsidRDefault="001177A2">
            <w:pPr>
              <w:suppressAutoHyphens/>
              <w:jc w:val="center"/>
              <w:rPr>
                <w:kern w:val="16"/>
              </w:rPr>
            </w:pPr>
            <w:r>
              <w:t>50</w:t>
            </w:r>
          </w:p>
        </w:tc>
      </w:tr>
      <w:tr w:rsidR="001177A2" w14:paraId="46B3CF1E"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3B829013" w14:textId="77777777" w:rsidR="001177A2" w:rsidRDefault="001177A2">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1ADDED3D" w14:textId="77777777" w:rsidR="001177A2" w:rsidRDefault="001177A2">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4EE309D0" w14:textId="77777777" w:rsidR="001177A2" w:rsidRDefault="001177A2">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76FC436E" w14:textId="77777777" w:rsidR="001177A2" w:rsidRDefault="001177A2">
            <w:pPr>
              <w:suppressAutoHyphens/>
              <w:jc w:val="center"/>
              <w:rPr>
                <w:kern w:val="16"/>
              </w:rPr>
            </w:pPr>
            <w:r>
              <w:t>29</w:t>
            </w:r>
          </w:p>
        </w:tc>
      </w:tr>
      <w:tr w:rsidR="001177A2" w14:paraId="52840575"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7B1D8AFC" w14:textId="77777777" w:rsidR="001177A2" w:rsidRDefault="001177A2">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3769E4A0" w14:textId="77777777" w:rsidR="001177A2" w:rsidRDefault="001177A2">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7474AA5C" w14:textId="77777777" w:rsidR="001177A2" w:rsidRDefault="001177A2">
            <w:pPr>
              <w:suppressAutoHyphens/>
              <w:jc w:val="center"/>
              <w:rPr>
                <w:kern w:val="16"/>
              </w:rPr>
            </w:pPr>
            <w:r>
              <w:t>25</w:t>
            </w:r>
          </w:p>
        </w:tc>
        <w:tc>
          <w:tcPr>
            <w:tcW w:w="0" w:type="auto"/>
            <w:tcBorders>
              <w:top w:val="single" w:sz="4" w:space="0" w:color="auto"/>
              <w:left w:val="single" w:sz="4" w:space="0" w:color="auto"/>
              <w:bottom w:val="single" w:sz="4" w:space="0" w:color="auto"/>
              <w:right w:val="single" w:sz="4" w:space="0" w:color="auto"/>
            </w:tcBorders>
            <w:hideMark/>
          </w:tcPr>
          <w:p w14:paraId="3AB87C44" w14:textId="77777777" w:rsidR="001177A2" w:rsidRDefault="001177A2">
            <w:pPr>
              <w:suppressAutoHyphens/>
              <w:jc w:val="center"/>
              <w:rPr>
                <w:kern w:val="16"/>
              </w:rPr>
            </w:pPr>
            <w:r>
              <w:t>29</w:t>
            </w:r>
          </w:p>
        </w:tc>
      </w:tr>
      <w:tr w:rsidR="001177A2" w14:paraId="64995105"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2DD241A8" w14:textId="77777777" w:rsidR="001177A2" w:rsidRDefault="001177A2">
            <w:pPr>
              <w:suppressAutoHyphens/>
              <w:jc w:val="center"/>
              <w:rPr>
                <w:kern w:val="16"/>
              </w:rPr>
            </w:pPr>
            <w:r>
              <w:t>L1</w:t>
            </w:r>
          </w:p>
        </w:tc>
        <w:tc>
          <w:tcPr>
            <w:tcW w:w="0" w:type="auto"/>
            <w:tcBorders>
              <w:top w:val="single" w:sz="4" w:space="0" w:color="auto"/>
              <w:left w:val="single" w:sz="4" w:space="0" w:color="auto"/>
              <w:bottom w:val="single" w:sz="4" w:space="0" w:color="auto"/>
              <w:right w:val="single" w:sz="4" w:space="0" w:color="auto"/>
            </w:tcBorders>
            <w:hideMark/>
          </w:tcPr>
          <w:p w14:paraId="762D8FF0" w14:textId="77777777" w:rsidR="001177A2" w:rsidRDefault="001177A2">
            <w:pPr>
              <w:suppressAutoHyphens/>
              <w:jc w:val="center"/>
              <w:rPr>
                <w:kern w:val="16"/>
              </w:rPr>
            </w:pPr>
            <w:r>
              <w:t>200</w:t>
            </w:r>
          </w:p>
        </w:tc>
        <w:tc>
          <w:tcPr>
            <w:tcW w:w="0" w:type="auto"/>
            <w:tcBorders>
              <w:top w:val="single" w:sz="4" w:space="0" w:color="auto"/>
              <w:left w:val="single" w:sz="4" w:space="0" w:color="auto"/>
              <w:bottom w:val="single" w:sz="4" w:space="0" w:color="auto"/>
              <w:right w:val="single" w:sz="4" w:space="0" w:color="auto"/>
            </w:tcBorders>
            <w:hideMark/>
          </w:tcPr>
          <w:p w14:paraId="4CF7D615"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5ADCD30C" w14:textId="77777777" w:rsidR="001177A2" w:rsidRDefault="001177A2">
            <w:pPr>
              <w:suppressAutoHyphens/>
              <w:jc w:val="center"/>
              <w:rPr>
                <w:kern w:val="16"/>
              </w:rPr>
            </w:pPr>
            <w:r>
              <w:t>50</w:t>
            </w:r>
          </w:p>
        </w:tc>
      </w:tr>
      <w:tr w:rsidR="001177A2" w14:paraId="6C033572" w14:textId="77777777" w:rsidTr="001177A2">
        <w:trPr>
          <w:jc w:val="center"/>
        </w:trPr>
        <w:tc>
          <w:tcPr>
            <w:tcW w:w="0" w:type="auto"/>
            <w:tcBorders>
              <w:top w:val="single" w:sz="4" w:space="0" w:color="auto"/>
              <w:left w:val="single" w:sz="4" w:space="0" w:color="auto"/>
              <w:bottom w:val="single" w:sz="4" w:space="0" w:color="auto"/>
              <w:right w:val="single" w:sz="4" w:space="0" w:color="auto"/>
            </w:tcBorders>
            <w:hideMark/>
          </w:tcPr>
          <w:p w14:paraId="68C6089A" w14:textId="77777777" w:rsidR="001177A2" w:rsidRDefault="001177A2">
            <w:pPr>
              <w:suppressAutoHyphens/>
              <w:jc w:val="center"/>
              <w:rPr>
                <w:kern w:val="16"/>
              </w:rPr>
            </w:pPr>
            <w:r>
              <w:t>L2</w:t>
            </w:r>
          </w:p>
        </w:tc>
        <w:tc>
          <w:tcPr>
            <w:tcW w:w="0" w:type="auto"/>
            <w:tcBorders>
              <w:top w:val="single" w:sz="4" w:space="0" w:color="auto"/>
              <w:left w:val="single" w:sz="4" w:space="0" w:color="auto"/>
              <w:bottom w:val="single" w:sz="4" w:space="0" w:color="auto"/>
              <w:right w:val="single" w:sz="4" w:space="0" w:color="auto"/>
            </w:tcBorders>
            <w:hideMark/>
          </w:tcPr>
          <w:p w14:paraId="1044E958" w14:textId="77777777" w:rsidR="001177A2" w:rsidRDefault="001177A2">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3EB88FF0" w14:textId="77777777" w:rsidR="001177A2" w:rsidRDefault="001177A2">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4976C227" w14:textId="77777777" w:rsidR="001177A2" w:rsidRDefault="001177A2">
            <w:pPr>
              <w:suppressAutoHyphens/>
              <w:jc w:val="center"/>
              <w:rPr>
                <w:kern w:val="16"/>
              </w:rPr>
            </w:pPr>
            <w:r>
              <w:t>29</w:t>
            </w:r>
          </w:p>
        </w:tc>
      </w:tr>
    </w:tbl>
    <w:p w14:paraId="52264A1A" w14:textId="77777777" w:rsidR="001177A2" w:rsidRDefault="001177A2" w:rsidP="000F299B">
      <w:pPr>
        <w:spacing w:after="240" w:line="300" w:lineRule="auto"/>
        <w:jc w:val="center"/>
        <w:rPr>
          <w:kern w:val="16"/>
        </w:rPr>
      </w:pPr>
      <w:r>
        <w:t xml:space="preserve">Example 3: </w:t>
      </w:r>
      <m:oMath>
        <m:r>
          <m:rPr>
            <m:sty m:val="p"/>
          </m:rPr>
          <w:rPr>
            <w:rFonts w:ascii="Cambria Math" w:hAnsi="Cambria Math"/>
          </w:rPr>
          <m:t>µ</m:t>
        </m:r>
      </m:oMath>
      <w:r>
        <w:t xml:space="preserve"> = –$15/MWh; </w:t>
      </w:r>
      <m:oMath>
        <m:r>
          <m:rPr>
            <m:sty m:val="p"/>
          </m:rPr>
          <w:rPr>
            <w:rFonts w:ascii="Cambria Math" w:hAnsi="Cambria Math"/>
          </w:rPr>
          <m:t>η</m:t>
        </m:r>
      </m:oMath>
      <w:r>
        <w:t xml:space="preserve"> = –$6/MWh</w:t>
      </w:r>
    </w:p>
    <w:p w14:paraId="21F5B2AB" w14:textId="1C0B856C" w:rsidR="001177A2" w:rsidRPr="000F299B" w:rsidRDefault="001177A2" w:rsidP="00877DDB">
      <w:pPr>
        <w:pStyle w:val="BPM"/>
      </w:pPr>
      <w:r w:rsidRPr="000F299B">
        <w:t>G3 is the least expensive resource for serving L2; one additional MW of L2 will divert 1MW of G3 export to L2 saving $6/MWh on GHG compliance costs and that export will be made up by one additional MW from G2 at a net cost of $29/MWh, which is the LMP in the</w:t>
      </w:r>
      <w:r w:rsidR="005F24C1">
        <w:t xml:space="preserve"> WEIM </w:t>
      </w:r>
      <w:r w:rsidRPr="000F299B">
        <w:t xml:space="preserve">Entity BAA. The balance of 100MW of L1 can only be served by G1, which sets the LMP in the </w:t>
      </w:r>
      <w:r w:rsidR="0058562B">
        <w:t>CA</w:t>
      </w:r>
      <w:r w:rsidRPr="000F299B">
        <w:t>ISO to $50/MWh.</w:t>
      </w:r>
    </w:p>
    <w:p w14:paraId="69D4212F" w14:textId="77777777" w:rsidR="003B49C4" w:rsidRPr="000F299B" w:rsidRDefault="001177A2" w:rsidP="00877DDB">
      <w:pPr>
        <w:pStyle w:val="BPM"/>
      </w:pPr>
      <w:r w:rsidRPr="000F299B">
        <w:t xml:space="preserve">The LMP difference of $21/MWh is made up by the marginal congestion cost of $15/MWh and the marginal GHG compliance cost of $6/MWh. The marginal congestion cost can be easily verified if the power transfer limit is relaxed by 1MW to 101MW, in which case one additional MWh from G2 will displace 1MWh from G1 for a net benefit of $15. The marginal GHG </w:t>
      </w:r>
      <w:r w:rsidRPr="000F299B">
        <w:lastRenderedPageBreak/>
        <w:t>compliance cost can be easily verified if the export allocation (which carries the GHG</w:t>
      </w:r>
      <w:r w:rsidR="00755251">
        <w:t xml:space="preserve"> </w:t>
      </w:r>
      <w:r w:rsidR="003B49C4" w:rsidRPr="000F299B">
        <w:t>compliance cost) is relaxed by 1 MW to 99MW, in which case 1MWh from G3 will not incur GHG compliance costs for a benefit of $6.</w:t>
      </w:r>
    </w:p>
    <w:p w14:paraId="0A0A0AD4" w14:textId="77777777" w:rsidR="003B49C4" w:rsidRPr="000F299B" w:rsidRDefault="003B49C4" w:rsidP="00877DDB">
      <w:pPr>
        <w:pStyle w:val="BPM"/>
      </w:pPr>
      <w:r w:rsidRPr="000F299B">
        <w:t>The marginal congestion cost of $15/MWh and the marginal GHG compliance cost of $6/MWh on a 100MWh energy export result in a congestion revenue of $1,500 and GHG compliance revenue of $600, respectively.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8"/>
        <w:gridCol w:w="893"/>
        <w:gridCol w:w="1443"/>
        <w:gridCol w:w="1123"/>
        <w:gridCol w:w="1123"/>
        <w:gridCol w:w="1443"/>
        <w:gridCol w:w="1150"/>
      </w:tblGrid>
      <w:tr w:rsidR="003B49C4" w14:paraId="6EA7B66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4E1911" w14:textId="77777777" w:rsidR="003B49C4" w:rsidRDefault="003B49C4">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2487E7" w14:textId="77777777" w:rsidR="003B49C4" w:rsidRDefault="003B49C4">
            <w:pPr>
              <w:suppressAutoHyphens/>
              <w:jc w:val="center"/>
              <w:rPr>
                <w:b/>
                <w:kern w:val="16"/>
              </w:rPr>
            </w:pPr>
            <w:r>
              <w:rPr>
                <w:b/>
              </w:rPr>
              <w:t>Energy</w:t>
            </w:r>
            <w:r>
              <w:rPr>
                <w:b/>
              </w:rPr>
              <w:br/>
              <w:t>Cost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757E83E1" w14:textId="77777777" w:rsidR="003B49C4" w:rsidRDefault="003B49C4">
            <w:pPr>
              <w:suppressAutoHyphens/>
              <w:jc w:val="center"/>
              <w:rPr>
                <w:b/>
                <w:kern w:val="16"/>
              </w:rPr>
            </w:pPr>
            <w:r>
              <w:rPr>
                <w:b/>
              </w:rPr>
              <w:t>GHG Compliance Cost</w:t>
            </w:r>
          </w:p>
        </w:tc>
        <w:tc>
          <w:tcPr>
            <w:tcW w:w="1123"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11963C36" w14:textId="77777777" w:rsidR="003B49C4" w:rsidRDefault="003B49C4">
            <w:pPr>
              <w:suppressAutoHyphens/>
              <w:jc w:val="center"/>
              <w:rPr>
                <w:b/>
                <w:kern w:val="16"/>
              </w:rPr>
            </w:pPr>
            <w:r>
              <w:rPr>
                <w:b/>
              </w:rPr>
              <w:t>Total</w:t>
            </w:r>
            <w:r>
              <w:rPr>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4B90A5A1" w14:textId="77777777" w:rsidR="003B49C4" w:rsidRDefault="003B49C4">
            <w:pPr>
              <w:suppressAutoHyphens/>
              <w:jc w:val="center"/>
              <w:rPr>
                <w:b/>
                <w:kern w:val="16"/>
              </w:rPr>
            </w:pPr>
            <w:r>
              <w:rPr>
                <w:b/>
              </w:rPr>
              <w:t>Energy</w:t>
            </w:r>
            <w:r>
              <w:rPr>
                <w:b/>
              </w:rPr>
              <w:br/>
              <w:t>Payment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072EEC4E" w14:textId="77777777" w:rsidR="003B49C4" w:rsidRDefault="003B49C4">
            <w:pPr>
              <w:suppressAutoHyphens/>
              <w:jc w:val="center"/>
              <w:rPr>
                <w:b/>
                <w:kern w:val="16"/>
              </w:rPr>
            </w:pPr>
            <w:r>
              <w:rPr>
                <w:b/>
              </w:rPr>
              <w:t>GHG Compliance Payment</w:t>
            </w:r>
          </w:p>
        </w:tc>
        <w:tc>
          <w:tcPr>
            <w:tcW w:w="1150" w:type="dxa"/>
            <w:tcBorders>
              <w:top w:val="single" w:sz="18" w:space="0" w:color="auto"/>
              <w:left w:val="single" w:sz="18" w:space="0" w:color="auto"/>
              <w:bottom w:val="single" w:sz="4" w:space="0" w:color="auto"/>
              <w:right w:val="single" w:sz="18" w:space="0" w:color="auto"/>
            </w:tcBorders>
            <w:shd w:val="clear" w:color="auto" w:fill="C6D9F1" w:themeFill="text2" w:themeFillTint="33"/>
            <w:hideMark/>
          </w:tcPr>
          <w:p w14:paraId="2E2C2582" w14:textId="77777777" w:rsidR="003B49C4" w:rsidRDefault="003B49C4">
            <w:pPr>
              <w:suppressAutoHyphens/>
              <w:jc w:val="center"/>
              <w:rPr>
                <w:b/>
                <w:kern w:val="16"/>
              </w:rPr>
            </w:pPr>
            <w:r>
              <w:rPr>
                <w:b/>
              </w:rPr>
              <w:t>Total Payment</w:t>
            </w:r>
          </w:p>
        </w:tc>
      </w:tr>
      <w:tr w:rsidR="003B49C4" w14:paraId="1A1F21BB"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330D86E1"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28FC2A26" w14:textId="77777777" w:rsidR="003B49C4" w:rsidRDefault="003B49C4">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6CE9C76C" w14:textId="77777777" w:rsidR="003B49C4" w:rsidRDefault="003B49C4">
            <w:pPr>
              <w:suppressAutoHyphens/>
              <w:jc w:val="center"/>
              <w:rPr>
                <w:kern w:val="16"/>
              </w:rPr>
            </w:pPr>
            <w:r>
              <w:t>-</w:t>
            </w:r>
          </w:p>
        </w:tc>
        <w:tc>
          <w:tcPr>
            <w:tcW w:w="1123" w:type="dxa"/>
            <w:tcBorders>
              <w:top w:val="single" w:sz="4" w:space="0" w:color="auto"/>
              <w:left w:val="single" w:sz="18" w:space="0" w:color="auto"/>
              <w:bottom w:val="single" w:sz="4" w:space="0" w:color="auto"/>
              <w:right w:val="single" w:sz="18" w:space="0" w:color="auto"/>
            </w:tcBorders>
            <w:hideMark/>
          </w:tcPr>
          <w:p w14:paraId="5F946F58" w14:textId="77777777" w:rsidR="003B49C4" w:rsidRDefault="003B49C4">
            <w:pPr>
              <w:suppressAutoHyphens/>
              <w:jc w:val="center"/>
              <w:rPr>
                <w:kern w:val="16"/>
              </w:rPr>
            </w:pPr>
            <w:r>
              <w:t>$5,000</w:t>
            </w:r>
          </w:p>
        </w:tc>
        <w:tc>
          <w:tcPr>
            <w:tcW w:w="1123" w:type="dxa"/>
            <w:tcBorders>
              <w:top w:val="single" w:sz="4" w:space="0" w:color="auto"/>
              <w:left w:val="single" w:sz="18" w:space="0" w:color="auto"/>
              <w:bottom w:val="single" w:sz="4" w:space="0" w:color="auto"/>
              <w:right w:val="single" w:sz="4" w:space="0" w:color="auto"/>
            </w:tcBorders>
            <w:hideMark/>
          </w:tcPr>
          <w:p w14:paraId="5C807F93" w14:textId="77777777" w:rsidR="003B49C4" w:rsidRDefault="003B49C4">
            <w:pPr>
              <w:suppressAutoHyphens/>
              <w:jc w:val="center"/>
              <w:rPr>
                <w:kern w:val="16"/>
              </w:rPr>
            </w:pPr>
            <w:r>
              <w:t>$5,000</w:t>
            </w:r>
          </w:p>
        </w:tc>
        <w:tc>
          <w:tcPr>
            <w:tcW w:w="1443" w:type="dxa"/>
            <w:tcBorders>
              <w:top w:val="single" w:sz="4" w:space="0" w:color="auto"/>
              <w:left w:val="single" w:sz="4" w:space="0" w:color="auto"/>
              <w:bottom w:val="single" w:sz="4" w:space="0" w:color="auto"/>
              <w:right w:val="single" w:sz="18" w:space="0" w:color="auto"/>
            </w:tcBorders>
            <w:hideMark/>
          </w:tcPr>
          <w:p w14:paraId="48AB06DD" w14:textId="77777777" w:rsidR="003B49C4" w:rsidRDefault="003B49C4">
            <w:pPr>
              <w:suppressAutoHyphens/>
              <w:jc w:val="center"/>
              <w:rPr>
                <w:kern w:val="16"/>
              </w:rPr>
            </w:pPr>
            <w:r>
              <w:t>-</w:t>
            </w:r>
          </w:p>
        </w:tc>
        <w:tc>
          <w:tcPr>
            <w:tcW w:w="1150" w:type="dxa"/>
            <w:tcBorders>
              <w:top w:val="single" w:sz="4" w:space="0" w:color="auto"/>
              <w:left w:val="single" w:sz="18" w:space="0" w:color="auto"/>
              <w:bottom w:val="single" w:sz="4" w:space="0" w:color="auto"/>
              <w:right w:val="single" w:sz="18" w:space="0" w:color="auto"/>
            </w:tcBorders>
            <w:hideMark/>
          </w:tcPr>
          <w:p w14:paraId="64332BAB" w14:textId="77777777" w:rsidR="003B49C4" w:rsidRDefault="003B49C4">
            <w:pPr>
              <w:suppressAutoHyphens/>
              <w:jc w:val="center"/>
              <w:rPr>
                <w:kern w:val="16"/>
              </w:rPr>
            </w:pPr>
            <w:r>
              <w:t>$5,000</w:t>
            </w:r>
          </w:p>
        </w:tc>
      </w:tr>
      <w:tr w:rsidR="003B49C4" w14:paraId="32A40D7B"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375DB7E9"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2165293B" w14:textId="77777777" w:rsidR="003B49C4" w:rsidRDefault="003B49C4">
            <w:pPr>
              <w:suppressAutoHyphens/>
              <w:jc w:val="center"/>
              <w:rPr>
                <w:kern w:val="16"/>
              </w:rPr>
            </w:pPr>
            <w:r>
              <w:t>$2,625</w:t>
            </w:r>
          </w:p>
        </w:tc>
        <w:tc>
          <w:tcPr>
            <w:tcW w:w="1443" w:type="dxa"/>
            <w:tcBorders>
              <w:top w:val="single" w:sz="4" w:space="0" w:color="auto"/>
              <w:left w:val="single" w:sz="4" w:space="0" w:color="auto"/>
              <w:bottom w:val="single" w:sz="4" w:space="0" w:color="auto"/>
              <w:right w:val="single" w:sz="18" w:space="0" w:color="auto"/>
            </w:tcBorders>
            <w:hideMark/>
          </w:tcPr>
          <w:p w14:paraId="40EB9021" w14:textId="77777777" w:rsidR="003B49C4" w:rsidRDefault="003B49C4">
            <w:pPr>
              <w:suppressAutoHyphens/>
              <w:jc w:val="center"/>
              <w:rPr>
                <w:kern w:val="16"/>
              </w:rPr>
            </w:pPr>
            <w:r>
              <w:t>$0</w:t>
            </w:r>
          </w:p>
        </w:tc>
        <w:tc>
          <w:tcPr>
            <w:tcW w:w="1123" w:type="dxa"/>
            <w:tcBorders>
              <w:top w:val="single" w:sz="4" w:space="0" w:color="auto"/>
              <w:left w:val="single" w:sz="18" w:space="0" w:color="auto"/>
              <w:bottom w:val="single" w:sz="4" w:space="0" w:color="auto"/>
              <w:right w:val="single" w:sz="18" w:space="0" w:color="auto"/>
            </w:tcBorders>
            <w:hideMark/>
          </w:tcPr>
          <w:p w14:paraId="280517B5" w14:textId="77777777" w:rsidR="003B49C4" w:rsidRDefault="003B49C4">
            <w:pPr>
              <w:suppressAutoHyphens/>
              <w:jc w:val="center"/>
              <w:rPr>
                <w:kern w:val="16"/>
              </w:rPr>
            </w:pPr>
            <w:r>
              <w:t>$2,625</w:t>
            </w:r>
          </w:p>
        </w:tc>
        <w:tc>
          <w:tcPr>
            <w:tcW w:w="1123" w:type="dxa"/>
            <w:tcBorders>
              <w:top w:val="single" w:sz="4" w:space="0" w:color="auto"/>
              <w:left w:val="single" w:sz="18" w:space="0" w:color="auto"/>
              <w:bottom w:val="single" w:sz="4" w:space="0" w:color="auto"/>
              <w:right w:val="single" w:sz="4" w:space="0" w:color="auto"/>
            </w:tcBorders>
            <w:hideMark/>
          </w:tcPr>
          <w:p w14:paraId="666B4CCC"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3D6E2A57" w14:textId="77777777" w:rsidR="003B49C4" w:rsidRDefault="003B49C4">
            <w:pPr>
              <w:suppressAutoHyphens/>
              <w:jc w:val="center"/>
              <w:rPr>
                <w:kern w:val="16"/>
              </w:rPr>
            </w:pPr>
            <w:r>
              <w:t>$450</w:t>
            </w:r>
          </w:p>
        </w:tc>
        <w:tc>
          <w:tcPr>
            <w:tcW w:w="1150" w:type="dxa"/>
            <w:tcBorders>
              <w:top w:val="single" w:sz="4" w:space="0" w:color="auto"/>
              <w:left w:val="single" w:sz="18" w:space="0" w:color="auto"/>
              <w:bottom w:val="single" w:sz="4" w:space="0" w:color="auto"/>
              <w:right w:val="single" w:sz="18" w:space="0" w:color="auto"/>
            </w:tcBorders>
            <w:hideMark/>
          </w:tcPr>
          <w:p w14:paraId="465B2B97" w14:textId="77777777" w:rsidR="003B49C4" w:rsidRDefault="003B49C4">
            <w:pPr>
              <w:suppressAutoHyphens/>
              <w:jc w:val="center"/>
              <w:rPr>
                <w:kern w:val="16"/>
              </w:rPr>
            </w:pPr>
            <w:r>
              <w:t>$2,625</w:t>
            </w:r>
          </w:p>
        </w:tc>
      </w:tr>
      <w:tr w:rsidR="003B49C4" w14:paraId="36A8CC53"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5AA6086A"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2E9DB774" w14:textId="77777777" w:rsidR="003B49C4" w:rsidRDefault="003B49C4">
            <w:pPr>
              <w:suppressAutoHyphens/>
              <w:jc w:val="center"/>
              <w:rPr>
                <w:kern w:val="16"/>
              </w:rPr>
            </w:pPr>
            <w:r>
              <w:t>$2,100</w:t>
            </w:r>
          </w:p>
        </w:tc>
        <w:tc>
          <w:tcPr>
            <w:tcW w:w="1443" w:type="dxa"/>
            <w:tcBorders>
              <w:top w:val="single" w:sz="4" w:space="0" w:color="auto"/>
              <w:left w:val="single" w:sz="4" w:space="0" w:color="auto"/>
              <w:bottom w:val="single" w:sz="4" w:space="0" w:color="auto"/>
              <w:right w:val="single" w:sz="18" w:space="0" w:color="auto"/>
            </w:tcBorders>
            <w:hideMark/>
          </w:tcPr>
          <w:p w14:paraId="7393BB06" w14:textId="77777777" w:rsidR="003B49C4" w:rsidRDefault="003B49C4">
            <w:pPr>
              <w:suppressAutoHyphens/>
              <w:jc w:val="center"/>
              <w:rPr>
                <w:kern w:val="16"/>
              </w:rPr>
            </w:pPr>
            <w:r>
              <w:t>$150</w:t>
            </w:r>
          </w:p>
        </w:tc>
        <w:tc>
          <w:tcPr>
            <w:tcW w:w="1123" w:type="dxa"/>
            <w:tcBorders>
              <w:top w:val="single" w:sz="4" w:space="0" w:color="auto"/>
              <w:left w:val="single" w:sz="18" w:space="0" w:color="auto"/>
              <w:bottom w:val="single" w:sz="4" w:space="0" w:color="auto"/>
              <w:right w:val="single" w:sz="18" w:space="0" w:color="auto"/>
            </w:tcBorders>
            <w:hideMark/>
          </w:tcPr>
          <w:p w14:paraId="057AC5E0" w14:textId="77777777" w:rsidR="003B49C4" w:rsidRDefault="003B49C4">
            <w:pPr>
              <w:suppressAutoHyphens/>
              <w:jc w:val="center"/>
              <w:rPr>
                <w:kern w:val="16"/>
              </w:rPr>
            </w:pPr>
            <w:r>
              <w:t>$2,250</w:t>
            </w:r>
          </w:p>
        </w:tc>
        <w:tc>
          <w:tcPr>
            <w:tcW w:w="1123" w:type="dxa"/>
            <w:tcBorders>
              <w:top w:val="single" w:sz="4" w:space="0" w:color="auto"/>
              <w:left w:val="single" w:sz="18" w:space="0" w:color="auto"/>
              <w:bottom w:val="single" w:sz="4" w:space="0" w:color="auto"/>
              <w:right w:val="single" w:sz="4" w:space="0" w:color="auto"/>
            </w:tcBorders>
            <w:hideMark/>
          </w:tcPr>
          <w:p w14:paraId="5205DD0B"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45FDD174" w14:textId="77777777" w:rsidR="003B49C4" w:rsidRDefault="003B49C4">
            <w:pPr>
              <w:suppressAutoHyphens/>
              <w:jc w:val="center"/>
              <w:rPr>
                <w:kern w:val="16"/>
              </w:rPr>
            </w:pPr>
            <w:r>
              <w:t>$150</w:t>
            </w:r>
          </w:p>
        </w:tc>
        <w:tc>
          <w:tcPr>
            <w:tcW w:w="1150" w:type="dxa"/>
            <w:tcBorders>
              <w:top w:val="single" w:sz="4" w:space="0" w:color="auto"/>
              <w:left w:val="single" w:sz="18" w:space="0" w:color="auto"/>
              <w:bottom w:val="single" w:sz="4" w:space="0" w:color="auto"/>
              <w:right w:val="single" w:sz="18" w:space="0" w:color="auto"/>
            </w:tcBorders>
            <w:hideMark/>
          </w:tcPr>
          <w:p w14:paraId="35591C8B" w14:textId="77777777" w:rsidR="003B49C4" w:rsidRDefault="003B49C4">
            <w:pPr>
              <w:suppressAutoHyphens/>
              <w:jc w:val="center"/>
              <w:rPr>
                <w:kern w:val="16"/>
              </w:rPr>
            </w:pPr>
            <w:r>
              <w:t>$2,325</w:t>
            </w:r>
          </w:p>
        </w:tc>
      </w:tr>
      <w:tr w:rsidR="003B49C4" w14:paraId="531F9FAF"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04B35F1A" w14:textId="77777777" w:rsidR="003B49C4" w:rsidRDefault="003B49C4">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70541ED7"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6630195C"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5E49D6FB"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1C93EFD" w14:textId="77777777" w:rsidR="003B49C4" w:rsidRDefault="003B49C4">
            <w:pPr>
              <w:suppressAutoHyphens/>
              <w:jc w:val="center"/>
              <w:rPr>
                <w:kern w:val="16"/>
              </w:rPr>
            </w:pPr>
            <w:r>
              <w:t>–$10,000</w:t>
            </w:r>
          </w:p>
        </w:tc>
        <w:tc>
          <w:tcPr>
            <w:tcW w:w="1443" w:type="dxa"/>
            <w:tcBorders>
              <w:top w:val="single" w:sz="4" w:space="0" w:color="auto"/>
              <w:left w:val="single" w:sz="4" w:space="0" w:color="auto"/>
              <w:bottom w:val="single" w:sz="4" w:space="0" w:color="auto"/>
              <w:right w:val="single" w:sz="18" w:space="0" w:color="auto"/>
            </w:tcBorders>
          </w:tcPr>
          <w:p w14:paraId="308247A7" w14:textId="77777777" w:rsidR="003B49C4" w:rsidRDefault="003B49C4">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1103A00C" w14:textId="77777777" w:rsidR="003B49C4" w:rsidRDefault="003B49C4">
            <w:pPr>
              <w:suppressAutoHyphens/>
              <w:jc w:val="center"/>
              <w:rPr>
                <w:kern w:val="16"/>
              </w:rPr>
            </w:pPr>
          </w:p>
        </w:tc>
      </w:tr>
      <w:tr w:rsidR="003B49C4" w14:paraId="76DD5151"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7F3DE6AB" w14:textId="77777777" w:rsidR="003B49C4" w:rsidRDefault="003B49C4">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04C7361F"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6973EA72"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1EF6178B"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1F1FA33" w14:textId="77777777" w:rsidR="003B49C4" w:rsidRDefault="003B49C4">
            <w:pPr>
              <w:suppressAutoHyphens/>
              <w:jc w:val="center"/>
              <w:rPr>
                <w:kern w:val="16"/>
              </w:rPr>
            </w:pPr>
            <w:r>
              <w:t>–$1,450</w:t>
            </w:r>
          </w:p>
        </w:tc>
        <w:tc>
          <w:tcPr>
            <w:tcW w:w="1443" w:type="dxa"/>
            <w:tcBorders>
              <w:top w:val="single" w:sz="4" w:space="0" w:color="auto"/>
              <w:left w:val="single" w:sz="4" w:space="0" w:color="auto"/>
              <w:bottom w:val="single" w:sz="4" w:space="0" w:color="auto"/>
              <w:right w:val="single" w:sz="18" w:space="0" w:color="auto"/>
            </w:tcBorders>
          </w:tcPr>
          <w:p w14:paraId="1B18540A" w14:textId="77777777" w:rsidR="003B49C4" w:rsidRDefault="003B49C4">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0F5CD17D" w14:textId="77777777" w:rsidR="003B49C4" w:rsidRDefault="003B49C4">
            <w:pPr>
              <w:suppressAutoHyphens/>
              <w:jc w:val="center"/>
              <w:rPr>
                <w:kern w:val="16"/>
              </w:rPr>
            </w:pPr>
          </w:p>
        </w:tc>
      </w:tr>
      <w:tr w:rsidR="003B49C4" w14:paraId="739E44D8"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3859760" w14:textId="77777777" w:rsidR="003B49C4" w:rsidRDefault="003B49C4">
            <w:pPr>
              <w:suppressAutoHyphens/>
              <w:jc w:val="center"/>
              <w:rPr>
                <w:kern w:val="16"/>
              </w:rPr>
            </w:pPr>
            <w:r>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570CF698"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275D1251"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18" w:space="0" w:color="auto"/>
            </w:tcBorders>
          </w:tcPr>
          <w:p w14:paraId="389472E3"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3208308E" w14:textId="77777777" w:rsidR="003B49C4" w:rsidRDefault="003B49C4">
            <w:pPr>
              <w:suppressAutoHyphens/>
              <w:jc w:val="center"/>
              <w:rPr>
                <w:kern w:val="16"/>
              </w:rPr>
            </w:pPr>
            <w:r>
              <w:t>$1,500</w:t>
            </w:r>
          </w:p>
        </w:tc>
        <w:tc>
          <w:tcPr>
            <w:tcW w:w="1443" w:type="dxa"/>
            <w:tcBorders>
              <w:top w:val="single" w:sz="4" w:space="0" w:color="auto"/>
              <w:left w:val="single" w:sz="4" w:space="0" w:color="auto"/>
              <w:bottom w:val="single" w:sz="4" w:space="0" w:color="auto"/>
              <w:right w:val="single" w:sz="18" w:space="0" w:color="auto"/>
            </w:tcBorders>
          </w:tcPr>
          <w:p w14:paraId="7F3B7300" w14:textId="77777777" w:rsidR="003B49C4" w:rsidRDefault="003B49C4">
            <w:pPr>
              <w:suppressAutoHyphens/>
              <w:jc w:val="center"/>
              <w:rPr>
                <w:kern w:val="16"/>
              </w:rPr>
            </w:pPr>
          </w:p>
        </w:tc>
        <w:tc>
          <w:tcPr>
            <w:tcW w:w="1150" w:type="dxa"/>
            <w:tcBorders>
              <w:top w:val="single" w:sz="4" w:space="0" w:color="auto"/>
              <w:left w:val="single" w:sz="18" w:space="0" w:color="auto"/>
              <w:bottom w:val="single" w:sz="4" w:space="0" w:color="auto"/>
              <w:right w:val="single" w:sz="18" w:space="0" w:color="auto"/>
            </w:tcBorders>
          </w:tcPr>
          <w:p w14:paraId="26B7C8C7" w14:textId="77777777" w:rsidR="003B49C4" w:rsidRDefault="003B49C4">
            <w:pPr>
              <w:suppressAutoHyphens/>
              <w:jc w:val="center"/>
              <w:rPr>
                <w:kern w:val="16"/>
              </w:rPr>
            </w:pPr>
          </w:p>
        </w:tc>
      </w:tr>
      <w:tr w:rsidR="003B49C4" w14:paraId="258EBF5C"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19C40869" w14:textId="77777777" w:rsidR="003B49C4" w:rsidRDefault="003B49C4">
            <w:pPr>
              <w:suppressAutoHyphens/>
              <w:jc w:val="center"/>
              <w:rPr>
                <w:kern w:val="16"/>
              </w:rPr>
            </w:pPr>
            <w:r>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10835407"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193B46A5" w14:textId="77777777" w:rsidR="003B49C4" w:rsidRDefault="003B49C4">
            <w:pPr>
              <w:suppressAutoHyphens/>
              <w:jc w:val="center"/>
              <w:rPr>
                <w:kern w:val="16"/>
              </w:rPr>
            </w:pPr>
          </w:p>
        </w:tc>
        <w:tc>
          <w:tcPr>
            <w:tcW w:w="1123" w:type="dxa"/>
            <w:tcBorders>
              <w:top w:val="single" w:sz="4" w:space="0" w:color="auto"/>
              <w:left w:val="single" w:sz="18" w:space="0" w:color="auto"/>
              <w:bottom w:val="single" w:sz="18" w:space="0" w:color="auto"/>
              <w:right w:val="single" w:sz="18" w:space="0" w:color="auto"/>
            </w:tcBorders>
          </w:tcPr>
          <w:p w14:paraId="1211E0F7"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52F01FF9" w14:textId="77777777" w:rsidR="003B49C4" w:rsidRDefault="003B49C4">
            <w:pPr>
              <w:suppressAutoHyphens/>
              <w:jc w:val="center"/>
              <w:rPr>
                <w:kern w:val="16"/>
              </w:rPr>
            </w:pPr>
            <w:r>
              <w:t>$600</w:t>
            </w:r>
          </w:p>
        </w:tc>
        <w:tc>
          <w:tcPr>
            <w:tcW w:w="1443" w:type="dxa"/>
            <w:tcBorders>
              <w:top w:val="single" w:sz="4" w:space="0" w:color="auto"/>
              <w:left w:val="single" w:sz="4" w:space="0" w:color="auto"/>
              <w:bottom w:val="single" w:sz="4" w:space="0" w:color="auto"/>
              <w:right w:val="single" w:sz="18" w:space="0" w:color="auto"/>
            </w:tcBorders>
          </w:tcPr>
          <w:p w14:paraId="61076ECB" w14:textId="77777777" w:rsidR="003B49C4" w:rsidRDefault="003B49C4">
            <w:pPr>
              <w:suppressAutoHyphens/>
              <w:jc w:val="center"/>
              <w:rPr>
                <w:kern w:val="16"/>
              </w:rPr>
            </w:pPr>
          </w:p>
        </w:tc>
        <w:tc>
          <w:tcPr>
            <w:tcW w:w="1150" w:type="dxa"/>
            <w:tcBorders>
              <w:top w:val="single" w:sz="4" w:space="0" w:color="auto"/>
              <w:left w:val="single" w:sz="18" w:space="0" w:color="auto"/>
              <w:bottom w:val="single" w:sz="18" w:space="0" w:color="auto"/>
              <w:right w:val="single" w:sz="18" w:space="0" w:color="auto"/>
            </w:tcBorders>
          </w:tcPr>
          <w:p w14:paraId="75324BB1" w14:textId="77777777" w:rsidR="003B49C4" w:rsidRDefault="003B49C4">
            <w:pPr>
              <w:suppressAutoHyphens/>
              <w:jc w:val="center"/>
              <w:rPr>
                <w:kern w:val="16"/>
              </w:rPr>
            </w:pPr>
          </w:p>
        </w:tc>
      </w:tr>
    </w:tbl>
    <w:p w14:paraId="70500236" w14:textId="77777777" w:rsidR="00FC6F91" w:rsidRDefault="00FC6F91" w:rsidP="000F299B">
      <w:pPr>
        <w:pStyle w:val="Paragraph"/>
        <w:spacing w:before="0" w:after="240" w:line="300" w:lineRule="auto"/>
        <w:rPr>
          <w:rFonts w:ascii="Arial" w:hAnsi="Arial" w:cs="Arial"/>
        </w:rPr>
      </w:pPr>
    </w:p>
    <w:p w14:paraId="4871D0FF" w14:textId="77777777" w:rsidR="003B49C4" w:rsidRPr="000F299B" w:rsidRDefault="003B49C4" w:rsidP="00877DDB">
      <w:pPr>
        <w:pStyle w:val="BPM"/>
      </w:pPr>
      <w:r w:rsidRPr="000F299B">
        <w:t>It can be seen in the settlement results above that the total payment to each generator is sufficient to cover the respective energy and GHG compliance costs.</w:t>
      </w:r>
    </w:p>
    <w:p w14:paraId="516B9862" w14:textId="77777777" w:rsidR="003B49C4" w:rsidRPr="00877DDB" w:rsidRDefault="003B49C4" w:rsidP="00877DDB">
      <w:pPr>
        <w:rPr>
          <w:rFonts w:ascii="Arial" w:hAnsi="Arial" w:cs="Arial"/>
        </w:rPr>
      </w:pPr>
      <w:bookmarkStart w:id="1966" w:name="_Toc367722320"/>
      <w:bookmarkStart w:id="1967" w:name="_Toc364148865"/>
      <w:bookmarkStart w:id="1968" w:name="_Toc364147775"/>
      <w:bookmarkStart w:id="1969" w:name="_Toc363813084"/>
      <w:bookmarkStart w:id="1970" w:name="_Toc363802649"/>
      <w:bookmarkStart w:id="1971" w:name="_Toc363747657"/>
      <w:bookmarkStart w:id="1972" w:name="_Toc363747522"/>
      <w:bookmarkStart w:id="1973" w:name="_Toc360527190"/>
      <w:bookmarkStart w:id="1974" w:name="_Toc357770683"/>
      <w:bookmarkStart w:id="1975" w:name="_Toc357700105"/>
      <w:bookmarkStart w:id="1976" w:name="_Toc357692057"/>
      <w:r w:rsidRPr="00877DDB">
        <w:rPr>
          <w:rFonts w:ascii="Arial" w:hAnsi="Arial" w:cs="Arial"/>
          <w:b/>
        </w:rPr>
        <w:t>Example 4</w:t>
      </w:r>
      <w:bookmarkEnd w:id="1966"/>
      <w:bookmarkEnd w:id="1967"/>
      <w:bookmarkEnd w:id="1968"/>
      <w:bookmarkEnd w:id="1969"/>
      <w:bookmarkEnd w:id="1970"/>
      <w:bookmarkEnd w:id="1971"/>
      <w:bookmarkEnd w:id="1972"/>
      <w:bookmarkEnd w:id="1973"/>
      <w:bookmarkEnd w:id="1974"/>
      <w:bookmarkEnd w:id="1975"/>
      <w:bookmarkEnd w:id="1976"/>
    </w:p>
    <w:p w14:paraId="27C1C7F6" w14:textId="7EED449B" w:rsidR="003B49C4" w:rsidRPr="000F299B" w:rsidRDefault="003B49C4" w:rsidP="00877DDB">
      <w:pPr>
        <w:pStyle w:val="BPM"/>
      </w:pPr>
      <w:r w:rsidRPr="000F299B">
        <w:t>This is a variation on the third example where a new resource G4 is introduced in the</w:t>
      </w:r>
      <w:r w:rsidR="005F24C1">
        <w:t xml:space="preserve"> WEIM </w:t>
      </w:r>
      <w:r w:rsidRPr="000F299B">
        <w:t xml:space="preserve">Entity BAA with a generating capacity of 100MW, a GHG compliance bid adder of $3.00/MWh, </w:t>
      </w:r>
      <w:r w:rsidRPr="000F299B">
        <w:lastRenderedPageBreak/>
        <w:t>and an energy bid of $30/MWh, while the power transfer capability is increased to 300MW. Therefore, the resource data is as follows:</w:t>
      </w:r>
    </w:p>
    <w:tbl>
      <w:tblPr>
        <w:tblW w:w="0" w:type="auto"/>
        <w:jc w:val="center"/>
        <w:tblLook w:val="04A0" w:firstRow="1" w:lastRow="0" w:firstColumn="1" w:lastColumn="0" w:noHBand="0" w:noVBand="1"/>
      </w:tblPr>
      <w:tblGrid>
        <w:gridCol w:w="1231"/>
        <w:gridCol w:w="1192"/>
        <w:gridCol w:w="1231"/>
        <w:gridCol w:w="1147"/>
        <w:gridCol w:w="1895"/>
      </w:tblGrid>
      <w:tr w:rsidR="003B49C4" w14:paraId="5AAD09B8"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20F278" w14:textId="77777777" w:rsidR="003B49C4" w:rsidRDefault="003B49C4">
            <w:pPr>
              <w:suppressAutoHyphens/>
              <w:jc w:val="center"/>
              <w:rPr>
                <w:b/>
                <w:kern w:val="16"/>
              </w:rPr>
            </w:pPr>
            <w:r>
              <w:rPr>
                <w:b/>
              </w:rPr>
              <w:t>Generator</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02D816" w14:textId="77777777" w:rsidR="003B49C4" w:rsidRDefault="003B49C4">
            <w:pPr>
              <w:suppressAutoHyphens/>
              <w:jc w:val="center"/>
              <w:rPr>
                <w:b/>
                <w:kern w:val="16"/>
              </w:rPr>
            </w:pPr>
            <w:r>
              <w:rPr>
                <w:b/>
              </w:rPr>
              <w:t>Minimum</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288C72" w14:textId="77777777" w:rsidR="003B49C4" w:rsidRDefault="003B49C4">
            <w:pPr>
              <w:suppressAutoHyphens/>
              <w:jc w:val="center"/>
              <w:rPr>
                <w:b/>
                <w:kern w:val="16"/>
              </w:rPr>
            </w:pPr>
            <w:r>
              <w:rPr>
                <w:b/>
              </w:rPr>
              <w:t>Maximum</w:t>
            </w:r>
            <w:r>
              <w:rPr>
                <w:b/>
              </w:rPr>
              <w:br/>
              <w:t>(MW)</w:t>
            </w:r>
          </w:p>
        </w:tc>
        <w:tc>
          <w:tcPr>
            <w:tcW w:w="103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9A0E40E" w14:textId="77777777" w:rsidR="003B49C4" w:rsidRDefault="003B49C4">
            <w:pPr>
              <w:suppressAutoHyphens/>
              <w:jc w:val="center"/>
              <w:rPr>
                <w:b/>
                <w:kern w:val="16"/>
              </w:rPr>
            </w:pPr>
            <w:r>
              <w:rPr>
                <w:b/>
              </w:rPr>
              <w:t>Energy Bid</w:t>
            </w:r>
            <w:r>
              <w:rPr>
                <w:b/>
              </w:rPr>
              <w:br/>
              <w:t>($/MWh)</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59C37B" w14:textId="77777777" w:rsidR="003B49C4" w:rsidRDefault="003B49C4">
            <w:pPr>
              <w:suppressAutoHyphens/>
              <w:jc w:val="center"/>
              <w:rPr>
                <w:b/>
                <w:kern w:val="16"/>
              </w:rPr>
            </w:pPr>
            <w:r>
              <w:rPr>
                <w:b/>
              </w:rPr>
              <w:t xml:space="preserve">GHG Compliance </w:t>
            </w:r>
            <w:r>
              <w:rPr>
                <w:b/>
              </w:rPr>
              <w:br/>
              <w:t>Bid Adder</w:t>
            </w:r>
            <w:r>
              <w:rPr>
                <w:b/>
              </w:rPr>
              <w:br/>
              <w:t>($/MWh)</w:t>
            </w:r>
          </w:p>
        </w:tc>
      </w:tr>
      <w:tr w:rsidR="003B49C4" w14:paraId="705F8F62"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3B5AAEFC"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20F7DCE7"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FE25E36" w14:textId="77777777" w:rsidR="003B49C4" w:rsidRDefault="003B49C4">
            <w:pPr>
              <w:suppressAutoHyphens/>
              <w:jc w:val="center"/>
              <w:rPr>
                <w:kern w:val="16"/>
              </w:rPr>
            </w:pPr>
            <w:r>
              <w:t>300</w:t>
            </w:r>
          </w:p>
        </w:tc>
        <w:tc>
          <w:tcPr>
            <w:tcW w:w="1032" w:type="dxa"/>
            <w:tcBorders>
              <w:top w:val="single" w:sz="4" w:space="0" w:color="auto"/>
              <w:left w:val="single" w:sz="4" w:space="0" w:color="auto"/>
              <w:bottom w:val="single" w:sz="4" w:space="0" w:color="auto"/>
              <w:right w:val="single" w:sz="4" w:space="0" w:color="auto"/>
            </w:tcBorders>
            <w:hideMark/>
          </w:tcPr>
          <w:p w14:paraId="0A4524B9" w14:textId="77777777" w:rsidR="003B49C4" w:rsidRDefault="003B49C4">
            <w:pPr>
              <w:suppressAutoHyphens/>
              <w:jc w:val="center"/>
              <w:rPr>
                <w:kern w:val="16"/>
              </w:rPr>
            </w:pPr>
            <w:r>
              <w:t>50</w:t>
            </w:r>
          </w:p>
        </w:tc>
        <w:tc>
          <w:tcPr>
            <w:tcW w:w="0" w:type="auto"/>
            <w:tcBorders>
              <w:top w:val="single" w:sz="4" w:space="0" w:color="auto"/>
              <w:left w:val="single" w:sz="4" w:space="0" w:color="auto"/>
              <w:bottom w:val="single" w:sz="4" w:space="0" w:color="auto"/>
              <w:right w:val="single" w:sz="4" w:space="0" w:color="auto"/>
            </w:tcBorders>
            <w:hideMark/>
          </w:tcPr>
          <w:p w14:paraId="199E7E4A" w14:textId="77777777" w:rsidR="003B49C4" w:rsidRDefault="003B49C4">
            <w:pPr>
              <w:suppressAutoHyphens/>
              <w:jc w:val="center"/>
              <w:rPr>
                <w:kern w:val="16"/>
              </w:rPr>
            </w:pPr>
            <w:r>
              <w:t>-</w:t>
            </w:r>
          </w:p>
        </w:tc>
      </w:tr>
      <w:tr w:rsidR="003B49C4" w14:paraId="60D1F69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1D0C8CC7"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0581709C"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1C9BAA2" w14:textId="77777777" w:rsidR="003B49C4" w:rsidRDefault="003B49C4">
            <w:pPr>
              <w:suppressAutoHyphens/>
              <w:jc w:val="center"/>
              <w:rPr>
                <w:kern w:val="16"/>
              </w:rPr>
            </w:pPr>
            <w:r>
              <w:t>200</w:t>
            </w:r>
          </w:p>
        </w:tc>
        <w:tc>
          <w:tcPr>
            <w:tcW w:w="1032" w:type="dxa"/>
            <w:tcBorders>
              <w:top w:val="single" w:sz="4" w:space="0" w:color="auto"/>
              <w:left w:val="single" w:sz="4" w:space="0" w:color="auto"/>
              <w:bottom w:val="single" w:sz="4" w:space="0" w:color="auto"/>
              <w:right w:val="single" w:sz="4" w:space="0" w:color="auto"/>
            </w:tcBorders>
            <w:hideMark/>
          </w:tcPr>
          <w:p w14:paraId="4309A7E7" w14:textId="77777777" w:rsidR="003B49C4" w:rsidRDefault="003B49C4">
            <w:pPr>
              <w:suppressAutoHyphens/>
              <w:jc w:val="center"/>
              <w:rPr>
                <w:kern w:val="16"/>
              </w:rPr>
            </w:pPr>
            <w:r>
              <w:t>35</w:t>
            </w:r>
          </w:p>
        </w:tc>
        <w:tc>
          <w:tcPr>
            <w:tcW w:w="0" w:type="auto"/>
            <w:tcBorders>
              <w:top w:val="single" w:sz="4" w:space="0" w:color="auto"/>
              <w:left w:val="single" w:sz="4" w:space="0" w:color="auto"/>
              <w:bottom w:val="single" w:sz="4" w:space="0" w:color="auto"/>
              <w:right w:val="single" w:sz="4" w:space="0" w:color="auto"/>
            </w:tcBorders>
            <w:hideMark/>
          </w:tcPr>
          <w:p w14:paraId="647B1498" w14:textId="77777777" w:rsidR="003B49C4" w:rsidRDefault="003B49C4">
            <w:pPr>
              <w:suppressAutoHyphens/>
              <w:jc w:val="center"/>
              <w:rPr>
                <w:kern w:val="16"/>
              </w:rPr>
            </w:pPr>
            <w:r>
              <w:t>0</w:t>
            </w:r>
          </w:p>
        </w:tc>
      </w:tr>
      <w:tr w:rsidR="003B49C4" w14:paraId="237D8B0F"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71EDE3DB"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4E4B4311"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858BC6B" w14:textId="77777777" w:rsidR="003B49C4" w:rsidRDefault="003B49C4">
            <w:pPr>
              <w:suppressAutoHyphens/>
              <w:jc w:val="center"/>
              <w:rPr>
                <w:kern w:val="16"/>
              </w:rPr>
            </w:pPr>
            <w:r>
              <w:t>75</w:t>
            </w:r>
          </w:p>
        </w:tc>
        <w:tc>
          <w:tcPr>
            <w:tcW w:w="1032" w:type="dxa"/>
            <w:tcBorders>
              <w:top w:val="single" w:sz="4" w:space="0" w:color="auto"/>
              <w:left w:val="single" w:sz="4" w:space="0" w:color="auto"/>
              <w:bottom w:val="single" w:sz="4" w:space="0" w:color="auto"/>
              <w:right w:val="single" w:sz="4" w:space="0" w:color="auto"/>
            </w:tcBorders>
            <w:hideMark/>
          </w:tcPr>
          <w:p w14:paraId="3F411529" w14:textId="77777777" w:rsidR="003B49C4" w:rsidRDefault="003B49C4">
            <w:pPr>
              <w:suppressAutoHyphens/>
              <w:jc w:val="center"/>
              <w:rPr>
                <w:kern w:val="16"/>
              </w:rPr>
            </w:pPr>
            <w:r>
              <w:t>28</w:t>
            </w:r>
          </w:p>
        </w:tc>
        <w:tc>
          <w:tcPr>
            <w:tcW w:w="0" w:type="auto"/>
            <w:tcBorders>
              <w:top w:val="single" w:sz="4" w:space="0" w:color="auto"/>
              <w:left w:val="single" w:sz="4" w:space="0" w:color="auto"/>
              <w:bottom w:val="single" w:sz="4" w:space="0" w:color="auto"/>
              <w:right w:val="single" w:sz="4" w:space="0" w:color="auto"/>
            </w:tcBorders>
            <w:hideMark/>
          </w:tcPr>
          <w:p w14:paraId="3ED599E4" w14:textId="77777777" w:rsidR="003B49C4" w:rsidRDefault="003B49C4">
            <w:pPr>
              <w:suppressAutoHyphens/>
              <w:jc w:val="center"/>
              <w:rPr>
                <w:kern w:val="16"/>
              </w:rPr>
            </w:pPr>
            <w:r>
              <w:t>6</w:t>
            </w:r>
          </w:p>
        </w:tc>
      </w:tr>
      <w:tr w:rsidR="003B49C4" w14:paraId="774105B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24C8003" w14:textId="77777777" w:rsidR="003B49C4" w:rsidRDefault="003B49C4">
            <w:pPr>
              <w:suppressAutoHyphens/>
              <w:jc w:val="center"/>
              <w:rPr>
                <w:kern w:val="16"/>
              </w:rPr>
            </w:pPr>
            <w:r>
              <w:t>G</w:t>
            </w:r>
            <w:r>
              <w:rPr>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14:paraId="6BD7CA74"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507EBC66" w14:textId="77777777" w:rsidR="003B49C4" w:rsidRDefault="003B49C4">
            <w:pPr>
              <w:suppressAutoHyphens/>
              <w:jc w:val="center"/>
              <w:rPr>
                <w:kern w:val="16"/>
              </w:rPr>
            </w:pPr>
            <w:r>
              <w:t>100</w:t>
            </w:r>
          </w:p>
        </w:tc>
        <w:tc>
          <w:tcPr>
            <w:tcW w:w="1032" w:type="dxa"/>
            <w:tcBorders>
              <w:top w:val="single" w:sz="4" w:space="0" w:color="auto"/>
              <w:left w:val="single" w:sz="4" w:space="0" w:color="auto"/>
              <w:bottom w:val="single" w:sz="4" w:space="0" w:color="auto"/>
              <w:right w:val="single" w:sz="4" w:space="0" w:color="auto"/>
            </w:tcBorders>
            <w:hideMark/>
          </w:tcPr>
          <w:p w14:paraId="290E836D" w14:textId="77777777" w:rsidR="003B49C4" w:rsidRDefault="003B49C4">
            <w:pPr>
              <w:suppressAutoHyphens/>
              <w:jc w:val="center"/>
              <w:rPr>
                <w:kern w:val="16"/>
              </w:rPr>
            </w:pPr>
            <w:r>
              <w:t>30</w:t>
            </w:r>
          </w:p>
        </w:tc>
        <w:tc>
          <w:tcPr>
            <w:tcW w:w="0" w:type="auto"/>
            <w:tcBorders>
              <w:top w:val="single" w:sz="4" w:space="0" w:color="auto"/>
              <w:left w:val="single" w:sz="4" w:space="0" w:color="auto"/>
              <w:bottom w:val="single" w:sz="4" w:space="0" w:color="auto"/>
              <w:right w:val="single" w:sz="4" w:space="0" w:color="auto"/>
            </w:tcBorders>
            <w:hideMark/>
          </w:tcPr>
          <w:p w14:paraId="2CD4B56E" w14:textId="77777777" w:rsidR="003B49C4" w:rsidRDefault="003B49C4">
            <w:pPr>
              <w:suppressAutoHyphens/>
              <w:jc w:val="center"/>
              <w:rPr>
                <w:kern w:val="16"/>
              </w:rPr>
            </w:pPr>
            <w:r>
              <w:t>3</w:t>
            </w:r>
          </w:p>
        </w:tc>
      </w:tr>
    </w:tbl>
    <w:p w14:paraId="148525A2" w14:textId="77777777" w:rsidR="00970A1B" w:rsidRDefault="00970A1B" w:rsidP="000F299B">
      <w:pPr>
        <w:pStyle w:val="Paragraph"/>
        <w:spacing w:before="0" w:after="240" w:line="300" w:lineRule="auto"/>
        <w:rPr>
          <w:rFonts w:ascii="Arial" w:hAnsi="Arial" w:cs="Arial"/>
        </w:rPr>
      </w:pPr>
    </w:p>
    <w:p w14:paraId="53017DE9" w14:textId="77777777" w:rsidR="003B49C4" w:rsidRPr="000F299B" w:rsidRDefault="003B49C4" w:rsidP="00877DDB">
      <w:pPr>
        <w:pStyle w:val="BPM"/>
      </w:pPr>
      <w:r w:rsidRPr="000F299B">
        <w:t xml:space="preserve">The purpose of this example is to show that the LMP in the </w:t>
      </w:r>
      <w:r w:rsidR="0058562B">
        <w:t>CA</w:t>
      </w:r>
      <w:r w:rsidRPr="000F299B">
        <w:t xml:space="preserve">ISO would include the GHG compliance costs for imports; this effect was masked in the previous examples because the more expensive resource G1 was setting the LMP in the </w:t>
      </w:r>
      <w:r w:rsidR="0058562B">
        <w:t>CA</w:t>
      </w:r>
      <w:r w:rsidRPr="000F299B">
        <w:t>ISO. In this case, without a binding power transfer limit, G2, G3 and G4 are dispatched to serve both loads L1 and L2. The optimal dispatch and export allocation are as follows:</w:t>
      </w:r>
    </w:p>
    <w:tbl>
      <w:tblPr>
        <w:tblW w:w="0" w:type="auto"/>
        <w:jc w:val="center"/>
        <w:tblLook w:val="04A0" w:firstRow="1" w:lastRow="0" w:firstColumn="1" w:lastColumn="0" w:noHBand="0" w:noVBand="1"/>
      </w:tblPr>
      <w:tblGrid>
        <w:gridCol w:w="1231"/>
        <w:gridCol w:w="1077"/>
        <w:gridCol w:w="1930"/>
        <w:gridCol w:w="1147"/>
      </w:tblGrid>
      <w:tr w:rsidR="003B49C4" w14:paraId="18ED3C76"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48271D" w14:textId="77777777" w:rsidR="003B49C4" w:rsidRDefault="003B49C4">
            <w:pPr>
              <w:suppressAutoHyphens/>
              <w:jc w:val="center"/>
              <w:rPr>
                <w:b/>
                <w:kern w:val="16"/>
              </w:rPr>
            </w:pPr>
            <w:r>
              <w:rPr>
                <w:b/>
              </w:rPr>
              <w:t>Generator</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116AB7" w14:textId="77777777" w:rsidR="003B49C4" w:rsidRDefault="003B49C4">
            <w:pPr>
              <w:suppressAutoHyphens/>
              <w:jc w:val="center"/>
              <w:rPr>
                <w:b/>
                <w:kern w:val="16"/>
              </w:rPr>
            </w:pPr>
            <w:r>
              <w:rPr>
                <w:b/>
              </w:rPr>
              <w:t>Dispatch</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37A69A" w14:textId="77777777" w:rsidR="003B49C4" w:rsidRDefault="003B49C4">
            <w:pPr>
              <w:suppressAutoHyphens/>
              <w:jc w:val="center"/>
              <w:rPr>
                <w:b/>
                <w:kern w:val="16"/>
              </w:rPr>
            </w:pPr>
            <w:r>
              <w:rPr>
                <w:b/>
              </w:rPr>
              <w:t>Export Allocation</w:t>
            </w:r>
            <w:r>
              <w:rPr>
                <w:b/>
              </w:rPr>
              <w:br/>
              <w:t>(MW)</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FF3DA8" w14:textId="77777777" w:rsidR="003B49C4" w:rsidRDefault="003B49C4">
            <w:pPr>
              <w:suppressAutoHyphens/>
              <w:jc w:val="center"/>
              <w:rPr>
                <w:b/>
                <w:kern w:val="16"/>
              </w:rPr>
            </w:pPr>
            <w:r>
              <w:rPr>
                <w:b/>
              </w:rPr>
              <w:t>LMP</w:t>
            </w:r>
            <w:r>
              <w:rPr>
                <w:b/>
              </w:rPr>
              <w:br/>
              <w:t>($/MWh)</w:t>
            </w:r>
          </w:p>
        </w:tc>
      </w:tr>
      <w:tr w:rsidR="003B49C4" w14:paraId="4BC6F2BC"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603539F5"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74FD4398" w14:textId="77777777" w:rsidR="003B49C4" w:rsidRDefault="003B49C4">
            <w:pPr>
              <w:suppressAutoHyphens/>
              <w:jc w:val="center"/>
              <w:rPr>
                <w:kern w:val="16"/>
              </w:rPr>
            </w:pPr>
            <w:r>
              <w:t>0</w:t>
            </w:r>
          </w:p>
        </w:tc>
        <w:tc>
          <w:tcPr>
            <w:tcW w:w="0" w:type="auto"/>
            <w:tcBorders>
              <w:top w:val="single" w:sz="4" w:space="0" w:color="auto"/>
              <w:left w:val="single" w:sz="4" w:space="0" w:color="auto"/>
              <w:bottom w:val="single" w:sz="4" w:space="0" w:color="auto"/>
              <w:right w:val="single" w:sz="4" w:space="0" w:color="auto"/>
            </w:tcBorders>
            <w:hideMark/>
          </w:tcPr>
          <w:p w14:paraId="33170505" w14:textId="77777777" w:rsidR="003B49C4" w:rsidRDefault="003B49C4">
            <w:pPr>
              <w:suppressAutoHyphens/>
              <w:jc w:val="center"/>
              <w:rPr>
                <w:kern w:val="16"/>
              </w:rPr>
            </w:pPr>
            <w:r>
              <w:t>-</w:t>
            </w:r>
          </w:p>
        </w:tc>
        <w:tc>
          <w:tcPr>
            <w:tcW w:w="0" w:type="auto"/>
            <w:tcBorders>
              <w:top w:val="single" w:sz="4" w:space="0" w:color="auto"/>
              <w:left w:val="single" w:sz="4" w:space="0" w:color="auto"/>
              <w:bottom w:val="single" w:sz="4" w:space="0" w:color="auto"/>
              <w:right w:val="single" w:sz="4" w:space="0" w:color="auto"/>
            </w:tcBorders>
            <w:hideMark/>
          </w:tcPr>
          <w:p w14:paraId="152872C0" w14:textId="77777777" w:rsidR="003B49C4" w:rsidRDefault="003B49C4">
            <w:pPr>
              <w:suppressAutoHyphens/>
              <w:jc w:val="center"/>
              <w:rPr>
                <w:kern w:val="16"/>
              </w:rPr>
            </w:pPr>
            <w:r>
              <w:t>35</w:t>
            </w:r>
          </w:p>
        </w:tc>
      </w:tr>
      <w:tr w:rsidR="003B49C4" w14:paraId="4979E334"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A5AFEF9"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7FF466C7" w14:textId="77777777" w:rsidR="003B49C4" w:rsidRDefault="003B49C4">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5E17D5B4" w14:textId="77777777" w:rsidR="003B49C4" w:rsidRDefault="003B49C4">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536E4C81" w14:textId="77777777" w:rsidR="003B49C4" w:rsidRDefault="003B49C4">
            <w:pPr>
              <w:suppressAutoHyphens/>
              <w:jc w:val="center"/>
              <w:rPr>
                <w:kern w:val="16"/>
              </w:rPr>
            </w:pPr>
            <w:r>
              <w:t>29</w:t>
            </w:r>
          </w:p>
        </w:tc>
      </w:tr>
      <w:tr w:rsidR="003B49C4" w14:paraId="48F0440D"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640E22C5"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0D58DA74" w14:textId="77777777" w:rsidR="003B49C4" w:rsidRDefault="003B49C4">
            <w:pPr>
              <w:suppressAutoHyphens/>
              <w:jc w:val="center"/>
              <w:rPr>
                <w:kern w:val="16"/>
              </w:rPr>
            </w:pPr>
            <w:r>
              <w:t>75</w:t>
            </w:r>
          </w:p>
        </w:tc>
        <w:tc>
          <w:tcPr>
            <w:tcW w:w="0" w:type="auto"/>
            <w:tcBorders>
              <w:top w:val="single" w:sz="4" w:space="0" w:color="auto"/>
              <w:left w:val="single" w:sz="4" w:space="0" w:color="auto"/>
              <w:bottom w:val="single" w:sz="4" w:space="0" w:color="auto"/>
              <w:right w:val="single" w:sz="4" w:space="0" w:color="auto"/>
            </w:tcBorders>
            <w:hideMark/>
          </w:tcPr>
          <w:p w14:paraId="24C1436C" w14:textId="77777777" w:rsidR="003B49C4" w:rsidRDefault="003B49C4">
            <w:pPr>
              <w:suppressAutoHyphens/>
              <w:jc w:val="center"/>
              <w:rPr>
                <w:kern w:val="16"/>
              </w:rPr>
            </w:pPr>
            <w:r>
              <w:t>25</w:t>
            </w:r>
          </w:p>
        </w:tc>
        <w:tc>
          <w:tcPr>
            <w:tcW w:w="0" w:type="auto"/>
            <w:tcBorders>
              <w:top w:val="single" w:sz="4" w:space="0" w:color="auto"/>
              <w:left w:val="single" w:sz="4" w:space="0" w:color="auto"/>
              <w:bottom w:val="single" w:sz="4" w:space="0" w:color="auto"/>
              <w:right w:val="single" w:sz="4" w:space="0" w:color="auto"/>
            </w:tcBorders>
            <w:hideMark/>
          </w:tcPr>
          <w:p w14:paraId="25445151" w14:textId="77777777" w:rsidR="003B49C4" w:rsidRDefault="003B49C4">
            <w:pPr>
              <w:suppressAutoHyphens/>
              <w:jc w:val="center"/>
              <w:rPr>
                <w:kern w:val="16"/>
              </w:rPr>
            </w:pPr>
            <w:r>
              <w:t>29</w:t>
            </w:r>
          </w:p>
        </w:tc>
      </w:tr>
      <w:tr w:rsidR="003B49C4" w14:paraId="3476FBAD"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446F8655" w14:textId="77777777" w:rsidR="003B49C4" w:rsidRDefault="003B49C4">
            <w:pPr>
              <w:suppressAutoHyphens/>
              <w:jc w:val="center"/>
              <w:rPr>
                <w:kern w:val="16"/>
              </w:rPr>
            </w:pPr>
            <w:r>
              <w:t>G</w:t>
            </w:r>
            <w:r>
              <w:rPr>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14:paraId="05813C08" w14:textId="77777777" w:rsidR="003B49C4" w:rsidRDefault="003B49C4">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49E8A784" w14:textId="77777777" w:rsidR="003B49C4" w:rsidRDefault="003B49C4">
            <w:pPr>
              <w:suppressAutoHyphens/>
              <w:jc w:val="center"/>
              <w:rPr>
                <w:kern w:val="16"/>
              </w:rPr>
            </w:pPr>
            <w:r>
              <w:t>100</w:t>
            </w:r>
          </w:p>
        </w:tc>
        <w:tc>
          <w:tcPr>
            <w:tcW w:w="0" w:type="auto"/>
            <w:tcBorders>
              <w:top w:val="single" w:sz="4" w:space="0" w:color="auto"/>
              <w:left w:val="single" w:sz="4" w:space="0" w:color="auto"/>
              <w:bottom w:val="single" w:sz="4" w:space="0" w:color="auto"/>
              <w:right w:val="single" w:sz="4" w:space="0" w:color="auto"/>
            </w:tcBorders>
            <w:hideMark/>
          </w:tcPr>
          <w:p w14:paraId="7D6F5E06" w14:textId="77777777" w:rsidR="003B49C4" w:rsidRDefault="003B49C4">
            <w:pPr>
              <w:suppressAutoHyphens/>
              <w:jc w:val="center"/>
              <w:rPr>
                <w:kern w:val="16"/>
              </w:rPr>
            </w:pPr>
            <w:r>
              <w:t>29</w:t>
            </w:r>
          </w:p>
        </w:tc>
      </w:tr>
    </w:tbl>
    <w:p w14:paraId="53A1DA1D" w14:textId="77777777" w:rsidR="003B49C4" w:rsidRDefault="003B49C4" w:rsidP="003B49C4">
      <w:pPr>
        <w:jc w:val="center"/>
      </w:pPr>
      <w:r>
        <w:t xml:space="preserve">Example 4: </w:t>
      </w:r>
      <m:oMath>
        <m:r>
          <m:rPr>
            <m:sty m:val="p"/>
          </m:rPr>
          <w:rPr>
            <w:rFonts w:ascii="Cambria Math" w:hAnsi="Cambria Math"/>
          </w:rPr>
          <m:t>µ</m:t>
        </m:r>
      </m:oMath>
      <w:r>
        <w:t xml:space="preserve"> = $0/MWh; </w:t>
      </w:r>
      <m:oMath>
        <m:r>
          <m:rPr>
            <m:sty m:val="p"/>
          </m:rPr>
          <w:rPr>
            <w:rFonts w:ascii="Cambria Math" w:hAnsi="Cambria Math"/>
          </w:rPr>
          <m:t>η</m:t>
        </m:r>
      </m:oMath>
      <w:r>
        <w:t xml:space="preserve"> = –$6/MWh</w:t>
      </w:r>
    </w:p>
    <w:p w14:paraId="03396235" w14:textId="77777777" w:rsidR="00FC6F91" w:rsidRDefault="00FC6F91" w:rsidP="003B49C4">
      <w:pPr>
        <w:jc w:val="center"/>
        <w:rPr>
          <w:kern w:val="16"/>
        </w:rPr>
      </w:pPr>
    </w:p>
    <w:p w14:paraId="4B792C4C" w14:textId="665E6091" w:rsidR="003B49C4" w:rsidRPr="000F299B" w:rsidRDefault="003B49C4" w:rsidP="00877DDB">
      <w:pPr>
        <w:pStyle w:val="BPM"/>
      </w:pPr>
      <w:r w:rsidRPr="000F299B">
        <w:t xml:space="preserve">G3 is the least expensive resource for serving L2 and G4 is the least expensive resource for serving L1; consequently, both resources are dispatched at their maximum capacity. G2 is marginal for serving L1 and sets the LMP in the </w:t>
      </w:r>
      <w:r w:rsidR="0058562B">
        <w:t>CA</w:t>
      </w:r>
      <w:r w:rsidRPr="000F299B">
        <w:t xml:space="preserve">ISO to $35/MWh. One additional MW of L2 will divert 1MW of G3 export to L2 saving $6/MWh on GHG compliance costs and that export </w:t>
      </w:r>
      <w:r w:rsidRPr="000F299B">
        <w:lastRenderedPageBreak/>
        <w:t>will be made up by one additional MW from G2 at a net cost of $29/MWh, which is the LMP in the</w:t>
      </w:r>
      <w:r w:rsidR="005F24C1">
        <w:t xml:space="preserve"> WEIM </w:t>
      </w:r>
      <w:r w:rsidRPr="000F299B">
        <w:t>Entity BAA.</w:t>
      </w:r>
    </w:p>
    <w:p w14:paraId="02A53D6D" w14:textId="77777777" w:rsidR="003B49C4" w:rsidRPr="000F299B" w:rsidRDefault="003B49C4" w:rsidP="00877DDB">
      <w:pPr>
        <w:pStyle w:val="BPM"/>
      </w:pPr>
      <w:r w:rsidRPr="000F299B">
        <w:t>Since there is no transmission congestion, the LMP difference of $6/MWh amounts to the marginal GHG compliance cost of $6/MWh. The marginal GHG compliance cost can be easily verified if the export allocation (which carries the GHG compliance cost) is relaxed by 1 MW to 199MW, in which case 1MWh from G3 will not incur GHG compliance costs for a benefit of $6.</w:t>
      </w:r>
    </w:p>
    <w:p w14:paraId="1832329A" w14:textId="77777777" w:rsidR="003B49C4" w:rsidRPr="000F299B" w:rsidRDefault="003B49C4" w:rsidP="00877DDB">
      <w:pPr>
        <w:pStyle w:val="BPM"/>
      </w:pPr>
      <w:r w:rsidRPr="000F299B">
        <w:t>The marginal GHG compliance cost of $6/MWh on a 200MWh energy export results in a GHG compliance revenue of $1,200. Assuming that the GHG compliance revenue is distributed to the optimal export allocations, the settlement is as follows:</w:t>
      </w:r>
    </w:p>
    <w:tbl>
      <w:tblPr>
        <w:tblW w:w="0" w:type="auto"/>
        <w:jc w:val="center"/>
        <w:tblLook w:val="04A0" w:firstRow="1" w:lastRow="0" w:firstColumn="1" w:lastColumn="0" w:noHBand="0" w:noVBand="1"/>
      </w:tblPr>
      <w:tblGrid>
        <w:gridCol w:w="1864"/>
        <w:gridCol w:w="893"/>
        <w:gridCol w:w="1443"/>
        <w:gridCol w:w="1416"/>
        <w:gridCol w:w="1123"/>
        <w:gridCol w:w="1443"/>
        <w:gridCol w:w="1150"/>
      </w:tblGrid>
      <w:tr w:rsidR="003B49C4" w14:paraId="79E6E23E"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CBF3AC" w14:textId="77777777" w:rsidR="003B49C4" w:rsidRDefault="003B49C4">
            <w:pPr>
              <w:suppressAutoHyphens/>
              <w:jc w:val="center"/>
              <w:rPr>
                <w:b/>
                <w:kern w:val="16"/>
              </w:rPr>
            </w:pPr>
            <w:r>
              <w:rPr>
                <w:b/>
              </w:rPr>
              <w:t>Resource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4FE108" w14:textId="77777777" w:rsidR="003B49C4" w:rsidRDefault="003B49C4">
            <w:pPr>
              <w:suppressAutoHyphens/>
              <w:jc w:val="center"/>
              <w:rPr>
                <w:b/>
                <w:kern w:val="16"/>
              </w:rPr>
            </w:pPr>
            <w:r>
              <w:rPr>
                <w:b/>
              </w:rPr>
              <w:t>Energy</w:t>
            </w:r>
            <w:r>
              <w:rPr>
                <w:b/>
              </w:rPr>
              <w:br/>
              <w:t>Cost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4A78B7B0" w14:textId="77777777" w:rsidR="003B49C4" w:rsidRDefault="003B49C4">
            <w:pPr>
              <w:suppressAutoHyphens/>
              <w:jc w:val="center"/>
              <w:rPr>
                <w:b/>
                <w:kern w:val="16"/>
              </w:rPr>
            </w:pPr>
            <w:r>
              <w:rPr>
                <w:b/>
              </w:rPr>
              <w:t>GHG Compliance Cost</w:t>
            </w:r>
          </w:p>
        </w:tc>
        <w:tc>
          <w:tcPr>
            <w:tcW w:w="1416" w:type="dxa"/>
            <w:tcBorders>
              <w:top w:val="single" w:sz="18" w:space="0" w:color="auto"/>
              <w:left w:val="single" w:sz="18" w:space="0" w:color="auto"/>
              <w:bottom w:val="single" w:sz="6" w:space="0" w:color="auto"/>
              <w:right w:val="single" w:sz="18" w:space="0" w:color="auto"/>
            </w:tcBorders>
            <w:shd w:val="clear" w:color="auto" w:fill="C6D9F1" w:themeFill="text2" w:themeFillTint="33"/>
            <w:hideMark/>
          </w:tcPr>
          <w:p w14:paraId="142BB53B" w14:textId="77777777" w:rsidR="003B49C4" w:rsidRDefault="003B49C4">
            <w:pPr>
              <w:suppressAutoHyphens/>
              <w:jc w:val="center"/>
              <w:rPr>
                <w:b/>
                <w:kern w:val="16"/>
              </w:rPr>
            </w:pPr>
            <w:r>
              <w:rPr>
                <w:b/>
              </w:rPr>
              <w:t>Total</w:t>
            </w:r>
            <w:r>
              <w:rPr>
                <w:b/>
              </w:rPr>
              <w:br/>
              <w:t>Cost</w:t>
            </w:r>
          </w:p>
        </w:tc>
        <w:tc>
          <w:tcPr>
            <w:tcW w:w="1123" w:type="dxa"/>
            <w:tcBorders>
              <w:top w:val="single" w:sz="4" w:space="0" w:color="auto"/>
              <w:left w:val="single" w:sz="18" w:space="0" w:color="auto"/>
              <w:bottom w:val="single" w:sz="4" w:space="0" w:color="auto"/>
              <w:right w:val="single" w:sz="4" w:space="0" w:color="auto"/>
            </w:tcBorders>
            <w:shd w:val="clear" w:color="auto" w:fill="C6D9F1" w:themeFill="text2" w:themeFillTint="33"/>
            <w:hideMark/>
          </w:tcPr>
          <w:p w14:paraId="6BD44730" w14:textId="77777777" w:rsidR="003B49C4" w:rsidRDefault="003B49C4">
            <w:pPr>
              <w:suppressAutoHyphens/>
              <w:jc w:val="center"/>
              <w:rPr>
                <w:b/>
                <w:kern w:val="16"/>
              </w:rPr>
            </w:pPr>
            <w:r>
              <w:rPr>
                <w:b/>
              </w:rPr>
              <w:t>Energy</w:t>
            </w:r>
            <w:r>
              <w:rPr>
                <w:b/>
              </w:rPr>
              <w:br/>
              <w:t>Payment</w:t>
            </w:r>
          </w:p>
        </w:tc>
        <w:tc>
          <w:tcPr>
            <w:tcW w:w="1443" w:type="dxa"/>
            <w:tcBorders>
              <w:top w:val="single" w:sz="4" w:space="0" w:color="auto"/>
              <w:left w:val="single" w:sz="4" w:space="0" w:color="auto"/>
              <w:bottom w:val="single" w:sz="4" w:space="0" w:color="auto"/>
              <w:right w:val="single" w:sz="18" w:space="0" w:color="auto"/>
            </w:tcBorders>
            <w:shd w:val="clear" w:color="auto" w:fill="C6D9F1" w:themeFill="text2" w:themeFillTint="33"/>
            <w:hideMark/>
          </w:tcPr>
          <w:p w14:paraId="49BBE377" w14:textId="77777777" w:rsidR="003B49C4" w:rsidRDefault="003B49C4">
            <w:pPr>
              <w:suppressAutoHyphens/>
              <w:jc w:val="center"/>
              <w:rPr>
                <w:b/>
                <w:kern w:val="16"/>
              </w:rPr>
            </w:pPr>
            <w:r>
              <w:rPr>
                <w:b/>
              </w:rPr>
              <w:t>GHG Compliance Payment</w:t>
            </w:r>
          </w:p>
        </w:tc>
        <w:tc>
          <w:tcPr>
            <w:tcW w:w="1150" w:type="dxa"/>
            <w:tcBorders>
              <w:top w:val="single" w:sz="18" w:space="0" w:color="auto"/>
              <w:left w:val="single" w:sz="18" w:space="0" w:color="auto"/>
              <w:bottom w:val="single" w:sz="6" w:space="0" w:color="auto"/>
              <w:right w:val="single" w:sz="18" w:space="0" w:color="auto"/>
            </w:tcBorders>
            <w:shd w:val="clear" w:color="auto" w:fill="C6D9F1" w:themeFill="text2" w:themeFillTint="33"/>
            <w:hideMark/>
          </w:tcPr>
          <w:p w14:paraId="48121CC7" w14:textId="77777777" w:rsidR="003B49C4" w:rsidRDefault="003B49C4">
            <w:pPr>
              <w:suppressAutoHyphens/>
              <w:jc w:val="center"/>
              <w:rPr>
                <w:b/>
                <w:kern w:val="16"/>
              </w:rPr>
            </w:pPr>
            <w:r>
              <w:rPr>
                <w:b/>
              </w:rPr>
              <w:t>Total Payment</w:t>
            </w:r>
          </w:p>
        </w:tc>
      </w:tr>
      <w:tr w:rsidR="003B49C4" w14:paraId="747C309C"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9827091" w14:textId="77777777" w:rsidR="003B49C4" w:rsidRDefault="003B49C4">
            <w:pPr>
              <w:suppressAutoHyphens/>
              <w:jc w:val="center"/>
              <w:rPr>
                <w:kern w:val="16"/>
                <w:vertAlign w:val="subscript"/>
              </w:rPr>
            </w:pPr>
            <w:r>
              <w:t>G</w:t>
            </w:r>
            <w:r>
              <w:rPr>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0C2530E3" w14:textId="77777777" w:rsidR="003B49C4" w:rsidRDefault="003B49C4">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tcPr>
          <w:p w14:paraId="09D12F83"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hideMark/>
          </w:tcPr>
          <w:p w14:paraId="39186D29" w14:textId="77777777" w:rsidR="003B49C4" w:rsidRDefault="003B49C4">
            <w:pPr>
              <w:suppressAutoHyphens/>
              <w:jc w:val="center"/>
              <w:rPr>
                <w:kern w:val="16"/>
              </w:rPr>
            </w:pPr>
            <w:r>
              <w:t>$0</w:t>
            </w:r>
          </w:p>
        </w:tc>
        <w:tc>
          <w:tcPr>
            <w:tcW w:w="1123" w:type="dxa"/>
            <w:tcBorders>
              <w:top w:val="single" w:sz="4" w:space="0" w:color="auto"/>
              <w:left w:val="single" w:sz="18" w:space="0" w:color="auto"/>
              <w:bottom w:val="single" w:sz="4" w:space="0" w:color="auto"/>
              <w:right w:val="single" w:sz="4" w:space="0" w:color="auto"/>
            </w:tcBorders>
            <w:hideMark/>
          </w:tcPr>
          <w:p w14:paraId="79209D0D" w14:textId="77777777" w:rsidR="003B49C4" w:rsidRDefault="003B49C4">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tcPr>
          <w:p w14:paraId="7335EFC9"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hideMark/>
          </w:tcPr>
          <w:p w14:paraId="773CD9CB" w14:textId="77777777" w:rsidR="003B49C4" w:rsidRDefault="003B49C4">
            <w:pPr>
              <w:suppressAutoHyphens/>
              <w:jc w:val="center"/>
              <w:rPr>
                <w:kern w:val="16"/>
              </w:rPr>
            </w:pPr>
            <w:r>
              <w:t>$0</w:t>
            </w:r>
          </w:p>
        </w:tc>
      </w:tr>
      <w:tr w:rsidR="003B49C4" w14:paraId="0F80626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5B61D837" w14:textId="77777777" w:rsidR="003B49C4" w:rsidRDefault="003B49C4">
            <w:pPr>
              <w:suppressAutoHyphens/>
              <w:jc w:val="center"/>
              <w:rPr>
                <w:kern w:val="16"/>
                <w:vertAlign w:val="subscript"/>
              </w:rPr>
            </w:pPr>
            <w:r>
              <w:t>G</w:t>
            </w:r>
            <w:r>
              <w:rPr>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53B0A672" w14:textId="77777777" w:rsidR="003B49C4" w:rsidRDefault="003B49C4">
            <w:pPr>
              <w:suppressAutoHyphens/>
              <w:jc w:val="center"/>
              <w:rPr>
                <w:kern w:val="16"/>
              </w:rPr>
            </w:pPr>
            <w:r>
              <w:t>$2,625</w:t>
            </w:r>
          </w:p>
        </w:tc>
        <w:tc>
          <w:tcPr>
            <w:tcW w:w="1443" w:type="dxa"/>
            <w:tcBorders>
              <w:top w:val="single" w:sz="4" w:space="0" w:color="auto"/>
              <w:left w:val="single" w:sz="4" w:space="0" w:color="auto"/>
              <w:bottom w:val="single" w:sz="4" w:space="0" w:color="auto"/>
              <w:right w:val="single" w:sz="18" w:space="0" w:color="auto"/>
            </w:tcBorders>
            <w:hideMark/>
          </w:tcPr>
          <w:p w14:paraId="3AEE55E8" w14:textId="77777777" w:rsidR="003B49C4" w:rsidRDefault="003B49C4">
            <w:pPr>
              <w:suppressAutoHyphens/>
              <w:jc w:val="center"/>
              <w:rPr>
                <w:kern w:val="16"/>
              </w:rPr>
            </w:pPr>
            <w:r>
              <w:t>$0</w:t>
            </w:r>
          </w:p>
        </w:tc>
        <w:tc>
          <w:tcPr>
            <w:tcW w:w="1416" w:type="dxa"/>
            <w:tcBorders>
              <w:top w:val="single" w:sz="6" w:space="0" w:color="auto"/>
              <w:left w:val="single" w:sz="18" w:space="0" w:color="auto"/>
              <w:bottom w:val="single" w:sz="6" w:space="0" w:color="auto"/>
              <w:right w:val="single" w:sz="18" w:space="0" w:color="auto"/>
            </w:tcBorders>
            <w:hideMark/>
          </w:tcPr>
          <w:p w14:paraId="64626DBC" w14:textId="77777777" w:rsidR="003B49C4" w:rsidRDefault="003B49C4">
            <w:pPr>
              <w:suppressAutoHyphens/>
              <w:jc w:val="center"/>
              <w:rPr>
                <w:kern w:val="16"/>
              </w:rPr>
            </w:pPr>
            <w:r>
              <w:t>$2,625</w:t>
            </w:r>
          </w:p>
        </w:tc>
        <w:tc>
          <w:tcPr>
            <w:tcW w:w="1123" w:type="dxa"/>
            <w:tcBorders>
              <w:top w:val="single" w:sz="4" w:space="0" w:color="auto"/>
              <w:left w:val="single" w:sz="18" w:space="0" w:color="auto"/>
              <w:bottom w:val="single" w:sz="4" w:space="0" w:color="auto"/>
              <w:right w:val="single" w:sz="4" w:space="0" w:color="auto"/>
            </w:tcBorders>
            <w:hideMark/>
          </w:tcPr>
          <w:p w14:paraId="2F18B7F0"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62554894" w14:textId="77777777" w:rsidR="003B49C4" w:rsidRDefault="003B49C4">
            <w:pPr>
              <w:suppressAutoHyphens/>
              <w:jc w:val="center"/>
              <w:rPr>
                <w:kern w:val="16"/>
              </w:rPr>
            </w:pPr>
            <w:r>
              <w:t>$450</w:t>
            </w:r>
          </w:p>
        </w:tc>
        <w:tc>
          <w:tcPr>
            <w:tcW w:w="1150" w:type="dxa"/>
            <w:tcBorders>
              <w:top w:val="single" w:sz="6" w:space="0" w:color="auto"/>
              <w:left w:val="single" w:sz="18" w:space="0" w:color="auto"/>
              <w:bottom w:val="single" w:sz="6" w:space="0" w:color="auto"/>
              <w:right w:val="single" w:sz="18" w:space="0" w:color="auto"/>
            </w:tcBorders>
            <w:hideMark/>
          </w:tcPr>
          <w:p w14:paraId="7CCE4029" w14:textId="77777777" w:rsidR="003B49C4" w:rsidRDefault="003B49C4">
            <w:pPr>
              <w:suppressAutoHyphens/>
              <w:jc w:val="center"/>
              <w:rPr>
                <w:kern w:val="16"/>
              </w:rPr>
            </w:pPr>
            <w:r>
              <w:t>$2,625</w:t>
            </w:r>
          </w:p>
        </w:tc>
      </w:tr>
      <w:tr w:rsidR="003B49C4" w14:paraId="0DC7CD6D"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4B4BC67C" w14:textId="77777777" w:rsidR="003B49C4" w:rsidRDefault="003B49C4">
            <w:pPr>
              <w:suppressAutoHyphens/>
              <w:jc w:val="center"/>
              <w:rPr>
                <w:kern w:val="16"/>
                <w:vertAlign w:val="subscript"/>
              </w:rPr>
            </w:pPr>
            <w:r>
              <w:t>G</w:t>
            </w:r>
            <w:r>
              <w:rPr>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350A5E4F" w14:textId="77777777" w:rsidR="003B49C4" w:rsidRDefault="003B49C4">
            <w:pPr>
              <w:suppressAutoHyphens/>
              <w:jc w:val="center"/>
              <w:rPr>
                <w:kern w:val="16"/>
              </w:rPr>
            </w:pPr>
            <w:r>
              <w:t>$2,100</w:t>
            </w:r>
          </w:p>
        </w:tc>
        <w:tc>
          <w:tcPr>
            <w:tcW w:w="1443" w:type="dxa"/>
            <w:tcBorders>
              <w:top w:val="single" w:sz="4" w:space="0" w:color="auto"/>
              <w:left w:val="single" w:sz="4" w:space="0" w:color="auto"/>
              <w:bottom w:val="single" w:sz="4" w:space="0" w:color="auto"/>
              <w:right w:val="single" w:sz="18" w:space="0" w:color="auto"/>
            </w:tcBorders>
            <w:hideMark/>
          </w:tcPr>
          <w:p w14:paraId="69D0DFAD" w14:textId="77777777" w:rsidR="003B49C4" w:rsidRDefault="003B49C4">
            <w:pPr>
              <w:suppressAutoHyphens/>
              <w:jc w:val="center"/>
              <w:rPr>
                <w:kern w:val="16"/>
              </w:rPr>
            </w:pPr>
            <w:r>
              <w:t>$150</w:t>
            </w:r>
          </w:p>
        </w:tc>
        <w:tc>
          <w:tcPr>
            <w:tcW w:w="1416" w:type="dxa"/>
            <w:tcBorders>
              <w:top w:val="single" w:sz="6" w:space="0" w:color="auto"/>
              <w:left w:val="single" w:sz="18" w:space="0" w:color="auto"/>
              <w:bottom w:val="single" w:sz="6" w:space="0" w:color="auto"/>
              <w:right w:val="single" w:sz="18" w:space="0" w:color="auto"/>
            </w:tcBorders>
            <w:hideMark/>
          </w:tcPr>
          <w:p w14:paraId="0D21EE08" w14:textId="77777777" w:rsidR="003B49C4" w:rsidRDefault="003B49C4">
            <w:pPr>
              <w:suppressAutoHyphens/>
              <w:jc w:val="center"/>
              <w:rPr>
                <w:kern w:val="16"/>
              </w:rPr>
            </w:pPr>
            <w:r>
              <w:t>$2,250</w:t>
            </w:r>
          </w:p>
        </w:tc>
        <w:tc>
          <w:tcPr>
            <w:tcW w:w="1123" w:type="dxa"/>
            <w:tcBorders>
              <w:top w:val="single" w:sz="4" w:space="0" w:color="auto"/>
              <w:left w:val="single" w:sz="18" w:space="0" w:color="auto"/>
              <w:bottom w:val="single" w:sz="4" w:space="0" w:color="auto"/>
              <w:right w:val="single" w:sz="4" w:space="0" w:color="auto"/>
            </w:tcBorders>
            <w:hideMark/>
          </w:tcPr>
          <w:p w14:paraId="69B557E2" w14:textId="77777777" w:rsidR="003B49C4" w:rsidRDefault="003B49C4">
            <w:pPr>
              <w:suppressAutoHyphens/>
              <w:jc w:val="center"/>
              <w:rPr>
                <w:kern w:val="16"/>
              </w:rPr>
            </w:pPr>
            <w:r>
              <w:t>$2,175</w:t>
            </w:r>
          </w:p>
        </w:tc>
        <w:tc>
          <w:tcPr>
            <w:tcW w:w="1443" w:type="dxa"/>
            <w:tcBorders>
              <w:top w:val="single" w:sz="4" w:space="0" w:color="auto"/>
              <w:left w:val="single" w:sz="4" w:space="0" w:color="auto"/>
              <w:bottom w:val="single" w:sz="4" w:space="0" w:color="auto"/>
              <w:right w:val="single" w:sz="18" w:space="0" w:color="auto"/>
            </w:tcBorders>
            <w:hideMark/>
          </w:tcPr>
          <w:p w14:paraId="6CF97508" w14:textId="77777777" w:rsidR="003B49C4" w:rsidRDefault="003B49C4">
            <w:pPr>
              <w:suppressAutoHyphens/>
              <w:jc w:val="center"/>
              <w:rPr>
                <w:kern w:val="16"/>
              </w:rPr>
            </w:pPr>
            <w:r>
              <w:t>$150</w:t>
            </w:r>
          </w:p>
        </w:tc>
        <w:tc>
          <w:tcPr>
            <w:tcW w:w="1150" w:type="dxa"/>
            <w:tcBorders>
              <w:top w:val="single" w:sz="6" w:space="0" w:color="auto"/>
              <w:left w:val="single" w:sz="18" w:space="0" w:color="auto"/>
              <w:bottom w:val="single" w:sz="6" w:space="0" w:color="auto"/>
              <w:right w:val="single" w:sz="18" w:space="0" w:color="auto"/>
            </w:tcBorders>
            <w:hideMark/>
          </w:tcPr>
          <w:p w14:paraId="390B9E61" w14:textId="77777777" w:rsidR="003B49C4" w:rsidRDefault="003B49C4">
            <w:pPr>
              <w:suppressAutoHyphens/>
              <w:jc w:val="center"/>
              <w:rPr>
                <w:kern w:val="16"/>
              </w:rPr>
            </w:pPr>
            <w:r>
              <w:t>$2,325</w:t>
            </w:r>
          </w:p>
        </w:tc>
      </w:tr>
      <w:tr w:rsidR="003B49C4" w14:paraId="035C0A27"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45208E70" w14:textId="77777777" w:rsidR="003B49C4" w:rsidRDefault="003B49C4">
            <w:pPr>
              <w:suppressAutoHyphens/>
              <w:jc w:val="center"/>
              <w:rPr>
                <w:kern w:val="16"/>
              </w:rPr>
            </w:pPr>
            <w:r>
              <w:t>G</w:t>
            </w:r>
            <w:r>
              <w:rPr>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14:paraId="0D052F3D" w14:textId="77777777" w:rsidR="003B49C4" w:rsidRDefault="003B49C4">
            <w:pPr>
              <w:suppressAutoHyphens/>
              <w:jc w:val="center"/>
              <w:rPr>
                <w:kern w:val="16"/>
              </w:rPr>
            </w:pPr>
            <w:r>
              <w:t>$3,000</w:t>
            </w:r>
          </w:p>
        </w:tc>
        <w:tc>
          <w:tcPr>
            <w:tcW w:w="1443" w:type="dxa"/>
            <w:tcBorders>
              <w:top w:val="single" w:sz="4" w:space="0" w:color="auto"/>
              <w:left w:val="single" w:sz="4" w:space="0" w:color="auto"/>
              <w:bottom w:val="single" w:sz="4" w:space="0" w:color="auto"/>
              <w:right w:val="single" w:sz="18" w:space="0" w:color="auto"/>
            </w:tcBorders>
            <w:hideMark/>
          </w:tcPr>
          <w:p w14:paraId="1AF1F4C1" w14:textId="77777777" w:rsidR="003B49C4" w:rsidRDefault="003B49C4">
            <w:pPr>
              <w:suppressAutoHyphens/>
              <w:jc w:val="center"/>
              <w:rPr>
                <w:kern w:val="16"/>
              </w:rPr>
            </w:pPr>
            <w:r>
              <w:t>$300</w:t>
            </w:r>
          </w:p>
        </w:tc>
        <w:tc>
          <w:tcPr>
            <w:tcW w:w="1416" w:type="dxa"/>
            <w:tcBorders>
              <w:top w:val="single" w:sz="6" w:space="0" w:color="auto"/>
              <w:left w:val="single" w:sz="18" w:space="0" w:color="auto"/>
              <w:bottom w:val="single" w:sz="6" w:space="0" w:color="auto"/>
              <w:right w:val="single" w:sz="18" w:space="0" w:color="auto"/>
            </w:tcBorders>
            <w:hideMark/>
          </w:tcPr>
          <w:p w14:paraId="4F474F6D" w14:textId="77777777" w:rsidR="003B49C4" w:rsidRDefault="003B49C4">
            <w:pPr>
              <w:suppressAutoHyphens/>
              <w:jc w:val="center"/>
              <w:rPr>
                <w:kern w:val="16"/>
              </w:rPr>
            </w:pPr>
            <w:r>
              <w:t>$3,300</w:t>
            </w:r>
          </w:p>
        </w:tc>
        <w:tc>
          <w:tcPr>
            <w:tcW w:w="1123" w:type="dxa"/>
            <w:tcBorders>
              <w:top w:val="single" w:sz="4" w:space="0" w:color="auto"/>
              <w:left w:val="single" w:sz="18" w:space="0" w:color="auto"/>
              <w:bottom w:val="single" w:sz="4" w:space="0" w:color="auto"/>
              <w:right w:val="single" w:sz="4" w:space="0" w:color="auto"/>
            </w:tcBorders>
            <w:hideMark/>
          </w:tcPr>
          <w:p w14:paraId="7DBEF517" w14:textId="77777777" w:rsidR="003B49C4" w:rsidRDefault="003B49C4">
            <w:pPr>
              <w:suppressAutoHyphens/>
              <w:jc w:val="center"/>
              <w:rPr>
                <w:kern w:val="16"/>
              </w:rPr>
            </w:pPr>
            <w:r>
              <w:t>$2,900</w:t>
            </w:r>
          </w:p>
        </w:tc>
        <w:tc>
          <w:tcPr>
            <w:tcW w:w="1443" w:type="dxa"/>
            <w:tcBorders>
              <w:top w:val="single" w:sz="4" w:space="0" w:color="auto"/>
              <w:left w:val="single" w:sz="4" w:space="0" w:color="auto"/>
              <w:bottom w:val="single" w:sz="4" w:space="0" w:color="auto"/>
              <w:right w:val="single" w:sz="18" w:space="0" w:color="auto"/>
            </w:tcBorders>
            <w:hideMark/>
          </w:tcPr>
          <w:p w14:paraId="21CD7429" w14:textId="77777777" w:rsidR="003B49C4" w:rsidRDefault="003B49C4">
            <w:pPr>
              <w:suppressAutoHyphens/>
              <w:jc w:val="center"/>
              <w:rPr>
                <w:kern w:val="16"/>
              </w:rPr>
            </w:pPr>
            <w:r>
              <w:t>$600</w:t>
            </w:r>
          </w:p>
        </w:tc>
        <w:tc>
          <w:tcPr>
            <w:tcW w:w="1150" w:type="dxa"/>
            <w:tcBorders>
              <w:top w:val="single" w:sz="6" w:space="0" w:color="auto"/>
              <w:left w:val="single" w:sz="18" w:space="0" w:color="auto"/>
              <w:bottom w:val="single" w:sz="6" w:space="0" w:color="auto"/>
              <w:right w:val="single" w:sz="18" w:space="0" w:color="auto"/>
            </w:tcBorders>
            <w:hideMark/>
          </w:tcPr>
          <w:p w14:paraId="61EE05A9" w14:textId="77777777" w:rsidR="003B49C4" w:rsidRDefault="003B49C4">
            <w:pPr>
              <w:suppressAutoHyphens/>
              <w:jc w:val="center"/>
              <w:rPr>
                <w:kern w:val="16"/>
              </w:rPr>
            </w:pPr>
            <w:r>
              <w:t>$3,500</w:t>
            </w:r>
          </w:p>
        </w:tc>
      </w:tr>
      <w:tr w:rsidR="003B49C4" w14:paraId="71F70203"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7CFE20E7" w14:textId="77777777" w:rsidR="003B49C4" w:rsidRDefault="003B49C4">
            <w:pPr>
              <w:suppressAutoHyphens/>
              <w:jc w:val="center"/>
              <w:rPr>
                <w:kern w:val="16"/>
                <w:vertAlign w:val="subscript"/>
              </w:rPr>
            </w:pPr>
            <w:r>
              <w:t>L</w:t>
            </w:r>
            <w:r>
              <w:rPr>
                <w:vertAlign w:val="subscript"/>
              </w:rPr>
              <w:t>1</w:t>
            </w:r>
          </w:p>
        </w:tc>
        <w:tc>
          <w:tcPr>
            <w:tcW w:w="0" w:type="auto"/>
            <w:tcBorders>
              <w:top w:val="single" w:sz="4" w:space="0" w:color="auto"/>
              <w:left w:val="single" w:sz="4" w:space="0" w:color="auto"/>
              <w:bottom w:val="single" w:sz="4" w:space="0" w:color="auto"/>
              <w:right w:val="single" w:sz="4" w:space="0" w:color="auto"/>
            </w:tcBorders>
          </w:tcPr>
          <w:p w14:paraId="3C413A99"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2D71E303"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tcPr>
          <w:p w14:paraId="051EC55B"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0885F0AE" w14:textId="77777777" w:rsidR="003B49C4" w:rsidRDefault="003B49C4">
            <w:pPr>
              <w:suppressAutoHyphens/>
              <w:jc w:val="center"/>
              <w:rPr>
                <w:kern w:val="16"/>
              </w:rPr>
            </w:pPr>
            <w:r>
              <w:t>–$7,000</w:t>
            </w:r>
          </w:p>
        </w:tc>
        <w:tc>
          <w:tcPr>
            <w:tcW w:w="1443" w:type="dxa"/>
            <w:tcBorders>
              <w:top w:val="single" w:sz="4" w:space="0" w:color="auto"/>
              <w:left w:val="single" w:sz="4" w:space="0" w:color="auto"/>
              <w:bottom w:val="single" w:sz="4" w:space="0" w:color="auto"/>
              <w:right w:val="single" w:sz="18" w:space="0" w:color="auto"/>
            </w:tcBorders>
          </w:tcPr>
          <w:p w14:paraId="156EF4AB"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tcPr>
          <w:p w14:paraId="5CACF31A" w14:textId="77777777" w:rsidR="003B49C4" w:rsidRDefault="003B49C4">
            <w:pPr>
              <w:suppressAutoHyphens/>
              <w:jc w:val="center"/>
              <w:rPr>
                <w:kern w:val="16"/>
              </w:rPr>
            </w:pPr>
          </w:p>
        </w:tc>
      </w:tr>
      <w:tr w:rsidR="003B49C4" w14:paraId="1FCBF5F6"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2C151791" w14:textId="77777777" w:rsidR="003B49C4" w:rsidRDefault="003B49C4">
            <w:pPr>
              <w:suppressAutoHyphens/>
              <w:jc w:val="center"/>
              <w:rPr>
                <w:kern w:val="16"/>
                <w:vertAlign w:val="subscript"/>
              </w:rPr>
            </w:pPr>
            <w:r>
              <w:t>L</w:t>
            </w:r>
            <w:r>
              <w:rPr>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4035CD7F"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6B196756"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tcPr>
          <w:p w14:paraId="489E4527"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7ACFCD32" w14:textId="77777777" w:rsidR="003B49C4" w:rsidRDefault="003B49C4">
            <w:pPr>
              <w:suppressAutoHyphens/>
              <w:jc w:val="center"/>
              <w:rPr>
                <w:kern w:val="16"/>
              </w:rPr>
            </w:pPr>
            <w:r>
              <w:t>–$1,450</w:t>
            </w:r>
          </w:p>
        </w:tc>
        <w:tc>
          <w:tcPr>
            <w:tcW w:w="1443" w:type="dxa"/>
            <w:tcBorders>
              <w:top w:val="single" w:sz="4" w:space="0" w:color="auto"/>
              <w:left w:val="single" w:sz="4" w:space="0" w:color="auto"/>
              <w:bottom w:val="single" w:sz="4" w:space="0" w:color="auto"/>
              <w:right w:val="single" w:sz="18" w:space="0" w:color="auto"/>
            </w:tcBorders>
          </w:tcPr>
          <w:p w14:paraId="10FFE3D0"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tcPr>
          <w:p w14:paraId="43D364B9" w14:textId="77777777" w:rsidR="003B49C4" w:rsidRDefault="003B49C4">
            <w:pPr>
              <w:suppressAutoHyphens/>
              <w:jc w:val="center"/>
              <w:rPr>
                <w:kern w:val="16"/>
              </w:rPr>
            </w:pPr>
          </w:p>
        </w:tc>
      </w:tr>
      <w:tr w:rsidR="003B49C4" w14:paraId="2F9BD4BE"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6EA78F4B" w14:textId="77777777" w:rsidR="003B49C4" w:rsidRDefault="003B49C4">
            <w:pPr>
              <w:suppressAutoHyphens/>
              <w:jc w:val="center"/>
              <w:rPr>
                <w:kern w:val="16"/>
              </w:rPr>
            </w:pPr>
            <w:r>
              <w:t>Congestion</w:t>
            </w:r>
            <w:r>
              <w:br/>
              <w:t>Revenue</w:t>
            </w:r>
          </w:p>
        </w:tc>
        <w:tc>
          <w:tcPr>
            <w:tcW w:w="0" w:type="auto"/>
            <w:tcBorders>
              <w:top w:val="single" w:sz="4" w:space="0" w:color="auto"/>
              <w:left w:val="single" w:sz="4" w:space="0" w:color="auto"/>
              <w:bottom w:val="single" w:sz="4" w:space="0" w:color="auto"/>
              <w:right w:val="single" w:sz="4" w:space="0" w:color="auto"/>
            </w:tcBorders>
          </w:tcPr>
          <w:p w14:paraId="2D31218A"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50E0772F" w14:textId="77777777" w:rsidR="003B49C4" w:rsidRDefault="003B49C4">
            <w:pPr>
              <w:suppressAutoHyphens/>
              <w:jc w:val="center"/>
              <w:rPr>
                <w:kern w:val="16"/>
              </w:rPr>
            </w:pPr>
          </w:p>
        </w:tc>
        <w:tc>
          <w:tcPr>
            <w:tcW w:w="1416" w:type="dxa"/>
            <w:tcBorders>
              <w:top w:val="single" w:sz="6" w:space="0" w:color="auto"/>
              <w:left w:val="single" w:sz="18" w:space="0" w:color="auto"/>
              <w:bottom w:val="single" w:sz="6" w:space="0" w:color="auto"/>
              <w:right w:val="single" w:sz="18" w:space="0" w:color="auto"/>
            </w:tcBorders>
          </w:tcPr>
          <w:p w14:paraId="4E492DED"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873AD7E" w14:textId="77777777" w:rsidR="003B49C4" w:rsidRDefault="003B49C4">
            <w:pPr>
              <w:suppressAutoHyphens/>
              <w:jc w:val="center"/>
              <w:rPr>
                <w:kern w:val="16"/>
              </w:rPr>
            </w:pPr>
            <w:r>
              <w:t>$0</w:t>
            </w:r>
          </w:p>
        </w:tc>
        <w:tc>
          <w:tcPr>
            <w:tcW w:w="1443" w:type="dxa"/>
            <w:tcBorders>
              <w:top w:val="single" w:sz="4" w:space="0" w:color="auto"/>
              <w:left w:val="single" w:sz="4" w:space="0" w:color="auto"/>
              <w:bottom w:val="single" w:sz="4" w:space="0" w:color="auto"/>
              <w:right w:val="single" w:sz="18" w:space="0" w:color="auto"/>
            </w:tcBorders>
          </w:tcPr>
          <w:p w14:paraId="38D3B728" w14:textId="77777777" w:rsidR="003B49C4" w:rsidRDefault="003B49C4">
            <w:pPr>
              <w:suppressAutoHyphens/>
              <w:jc w:val="center"/>
              <w:rPr>
                <w:kern w:val="16"/>
              </w:rPr>
            </w:pPr>
          </w:p>
        </w:tc>
        <w:tc>
          <w:tcPr>
            <w:tcW w:w="1150" w:type="dxa"/>
            <w:tcBorders>
              <w:top w:val="single" w:sz="6" w:space="0" w:color="auto"/>
              <w:left w:val="single" w:sz="18" w:space="0" w:color="auto"/>
              <w:bottom w:val="single" w:sz="6" w:space="0" w:color="auto"/>
              <w:right w:val="single" w:sz="18" w:space="0" w:color="auto"/>
            </w:tcBorders>
          </w:tcPr>
          <w:p w14:paraId="2D264117" w14:textId="77777777" w:rsidR="003B49C4" w:rsidRDefault="003B49C4">
            <w:pPr>
              <w:suppressAutoHyphens/>
              <w:jc w:val="center"/>
              <w:rPr>
                <w:kern w:val="16"/>
              </w:rPr>
            </w:pPr>
          </w:p>
        </w:tc>
      </w:tr>
      <w:tr w:rsidR="003B49C4" w14:paraId="112B8E11" w14:textId="77777777" w:rsidTr="003B49C4">
        <w:trPr>
          <w:jc w:val="center"/>
        </w:trPr>
        <w:tc>
          <w:tcPr>
            <w:tcW w:w="0" w:type="auto"/>
            <w:tcBorders>
              <w:top w:val="single" w:sz="4" w:space="0" w:color="auto"/>
              <w:left w:val="single" w:sz="4" w:space="0" w:color="auto"/>
              <w:bottom w:val="single" w:sz="4" w:space="0" w:color="auto"/>
              <w:right w:val="single" w:sz="4" w:space="0" w:color="auto"/>
            </w:tcBorders>
            <w:hideMark/>
          </w:tcPr>
          <w:p w14:paraId="083D3825" w14:textId="77777777" w:rsidR="003B49C4" w:rsidRDefault="003B49C4">
            <w:pPr>
              <w:suppressAutoHyphens/>
              <w:jc w:val="center"/>
              <w:rPr>
                <w:kern w:val="16"/>
              </w:rPr>
            </w:pPr>
            <w:r>
              <w:t>GHG Compliance</w:t>
            </w:r>
            <w:r>
              <w:br/>
              <w:t>Revenue</w:t>
            </w:r>
          </w:p>
        </w:tc>
        <w:tc>
          <w:tcPr>
            <w:tcW w:w="0" w:type="auto"/>
            <w:tcBorders>
              <w:top w:val="single" w:sz="4" w:space="0" w:color="auto"/>
              <w:left w:val="single" w:sz="4" w:space="0" w:color="auto"/>
              <w:bottom w:val="single" w:sz="4" w:space="0" w:color="auto"/>
              <w:right w:val="single" w:sz="4" w:space="0" w:color="auto"/>
            </w:tcBorders>
          </w:tcPr>
          <w:p w14:paraId="2F9FA2FB" w14:textId="77777777" w:rsidR="003B49C4" w:rsidRDefault="003B49C4">
            <w:pPr>
              <w:suppressAutoHyphens/>
              <w:jc w:val="center"/>
              <w:rPr>
                <w:kern w:val="16"/>
              </w:rPr>
            </w:pPr>
          </w:p>
        </w:tc>
        <w:tc>
          <w:tcPr>
            <w:tcW w:w="1443" w:type="dxa"/>
            <w:tcBorders>
              <w:top w:val="single" w:sz="4" w:space="0" w:color="auto"/>
              <w:left w:val="single" w:sz="4" w:space="0" w:color="auto"/>
              <w:bottom w:val="single" w:sz="4" w:space="0" w:color="auto"/>
              <w:right w:val="single" w:sz="18" w:space="0" w:color="auto"/>
            </w:tcBorders>
          </w:tcPr>
          <w:p w14:paraId="1A3C5239" w14:textId="77777777" w:rsidR="003B49C4" w:rsidRDefault="003B49C4">
            <w:pPr>
              <w:suppressAutoHyphens/>
              <w:jc w:val="center"/>
              <w:rPr>
                <w:kern w:val="16"/>
              </w:rPr>
            </w:pPr>
          </w:p>
        </w:tc>
        <w:tc>
          <w:tcPr>
            <w:tcW w:w="1416" w:type="dxa"/>
            <w:tcBorders>
              <w:top w:val="single" w:sz="6" w:space="0" w:color="auto"/>
              <w:left w:val="single" w:sz="18" w:space="0" w:color="auto"/>
              <w:bottom w:val="single" w:sz="18" w:space="0" w:color="auto"/>
              <w:right w:val="single" w:sz="18" w:space="0" w:color="auto"/>
            </w:tcBorders>
          </w:tcPr>
          <w:p w14:paraId="172B22C9" w14:textId="77777777" w:rsidR="003B49C4" w:rsidRDefault="003B49C4">
            <w:pPr>
              <w:suppressAutoHyphens/>
              <w:jc w:val="center"/>
              <w:rPr>
                <w:kern w:val="16"/>
              </w:rPr>
            </w:pPr>
          </w:p>
        </w:tc>
        <w:tc>
          <w:tcPr>
            <w:tcW w:w="1123" w:type="dxa"/>
            <w:tcBorders>
              <w:top w:val="single" w:sz="4" w:space="0" w:color="auto"/>
              <w:left w:val="single" w:sz="18" w:space="0" w:color="auto"/>
              <w:bottom w:val="single" w:sz="4" w:space="0" w:color="auto"/>
              <w:right w:val="single" w:sz="4" w:space="0" w:color="auto"/>
            </w:tcBorders>
            <w:hideMark/>
          </w:tcPr>
          <w:p w14:paraId="6CE236D5" w14:textId="77777777" w:rsidR="003B49C4" w:rsidRDefault="003B49C4">
            <w:pPr>
              <w:suppressAutoHyphens/>
              <w:jc w:val="center"/>
              <w:rPr>
                <w:kern w:val="16"/>
              </w:rPr>
            </w:pPr>
            <w:r>
              <w:t>$1,200</w:t>
            </w:r>
          </w:p>
        </w:tc>
        <w:tc>
          <w:tcPr>
            <w:tcW w:w="1443" w:type="dxa"/>
            <w:tcBorders>
              <w:top w:val="single" w:sz="4" w:space="0" w:color="auto"/>
              <w:left w:val="single" w:sz="4" w:space="0" w:color="auto"/>
              <w:bottom w:val="single" w:sz="4" w:space="0" w:color="auto"/>
              <w:right w:val="single" w:sz="18" w:space="0" w:color="auto"/>
            </w:tcBorders>
          </w:tcPr>
          <w:p w14:paraId="3D5E83F6" w14:textId="77777777" w:rsidR="003B49C4" w:rsidRDefault="003B49C4">
            <w:pPr>
              <w:suppressAutoHyphens/>
              <w:jc w:val="center"/>
              <w:rPr>
                <w:kern w:val="16"/>
              </w:rPr>
            </w:pPr>
          </w:p>
        </w:tc>
        <w:tc>
          <w:tcPr>
            <w:tcW w:w="1150" w:type="dxa"/>
            <w:tcBorders>
              <w:top w:val="single" w:sz="6" w:space="0" w:color="auto"/>
              <w:left w:val="single" w:sz="18" w:space="0" w:color="auto"/>
              <w:bottom w:val="single" w:sz="18" w:space="0" w:color="auto"/>
              <w:right w:val="single" w:sz="18" w:space="0" w:color="auto"/>
            </w:tcBorders>
          </w:tcPr>
          <w:p w14:paraId="6DF9547F" w14:textId="77777777" w:rsidR="003B49C4" w:rsidRDefault="003B49C4">
            <w:pPr>
              <w:suppressAutoHyphens/>
              <w:jc w:val="center"/>
              <w:rPr>
                <w:kern w:val="16"/>
              </w:rPr>
            </w:pPr>
          </w:p>
        </w:tc>
      </w:tr>
    </w:tbl>
    <w:p w14:paraId="4EF5D474" w14:textId="77777777" w:rsidR="00970A1B" w:rsidRDefault="00970A1B" w:rsidP="000F299B">
      <w:pPr>
        <w:pStyle w:val="Paragraph"/>
        <w:spacing w:before="0" w:after="240" w:line="300" w:lineRule="auto"/>
        <w:rPr>
          <w:rFonts w:ascii="Arial" w:hAnsi="Arial" w:cs="Arial"/>
        </w:rPr>
      </w:pPr>
    </w:p>
    <w:p w14:paraId="47E43B69" w14:textId="77777777" w:rsidR="001E7023" w:rsidRDefault="003B49C4" w:rsidP="00877DDB">
      <w:pPr>
        <w:pStyle w:val="BPM"/>
      </w:pPr>
      <w:r w:rsidRPr="000F299B">
        <w:t xml:space="preserve">It can be seen in the settlement results above that the total payment to each generator is sufficient to cover the respective energy and GHG compliance costs. Furthermore, all export </w:t>
      </w:r>
      <w:r w:rsidRPr="000F299B">
        <w:lastRenderedPageBreak/>
        <w:t>allocations receive the marginal GHG compliance cost irrespective of the resource’s GHG compliance bid.</w:t>
      </w:r>
    </w:p>
    <w:p w14:paraId="19C7F9BF" w14:textId="49E04CBD" w:rsidR="00BD15CD" w:rsidRDefault="00BD15CD" w:rsidP="00A43B57">
      <w:pPr>
        <w:pStyle w:val="BPM3"/>
      </w:pPr>
      <w:r>
        <w:t xml:space="preserve">Impact </w:t>
      </w:r>
      <w:r w:rsidR="00711B49">
        <w:t>of</w:t>
      </w:r>
      <w:r w:rsidR="005F24C1">
        <w:t xml:space="preserve"> WEIM </w:t>
      </w:r>
      <w:r>
        <w:t>Transfer Cost</w:t>
      </w:r>
      <w:r w:rsidR="00711B49">
        <w:t xml:space="preserve"> on LMPs</w:t>
      </w:r>
    </w:p>
    <w:p w14:paraId="27C4DC9F" w14:textId="4B5E8DD8" w:rsidR="00211D91" w:rsidRDefault="00417BDC" w:rsidP="00877DDB">
      <w:pPr>
        <w:pStyle w:val="BPM"/>
      </w:pPr>
      <w:r>
        <w:t>The impact of</w:t>
      </w:r>
      <w:r w:rsidR="005F24C1">
        <w:t xml:space="preserve"> WEIM </w:t>
      </w:r>
      <w:r>
        <w:t xml:space="preserve">Transfer Cost on LMPs </w:t>
      </w:r>
      <w:r w:rsidR="00B96223">
        <w:t>is</w:t>
      </w:r>
      <w:r>
        <w:t xml:space="preserve"> </w:t>
      </w:r>
      <w:r w:rsidR="00A43B57">
        <w:rPr>
          <w:i/>
        </w:rPr>
        <w:t>de minimus</w:t>
      </w:r>
      <w:r>
        <w:rPr>
          <w:rFonts w:cs="Arial"/>
          <w:color w:val="222222"/>
          <w:shd w:val="clear" w:color="auto" w:fill="FFFFFF"/>
        </w:rPr>
        <w:t xml:space="preserve"> since the maximum of</w:t>
      </w:r>
      <w:r w:rsidR="005F24C1">
        <w:rPr>
          <w:rFonts w:cs="Arial"/>
          <w:color w:val="222222"/>
          <w:shd w:val="clear" w:color="auto" w:fill="FFFFFF"/>
        </w:rPr>
        <w:t xml:space="preserve"> WEIM </w:t>
      </w:r>
      <w:r>
        <w:rPr>
          <w:rFonts w:cs="Arial"/>
          <w:color w:val="222222"/>
          <w:shd w:val="clear" w:color="auto" w:fill="FFFFFF"/>
        </w:rPr>
        <w:t>Tr</w:t>
      </w:r>
      <w:r w:rsidR="00BD0A9B">
        <w:rPr>
          <w:rFonts w:cs="Arial"/>
          <w:color w:val="222222"/>
          <w:shd w:val="clear" w:color="auto" w:fill="FFFFFF"/>
        </w:rPr>
        <w:t xml:space="preserve">ansfer </w:t>
      </w:r>
      <w:r w:rsidR="00B96223">
        <w:rPr>
          <w:rFonts w:cs="Arial"/>
          <w:color w:val="222222"/>
          <w:shd w:val="clear" w:color="auto" w:fill="FFFFFF"/>
        </w:rPr>
        <w:t>schedule c</w:t>
      </w:r>
      <w:r w:rsidR="00BD0A9B">
        <w:rPr>
          <w:rFonts w:cs="Arial"/>
          <w:color w:val="222222"/>
          <w:shd w:val="clear" w:color="auto" w:fill="FFFFFF"/>
        </w:rPr>
        <w:t xml:space="preserve">ost is </w:t>
      </w:r>
      <w:r w:rsidR="00B96223">
        <w:rPr>
          <w:rFonts w:cs="Arial"/>
          <w:color w:val="222222"/>
          <w:shd w:val="clear" w:color="auto" w:fill="FFFFFF"/>
        </w:rPr>
        <w:t>less than</w:t>
      </w:r>
      <w:r w:rsidR="00BD0A9B">
        <w:rPr>
          <w:rFonts w:cs="Arial"/>
          <w:color w:val="222222"/>
          <w:shd w:val="clear" w:color="auto" w:fill="FFFFFF"/>
        </w:rPr>
        <w:t xml:space="preserve"> $0.01</w:t>
      </w:r>
      <w:r>
        <w:rPr>
          <w:rFonts w:cs="Arial"/>
          <w:color w:val="222222"/>
          <w:shd w:val="clear" w:color="auto" w:fill="FFFFFF"/>
        </w:rPr>
        <w:t>. Thus t</w:t>
      </w:r>
      <w:r w:rsidR="00BD15CD" w:rsidRPr="004B4158">
        <w:t xml:space="preserve">he transfer cost will </w:t>
      </w:r>
      <w:r w:rsidR="00B96223">
        <w:t xml:space="preserve">be included in the Marginal Cost of Congestion and </w:t>
      </w:r>
      <w:r w:rsidR="00BD15CD" w:rsidRPr="004B4158">
        <w:t>not explicitly settled</w:t>
      </w:r>
      <w:r>
        <w:t>.</w:t>
      </w:r>
    </w:p>
    <w:p w14:paraId="4A5CD3ED" w14:textId="77777777" w:rsidR="00B47D9D" w:rsidRDefault="00B47D9D" w:rsidP="00B47D9D">
      <w:pPr>
        <w:pStyle w:val="BPM3"/>
      </w:pPr>
      <w:r w:rsidRPr="00684F4A">
        <w:t>Marginal Cost of Congestion (MCC</w:t>
      </w:r>
      <w:r>
        <w:t xml:space="preserve"> )</w:t>
      </w:r>
    </w:p>
    <w:p w14:paraId="663B0BE7" w14:textId="77777777" w:rsidR="00B47D9D" w:rsidRDefault="00B47D9D" w:rsidP="00B47D9D">
      <w:pPr>
        <w:rPr>
          <w:b/>
        </w:rPr>
      </w:pPr>
    </w:p>
    <w:p w14:paraId="02449C4D" w14:textId="5D1AD8A1" w:rsidR="00B47D9D" w:rsidRDefault="00B47D9D" w:rsidP="00B47D9D">
      <w:r>
        <w:t>MCC is the component of the Locational Marginal Price that reflects the sensitivity of relieving congestion by increasing supply at the location balanced by an equal increase in demand at the reference bus. The impact of the</w:t>
      </w:r>
      <w:r w:rsidR="005F24C1">
        <w:t xml:space="preserve"> WEIM </w:t>
      </w:r>
      <w:r>
        <w:t xml:space="preserve">Transfer Cost on the LMP will be included in the MCC calculation to help address the issues concerning allocation of congestion revenues at interties. </w:t>
      </w:r>
    </w:p>
    <w:p w14:paraId="1D2CE15C" w14:textId="77777777" w:rsidR="00B47D9D" w:rsidRDefault="00B47D9D" w:rsidP="00B47D9D"/>
    <w:p w14:paraId="5DCE406B" w14:textId="77777777" w:rsidR="00B47D9D" w:rsidRDefault="00B47D9D" w:rsidP="00B47D9D">
      <w:r>
        <w:t>Notation:</w:t>
      </w:r>
    </w:p>
    <w:p w14:paraId="4C8A29FA" w14:textId="76F3F85C" w:rsidR="00B47D9D" w:rsidRDefault="00B47D9D" w:rsidP="00B47D9D">
      <w:pPr>
        <w:pStyle w:val="Paragraph"/>
      </w:pPr>
      <w:r>
        <w:t xml:space="preserve">The following notation is used in this </w:t>
      </w:r>
      <w:r w:rsidR="001545F7">
        <w:t>section</w:t>
      </w:r>
      <w:r>
        <w:t>:</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9810"/>
      </w:tblGrid>
      <w:tr w:rsidR="00B47D9D" w14:paraId="23EA7CFA" w14:textId="77777777" w:rsidTr="005D0E24">
        <w:trPr>
          <w:cantSplit/>
        </w:trPr>
        <w:tc>
          <w:tcPr>
            <w:tcW w:w="900" w:type="dxa"/>
          </w:tcPr>
          <w:p w14:paraId="6B79453E" w14:textId="77777777" w:rsidR="00B47D9D" w:rsidRPr="00267D96" w:rsidRDefault="00B47D9D" w:rsidP="005D0E24">
            <w:pPr>
              <w:pStyle w:val="Paragraph"/>
              <w:spacing w:before="0" w:line="240" w:lineRule="auto"/>
              <w:jc w:val="left"/>
              <w:rPr>
                <w:i/>
              </w:rPr>
            </w:pPr>
            <w:r w:rsidRPr="00267D96">
              <w:rPr>
                <w:i/>
              </w:rPr>
              <w:t>i</w:t>
            </w:r>
          </w:p>
        </w:tc>
        <w:tc>
          <w:tcPr>
            <w:tcW w:w="9810" w:type="dxa"/>
          </w:tcPr>
          <w:p w14:paraId="26624B2B" w14:textId="77777777" w:rsidR="00B47D9D" w:rsidRDefault="00B47D9D" w:rsidP="005D0E24">
            <w:pPr>
              <w:pStyle w:val="Paragraph"/>
              <w:spacing w:before="0" w:line="240" w:lineRule="auto"/>
              <w:jc w:val="left"/>
            </w:pPr>
            <w:r>
              <w:t>Node index.</w:t>
            </w:r>
          </w:p>
        </w:tc>
      </w:tr>
      <w:tr w:rsidR="00B47D9D" w14:paraId="1B87BB7C" w14:textId="77777777" w:rsidTr="005D0E24">
        <w:trPr>
          <w:cantSplit/>
        </w:trPr>
        <w:tc>
          <w:tcPr>
            <w:tcW w:w="900" w:type="dxa"/>
          </w:tcPr>
          <w:p w14:paraId="75C939D1" w14:textId="77777777" w:rsidR="00B47D9D" w:rsidRPr="00267D96" w:rsidRDefault="00B47D9D" w:rsidP="005D0E24">
            <w:pPr>
              <w:pStyle w:val="Paragraph"/>
              <w:spacing w:before="0" w:line="240" w:lineRule="auto"/>
              <w:jc w:val="left"/>
              <w:rPr>
                <w:i/>
              </w:rPr>
            </w:pPr>
            <w:r w:rsidRPr="00267D96">
              <w:rPr>
                <w:i/>
              </w:rPr>
              <w:t>j, k</w:t>
            </w:r>
            <w:r>
              <w:rPr>
                <w:i/>
              </w:rPr>
              <w:t>, r</w:t>
            </w:r>
          </w:p>
        </w:tc>
        <w:tc>
          <w:tcPr>
            <w:tcW w:w="9810" w:type="dxa"/>
          </w:tcPr>
          <w:p w14:paraId="43BBED34" w14:textId="77777777" w:rsidR="00B47D9D" w:rsidRDefault="00B47D9D" w:rsidP="005D0E24">
            <w:pPr>
              <w:pStyle w:val="Paragraph"/>
              <w:spacing w:before="0" w:line="240" w:lineRule="auto"/>
              <w:jc w:val="left"/>
            </w:pPr>
            <w:r>
              <w:t>BAA indexes; zero (0) is used for CISO.</w:t>
            </w:r>
          </w:p>
        </w:tc>
      </w:tr>
      <w:tr w:rsidR="00B47D9D" w14:paraId="2E3DA22C" w14:textId="77777777" w:rsidTr="005D0E24">
        <w:trPr>
          <w:cantSplit/>
        </w:trPr>
        <w:tc>
          <w:tcPr>
            <w:tcW w:w="900" w:type="dxa"/>
          </w:tcPr>
          <w:p w14:paraId="4130447C" w14:textId="77777777" w:rsidR="00B47D9D" w:rsidRPr="00267D96" w:rsidRDefault="00B47D9D" w:rsidP="005D0E24">
            <w:pPr>
              <w:pStyle w:val="Paragraph"/>
              <w:spacing w:before="0" w:line="240" w:lineRule="auto"/>
              <w:jc w:val="left"/>
              <w:rPr>
                <w:i/>
              </w:rPr>
            </w:pPr>
            <w:r w:rsidRPr="00267D96">
              <w:rPr>
                <w:i/>
              </w:rPr>
              <w:t>l</w:t>
            </w:r>
          </w:p>
        </w:tc>
        <w:tc>
          <w:tcPr>
            <w:tcW w:w="9810" w:type="dxa"/>
          </w:tcPr>
          <w:p w14:paraId="73C02AFA" w14:textId="0B51CE1C" w:rsidR="00B47D9D" w:rsidRDefault="00B47D9D" w:rsidP="005D0E24">
            <w:pPr>
              <w:pStyle w:val="Paragraph"/>
              <w:spacing w:before="0" w:line="240" w:lineRule="auto"/>
              <w:jc w:val="left"/>
            </w:pPr>
            <w:r>
              <w:t>Intertie or Energy Transfer schedule index; in the latter case, it is the corresponding ETSR index (ETSR pair for Energy Transfers between BAAs in the</w:t>
            </w:r>
            <w:r w:rsidR="005F24C1">
              <w:t xml:space="preserve"> WEIM </w:t>
            </w:r>
            <w:r>
              <w:t>Area).</w:t>
            </w:r>
          </w:p>
        </w:tc>
      </w:tr>
    </w:tbl>
    <w:tbl>
      <w:tblPr>
        <w:tblStyle w:val="TableGrid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9876"/>
      </w:tblGrid>
      <w:tr w:rsidR="00B47D9D" w14:paraId="2C81CEA8" w14:textId="77777777" w:rsidTr="00024366">
        <w:trPr>
          <w:cantSplit/>
        </w:trPr>
        <w:tc>
          <w:tcPr>
            <w:tcW w:w="0" w:type="auto"/>
          </w:tcPr>
          <w:p w14:paraId="0D833473" w14:textId="77777777" w:rsidR="00B47D9D" w:rsidRPr="00267D96" w:rsidRDefault="00B47D9D" w:rsidP="005D0E24">
            <w:pPr>
              <w:pStyle w:val="Paragraph"/>
              <w:spacing w:before="0" w:line="240" w:lineRule="auto"/>
              <w:rPr>
                <w:i/>
              </w:rPr>
            </w:pPr>
            <w:r w:rsidRPr="00267D96">
              <w:rPr>
                <w:i/>
              </w:rPr>
              <w:t>m</w:t>
            </w:r>
          </w:p>
        </w:tc>
        <w:tc>
          <w:tcPr>
            <w:tcW w:w="0" w:type="auto"/>
          </w:tcPr>
          <w:p w14:paraId="7D7FD7AC" w14:textId="77777777" w:rsidR="00B47D9D" w:rsidRDefault="00B47D9D" w:rsidP="005D0E24">
            <w:pPr>
              <w:pStyle w:val="Paragraph"/>
              <w:spacing w:before="0" w:line="240" w:lineRule="auto"/>
            </w:pPr>
            <w:r>
              <w:t>Transmission constraint index.</w:t>
            </w:r>
          </w:p>
        </w:tc>
      </w:tr>
      <w:tr w:rsidR="00B47D9D" w14:paraId="19A6FA6E" w14:textId="77777777" w:rsidTr="00024366">
        <w:trPr>
          <w:cantSplit/>
        </w:trPr>
        <w:tc>
          <w:tcPr>
            <w:tcW w:w="0" w:type="auto"/>
          </w:tcPr>
          <w:p w14:paraId="0AE1CF89" w14:textId="77777777" w:rsidR="00B47D9D" w:rsidRPr="00267D96" w:rsidRDefault="00B47D9D" w:rsidP="005D0E24">
            <w:pPr>
              <w:pStyle w:val="Paragraph"/>
              <w:spacing w:before="0" w:line="240" w:lineRule="auto"/>
              <w:rPr>
                <w:i/>
              </w:rPr>
            </w:pPr>
            <w:r w:rsidRPr="00267D96">
              <w:rPr>
                <w:i/>
              </w:rPr>
              <w:t>n</w:t>
            </w:r>
          </w:p>
        </w:tc>
        <w:tc>
          <w:tcPr>
            <w:tcW w:w="0" w:type="auto"/>
          </w:tcPr>
          <w:p w14:paraId="13E37FB5" w14:textId="77777777" w:rsidR="00B47D9D" w:rsidRDefault="00B47D9D" w:rsidP="005D0E24">
            <w:pPr>
              <w:pStyle w:val="Paragraph"/>
              <w:spacing w:before="0" w:line="240" w:lineRule="auto"/>
            </w:pPr>
            <w:r>
              <w:t xml:space="preserve">Component index in transmission constraint </w:t>
            </w:r>
            <w:r w:rsidRPr="00245685">
              <w:rPr>
                <w:i/>
              </w:rPr>
              <w:t>m</w:t>
            </w:r>
            <w:r>
              <w:t>.</w:t>
            </w:r>
          </w:p>
        </w:tc>
      </w:tr>
    </w:tbl>
    <w:tbl>
      <w:tblPr>
        <w:tblStyle w:val="TableGrid5"/>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9810"/>
      </w:tblGrid>
      <w:tr w:rsidR="00B47D9D" w14:paraId="3620AE1C" w14:textId="77777777" w:rsidTr="005D0E24">
        <w:trPr>
          <w:cantSplit/>
        </w:trPr>
        <w:tc>
          <w:tcPr>
            <w:tcW w:w="900" w:type="dxa"/>
          </w:tcPr>
          <w:p w14:paraId="35E1FFDD" w14:textId="77777777" w:rsidR="00B47D9D" w:rsidRPr="00267D96" w:rsidRDefault="00B47D9D" w:rsidP="005D0E24">
            <w:pPr>
              <w:pStyle w:val="Paragraph"/>
              <w:spacing w:before="0" w:line="240" w:lineRule="auto"/>
            </w:pPr>
            <w:r w:rsidRPr="00267D96">
              <w:sym w:font="Symbol" w:char="F022"/>
            </w:r>
          </w:p>
        </w:tc>
        <w:tc>
          <w:tcPr>
            <w:tcW w:w="9810" w:type="dxa"/>
          </w:tcPr>
          <w:p w14:paraId="3A219A13" w14:textId="77777777" w:rsidR="00B47D9D" w:rsidRDefault="00B47D9D" w:rsidP="005D0E24">
            <w:pPr>
              <w:pStyle w:val="Paragraph"/>
              <w:spacing w:before="0" w:line="240" w:lineRule="auto"/>
            </w:pPr>
            <w:r>
              <w:t>For all…</w:t>
            </w:r>
          </w:p>
        </w:tc>
      </w:tr>
      <w:tr w:rsidR="00B47D9D" w14:paraId="32620CA8" w14:textId="77777777" w:rsidTr="005D0E24">
        <w:trPr>
          <w:cantSplit/>
        </w:trPr>
        <w:tc>
          <w:tcPr>
            <w:tcW w:w="900" w:type="dxa"/>
          </w:tcPr>
          <w:p w14:paraId="1EC42E88" w14:textId="77777777" w:rsidR="00B47D9D" w:rsidRPr="00267D96" w:rsidRDefault="00B47D9D" w:rsidP="005D0E24">
            <w:pPr>
              <w:pStyle w:val="Paragraph"/>
              <w:spacing w:before="0" w:line="240" w:lineRule="auto"/>
            </w:pPr>
            <w:r w:rsidRPr="00267D96">
              <w:sym w:font="Symbol" w:char="F0CE"/>
            </w:r>
          </w:p>
        </w:tc>
        <w:tc>
          <w:tcPr>
            <w:tcW w:w="9810" w:type="dxa"/>
          </w:tcPr>
          <w:p w14:paraId="6739E062" w14:textId="77777777" w:rsidR="00B47D9D" w:rsidRDefault="00B47D9D" w:rsidP="005D0E24">
            <w:pPr>
              <w:pStyle w:val="Paragraph"/>
              <w:spacing w:before="0" w:line="240" w:lineRule="auto"/>
            </w:pPr>
            <w:r>
              <w:t>Member of…</w:t>
            </w:r>
          </w:p>
        </w:tc>
      </w:tr>
      <w:tr w:rsidR="00B47D9D" w14:paraId="12B5522F" w14:textId="77777777" w:rsidTr="005D0E24">
        <w:trPr>
          <w:cantSplit/>
        </w:trPr>
        <w:tc>
          <w:tcPr>
            <w:tcW w:w="900" w:type="dxa"/>
          </w:tcPr>
          <w:p w14:paraId="768C68F0" w14:textId="77777777" w:rsidR="00B47D9D" w:rsidRPr="00267D96" w:rsidRDefault="00B47D9D" w:rsidP="005D0E24">
            <w:pPr>
              <w:pStyle w:val="Paragraph"/>
              <w:spacing w:before="0" w:line="240" w:lineRule="auto"/>
            </w:pPr>
            <w:r w:rsidRPr="00267D96">
              <w:sym w:font="Symbol" w:char="F0D9"/>
            </w:r>
          </w:p>
        </w:tc>
        <w:tc>
          <w:tcPr>
            <w:tcW w:w="9810" w:type="dxa"/>
          </w:tcPr>
          <w:p w14:paraId="03A2AC36" w14:textId="77777777" w:rsidR="00B47D9D" w:rsidRDefault="00B47D9D" w:rsidP="005D0E24">
            <w:pPr>
              <w:pStyle w:val="Paragraph"/>
              <w:spacing w:before="0" w:line="240" w:lineRule="auto"/>
            </w:pPr>
            <w:r>
              <w:t>…and…</w:t>
            </w:r>
          </w:p>
        </w:tc>
      </w:tr>
      <w:tr w:rsidR="00F73536" w14:paraId="3DA9FF26" w14:textId="77777777" w:rsidTr="00F9524E">
        <w:trPr>
          <w:cantSplit/>
        </w:trPr>
        <w:tc>
          <w:tcPr>
            <w:tcW w:w="900" w:type="dxa"/>
          </w:tcPr>
          <w:p w14:paraId="72D7F742" w14:textId="50202FD9" w:rsidR="00F73536" w:rsidRPr="00267D96" w:rsidRDefault="00F73536" w:rsidP="00F73536">
            <w:pPr>
              <w:pStyle w:val="Paragraph"/>
              <w:spacing w:before="0" w:line="240" w:lineRule="auto"/>
            </w:pPr>
            <w:r w:rsidRPr="00267D96">
              <w:rPr>
                <w:i/>
              </w:rPr>
              <w:t>N</w:t>
            </w:r>
            <w:r w:rsidRPr="00267D96">
              <w:rPr>
                <w:i/>
                <w:vertAlign w:val="subscript"/>
              </w:rPr>
              <w:t>m</w:t>
            </w:r>
          </w:p>
        </w:tc>
        <w:tc>
          <w:tcPr>
            <w:tcW w:w="9810" w:type="dxa"/>
          </w:tcPr>
          <w:p w14:paraId="62359BE1" w14:textId="74E75328" w:rsidR="00F73536" w:rsidRDefault="00F73536" w:rsidP="00275EDF">
            <w:pPr>
              <w:pStyle w:val="Paragraph"/>
              <w:spacing w:before="0" w:line="240" w:lineRule="auto"/>
            </w:pPr>
            <w:r>
              <w:t xml:space="preserve">Set of components for transmission constraint </w:t>
            </w:r>
            <w:r w:rsidRPr="00245685">
              <w:rPr>
                <w:i/>
              </w:rPr>
              <w:t>m</w:t>
            </w:r>
            <w:r w:rsidR="00275EDF">
              <w:t xml:space="preserve"> (only one component for simple constraints, but there may be multiple components for nomograms)</w:t>
            </w:r>
            <w:r>
              <w:t>.</w:t>
            </w:r>
          </w:p>
        </w:tc>
      </w:tr>
      <w:tr w:rsidR="00B47D9D" w14:paraId="7428BD13" w14:textId="77777777" w:rsidTr="005D0E24">
        <w:trPr>
          <w:cantSplit/>
        </w:trPr>
        <w:tc>
          <w:tcPr>
            <w:tcW w:w="900" w:type="dxa"/>
          </w:tcPr>
          <w:p w14:paraId="511EA240" w14:textId="77777777" w:rsidR="00B47D9D" w:rsidRPr="00267D96" w:rsidRDefault="00B47D9D" w:rsidP="005D0E24">
            <w:pPr>
              <w:pStyle w:val="Paragraph"/>
              <w:spacing w:before="0" w:line="240" w:lineRule="auto"/>
              <w:rPr>
                <w:i/>
              </w:rPr>
            </w:pPr>
            <w:r w:rsidRPr="00267D96">
              <w:rPr>
                <w:i/>
              </w:rPr>
              <w:t>EIM</w:t>
            </w:r>
          </w:p>
        </w:tc>
        <w:tc>
          <w:tcPr>
            <w:tcW w:w="9810" w:type="dxa"/>
          </w:tcPr>
          <w:p w14:paraId="1F434E8A" w14:textId="261767D2" w:rsidR="00B47D9D" w:rsidRDefault="00B47D9D" w:rsidP="005D0E24">
            <w:pPr>
              <w:pStyle w:val="Paragraph"/>
              <w:spacing w:before="0" w:line="240" w:lineRule="auto"/>
            </w:pPr>
            <w:r>
              <w:t>Set of CISO and all</w:t>
            </w:r>
            <w:r w:rsidR="005F24C1">
              <w:t xml:space="preserve"> WEIM </w:t>
            </w:r>
            <w:r>
              <w:t>BAAs; the</w:t>
            </w:r>
            <w:r w:rsidR="005F24C1">
              <w:t xml:space="preserve"> WEIM </w:t>
            </w:r>
            <w:r>
              <w:t>Area.</w:t>
            </w:r>
          </w:p>
        </w:tc>
      </w:tr>
      <w:tr w:rsidR="00B47D9D" w14:paraId="00C47053" w14:textId="77777777" w:rsidTr="005D0E24">
        <w:trPr>
          <w:cantSplit/>
        </w:trPr>
        <w:tc>
          <w:tcPr>
            <w:tcW w:w="900" w:type="dxa"/>
          </w:tcPr>
          <w:p w14:paraId="59EA83E7" w14:textId="77777777" w:rsidR="00B47D9D" w:rsidRPr="00267D96" w:rsidRDefault="00B47D9D" w:rsidP="005D0E24">
            <w:pPr>
              <w:pStyle w:val="Paragraph"/>
              <w:spacing w:before="0" w:line="240" w:lineRule="auto"/>
              <w:rPr>
                <w:i/>
                <w:vertAlign w:val="subscript"/>
              </w:rPr>
            </w:pPr>
            <w:r w:rsidRPr="00267D96">
              <w:rPr>
                <w:i/>
              </w:rPr>
              <w:lastRenderedPageBreak/>
              <w:t>BAA</w:t>
            </w:r>
            <w:r w:rsidRPr="00267D96">
              <w:rPr>
                <w:i/>
                <w:vertAlign w:val="subscript"/>
              </w:rPr>
              <w:t>j</w:t>
            </w:r>
          </w:p>
        </w:tc>
        <w:tc>
          <w:tcPr>
            <w:tcW w:w="9810" w:type="dxa"/>
          </w:tcPr>
          <w:p w14:paraId="14D31474" w14:textId="77777777" w:rsidR="00B47D9D" w:rsidRDefault="00B47D9D" w:rsidP="005D0E24">
            <w:pPr>
              <w:pStyle w:val="Paragraph"/>
              <w:spacing w:before="0" w:line="240" w:lineRule="auto"/>
            </w:pPr>
            <w:r>
              <w:t xml:space="preserve">Set of nodes in BAA </w:t>
            </w:r>
            <w:r>
              <w:rPr>
                <w:i/>
              </w:rPr>
              <w:t>j</w:t>
            </w:r>
            <w:r>
              <w:t>.</w:t>
            </w:r>
          </w:p>
        </w:tc>
      </w:tr>
      <w:tr w:rsidR="00571609" w14:paraId="13444529" w14:textId="77777777" w:rsidTr="00F9524E">
        <w:trPr>
          <w:cantSplit/>
        </w:trPr>
        <w:tc>
          <w:tcPr>
            <w:tcW w:w="900" w:type="dxa"/>
          </w:tcPr>
          <w:p w14:paraId="648D9E25" w14:textId="3B54E261" w:rsidR="00571609" w:rsidRPr="00267D96" w:rsidRDefault="00571609" w:rsidP="00571609">
            <w:pPr>
              <w:pStyle w:val="Paragraph"/>
              <w:spacing w:before="0" w:line="240" w:lineRule="auto"/>
              <w:rPr>
                <w:i/>
              </w:rPr>
            </w:pPr>
            <w:r w:rsidRPr="00267D96">
              <w:rPr>
                <w:i/>
              </w:rPr>
              <w:t>L</w:t>
            </w:r>
            <w:r w:rsidRPr="00267D96">
              <w:rPr>
                <w:i/>
                <w:vertAlign w:val="subscript"/>
              </w:rPr>
              <w:t>j,k</w:t>
            </w:r>
          </w:p>
        </w:tc>
        <w:tc>
          <w:tcPr>
            <w:tcW w:w="9810" w:type="dxa"/>
          </w:tcPr>
          <w:p w14:paraId="27F8EA61" w14:textId="427D6566" w:rsidR="00571609" w:rsidRDefault="00571609" w:rsidP="00571609">
            <w:pPr>
              <w:pStyle w:val="Paragraph"/>
              <w:spacing w:before="0" w:line="240" w:lineRule="auto"/>
            </w:pPr>
            <w:r>
              <w:t xml:space="preserve">Set of interties between BAAs </w:t>
            </w:r>
            <w:r w:rsidRPr="00267D96">
              <w:rPr>
                <w:i/>
              </w:rPr>
              <w:t>j</w:t>
            </w:r>
            <w:r>
              <w:t xml:space="preserve"> and </w:t>
            </w:r>
            <w:r w:rsidRPr="00267D96">
              <w:rPr>
                <w:i/>
              </w:rPr>
              <w:t>k</w:t>
            </w:r>
            <w:r>
              <w:t>.</w:t>
            </w:r>
          </w:p>
        </w:tc>
      </w:tr>
    </w:tbl>
    <w:tbl>
      <w:tblPr>
        <w:tblStyle w:val="TableGrid6"/>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9758"/>
      </w:tblGrid>
      <w:tr w:rsidR="00B47D9D" w14:paraId="6C9364A0" w14:textId="77777777" w:rsidTr="00024366">
        <w:trPr>
          <w:cantSplit/>
        </w:trPr>
        <w:tc>
          <w:tcPr>
            <w:tcW w:w="0" w:type="auto"/>
          </w:tcPr>
          <w:p w14:paraId="0B15CCE3" w14:textId="77777777" w:rsidR="00B47D9D" w:rsidRPr="00267D96" w:rsidRDefault="00B47D9D" w:rsidP="005D0E24">
            <w:pPr>
              <w:pStyle w:val="Paragraph"/>
              <w:spacing w:before="0" w:line="240" w:lineRule="auto"/>
              <w:rPr>
                <w:i/>
                <w:vertAlign w:val="subscript"/>
              </w:rPr>
            </w:pPr>
            <w:r w:rsidRPr="00267D96">
              <w:rPr>
                <w:i/>
              </w:rPr>
              <w:t>LPF</w:t>
            </w:r>
            <w:r w:rsidRPr="00267D96">
              <w:rPr>
                <w:i/>
                <w:vertAlign w:val="subscript"/>
              </w:rPr>
              <w:t>i</w:t>
            </w:r>
          </w:p>
        </w:tc>
        <w:tc>
          <w:tcPr>
            <w:tcW w:w="0" w:type="auto"/>
          </w:tcPr>
          <w:p w14:paraId="5E61E4CD" w14:textId="77777777" w:rsidR="00B47D9D" w:rsidRDefault="00B47D9D" w:rsidP="005D0E24">
            <w:pPr>
              <w:pStyle w:val="Paragraph"/>
              <w:spacing w:before="0" w:line="240" w:lineRule="auto"/>
            </w:pPr>
            <w:r>
              <w:t xml:space="preserve">Loss penalty factor at node </w:t>
            </w:r>
            <w:r>
              <w:rPr>
                <w:i/>
              </w:rPr>
              <w:t>i</w:t>
            </w:r>
            <w:r>
              <w:t>.</w:t>
            </w:r>
          </w:p>
        </w:tc>
      </w:tr>
      <w:tr w:rsidR="00B47D9D" w14:paraId="5DE0A35C" w14:textId="77777777" w:rsidTr="00024366">
        <w:trPr>
          <w:cantSplit/>
        </w:trPr>
        <w:tc>
          <w:tcPr>
            <w:tcW w:w="0" w:type="auto"/>
          </w:tcPr>
          <w:p w14:paraId="6D882FAE" w14:textId="77777777" w:rsidR="00B47D9D" w:rsidRPr="00267D96" w:rsidRDefault="00B47D9D" w:rsidP="005D0E24">
            <w:pPr>
              <w:pStyle w:val="Paragraph"/>
              <w:spacing w:before="0" w:line="240" w:lineRule="auto"/>
              <w:rPr>
                <w:i/>
                <w:vertAlign w:val="subscript"/>
              </w:rPr>
            </w:pPr>
            <w:r w:rsidRPr="00267D96">
              <w:rPr>
                <w:i/>
              </w:rPr>
              <w:t>LPF</w:t>
            </w:r>
            <w:r w:rsidRPr="00267D96">
              <w:rPr>
                <w:i/>
                <w:vertAlign w:val="subscript"/>
              </w:rPr>
              <w:t>j,k,l</w:t>
            </w:r>
          </w:p>
        </w:tc>
        <w:tc>
          <w:tcPr>
            <w:tcW w:w="0" w:type="auto"/>
          </w:tcPr>
          <w:p w14:paraId="1C9A133C" w14:textId="77777777" w:rsidR="00B47D9D" w:rsidRDefault="00B47D9D" w:rsidP="005D0E24">
            <w:pPr>
              <w:pStyle w:val="Paragraph"/>
              <w:spacing w:before="0" w:line="240" w:lineRule="auto"/>
            </w:pPr>
            <w:r>
              <w:t xml:space="preserve">Loss penalty factor at the Scheduling Point for import/export schedule </w:t>
            </w:r>
            <w:r w:rsidRPr="00551B0F">
              <w:rPr>
                <w:i/>
              </w:rPr>
              <w:t>l</w:t>
            </w:r>
            <w:r>
              <w:t xml:space="preserve"> to/from BAA </w:t>
            </w:r>
            <w:r>
              <w:rPr>
                <w:i/>
              </w:rPr>
              <w:t>j</w:t>
            </w:r>
            <w:r>
              <w:t xml:space="preserve"> from/to BAA </w:t>
            </w:r>
            <w:r>
              <w:rPr>
                <w:i/>
              </w:rPr>
              <w:t>k</w:t>
            </w:r>
            <w:r>
              <w:t>.</w:t>
            </w:r>
          </w:p>
        </w:tc>
      </w:tr>
      <w:tr w:rsidR="00B47D9D" w14:paraId="545742FA" w14:textId="77777777" w:rsidTr="00024366">
        <w:trPr>
          <w:cantSplit/>
        </w:trPr>
        <w:tc>
          <w:tcPr>
            <w:tcW w:w="0" w:type="auto"/>
          </w:tcPr>
          <w:p w14:paraId="0DE7F3F7" w14:textId="77777777" w:rsidR="00B47D9D" w:rsidRPr="00267D96" w:rsidRDefault="00B47D9D" w:rsidP="005D0E24">
            <w:pPr>
              <w:pStyle w:val="Paragraph"/>
              <w:spacing w:before="0" w:line="240" w:lineRule="auto"/>
              <w:rPr>
                <w:i/>
              </w:rPr>
            </w:pPr>
            <w:r w:rsidRPr="00267D96">
              <w:rPr>
                <w:i/>
              </w:rPr>
              <w:t>a</w:t>
            </w:r>
            <w:r w:rsidRPr="00267D96">
              <w:rPr>
                <w:i/>
                <w:vertAlign w:val="subscript"/>
              </w:rPr>
              <w:t>m,n</w:t>
            </w:r>
          </w:p>
        </w:tc>
        <w:tc>
          <w:tcPr>
            <w:tcW w:w="0" w:type="auto"/>
          </w:tcPr>
          <w:p w14:paraId="168701A8" w14:textId="225BDDDC" w:rsidR="00B47D9D" w:rsidRDefault="00B47D9D" w:rsidP="005D0E24">
            <w:pPr>
              <w:pStyle w:val="Paragraph"/>
              <w:spacing w:before="0" w:line="240" w:lineRule="auto"/>
            </w:pPr>
            <w:r>
              <w:t xml:space="preserve">Coefficient for component </w:t>
            </w:r>
            <w:r w:rsidRPr="00245685">
              <w:rPr>
                <w:i/>
              </w:rPr>
              <w:t>n</w:t>
            </w:r>
            <w:r>
              <w:t xml:space="preserve"> of transmission constraint </w:t>
            </w:r>
            <w:r w:rsidRPr="00245685">
              <w:rPr>
                <w:i/>
              </w:rPr>
              <w:t>m</w:t>
            </w:r>
            <w:r w:rsidR="006D3D8B">
              <w:t xml:space="preserve"> (1.0 for simple constraints with a single component)</w:t>
            </w:r>
            <w:r>
              <w:t>.</w:t>
            </w:r>
          </w:p>
        </w:tc>
      </w:tr>
      <w:tr w:rsidR="00B47D9D" w14:paraId="5ED7DDF1" w14:textId="77777777" w:rsidTr="00024366">
        <w:trPr>
          <w:cantSplit/>
        </w:trPr>
        <w:tc>
          <w:tcPr>
            <w:tcW w:w="0" w:type="auto"/>
          </w:tcPr>
          <w:p w14:paraId="32B14C75" w14:textId="77777777" w:rsidR="00B47D9D" w:rsidRPr="00267D96" w:rsidRDefault="00B47D9D" w:rsidP="005D0E24">
            <w:pPr>
              <w:pStyle w:val="Paragraph"/>
              <w:spacing w:before="0" w:line="240" w:lineRule="auto"/>
              <w:rPr>
                <w:i/>
              </w:rPr>
            </w:pPr>
            <w:r w:rsidRPr="00267D96">
              <w:rPr>
                <w:i/>
              </w:rPr>
              <w:t>SF</w:t>
            </w:r>
            <w:r w:rsidRPr="00267D96">
              <w:rPr>
                <w:i/>
                <w:vertAlign w:val="subscript"/>
              </w:rPr>
              <w:t>m,n,i</w:t>
            </w:r>
          </w:p>
        </w:tc>
        <w:tc>
          <w:tcPr>
            <w:tcW w:w="0" w:type="auto"/>
          </w:tcPr>
          <w:p w14:paraId="56CF03F6" w14:textId="77777777" w:rsidR="00B47D9D" w:rsidRDefault="00B47D9D" w:rsidP="005D0E24">
            <w:pPr>
              <w:pStyle w:val="Paragraph"/>
              <w:spacing w:before="0" w:line="240" w:lineRule="auto"/>
            </w:pPr>
            <w:r>
              <w:t xml:space="preserve">Shift factor for injection at node </w:t>
            </w:r>
            <w:r w:rsidRPr="00245685">
              <w:rPr>
                <w:i/>
              </w:rPr>
              <w:t>i</w:t>
            </w:r>
            <w:r>
              <w:t xml:space="preserve"> on component </w:t>
            </w:r>
            <w:r w:rsidRPr="00245685">
              <w:rPr>
                <w:i/>
              </w:rPr>
              <w:t>n</w:t>
            </w:r>
            <w:r>
              <w:t xml:space="preserve"> of transmission constraint </w:t>
            </w:r>
            <w:r w:rsidRPr="00245685">
              <w:rPr>
                <w:i/>
              </w:rPr>
              <w:t>m</w:t>
            </w:r>
            <w:r>
              <w:t>.</w:t>
            </w:r>
          </w:p>
        </w:tc>
      </w:tr>
      <w:tr w:rsidR="00B47D9D" w14:paraId="6FC67537" w14:textId="77777777" w:rsidTr="00024366">
        <w:trPr>
          <w:cantSplit/>
        </w:trPr>
        <w:tc>
          <w:tcPr>
            <w:tcW w:w="0" w:type="auto"/>
          </w:tcPr>
          <w:p w14:paraId="1A6A3DC5" w14:textId="77777777" w:rsidR="00B47D9D" w:rsidRPr="00267D96" w:rsidRDefault="00B47D9D" w:rsidP="005D0E24">
            <w:pPr>
              <w:pStyle w:val="Paragraph"/>
              <w:spacing w:before="0" w:line="240" w:lineRule="auto"/>
              <w:rPr>
                <w:i/>
              </w:rPr>
            </w:pPr>
            <w:r w:rsidRPr="00267D96">
              <w:rPr>
                <w:i/>
              </w:rPr>
              <w:t>SF</w:t>
            </w:r>
            <w:r w:rsidRPr="00267D96">
              <w:rPr>
                <w:i/>
                <w:vertAlign w:val="subscript"/>
              </w:rPr>
              <w:t>m,n,j,k,l</w:t>
            </w:r>
          </w:p>
        </w:tc>
        <w:tc>
          <w:tcPr>
            <w:tcW w:w="0" w:type="auto"/>
          </w:tcPr>
          <w:p w14:paraId="78D07286" w14:textId="77777777" w:rsidR="00B47D9D" w:rsidRDefault="00B47D9D" w:rsidP="005D0E24">
            <w:pPr>
              <w:pStyle w:val="Paragraph"/>
              <w:spacing w:before="0" w:line="240" w:lineRule="auto"/>
            </w:pPr>
            <w:r>
              <w:t xml:space="preserve">Shift factor for import/export schedule </w:t>
            </w:r>
            <w:r>
              <w:rPr>
                <w:i/>
              </w:rPr>
              <w:t>l</w:t>
            </w:r>
            <w:r>
              <w:t xml:space="preserve"> to/from BAA </w:t>
            </w:r>
            <w:r>
              <w:rPr>
                <w:i/>
              </w:rPr>
              <w:t>j</w:t>
            </w:r>
            <w:r>
              <w:t xml:space="preserve"> from/to BAA </w:t>
            </w:r>
            <w:r>
              <w:rPr>
                <w:i/>
              </w:rPr>
              <w:t>k</w:t>
            </w:r>
            <w:r>
              <w:t xml:space="preserve"> on component </w:t>
            </w:r>
            <w:r w:rsidRPr="00245685">
              <w:rPr>
                <w:i/>
              </w:rPr>
              <w:t>n</w:t>
            </w:r>
            <w:r>
              <w:t xml:space="preserve"> of transmission constraint </w:t>
            </w:r>
            <w:r w:rsidRPr="00245685">
              <w:rPr>
                <w:i/>
              </w:rPr>
              <w:t>m</w:t>
            </w:r>
            <w:r>
              <w:t>.</w:t>
            </w:r>
          </w:p>
        </w:tc>
      </w:tr>
    </w:tbl>
    <w:tbl>
      <w:tblPr>
        <w:tblStyle w:val="TableGrid7"/>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9733"/>
      </w:tblGrid>
      <w:tr w:rsidR="00B47D9D" w14:paraId="778F8F82" w14:textId="77777777" w:rsidTr="00024366">
        <w:trPr>
          <w:cantSplit/>
        </w:trPr>
        <w:tc>
          <w:tcPr>
            <w:tcW w:w="0" w:type="auto"/>
          </w:tcPr>
          <w:p w14:paraId="2B8BA69C" w14:textId="77777777" w:rsidR="00B47D9D" w:rsidRPr="00267D96" w:rsidRDefault="00B47D9D" w:rsidP="005D0E24">
            <w:pPr>
              <w:pStyle w:val="Paragraph"/>
              <w:spacing w:before="0" w:line="240" w:lineRule="auto"/>
              <w:rPr>
                <w:i/>
              </w:rPr>
            </w:pPr>
            <w:r>
              <w:rPr>
                <w:i/>
              </w:rPr>
              <w:sym w:font="Symbol" w:char="F06C"/>
            </w:r>
          </w:p>
        </w:tc>
        <w:tc>
          <w:tcPr>
            <w:tcW w:w="0" w:type="auto"/>
          </w:tcPr>
          <w:p w14:paraId="27836A3E" w14:textId="77777777" w:rsidR="00B47D9D" w:rsidRDefault="00B47D9D" w:rsidP="005D0E24">
            <w:pPr>
              <w:pStyle w:val="Paragraph"/>
              <w:spacing w:before="0" w:line="240" w:lineRule="auto"/>
            </w:pPr>
            <w:r>
              <w:t>Shadow price of the system power balance constraint.</w:t>
            </w:r>
          </w:p>
        </w:tc>
      </w:tr>
      <w:tr w:rsidR="00B47D9D" w14:paraId="72B27571" w14:textId="77777777" w:rsidTr="00024366">
        <w:trPr>
          <w:cantSplit/>
        </w:trPr>
        <w:tc>
          <w:tcPr>
            <w:tcW w:w="0" w:type="auto"/>
          </w:tcPr>
          <w:p w14:paraId="598156E6" w14:textId="77777777" w:rsidR="00B47D9D" w:rsidRPr="00267D96" w:rsidRDefault="00B47D9D" w:rsidP="005D0E24">
            <w:pPr>
              <w:pStyle w:val="Paragraph"/>
              <w:spacing w:before="0" w:line="240" w:lineRule="auto"/>
              <w:rPr>
                <w:i/>
              </w:rPr>
            </w:pPr>
            <w:r>
              <w:rPr>
                <w:i/>
              </w:rPr>
              <w:sym w:font="Symbol" w:char="F06C"/>
            </w:r>
            <w:r w:rsidRPr="004C4412">
              <w:rPr>
                <w:i/>
                <w:vertAlign w:val="subscript"/>
              </w:rPr>
              <w:t>j</w:t>
            </w:r>
          </w:p>
        </w:tc>
        <w:tc>
          <w:tcPr>
            <w:tcW w:w="0" w:type="auto"/>
          </w:tcPr>
          <w:p w14:paraId="51EFAC51" w14:textId="77777777" w:rsidR="00B47D9D" w:rsidRDefault="00B47D9D" w:rsidP="005D0E24">
            <w:pPr>
              <w:pStyle w:val="Paragraph"/>
              <w:spacing w:before="0" w:line="240" w:lineRule="auto"/>
            </w:pPr>
            <w:r>
              <w:t xml:space="preserve">Shadow price of the power balance constraint for BAA </w:t>
            </w:r>
            <w:r w:rsidRPr="004C4412">
              <w:rPr>
                <w:i/>
              </w:rPr>
              <w:t>j</w:t>
            </w:r>
            <w:r>
              <w:t>.</w:t>
            </w:r>
          </w:p>
        </w:tc>
      </w:tr>
      <w:tr w:rsidR="00B47D9D" w14:paraId="7D419F74" w14:textId="77777777" w:rsidTr="00024366">
        <w:trPr>
          <w:cantSplit/>
        </w:trPr>
        <w:tc>
          <w:tcPr>
            <w:tcW w:w="0" w:type="auto"/>
          </w:tcPr>
          <w:p w14:paraId="43505DF9" w14:textId="77777777" w:rsidR="00B47D9D" w:rsidRPr="00267D96" w:rsidRDefault="00B47D9D" w:rsidP="005D0E24">
            <w:pPr>
              <w:pStyle w:val="Paragraph"/>
              <w:spacing w:before="0" w:line="240" w:lineRule="auto"/>
              <w:rPr>
                <w:i/>
              </w:rPr>
            </w:pPr>
            <w:r>
              <w:rPr>
                <w:i/>
              </w:rPr>
              <w:sym w:font="Symbol" w:char="F06A"/>
            </w:r>
            <w:r w:rsidRPr="004C4412">
              <w:rPr>
                <w:i/>
                <w:vertAlign w:val="subscript"/>
              </w:rPr>
              <w:t>j</w:t>
            </w:r>
          </w:p>
        </w:tc>
        <w:tc>
          <w:tcPr>
            <w:tcW w:w="0" w:type="auto"/>
          </w:tcPr>
          <w:p w14:paraId="7D31DEEA" w14:textId="77777777" w:rsidR="00B47D9D" w:rsidRDefault="00B47D9D" w:rsidP="005D0E24">
            <w:pPr>
              <w:pStyle w:val="Paragraph"/>
              <w:spacing w:before="0" w:line="240" w:lineRule="auto"/>
            </w:pPr>
            <w:r>
              <w:t xml:space="preserve">Shadow price of the energy transfer distribution constraint for BAA </w:t>
            </w:r>
            <w:r w:rsidRPr="004C4412">
              <w:rPr>
                <w:i/>
              </w:rPr>
              <w:t>j</w:t>
            </w:r>
            <w:r>
              <w:t>.</w:t>
            </w:r>
          </w:p>
        </w:tc>
      </w:tr>
      <w:tr w:rsidR="00B47D9D" w14:paraId="702A6307" w14:textId="77777777" w:rsidTr="00024366">
        <w:trPr>
          <w:cantSplit/>
        </w:trPr>
        <w:tc>
          <w:tcPr>
            <w:tcW w:w="0" w:type="auto"/>
          </w:tcPr>
          <w:p w14:paraId="598F2D6F" w14:textId="77777777" w:rsidR="00B47D9D" w:rsidRPr="00267D96" w:rsidRDefault="00B47D9D" w:rsidP="005D0E24">
            <w:pPr>
              <w:pStyle w:val="Paragraph"/>
              <w:spacing w:before="0" w:line="240" w:lineRule="auto"/>
              <w:rPr>
                <w:i/>
              </w:rPr>
            </w:pPr>
            <w:r>
              <w:rPr>
                <w:i/>
              </w:rPr>
              <w:sym w:font="Symbol" w:char="F06D"/>
            </w:r>
            <w:r>
              <w:rPr>
                <w:i/>
                <w:vertAlign w:val="subscript"/>
              </w:rPr>
              <w:t>m</w:t>
            </w:r>
          </w:p>
        </w:tc>
        <w:tc>
          <w:tcPr>
            <w:tcW w:w="0" w:type="auto"/>
          </w:tcPr>
          <w:p w14:paraId="64CEE4BF" w14:textId="77777777" w:rsidR="00B47D9D" w:rsidRDefault="00B47D9D" w:rsidP="005D0E24">
            <w:pPr>
              <w:pStyle w:val="Paragraph"/>
              <w:spacing w:before="0" w:line="240" w:lineRule="auto"/>
            </w:pPr>
            <w:r>
              <w:t xml:space="preserve">Shadow price of transmission constraint </w:t>
            </w:r>
            <w:r>
              <w:rPr>
                <w:i/>
              </w:rPr>
              <w:t>m</w:t>
            </w:r>
            <w:r>
              <w:t>.</w:t>
            </w:r>
          </w:p>
        </w:tc>
      </w:tr>
      <w:tr w:rsidR="00B47D9D" w14:paraId="31E6189C" w14:textId="77777777" w:rsidTr="00024366">
        <w:trPr>
          <w:cantSplit/>
        </w:trPr>
        <w:tc>
          <w:tcPr>
            <w:tcW w:w="0" w:type="auto"/>
          </w:tcPr>
          <w:p w14:paraId="2525F61C" w14:textId="77777777" w:rsidR="00B47D9D" w:rsidRPr="00267D96" w:rsidRDefault="00B47D9D" w:rsidP="005D0E24">
            <w:pPr>
              <w:pStyle w:val="Paragraph"/>
              <w:spacing w:before="0" w:line="240" w:lineRule="auto"/>
              <w:rPr>
                <w:i/>
              </w:rPr>
            </w:pPr>
            <w:r>
              <w:rPr>
                <w:i/>
              </w:rPr>
              <w:sym w:font="Symbol" w:char="F079"/>
            </w:r>
          </w:p>
        </w:tc>
        <w:tc>
          <w:tcPr>
            <w:tcW w:w="0" w:type="auto"/>
          </w:tcPr>
          <w:p w14:paraId="3C5F5FAC" w14:textId="77777777" w:rsidR="00B47D9D" w:rsidRDefault="00B47D9D" w:rsidP="005D0E24">
            <w:pPr>
              <w:pStyle w:val="Paragraph"/>
              <w:spacing w:before="0" w:line="240" w:lineRule="auto"/>
            </w:pPr>
            <w:r>
              <w:t>Shadow price of GHG regulation export allocation constraint.</w:t>
            </w:r>
          </w:p>
        </w:tc>
      </w:tr>
      <w:tr w:rsidR="00B47D9D" w14:paraId="450CF73A" w14:textId="77777777" w:rsidTr="00024366">
        <w:trPr>
          <w:cantSplit/>
        </w:trPr>
        <w:tc>
          <w:tcPr>
            <w:tcW w:w="0" w:type="auto"/>
          </w:tcPr>
          <w:p w14:paraId="634AEB51" w14:textId="77777777" w:rsidR="00B47D9D" w:rsidRPr="00267D96" w:rsidRDefault="00B47D9D" w:rsidP="005D0E24">
            <w:pPr>
              <w:pStyle w:val="Paragraph"/>
              <w:spacing w:before="0" w:line="240" w:lineRule="auto"/>
              <w:rPr>
                <w:i/>
              </w:rPr>
            </w:pPr>
            <w:r>
              <w:rPr>
                <w:i/>
              </w:rPr>
              <w:sym w:font="Symbol" w:char="F07A"/>
            </w:r>
            <w:r w:rsidRPr="00267D96">
              <w:rPr>
                <w:i/>
                <w:vertAlign w:val="subscript"/>
              </w:rPr>
              <w:t>j,k,l</w:t>
            </w:r>
            <w:r>
              <w:t xml:space="preserve">, </w:t>
            </w:r>
            <w:r>
              <w:rPr>
                <w:i/>
              </w:rPr>
              <w:sym w:font="Symbol" w:char="F068"/>
            </w:r>
            <w:r w:rsidRPr="00267D96">
              <w:rPr>
                <w:i/>
                <w:vertAlign w:val="subscript"/>
              </w:rPr>
              <w:t>j,k,l</w:t>
            </w:r>
          </w:p>
        </w:tc>
        <w:tc>
          <w:tcPr>
            <w:tcW w:w="0" w:type="auto"/>
          </w:tcPr>
          <w:p w14:paraId="4C3269AD" w14:textId="77777777" w:rsidR="00B47D9D" w:rsidRDefault="00B47D9D" w:rsidP="005D0E24">
            <w:pPr>
              <w:pStyle w:val="Paragraph"/>
              <w:spacing w:before="0" w:line="240" w:lineRule="auto"/>
            </w:pPr>
            <w:r>
              <w:t xml:space="preserve">Shadow prices of upper/lower scheduling limits on intertie </w:t>
            </w:r>
            <w:r>
              <w:rPr>
                <w:i/>
              </w:rPr>
              <w:t>l</w:t>
            </w:r>
            <w:r>
              <w:t xml:space="preserve"> to BAA </w:t>
            </w:r>
            <w:r>
              <w:rPr>
                <w:i/>
              </w:rPr>
              <w:t>j</w:t>
            </w:r>
            <w:r>
              <w:t xml:space="preserve"> from BAA </w:t>
            </w:r>
            <w:r>
              <w:rPr>
                <w:i/>
              </w:rPr>
              <w:t>k</w:t>
            </w:r>
            <w:r>
              <w:t>, on interties with energy transfers.</w:t>
            </w:r>
          </w:p>
        </w:tc>
      </w:tr>
    </w:tbl>
    <w:tbl>
      <w:tblPr>
        <w:tblStyle w:val="TableGrid8"/>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689"/>
      </w:tblGrid>
      <w:tr w:rsidR="00B47D9D" w14:paraId="45879543" w14:textId="77777777" w:rsidTr="00024366">
        <w:trPr>
          <w:cantSplit/>
        </w:trPr>
        <w:tc>
          <w:tcPr>
            <w:tcW w:w="0" w:type="auto"/>
          </w:tcPr>
          <w:p w14:paraId="1D753CB2" w14:textId="77777777" w:rsidR="00B47D9D" w:rsidRDefault="00B47D9D" w:rsidP="005D0E24">
            <w:pPr>
              <w:pStyle w:val="Paragraph"/>
              <w:spacing w:before="0" w:line="240" w:lineRule="auto"/>
              <w:rPr>
                <w:i/>
              </w:rPr>
            </w:pPr>
            <w:r>
              <w:rPr>
                <w:i/>
              </w:rPr>
              <w:sym w:font="Symbol" w:char="F06E"/>
            </w:r>
            <w:r>
              <w:rPr>
                <w:i/>
                <w:vertAlign w:val="subscript"/>
              </w:rPr>
              <w:t>j</w:t>
            </w:r>
            <w:r>
              <w:t xml:space="preserve">, </w:t>
            </w:r>
            <w:r>
              <w:rPr>
                <w:i/>
              </w:rPr>
              <w:sym w:font="Symbol" w:char="F078"/>
            </w:r>
            <w:r>
              <w:rPr>
                <w:i/>
                <w:vertAlign w:val="subscript"/>
              </w:rPr>
              <w:t>j</w:t>
            </w:r>
          </w:p>
        </w:tc>
        <w:tc>
          <w:tcPr>
            <w:tcW w:w="0" w:type="auto"/>
          </w:tcPr>
          <w:p w14:paraId="35A63D39" w14:textId="28949F04" w:rsidR="00B47D9D" w:rsidRDefault="00B47D9D" w:rsidP="005D0E24">
            <w:pPr>
              <w:pStyle w:val="Paragraph"/>
              <w:spacing w:before="0" w:line="240" w:lineRule="auto"/>
            </w:pPr>
            <w:r>
              <w:t>Shadow prices of upper/lower bound constraints on</w:t>
            </w:r>
            <w:r w:rsidR="005F24C1">
              <w:t xml:space="preserve"> WEIM </w:t>
            </w:r>
            <w:r>
              <w:t>transfer of</w:t>
            </w:r>
            <w:r w:rsidR="005F24C1">
              <w:t xml:space="preserve"> WEIM </w:t>
            </w:r>
            <w:r>
              <w:t xml:space="preserve">BAA </w:t>
            </w:r>
            <w:r>
              <w:rPr>
                <w:i/>
              </w:rPr>
              <w:t>j</w:t>
            </w:r>
            <w:r>
              <w:t>.</w:t>
            </w:r>
          </w:p>
        </w:tc>
      </w:tr>
      <w:tr w:rsidR="00B47D9D" w14:paraId="2680A439" w14:textId="77777777" w:rsidTr="00024366">
        <w:trPr>
          <w:cantSplit/>
        </w:trPr>
        <w:tc>
          <w:tcPr>
            <w:tcW w:w="0" w:type="auto"/>
          </w:tcPr>
          <w:p w14:paraId="7D761835" w14:textId="77777777" w:rsidR="00B47D9D" w:rsidRPr="00267D96" w:rsidRDefault="00B47D9D" w:rsidP="005D0E24">
            <w:pPr>
              <w:pStyle w:val="Paragraph"/>
              <w:spacing w:before="0" w:line="240" w:lineRule="auto"/>
              <w:rPr>
                <w:i/>
              </w:rPr>
            </w:pPr>
            <w:r>
              <w:rPr>
                <w:i/>
              </w:rPr>
              <w:sym w:font="Symbol" w:char="F072"/>
            </w:r>
            <w:r w:rsidRPr="00267D96">
              <w:rPr>
                <w:i/>
                <w:vertAlign w:val="subscript"/>
              </w:rPr>
              <w:t>j,k,l</w:t>
            </w:r>
            <w:r>
              <w:t xml:space="preserve">, </w:t>
            </w:r>
            <w:r>
              <w:rPr>
                <w:i/>
              </w:rPr>
              <w:sym w:font="Symbol" w:char="F073"/>
            </w:r>
            <w:r w:rsidRPr="00267D96">
              <w:rPr>
                <w:i/>
                <w:vertAlign w:val="subscript"/>
              </w:rPr>
              <w:t>j,k,l</w:t>
            </w:r>
          </w:p>
        </w:tc>
        <w:tc>
          <w:tcPr>
            <w:tcW w:w="0" w:type="auto"/>
          </w:tcPr>
          <w:p w14:paraId="368BA689" w14:textId="77777777" w:rsidR="00B47D9D" w:rsidRDefault="00B47D9D" w:rsidP="005D0E24">
            <w:pPr>
              <w:pStyle w:val="Paragraph"/>
              <w:spacing w:before="0" w:line="240" w:lineRule="auto"/>
            </w:pPr>
            <w:r>
              <w:t xml:space="preserve">Shadow prices of upper/lower bound constraints on export energy transfer schedule </w:t>
            </w:r>
            <w:r>
              <w:rPr>
                <w:i/>
              </w:rPr>
              <w:t>l</w:t>
            </w:r>
            <w:r>
              <w:t xml:space="preserve"> from BAA </w:t>
            </w:r>
            <w:r>
              <w:rPr>
                <w:i/>
              </w:rPr>
              <w:t>j</w:t>
            </w:r>
            <w:r>
              <w:t xml:space="preserve"> to BAA </w:t>
            </w:r>
            <w:r>
              <w:rPr>
                <w:i/>
              </w:rPr>
              <w:t>k</w:t>
            </w:r>
            <w:r>
              <w:t>.</w:t>
            </w:r>
          </w:p>
        </w:tc>
      </w:tr>
    </w:tbl>
    <w:tbl>
      <w:tblPr>
        <w:tblStyle w:val="TableGrid9"/>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9709"/>
      </w:tblGrid>
      <w:tr w:rsidR="00B47D9D" w14:paraId="3826EAD4" w14:textId="77777777" w:rsidTr="005D0E24">
        <w:trPr>
          <w:cantSplit/>
        </w:trPr>
        <w:tc>
          <w:tcPr>
            <w:tcW w:w="1001" w:type="dxa"/>
          </w:tcPr>
          <w:p w14:paraId="3028D901" w14:textId="77777777" w:rsidR="00B47D9D" w:rsidRPr="00267D96" w:rsidRDefault="00B47D9D" w:rsidP="005D0E24">
            <w:pPr>
              <w:pStyle w:val="Paragraph"/>
              <w:spacing w:before="0" w:line="240" w:lineRule="auto"/>
              <w:rPr>
                <w:i/>
              </w:rPr>
            </w:pPr>
            <w:r w:rsidRPr="00267D96">
              <w:rPr>
                <w:i/>
              </w:rPr>
              <w:t>LMP</w:t>
            </w:r>
            <w:r w:rsidRPr="00267D96">
              <w:rPr>
                <w:i/>
                <w:vertAlign w:val="subscript"/>
              </w:rPr>
              <w:t>i</w:t>
            </w:r>
          </w:p>
        </w:tc>
        <w:tc>
          <w:tcPr>
            <w:tcW w:w="9709" w:type="dxa"/>
          </w:tcPr>
          <w:p w14:paraId="2A19BAFB" w14:textId="77777777" w:rsidR="00B47D9D" w:rsidRDefault="00B47D9D" w:rsidP="005D0E24">
            <w:pPr>
              <w:pStyle w:val="Paragraph"/>
              <w:spacing w:before="0" w:line="240" w:lineRule="auto"/>
            </w:pPr>
            <w:r>
              <w:t xml:space="preserve">LMP at node </w:t>
            </w:r>
            <w:r w:rsidRPr="002E4F66">
              <w:rPr>
                <w:i/>
              </w:rPr>
              <w:t>i</w:t>
            </w:r>
            <w:r>
              <w:t>.</w:t>
            </w:r>
          </w:p>
        </w:tc>
      </w:tr>
      <w:tr w:rsidR="00B47D9D" w14:paraId="74CCD700" w14:textId="77777777" w:rsidTr="005D0E24">
        <w:trPr>
          <w:cantSplit/>
        </w:trPr>
        <w:tc>
          <w:tcPr>
            <w:tcW w:w="1001" w:type="dxa"/>
          </w:tcPr>
          <w:p w14:paraId="480B90F8" w14:textId="77777777" w:rsidR="00B47D9D" w:rsidRPr="00267D96" w:rsidRDefault="00B47D9D" w:rsidP="005D0E24">
            <w:pPr>
              <w:pStyle w:val="Paragraph"/>
              <w:spacing w:before="0" w:line="240" w:lineRule="auto"/>
              <w:rPr>
                <w:i/>
              </w:rPr>
            </w:pPr>
            <w:r w:rsidRPr="00267D96">
              <w:rPr>
                <w:i/>
              </w:rPr>
              <w:t>LMP</w:t>
            </w:r>
            <w:r w:rsidRPr="00267D96">
              <w:rPr>
                <w:i/>
                <w:vertAlign w:val="subscript"/>
              </w:rPr>
              <w:t>j,k,l</w:t>
            </w:r>
          </w:p>
        </w:tc>
        <w:tc>
          <w:tcPr>
            <w:tcW w:w="9709" w:type="dxa"/>
          </w:tcPr>
          <w:p w14:paraId="7EC55EA5" w14:textId="77777777" w:rsidR="00B47D9D" w:rsidRDefault="00B47D9D" w:rsidP="005D0E24">
            <w:pPr>
              <w:pStyle w:val="Paragraph"/>
              <w:spacing w:before="0" w:line="240" w:lineRule="auto"/>
            </w:pPr>
            <w:r>
              <w:t xml:space="preserve">SP-TIE LMP for import/export schedule </w:t>
            </w:r>
            <w:r>
              <w:rPr>
                <w:i/>
              </w:rPr>
              <w:t>l</w:t>
            </w:r>
            <w:r>
              <w:t xml:space="preserve"> to/from BAA </w:t>
            </w:r>
            <w:r>
              <w:rPr>
                <w:i/>
              </w:rPr>
              <w:t>j</w:t>
            </w:r>
            <w:r>
              <w:t xml:space="preserve"> from/to BAA </w:t>
            </w:r>
            <w:r>
              <w:rPr>
                <w:i/>
              </w:rPr>
              <w:t>k</w:t>
            </w:r>
            <w:r>
              <w:t>.</w:t>
            </w:r>
          </w:p>
        </w:tc>
      </w:tr>
      <w:tr w:rsidR="00B47D9D" w14:paraId="03B4956D" w14:textId="77777777" w:rsidTr="005D0E24">
        <w:trPr>
          <w:cantSplit/>
        </w:trPr>
        <w:tc>
          <w:tcPr>
            <w:tcW w:w="1001" w:type="dxa"/>
          </w:tcPr>
          <w:p w14:paraId="71610CF7" w14:textId="77777777" w:rsidR="00B47D9D" w:rsidRPr="00267D96" w:rsidRDefault="00B47D9D" w:rsidP="005D0E24">
            <w:pPr>
              <w:pStyle w:val="Paragraph"/>
              <w:spacing w:before="0" w:line="240" w:lineRule="auto"/>
              <w:rPr>
                <w:i/>
              </w:rPr>
            </w:pPr>
            <w:r>
              <w:rPr>
                <w:i/>
              </w:rPr>
              <w:t>SMEC</w:t>
            </w:r>
          </w:p>
        </w:tc>
        <w:tc>
          <w:tcPr>
            <w:tcW w:w="9709" w:type="dxa"/>
          </w:tcPr>
          <w:p w14:paraId="333B4436" w14:textId="77777777" w:rsidR="00B47D9D" w:rsidRDefault="00B47D9D" w:rsidP="005D0E24">
            <w:pPr>
              <w:pStyle w:val="Paragraph"/>
              <w:spacing w:before="0" w:line="240" w:lineRule="auto"/>
            </w:pPr>
            <w:r>
              <w:t>System marginal energy cost (SMEC).</w:t>
            </w:r>
          </w:p>
        </w:tc>
      </w:tr>
      <w:tr w:rsidR="00B47D9D" w14:paraId="239BD37F" w14:textId="77777777" w:rsidTr="005D0E24">
        <w:trPr>
          <w:cantSplit/>
        </w:trPr>
        <w:tc>
          <w:tcPr>
            <w:tcW w:w="1001" w:type="dxa"/>
          </w:tcPr>
          <w:p w14:paraId="41D526DA" w14:textId="088BD0EB" w:rsidR="00B47D9D" w:rsidRDefault="00854973" w:rsidP="005D0E24">
            <w:pPr>
              <w:pStyle w:val="Paragraph"/>
              <w:spacing w:before="0" w:line="240" w:lineRule="auto"/>
              <w:rPr>
                <w:i/>
              </w:rPr>
            </w:pPr>
            <w:r>
              <w:rPr>
                <w:i/>
              </w:rPr>
              <w:t>MCL</w:t>
            </w:r>
          </w:p>
        </w:tc>
        <w:tc>
          <w:tcPr>
            <w:tcW w:w="9709" w:type="dxa"/>
          </w:tcPr>
          <w:p w14:paraId="29405223" w14:textId="384595E2" w:rsidR="00B47D9D" w:rsidRDefault="00B47D9D" w:rsidP="005D0E24">
            <w:pPr>
              <w:pStyle w:val="Paragraph"/>
              <w:spacing w:before="0" w:line="240" w:lineRule="auto"/>
            </w:pPr>
            <w:r>
              <w:t xml:space="preserve">Marginal </w:t>
            </w:r>
            <w:r w:rsidR="00854973">
              <w:t>cost</w:t>
            </w:r>
            <w:r w:rsidR="00F9524E">
              <w:t xml:space="preserve"> of</w:t>
            </w:r>
            <w:r w:rsidR="00854973">
              <w:t xml:space="preserve"> losses</w:t>
            </w:r>
            <w:r>
              <w:t xml:space="preserve"> (</w:t>
            </w:r>
            <w:r w:rsidR="00854973">
              <w:t>MCL</w:t>
            </w:r>
            <w:r>
              <w:t>).</w:t>
            </w:r>
          </w:p>
        </w:tc>
      </w:tr>
      <w:tr w:rsidR="00B47D9D" w14:paraId="1D569F9F" w14:textId="77777777" w:rsidTr="005D0E24">
        <w:trPr>
          <w:cantSplit/>
        </w:trPr>
        <w:tc>
          <w:tcPr>
            <w:tcW w:w="1001" w:type="dxa"/>
          </w:tcPr>
          <w:p w14:paraId="2C0D6D41" w14:textId="77777777" w:rsidR="00B47D9D" w:rsidRDefault="00B47D9D" w:rsidP="005D0E24">
            <w:pPr>
              <w:pStyle w:val="Paragraph"/>
              <w:spacing w:before="0" w:line="240" w:lineRule="auto"/>
              <w:rPr>
                <w:i/>
              </w:rPr>
            </w:pPr>
            <w:r>
              <w:rPr>
                <w:i/>
              </w:rPr>
              <w:t>MCC</w:t>
            </w:r>
          </w:p>
        </w:tc>
        <w:tc>
          <w:tcPr>
            <w:tcW w:w="9709" w:type="dxa"/>
          </w:tcPr>
          <w:p w14:paraId="1A252058" w14:textId="77777777" w:rsidR="00B47D9D" w:rsidRDefault="00B47D9D" w:rsidP="005D0E24">
            <w:pPr>
              <w:pStyle w:val="Paragraph"/>
              <w:spacing w:before="0" w:line="240" w:lineRule="auto"/>
            </w:pPr>
            <w:r>
              <w:t>Marginal congestion cost (MCC).</w:t>
            </w:r>
          </w:p>
        </w:tc>
      </w:tr>
      <w:tr w:rsidR="00B47D9D" w14:paraId="069AA912" w14:textId="77777777" w:rsidTr="005D0E24">
        <w:trPr>
          <w:cantSplit/>
        </w:trPr>
        <w:tc>
          <w:tcPr>
            <w:tcW w:w="1001" w:type="dxa"/>
          </w:tcPr>
          <w:p w14:paraId="1F364D76" w14:textId="77777777" w:rsidR="00B47D9D" w:rsidRDefault="00B47D9D" w:rsidP="005D0E24">
            <w:pPr>
              <w:pStyle w:val="Paragraph"/>
              <w:spacing w:before="0" w:line="240" w:lineRule="auto"/>
              <w:rPr>
                <w:i/>
              </w:rPr>
            </w:pPr>
            <w:r>
              <w:rPr>
                <w:i/>
              </w:rPr>
              <w:t>MGC</w:t>
            </w:r>
          </w:p>
        </w:tc>
        <w:tc>
          <w:tcPr>
            <w:tcW w:w="9709" w:type="dxa"/>
          </w:tcPr>
          <w:p w14:paraId="01467246" w14:textId="77777777" w:rsidR="00B47D9D" w:rsidRDefault="00B47D9D" w:rsidP="005D0E24">
            <w:pPr>
              <w:pStyle w:val="Paragraph"/>
              <w:spacing w:before="0" w:line="240" w:lineRule="auto"/>
            </w:pPr>
            <w:r>
              <w:t>Marginal greenhouse gas regulation cost (MGC).</w:t>
            </w:r>
          </w:p>
        </w:tc>
      </w:tr>
      <w:tr w:rsidR="00B47D9D" w:rsidRPr="00D56399" w14:paraId="3E7FC6A2" w14:textId="77777777" w:rsidTr="005D0E24">
        <w:trPr>
          <w:cantSplit/>
        </w:trPr>
        <w:tc>
          <w:tcPr>
            <w:tcW w:w="1001" w:type="dxa"/>
          </w:tcPr>
          <w:p w14:paraId="7654CF82" w14:textId="77777777" w:rsidR="00B47D9D" w:rsidRDefault="00B47D9D" w:rsidP="005D0E24">
            <w:pPr>
              <w:pStyle w:val="Paragraph"/>
              <w:spacing w:before="0" w:line="240" w:lineRule="auto"/>
              <w:rPr>
                <w:i/>
              </w:rPr>
            </w:pPr>
            <w:r>
              <w:rPr>
                <w:i/>
              </w:rPr>
              <w:t>MCC</w:t>
            </w:r>
            <w:r>
              <w:rPr>
                <w:i/>
                <w:vertAlign w:val="subscript"/>
              </w:rPr>
              <w:t>i,r</w:t>
            </w:r>
          </w:p>
        </w:tc>
        <w:tc>
          <w:tcPr>
            <w:tcW w:w="9709" w:type="dxa"/>
          </w:tcPr>
          <w:p w14:paraId="2EA9ADDD" w14:textId="77777777" w:rsidR="00B47D9D" w:rsidRPr="00D56399" w:rsidRDefault="00B47D9D" w:rsidP="005D0E24">
            <w:pPr>
              <w:pStyle w:val="Paragraph"/>
              <w:spacing w:before="0" w:line="240" w:lineRule="auto"/>
            </w:pPr>
            <w:r>
              <w:t xml:space="preserve">MCC component for BAA </w:t>
            </w:r>
            <w:r>
              <w:rPr>
                <w:i/>
              </w:rPr>
              <w:t>r</w:t>
            </w:r>
            <w:r>
              <w:t xml:space="preserve"> at node </w:t>
            </w:r>
            <w:r>
              <w:rPr>
                <w:i/>
              </w:rPr>
              <w:t>i</w:t>
            </w:r>
            <w:r>
              <w:t>.</w:t>
            </w:r>
          </w:p>
        </w:tc>
      </w:tr>
      <w:tr w:rsidR="00B47D9D" w:rsidRPr="00D56399" w14:paraId="79B174D6" w14:textId="77777777" w:rsidTr="005D0E24">
        <w:trPr>
          <w:cantSplit/>
        </w:trPr>
        <w:tc>
          <w:tcPr>
            <w:tcW w:w="1001" w:type="dxa"/>
          </w:tcPr>
          <w:p w14:paraId="46F41C67" w14:textId="77777777" w:rsidR="00B47D9D" w:rsidRDefault="00B47D9D" w:rsidP="005D0E24">
            <w:pPr>
              <w:pStyle w:val="Paragraph"/>
              <w:spacing w:before="0" w:line="240" w:lineRule="auto"/>
              <w:rPr>
                <w:i/>
              </w:rPr>
            </w:pPr>
            <w:r>
              <w:rPr>
                <w:i/>
              </w:rPr>
              <w:t>MCC</w:t>
            </w:r>
            <w:r>
              <w:rPr>
                <w:i/>
                <w:vertAlign w:val="subscript"/>
              </w:rPr>
              <w:t>j,k,l,r</w:t>
            </w:r>
          </w:p>
        </w:tc>
        <w:tc>
          <w:tcPr>
            <w:tcW w:w="9709" w:type="dxa"/>
          </w:tcPr>
          <w:p w14:paraId="1DF2764F" w14:textId="77777777" w:rsidR="00B47D9D" w:rsidRPr="00D56399" w:rsidRDefault="00B47D9D" w:rsidP="005D0E24">
            <w:pPr>
              <w:pStyle w:val="Paragraph"/>
              <w:spacing w:before="0" w:line="240" w:lineRule="auto"/>
            </w:pPr>
            <w:r>
              <w:t xml:space="preserve">MCC component for BAA </w:t>
            </w:r>
            <w:r>
              <w:rPr>
                <w:i/>
              </w:rPr>
              <w:t>r</w:t>
            </w:r>
            <w:r>
              <w:t xml:space="preserve"> for import/export schedule </w:t>
            </w:r>
            <w:r>
              <w:rPr>
                <w:i/>
              </w:rPr>
              <w:t>l</w:t>
            </w:r>
            <w:r>
              <w:t xml:space="preserve"> to/from BAA </w:t>
            </w:r>
            <w:r>
              <w:rPr>
                <w:i/>
              </w:rPr>
              <w:t>j</w:t>
            </w:r>
            <w:r>
              <w:t xml:space="preserve"> from/to BAA </w:t>
            </w:r>
            <w:r>
              <w:rPr>
                <w:i/>
              </w:rPr>
              <w:t>k</w:t>
            </w:r>
            <w:r>
              <w:t>.</w:t>
            </w:r>
          </w:p>
        </w:tc>
      </w:tr>
      <w:tr w:rsidR="00882856" w:rsidRPr="00D56399" w14:paraId="3CD4B85D" w14:textId="77777777" w:rsidTr="00F9524E">
        <w:trPr>
          <w:cantSplit/>
        </w:trPr>
        <w:tc>
          <w:tcPr>
            <w:tcW w:w="1001" w:type="dxa"/>
          </w:tcPr>
          <w:p w14:paraId="3508D246" w14:textId="424D3517" w:rsidR="00882856" w:rsidRDefault="00882856" w:rsidP="00882856">
            <w:pPr>
              <w:pStyle w:val="Paragraph"/>
              <w:spacing w:before="0" w:line="240" w:lineRule="auto"/>
              <w:rPr>
                <w:i/>
              </w:rPr>
            </w:pPr>
            <w:r>
              <w:rPr>
                <w:i/>
              </w:rPr>
              <w:lastRenderedPageBreak/>
              <w:t>b</w:t>
            </w:r>
            <w:r>
              <w:rPr>
                <w:i/>
                <w:vertAlign w:val="subscript"/>
              </w:rPr>
              <w:t>m</w:t>
            </w:r>
          </w:p>
        </w:tc>
        <w:tc>
          <w:tcPr>
            <w:tcW w:w="9709" w:type="dxa"/>
          </w:tcPr>
          <w:p w14:paraId="2E77967B" w14:textId="75C8202B" w:rsidR="00882856" w:rsidRDefault="00882856" w:rsidP="00882856">
            <w:pPr>
              <w:pStyle w:val="Paragraph"/>
              <w:spacing w:before="0" w:line="240" w:lineRule="auto"/>
            </w:pPr>
            <w:r>
              <w:t xml:space="preserve">Power flow limit for transmission constraint </w:t>
            </w:r>
            <w:r>
              <w:rPr>
                <w:i/>
              </w:rPr>
              <w:t>m</w:t>
            </w:r>
            <w:r>
              <w:t>.</w:t>
            </w:r>
          </w:p>
        </w:tc>
      </w:tr>
      <w:tr w:rsidR="007D1E46" w:rsidRPr="00D56399" w14:paraId="70248F6E" w14:textId="77777777" w:rsidTr="00F9524E">
        <w:trPr>
          <w:cantSplit/>
        </w:trPr>
        <w:tc>
          <w:tcPr>
            <w:tcW w:w="1001" w:type="dxa"/>
          </w:tcPr>
          <w:p w14:paraId="16A52CB5" w14:textId="459F5A7C" w:rsidR="007D1E46" w:rsidRDefault="007D1E46" w:rsidP="00882856">
            <w:pPr>
              <w:pStyle w:val="Paragraph"/>
              <w:spacing w:before="0" w:line="240" w:lineRule="auto"/>
              <w:rPr>
                <w:i/>
              </w:rPr>
            </w:pPr>
            <w:r>
              <w:rPr>
                <w:i/>
              </w:rPr>
              <w:t>T</w:t>
            </w:r>
            <w:r w:rsidRPr="005D0E24">
              <w:rPr>
                <w:i/>
                <w:vertAlign w:val="subscript"/>
              </w:rPr>
              <w:t>j</w:t>
            </w:r>
          </w:p>
        </w:tc>
        <w:tc>
          <w:tcPr>
            <w:tcW w:w="9709" w:type="dxa"/>
          </w:tcPr>
          <w:p w14:paraId="59B0D692" w14:textId="215518A2" w:rsidR="007D1E46" w:rsidRDefault="007D1E46" w:rsidP="00882856">
            <w:pPr>
              <w:pStyle w:val="Paragraph"/>
              <w:spacing w:before="0" w:line="240" w:lineRule="auto"/>
            </w:pPr>
            <w:r>
              <w:t>Net</w:t>
            </w:r>
            <w:r w:rsidR="005F24C1">
              <w:t xml:space="preserve"> WEIM </w:t>
            </w:r>
            <w:r>
              <w:t xml:space="preserve">Transfer of BAA </w:t>
            </w:r>
            <w:r w:rsidRPr="005D0E24">
              <w:rPr>
                <w:i/>
              </w:rPr>
              <w:t>j</w:t>
            </w:r>
            <w:r w:rsidR="006C3DAF" w:rsidRPr="005D0E24">
              <w:t>; positive for export and negative for import</w:t>
            </w:r>
            <w:r>
              <w:t>.</w:t>
            </w:r>
          </w:p>
        </w:tc>
      </w:tr>
      <w:tr w:rsidR="006C3DAF" w:rsidRPr="00D56399" w14:paraId="7B7E636B" w14:textId="77777777" w:rsidTr="00F9524E">
        <w:trPr>
          <w:cantSplit/>
        </w:trPr>
        <w:tc>
          <w:tcPr>
            <w:tcW w:w="1001" w:type="dxa"/>
          </w:tcPr>
          <w:p w14:paraId="0A8E2C73" w14:textId="0F782B32" w:rsidR="006C3DAF" w:rsidRDefault="006C3DAF" w:rsidP="006C3DAF">
            <w:pPr>
              <w:pStyle w:val="Paragraph"/>
              <w:spacing w:before="0" w:line="240" w:lineRule="auto"/>
              <w:rPr>
                <w:i/>
              </w:rPr>
            </w:pPr>
            <w:r w:rsidRPr="00267D96">
              <w:rPr>
                <w:i/>
              </w:rPr>
              <w:t>ET</w:t>
            </w:r>
            <w:r w:rsidRPr="00267D96">
              <w:rPr>
                <w:i/>
                <w:vertAlign w:val="subscript"/>
              </w:rPr>
              <w:t>j,k,l</w:t>
            </w:r>
          </w:p>
        </w:tc>
        <w:tc>
          <w:tcPr>
            <w:tcW w:w="9709" w:type="dxa"/>
          </w:tcPr>
          <w:p w14:paraId="0B4BF18D" w14:textId="101DE5FF" w:rsidR="006C3DAF" w:rsidRDefault="006C3DAF" w:rsidP="006C3DAF">
            <w:pPr>
              <w:pStyle w:val="Paragraph"/>
              <w:spacing w:before="0" w:line="240" w:lineRule="auto"/>
            </w:pPr>
            <w:r>
              <w:t xml:space="preserve">Export energy transfer (ETSR) schedule </w:t>
            </w:r>
            <w:r>
              <w:rPr>
                <w:i/>
              </w:rPr>
              <w:t>l</w:t>
            </w:r>
            <w:r>
              <w:t xml:space="preserve"> from BAA </w:t>
            </w:r>
            <w:r>
              <w:rPr>
                <w:i/>
              </w:rPr>
              <w:t>j</w:t>
            </w:r>
            <w:r>
              <w:t xml:space="preserve"> to BAA </w:t>
            </w:r>
            <w:r>
              <w:rPr>
                <w:i/>
              </w:rPr>
              <w:t>k</w:t>
            </w:r>
            <w:r>
              <w:t>.</w:t>
            </w:r>
          </w:p>
        </w:tc>
      </w:tr>
    </w:tbl>
    <w:tbl>
      <w:tblPr>
        <w:tblStyle w:val="TableGrid10"/>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720"/>
      </w:tblGrid>
      <w:tr w:rsidR="00B47D9D" w14:paraId="76823E9D" w14:textId="77777777" w:rsidTr="005D0E24">
        <w:trPr>
          <w:cantSplit/>
        </w:trPr>
        <w:tc>
          <w:tcPr>
            <w:tcW w:w="990" w:type="dxa"/>
          </w:tcPr>
          <w:p w14:paraId="27DC222A" w14:textId="77777777" w:rsidR="00B47D9D" w:rsidRPr="00267D96" w:rsidRDefault="00B47D9D" w:rsidP="005D0E24">
            <w:pPr>
              <w:pStyle w:val="Paragraph"/>
              <w:spacing w:before="0" w:line="240" w:lineRule="auto"/>
              <w:rPr>
                <w:i/>
              </w:rPr>
            </w:pPr>
            <w:r w:rsidRPr="00267D96">
              <w:rPr>
                <w:i/>
              </w:rPr>
              <w:t>R</w:t>
            </w:r>
            <w:r>
              <w:rPr>
                <w:i/>
                <w:vertAlign w:val="subscript"/>
              </w:rPr>
              <w:t>m</w:t>
            </w:r>
          </w:p>
        </w:tc>
        <w:tc>
          <w:tcPr>
            <w:tcW w:w="9720" w:type="dxa"/>
          </w:tcPr>
          <w:p w14:paraId="431778CE" w14:textId="77777777" w:rsidR="00B47D9D" w:rsidRDefault="00B47D9D" w:rsidP="005D0E24">
            <w:pPr>
              <w:pStyle w:val="Paragraph"/>
              <w:spacing w:before="0" w:line="240" w:lineRule="auto"/>
            </w:pPr>
            <w:r>
              <w:t xml:space="preserve">Congestion revenue from transmission constraint </w:t>
            </w:r>
            <w:r>
              <w:rPr>
                <w:i/>
              </w:rPr>
              <w:t>m</w:t>
            </w:r>
            <w:r>
              <w:t>.</w:t>
            </w:r>
          </w:p>
        </w:tc>
      </w:tr>
      <w:tr w:rsidR="00B47D9D" w14:paraId="7582560E" w14:textId="77777777" w:rsidTr="005D0E24">
        <w:trPr>
          <w:cantSplit/>
        </w:trPr>
        <w:tc>
          <w:tcPr>
            <w:tcW w:w="990" w:type="dxa"/>
          </w:tcPr>
          <w:p w14:paraId="7DA90DAF" w14:textId="77777777" w:rsidR="00B47D9D" w:rsidRPr="00267D96" w:rsidRDefault="00B47D9D" w:rsidP="005D0E24">
            <w:pPr>
              <w:pStyle w:val="Paragraph"/>
              <w:spacing w:before="0" w:line="240" w:lineRule="auto"/>
              <w:rPr>
                <w:i/>
              </w:rPr>
            </w:pPr>
            <w:r w:rsidRPr="00267D96">
              <w:rPr>
                <w:i/>
              </w:rPr>
              <w:t>R</w:t>
            </w:r>
            <w:r>
              <w:rPr>
                <w:i/>
                <w:vertAlign w:val="subscript"/>
              </w:rPr>
              <w:t>Tj</w:t>
            </w:r>
          </w:p>
        </w:tc>
        <w:tc>
          <w:tcPr>
            <w:tcW w:w="9720" w:type="dxa"/>
          </w:tcPr>
          <w:p w14:paraId="597EEE21" w14:textId="5CE0FE87" w:rsidR="00B47D9D" w:rsidRDefault="00B47D9D" w:rsidP="005D0E24">
            <w:pPr>
              <w:pStyle w:val="Paragraph"/>
              <w:spacing w:before="0" w:line="240" w:lineRule="auto"/>
            </w:pPr>
            <w:r>
              <w:t>Congestion revenue from</w:t>
            </w:r>
            <w:r w:rsidR="005F24C1">
              <w:t xml:space="preserve"> WEIM </w:t>
            </w:r>
            <w:r>
              <w:t xml:space="preserve">transfer scheduling limits for BAA </w:t>
            </w:r>
            <w:r>
              <w:rPr>
                <w:i/>
              </w:rPr>
              <w:t>j</w:t>
            </w:r>
            <w:r>
              <w:t>.</w:t>
            </w:r>
          </w:p>
        </w:tc>
      </w:tr>
      <w:tr w:rsidR="00B47D9D" w14:paraId="115EBB7E" w14:textId="77777777" w:rsidTr="005D0E24">
        <w:trPr>
          <w:cantSplit/>
        </w:trPr>
        <w:tc>
          <w:tcPr>
            <w:tcW w:w="990" w:type="dxa"/>
          </w:tcPr>
          <w:p w14:paraId="242C50C6" w14:textId="77777777" w:rsidR="00B47D9D" w:rsidRPr="00267D96" w:rsidRDefault="00B47D9D" w:rsidP="005D0E24">
            <w:pPr>
              <w:pStyle w:val="Paragraph"/>
              <w:spacing w:before="0" w:line="240" w:lineRule="auto"/>
              <w:rPr>
                <w:i/>
              </w:rPr>
            </w:pPr>
            <w:r w:rsidRPr="00267D96">
              <w:rPr>
                <w:i/>
              </w:rPr>
              <w:t>R</w:t>
            </w:r>
            <w:r w:rsidRPr="00267D96">
              <w:rPr>
                <w:i/>
                <w:vertAlign w:val="subscript"/>
              </w:rPr>
              <w:t>j,k,l</w:t>
            </w:r>
          </w:p>
        </w:tc>
        <w:tc>
          <w:tcPr>
            <w:tcW w:w="9720" w:type="dxa"/>
          </w:tcPr>
          <w:p w14:paraId="53236ECE" w14:textId="77777777" w:rsidR="00B47D9D" w:rsidRDefault="00B47D9D" w:rsidP="005D0E24">
            <w:pPr>
              <w:pStyle w:val="Paragraph"/>
              <w:spacing w:before="0" w:line="240" w:lineRule="auto"/>
            </w:pPr>
            <w:r>
              <w:t xml:space="preserve">Congestion revenue from ETSR </w:t>
            </w:r>
            <w:r w:rsidRPr="00267D96">
              <w:rPr>
                <w:i/>
              </w:rPr>
              <w:t>ET</w:t>
            </w:r>
            <w:r w:rsidRPr="00267D96">
              <w:rPr>
                <w:i/>
                <w:vertAlign w:val="subscript"/>
              </w:rPr>
              <w:t>j,k,l</w:t>
            </w:r>
            <w:r>
              <w:t>.</w:t>
            </w:r>
          </w:p>
        </w:tc>
      </w:tr>
      <w:tr w:rsidR="00B47D9D" w14:paraId="6E0E5FA6" w14:textId="77777777" w:rsidTr="005D0E24">
        <w:trPr>
          <w:cantSplit/>
        </w:trPr>
        <w:tc>
          <w:tcPr>
            <w:tcW w:w="990" w:type="dxa"/>
          </w:tcPr>
          <w:p w14:paraId="7A4B7E67" w14:textId="77777777" w:rsidR="00B47D9D" w:rsidRPr="00267D96" w:rsidRDefault="00B47D9D" w:rsidP="005D0E24">
            <w:pPr>
              <w:pStyle w:val="Paragraph"/>
              <w:spacing w:before="0" w:line="240" w:lineRule="auto"/>
              <w:rPr>
                <w:i/>
              </w:rPr>
            </w:pPr>
            <w:r w:rsidRPr="00267D96">
              <w:rPr>
                <w:i/>
              </w:rPr>
              <w:t>R</w:t>
            </w:r>
            <w:r w:rsidRPr="00942E54">
              <w:rPr>
                <w:i/>
                <w:vertAlign w:val="subscript"/>
              </w:rPr>
              <w:t>D</w:t>
            </w:r>
            <w:r w:rsidRPr="00267D96">
              <w:rPr>
                <w:i/>
                <w:vertAlign w:val="subscript"/>
              </w:rPr>
              <w:t>j</w:t>
            </w:r>
          </w:p>
        </w:tc>
        <w:tc>
          <w:tcPr>
            <w:tcW w:w="9720" w:type="dxa"/>
          </w:tcPr>
          <w:p w14:paraId="3D3D2702" w14:textId="6D23F60F" w:rsidR="00B47D9D" w:rsidRDefault="00B47D9D" w:rsidP="005D0E24">
            <w:pPr>
              <w:pStyle w:val="Paragraph"/>
              <w:spacing w:before="0" w:line="240" w:lineRule="auto"/>
            </w:pPr>
            <w:r>
              <w:t>Congestion revenue from the</w:t>
            </w:r>
            <w:r w:rsidR="005F24C1">
              <w:t xml:space="preserve"> WEIM </w:t>
            </w:r>
            <w:r>
              <w:t xml:space="preserve">transfer distribution constraint for BAA </w:t>
            </w:r>
            <w:r>
              <w:rPr>
                <w:i/>
              </w:rPr>
              <w:t>j</w:t>
            </w:r>
            <w:r>
              <w:t>.</w:t>
            </w:r>
          </w:p>
        </w:tc>
      </w:tr>
      <w:tr w:rsidR="00B47D9D" w14:paraId="1EC1C14C" w14:textId="77777777" w:rsidTr="005D0E24">
        <w:trPr>
          <w:cantSplit/>
        </w:trPr>
        <w:tc>
          <w:tcPr>
            <w:tcW w:w="990" w:type="dxa"/>
          </w:tcPr>
          <w:p w14:paraId="38786109" w14:textId="77777777" w:rsidR="00B47D9D" w:rsidRPr="00267D96" w:rsidRDefault="00B47D9D" w:rsidP="005D0E24">
            <w:pPr>
              <w:pStyle w:val="Paragraph"/>
              <w:spacing w:before="0" w:line="240" w:lineRule="auto"/>
              <w:rPr>
                <w:i/>
              </w:rPr>
            </w:pPr>
            <w:r w:rsidRPr="00267D96">
              <w:rPr>
                <w:i/>
              </w:rPr>
              <w:t>R</w:t>
            </w:r>
            <w:r w:rsidRPr="00942E54">
              <w:rPr>
                <w:i/>
                <w:vertAlign w:val="subscript"/>
              </w:rPr>
              <w:t>D</w:t>
            </w:r>
          </w:p>
        </w:tc>
        <w:tc>
          <w:tcPr>
            <w:tcW w:w="9720" w:type="dxa"/>
          </w:tcPr>
          <w:p w14:paraId="7D2F6850" w14:textId="790C769F" w:rsidR="00B47D9D" w:rsidRDefault="00B47D9D" w:rsidP="005D0E24">
            <w:pPr>
              <w:pStyle w:val="Paragraph"/>
              <w:spacing w:before="0" w:line="240" w:lineRule="auto"/>
            </w:pPr>
            <w:r>
              <w:t>Congestion revenue from all</w:t>
            </w:r>
            <w:r w:rsidR="005F24C1">
              <w:t xml:space="preserve"> WEIM </w:t>
            </w:r>
            <w:r>
              <w:t>transfer distribution constraints.</w:t>
            </w:r>
          </w:p>
        </w:tc>
      </w:tr>
      <w:tr w:rsidR="00B47D9D" w14:paraId="46DF6EF6" w14:textId="77777777" w:rsidTr="005D0E24">
        <w:trPr>
          <w:cantSplit/>
        </w:trPr>
        <w:tc>
          <w:tcPr>
            <w:tcW w:w="990" w:type="dxa"/>
          </w:tcPr>
          <w:p w14:paraId="0A213A62" w14:textId="77777777" w:rsidR="00B47D9D" w:rsidRPr="00267D96" w:rsidRDefault="00B47D9D" w:rsidP="005D0E24">
            <w:pPr>
              <w:pStyle w:val="Paragraph"/>
              <w:spacing w:before="0" w:line="240" w:lineRule="auto"/>
              <w:rPr>
                <w:i/>
              </w:rPr>
            </w:pPr>
            <w:r w:rsidRPr="00267D96">
              <w:rPr>
                <w:i/>
              </w:rPr>
              <w:t>R</w:t>
            </w:r>
            <w:r>
              <w:rPr>
                <w:i/>
                <w:vertAlign w:val="subscript"/>
              </w:rPr>
              <w:t>CT</w:t>
            </w:r>
            <w:r w:rsidRPr="00267D96">
              <w:rPr>
                <w:i/>
                <w:vertAlign w:val="subscript"/>
              </w:rPr>
              <w:t>j,k,l</w:t>
            </w:r>
          </w:p>
        </w:tc>
        <w:tc>
          <w:tcPr>
            <w:tcW w:w="9720" w:type="dxa"/>
          </w:tcPr>
          <w:p w14:paraId="37C976CD" w14:textId="77777777" w:rsidR="00B47D9D" w:rsidRDefault="00B47D9D" w:rsidP="005D0E24">
            <w:pPr>
              <w:pStyle w:val="Paragraph"/>
              <w:spacing w:before="0" w:line="240" w:lineRule="auto"/>
            </w:pPr>
            <w:r>
              <w:t xml:space="preserve">Congestion revenue from the transmission cost of the energy transfer schedule </w:t>
            </w:r>
            <w:r w:rsidRPr="00F13B3E">
              <w:rPr>
                <w:i/>
              </w:rPr>
              <w:t>l</w:t>
            </w:r>
            <w:r>
              <w:t xml:space="preserve"> between BAAs </w:t>
            </w:r>
            <w:r>
              <w:rPr>
                <w:i/>
              </w:rPr>
              <w:t>j</w:t>
            </w:r>
            <w:r>
              <w:t xml:space="preserve"> and </w:t>
            </w:r>
            <w:r>
              <w:rPr>
                <w:i/>
              </w:rPr>
              <w:t>k</w:t>
            </w:r>
            <w:r>
              <w:t>.</w:t>
            </w:r>
          </w:p>
        </w:tc>
      </w:tr>
      <w:tr w:rsidR="00B47D9D" w14:paraId="5EDB4983" w14:textId="77777777" w:rsidTr="005D0E24">
        <w:trPr>
          <w:cantSplit/>
        </w:trPr>
        <w:tc>
          <w:tcPr>
            <w:tcW w:w="990" w:type="dxa"/>
          </w:tcPr>
          <w:p w14:paraId="04B0C111" w14:textId="77777777" w:rsidR="00B47D9D" w:rsidRPr="00267D96" w:rsidRDefault="00B47D9D" w:rsidP="005D0E24">
            <w:pPr>
              <w:pStyle w:val="Paragraph"/>
              <w:spacing w:before="0" w:line="240" w:lineRule="auto"/>
              <w:rPr>
                <w:i/>
              </w:rPr>
            </w:pPr>
            <w:r w:rsidRPr="00267D96">
              <w:rPr>
                <w:i/>
              </w:rPr>
              <w:t>R</w:t>
            </w:r>
            <w:r>
              <w:rPr>
                <w:i/>
                <w:vertAlign w:val="subscript"/>
              </w:rPr>
              <w:t>ET</w:t>
            </w:r>
            <w:r w:rsidRPr="00267D96">
              <w:rPr>
                <w:i/>
                <w:vertAlign w:val="subscript"/>
              </w:rPr>
              <w:t>j,k,l</w:t>
            </w:r>
          </w:p>
        </w:tc>
        <w:tc>
          <w:tcPr>
            <w:tcW w:w="9720" w:type="dxa"/>
          </w:tcPr>
          <w:p w14:paraId="0BEB59A8" w14:textId="77777777" w:rsidR="00B47D9D" w:rsidRDefault="00B47D9D" w:rsidP="005D0E24">
            <w:pPr>
              <w:pStyle w:val="Paragraph"/>
              <w:spacing w:before="0" w:line="240" w:lineRule="auto"/>
            </w:pPr>
            <w:r>
              <w:t xml:space="preserve">Congestion revenue from the upper/lower bound constraints on ETSR </w:t>
            </w:r>
            <w:r w:rsidRPr="00267D96">
              <w:rPr>
                <w:i/>
              </w:rPr>
              <w:t>ET</w:t>
            </w:r>
            <w:r w:rsidRPr="00267D96">
              <w:rPr>
                <w:i/>
                <w:vertAlign w:val="subscript"/>
              </w:rPr>
              <w:t>j,k,l</w:t>
            </w:r>
            <w:r>
              <w:t>.</w:t>
            </w:r>
          </w:p>
        </w:tc>
      </w:tr>
      <w:tr w:rsidR="00B47D9D" w14:paraId="15007D48" w14:textId="77777777" w:rsidTr="005D0E24">
        <w:trPr>
          <w:cantSplit/>
        </w:trPr>
        <w:tc>
          <w:tcPr>
            <w:tcW w:w="990" w:type="dxa"/>
          </w:tcPr>
          <w:p w14:paraId="1DA00B5F" w14:textId="77777777" w:rsidR="00B47D9D" w:rsidRPr="00267D96" w:rsidRDefault="00B47D9D" w:rsidP="005D0E24">
            <w:pPr>
              <w:pStyle w:val="Paragraph"/>
              <w:spacing w:before="0" w:line="240" w:lineRule="auto"/>
              <w:rPr>
                <w:i/>
              </w:rPr>
            </w:pPr>
            <w:r w:rsidRPr="00267D96">
              <w:rPr>
                <w:i/>
              </w:rPr>
              <w:t>R</w:t>
            </w:r>
            <w:r>
              <w:rPr>
                <w:i/>
                <w:vertAlign w:val="subscript"/>
              </w:rPr>
              <w:t>SL</w:t>
            </w:r>
            <w:r w:rsidRPr="00267D96">
              <w:rPr>
                <w:i/>
                <w:vertAlign w:val="subscript"/>
              </w:rPr>
              <w:t>j,k,l</w:t>
            </w:r>
          </w:p>
        </w:tc>
        <w:tc>
          <w:tcPr>
            <w:tcW w:w="9720" w:type="dxa"/>
          </w:tcPr>
          <w:p w14:paraId="1FE0FAC1" w14:textId="77777777" w:rsidR="00B47D9D" w:rsidRDefault="00B47D9D" w:rsidP="005D0E24">
            <w:pPr>
              <w:pStyle w:val="Paragraph"/>
              <w:spacing w:before="0" w:line="240" w:lineRule="auto"/>
            </w:pPr>
            <w:r>
              <w:t xml:space="preserve">Congestion revenue from the upper/lower scheduling limits on intertie </w:t>
            </w:r>
            <w:r>
              <w:rPr>
                <w:i/>
              </w:rPr>
              <w:t>l</w:t>
            </w:r>
            <w:r>
              <w:t xml:space="preserve"> to BAA </w:t>
            </w:r>
            <w:r>
              <w:rPr>
                <w:i/>
              </w:rPr>
              <w:t>j</w:t>
            </w:r>
            <w:r>
              <w:t xml:space="preserve"> from BAA </w:t>
            </w:r>
            <w:r>
              <w:rPr>
                <w:i/>
              </w:rPr>
              <w:t>k</w:t>
            </w:r>
            <w:r>
              <w:t>, on interties with energy transfers.</w:t>
            </w:r>
          </w:p>
        </w:tc>
      </w:tr>
      <w:tr w:rsidR="00B47D9D" w14:paraId="4DE34B2E" w14:textId="77777777" w:rsidTr="005D0E24">
        <w:trPr>
          <w:cantSplit/>
        </w:trPr>
        <w:tc>
          <w:tcPr>
            <w:tcW w:w="990" w:type="dxa"/>
          </w:tcPr>
          <w:p w14:paraId="4ED2EB5A" w14:textId="77777777" w:rsidR="00B47D9D" w:rsidRPr="00267D96" w:rsidRDefault="00B47D9D" w:rsidP="005D0E24">
            <w:pPr>
              <w:pStyle w:val="Paragraph"/>
              <w:spacing w:before="0" w:line="240" w:lineRule="auto"/>
              <w:rPr>
                <w:i/>
              </w:rPr>
            </w:pPr>
            <w:r>
              <w:rPr>
                <w:i/>
              </w:rPr>
              <w:t>f</w:t>
            </w:r>
            <w:r>
              <w:rPr>
                <w:i/>
                <w:vertAlign w:val="subscript"/>
              </w:rPr>
              <w:t>m,r</w:t>
            </w:r>
          </w:p>
        </w:tc>
        <w:tc>
          <w:tcPr>
            <w:tcW w:w="9720" w:type="dxa"/>
          </w:tcPr>
          <w:p w14:paraId="0C9BBE61" w14:textId="77777777" w:rsidR="00B47D9D" w:rsidRDefault="00B47D9D" w:rsidP="005D0E24">
            <w:pPr>
              <w:pStyle w:val="Paragraph"/>
              <w:spacing w:before="0" w:line="240" w:lineRule="auto"/>
            </w:pPr>
            <w:r>
              <w:t xml:space="preserve">Congestion revenue distribution factor from transmission constraint </w:t>
            </w:r>
            <w:r>
              <w:rPr>
                <w:i/>
              </w:rPr>
              <w:t>m</w:t>
            </w:r>
            <w:r>
              <w:t xml:space="preserve"> on BAA </w:t>
            </w:r>
            <w:r>
              <w:rPr>
                <w:i/>
              </w:rPr>
              <w:t>r</w:t>
            </w:r>
            <w:r>
              <w:t>.</w:t>
            </w:r>
          </w:p>
        </w:tc>
      </w:tr>
      <w:tr w:rsidR="00B47D9D" w14:paraId="6D40E816" w14:textId="77777777" w:rsidTr="005D0E24">
        <w:trPr>
          <w:cantSplit/>
        </w:trPr>
        <w:tc>
          <w:tcPr>
            <w:tcW w:w="990" w:type="dxa"/>
          </w:tcPr>
          <w:p w14:paraId="23C8098A" w14:textId="77777777" w:rsidR="00B47D9D" w:rsidRPr="00267D96" w:rsidRDefault="00B47D9D" w:rsidP="005D0E24">
            <w:pPr>
              <w:pStyle w:val="Paragraph"/>
              <w:spacing w:before="0" w:line="240" w:lineRule="auto"/>
              <w:rPr>
                <w:i/>
              </w:rPr>
            </w:pPr>
            <w:r>
              <w:rPr>
                <w:i/>
              </w:rPr>
              <w:t>f</w:t>
            </w:r>
            <w:r>
              <w:rPr>
                <w:i/>
                <w:vertAlign w:val="subscript"/>
              </w:rPr>
              <w:t>T,j,r</w:t>
            </w:r>
          </w:p>
        </w:tc>
        <w:tc>
          <w:tcPr>
            <w:tcW w:w="9720" w:type="dxa"/>
          </w:tcPr>
          <w:p w14:paraId="4C22C734" w14:textId="3591D0A6" w:rsidR="00B47D9D" w:rsidRDefault="00B47D9D" w:rsidP="005D0E24">
            <w:pPr>
              <w:pStyle w:val="Paragraph"/>
              <w:spacing w:before="0" w:line="240" w:lineRule="auto"/>
            </w:pPr>
            <w:r>
              <w:t>Congestion revenue distribution factor from</w:t>
            </w:r>
            <w:r w:rsidR="005F24C1">
              <w:t xml:space="preserve"> WEIM </w:t>
            </w:r>
            <w:r>
              <w:t xml:space="preserve">transfer scheduling limits for BAA </w:t>
            </w:r>
            <w:r>
              <w:rPr>
                <w:i/>
              </w:rPr>
              <w:t>j</w:t>
            </w:r>
            <w:r>
              <w:t xml:space="preserve"> on BAA </w:t>
            </w:r>
            <w:r>
              <w:rPr>
                <w:i/>
              </w:rPr>
              <w:t>r</w:t>
            </w:r>
            <w:r>
              <w:t>.</w:t>
            </w:r>
          </w:p>
        </w:tc>
      </w:tr>
      <w:tr w:rsidR="00B47D9D" w14:paraId="3E750DA5" w14:textId="77777777" w:rsidTr="005D0E24">
        <w:trPr>
          <w:cantSplit/>
        </w:trPr>
        <w:tc>
          <w:tcPr>
            <w:tcW w:w="990" w:type="dxa"/>
          </w:tcPr>
          <w:p w14:paraId="6E1477CB" w14:textId="77777777" w:rsidR="00B47D9D" w:rsidRPr="00267D96" w:rsidRDefault="00B47D9D" w:rsidP="005D0E24">
            <w:pPr>
              <w:pStyle w:val="Paragraph"/>
              <w:spacing w:before="0" w:line="240" w:lineRule="auto"/>
              <w:rPr>
                <w:i/>
              </w:rPr>
            </w:pPr>
            <w:r>
              <w:rPr>
                <w:i/>
              </w:rPr>
              <w:t>f</w:t>
            </w:r>
            <w:r>
              <w:rPr>
                <w:i/>
                <w:vertAlign w:val="subscript"/>
              </w:rPr>
              <w:t>CT,j,k,l,r</w:t>
            </w:r>
          </w:p>
        </w:tc>
        <w:tc>
          <w:tcPr>
            <w:tcW w:w="9720" w:type="dxa"/>
          </w:tcPr>
          <w:p w14:paraId="2244A4DA" w14:textId="77777777" w:rsidR="00B47D9D" w:rsidRDefault="00B47D9D" w:rsidP="005D0E24">
            <w:pPr>
              <w:pStyle w:val="Paragraph"/>
              <w:spacing w:before="0" w:line="240" w:lineRule="auto"/>
            </w:pPr>
            <w:r>
              <w:t xml:space="preserve">Congestion revenue distribution factor from transmission cost of the energy transfer schedule </w:t>
            </w:r>
            <w:r w:rsidRPr="00F13B3E">
              <w:rPr>
                <w:i/>
              </w:rPr>
              <w:t>l</w:t>
            </w:r>
            <w:r>
              <w:t xml:space="preserve"> between BAAs </w:t>
            </w:r>
            <w:r>
              <w:rPr>
                <w:i/>
              </w:rPr>
              <w:t>j</w:t>
            </w:r>
            <w:r>
              <w:t xml:space="preserve"> and </w:t>
            </w:r>
            <w:r>
              <w:rPr>
                <w:i/>
              </w:rPr>
              <w:t>k</w:t>
            </w:r>
            <w:r>
              <w:t xml:space="preserve"> on BAA </w:t>
            </w:r>
            <w:r>
              <w:rPr>
                <w:i/>
              </w:rPr>
              <w:t>r</w:t>
            </w:r>
            <w:r>
              <w:t>.</w:t>
            </w:r>
          </w:p>
        </w:tc>
      </w:tr>
      <w:tr w:rsidR="00B47D9D" w14:paraId="232121F5" w14:textId="77777777" w:rsidTr="005D0E24">
        <w:trPr>
          <w:cantSplit/>
        </w:trPr>
        <w:tc>
          <w:tcPr>
            <w:tcW w:w="990" w:type="dxa"/>
          </w:tcPr>
          <w:p w14:paraId="2B99539A" w14:textId="77777777" w:rsidR="00B47D9D" w:rsidRPr="00267D96" w:rsidRDefault="00B47D9D" w:rsidP="005D0E24">
            <w:pPr>
              <w:pStyle w:val="Paragraph"/>
              <w:spacing w:before="0" w:line="240" w:lineRule="auto"/>
              <w:rPr>
                <w:i/>
              </w:rPr>
            </w:pPr>
            <w:r>
              <w:rPr>
                <w:i/>
              </w:rPr>
              <w:t>f</w:t>
            </w:r>
            <w:r>
              <w:rPr>
                <w:i/>
                <w:vertAlign w:val="subscript"/>
              </w:rPr>
              <w:t>ET,j,k,l,r</w:t>
            </w:r>
          </w:p>
        </w:tc>
        <w:tc>
          <w:tcPr>
            <w:tcW w:w="9720" w:type="dxa"/>
          </w:tcPr>
          <w:p w14:paraId="3428FA8F" w14:textId="77777777" w:rsidR="00B47D9D" w:rsidRDefault="00B47D9D" w:rsidP="005D0E24">
            <w:pPr>
              <w:pStyle w:val="Paragraph"/>
              <w:spacing w:before="0" w:line="240" w:lineRule="auto"/>
            </w:pPr>
            <w:r>
              <w:t xml:space="preserve">Congestion revenue distribution factor from upper/lower bound constraints on export energy transfer schedule </w:t>
            </w:r>
            <w:r>
              <w:rPr>
                <w:i/>
              </w:rPr>
              <w:t>l</w:t>
            </w:r>
            <w:r>
              <w:t xml:space="preserve"> from BAA </w:t>
            </w:r>
            <w:r>
              <w:rPr>
                <w:i/>
              </w:rPr>
              <w:t>j</w:t>
            </w:r>
            <w:r>
              <w:t xml:space="preserve"> to BAA </w:t>
            </w:r>
            <w:r>
              <w:rPr>
                <w:i/>
              </w:rPr>
              <w:t>k</w:t>
            </w:r>
            <w:r>
              <w:t xml:space="preserve"> on BAA </w:t>
            </w:r>
            <w:r>
              <w:rPr>
                <w:i/>
              </w:rPr>
              <w:t>r.</w:t>
            </w:r>
          </w:p>
        </w:tc>
      </w:tr>
      <w:tr w:rsidR="00B47D9D" w14:paraId="02F4B2A7" w14:textId="77777777" w:rsidTr="005D0E24">
        <w:trPr>
          <w:cantSplit/>
        </w:trPr>
        <w:tc>
          <w:tcPr>
            <w:tcW w:w="990" w:type="dxa"/>
          </w:tcPr>
          <w:p w14:paraId="49207DF5" w14:textId="77777777" w:rsidR="00B47D9D" w:rsidRPr="00267D96" w:rsidRDefault="00B47D9D" w:rsidP="00B255B1">
            <w:pPr>
              <w:pStyle w:val="Paragraph"/>
              <w:spacing w:before="0" w:line="240" w:lineRule="auto"/>
              <w:rPr>
                <w:i/>
              </w:rPr>
            </w:pPr>
            <w:r>
              <w:rPr>
                <w:i/>
              </w:rPr>
              <w:t>f</w:t>
            </w:r>
            <w:r>
              <w:rPr>
                <w:i/>
                <w:vertAlign w:val="subscript"/>
              </w:rPr>
              <w:t>SL,j,k,l,r</w:t>
            </w:r>
          </w:p>
        </w:tc>
        <w:tc>
          <w:tcPr>
            <w:tcW w:w="9720" w:type="dxa"/>
          </w:tcPr>
          <w:p w14:paraId="7E8D048E" w14:textId="77777777" w:rsidR="00B47D9D" w:rsidRDefault="00B47D9D" w:rsidP="00B255B1">
            <w:pPr>
              <w:pStyle w:val="Paragraph"/>
              <w:spacing w:before="0" w:line="240" w:lineRule="auto"/>
            </w:pPr>
            <w:r>
              <w:t xml:space="preserve">Congestion revenue distribution factor from upper/lower scheduling limits on intertie </w:t>
            </w:r>
            <w:r>
              <w:rPr>
                <w:i/>
              </w:rPr>
              <w:t>l</w:t>
            </w:r>
            <w:r>
              <w:t xml:space="preserve"> to BAA </w:t>
            </w:r>
            <w:r>
              <w:rPr>
                <w:i/>
              </w:rPr>
              <w:t>j</w:t>
            </w:r>
            <w:r>
              <w:t xml:space="preserve"> from BAA </w:t>
            </w:r>
            <w:r>
              <w:rPr>
                <w:i/>
              </w:rPr>
              <w:t>k</w:t>
            </w:r>
            <w:r>
              <w:t xml:space="preserve"> on BAA </w:t>
            </w:r>
            <w:r>
              <w:rPr>
                <w:i/>
              </w:rPr>
              <w:t>r</w:t>
            </w:r>
            <w:r>
              <w:t>.</w:t>
            </w:r>
          </w:p>
        </w:tc>
      </w:tr>
      <w:tr w:rsidR="00B47D9D" w14:paraId="3310FEB2" w14:textId="77777777" w:rsidTr="005D0E24">
        <w:trPr>
          <w:cantSplit/>
        </w:trPr>
        <w:tc>
          <w:tcPr>
            <w:tcW w:w="990" w:type="dxa"/>
          </w:tcPr>
          <w:p w14:paraId="007655E9" w14:textId="77777777" w:rsidR="00B47D9D" w:rsidRPr="00267D96" w:rsidRDefault="00B47D9D" w:rsidP="00B255B1">
            <w:pPr>
              <w:pStyle w:val="Paragraph"/>
              <w:spacing w:before="0" w:line="240" w:lineRule="auto"/>
              <w:rPr>
                <w:i/>
              </w:rPr>
            </w:pPr>
            <w:r>
              <w:rPr>
                <w:i/>
              </w:rPr>
              <w:t>f</w:t>
            </w:r>
            <w:r>
              <w:rPr>
                <w:i/>
                <w:vertAlign w:val="subscript"/>
              </w:rPr>
              <w:t>Dr</w:t>
            </w:r>
          </w:p>
        </w:tc>
        <w:tc>
          <w:tcPr>
            <w:tcW w:w="9720" w:type="dxa"/>
          </w:tcPr>
          <w:p w14:paraId="56CA89B0" w14:textId="77CB3AF9" w:rsidR="00B47D9D" w:rsidRDefault="00B47D9D" w:rsidP="00B255B1">
            <w:pPr>
              <w:pStyle w:val="Paragraph"/>
              <w:spacing w:before="0" w:line="240" w:lineRule="auto"/>
            </w:pPr>
            <w:r>
              <w:t>Distribution factor for the shadow price of the energy transfer distribution constraint of any BAA in the</w:t>
            </w:r>
            <w:r w:rsidR="005F24C1">
              <w:t xml:space="preserve"> WEIM </w:t>
            </w:r>
            <w:r>
              <w:t xml:space="preserve">Area on BAA </w:t>
            </w:r>
            <w:r>
              <w:rPr>
                <w:i/>
              </w:rPr>
              <w:t>r</w:t>
            </w:r>
            <w:r>
              <w:t>.</w:t>
            </w:r>
          </w:p>
        </w:tc>
      </w:tr>
    </w:tbl>
    <w:p w14:paraId="2E07D0A0" w14:textId="77777777" w:rsidR="00B47D9D" w:rsidRDefault="00B47D9D" w:rsidP="00B47D9D"/>
    <w:p w14:paraId="7CDB5B6B" w14:textId="77777777" w:rsidR="00B47D9D" w:rsidRDefault="00B47D9D" w:rsidP="00B47D9D">
      <w:pPr>
        <w:pStyle w:val="Heading5"/>
      </w:pPr>
      <w:r w:rsidRPr="00C71D25">
        <w:t>Congestion Revenue Allocation (MCC Decomposition</w:t>
      </w:r>
      <w:r>
        <w:t>)</w:t>
      </w:r>
    </w:p>
    <w:p w14:paraId="4EB0088D" w14:textId="42D78201" w:rsidR="00CD272F" w:rsidRDefault="00B255B1" w:rsidP="00B255B1">
      <w:r>
        <w:t xml:space="preserve">The LMP decomposition is used in neutrality cost allocation. </w:t>
      </w:r>
      <w:r w:rsidR="001545F7">
        <w:t xml:space="preserve">Before presenting the MCC decomposition, it is useful to present </w:t>
      </w:r>
      <w:r w:rsidR="00CD272F">
        <w:t>all LMP components first. The LMP can be decomposed to the following components:</w:t>
      </w:r>
    </w:p>
    <w:p w14:paraId="5244F7F7" w14:textId="77777777" w:rsidR="00CD272F" w:rsidRDefault="00CD272F" w:rsidP="00E80005">
      <w:pPr>
        <w:pStyle w:val="Paragraph"/>
        <w:numPr>
          <w:ilvl w:val="0"/>
          <w:numId w:val="73"/>
        </w:numPr>
        <w:spacing w:after="0" w:line="240" w:lineRule="auto"/>
        <w:jc w:val="both"/>
      </w:pPr>
      <w:r>
        <w:t>the System marginal energy cost (SMEC)</w:t>
      </w:r>
      <w:r w:rsidRPr="00DD507C">
        <w:t xml:space="preserve"> </w:t>
      </w:r>
      <w:r>
        <w:t>component;</w:t>
      </w:r>
    </w:p>
    <w:p w14:paraId="3AE9AA67" w14:textId="60C3CA9C" w:rsidR="00CD272F" w:rsidRDefault="00CD272F" w:rsidP="00E80005">
      <w:pPr>
        <w:pStyle w:val="Paragraph"/>
        <w:numPr>
          <w:ilvl w:val="0"/>
          <w:numId w:val="73"/>
        </w:numPr>
        <w:spacing w:after="0" w:line="240" w:lineRule="auto"/>
        <w:jc w:val="both"/>
      </w:pPr>
      <w:r>
        <w:lastRenderedPageBreak/>
        <w:t>the marginal cost</w:t>
      </w:r>
      <w:r w:rsidR="00F7061B">
        <w:t xml:space="preserve"> of losses (M</w:t>
      </w:r>
      <w:r>
        <w:t>C</w:t>
      </w:r>
      <w:r w:rsidR="00F7061B">
        <w:t>L</w:t>
      </w:r>
      <w:r>
        <w:t>)</w:t>
      </w:r>
      <w:r w:rsidRPr="00DD507C">
        <w:t xml:space="preserve"> </w:t>
      </w:r>
      <w:r>
        <w:t>component;</w:t>
      </w:r>
    </w:p>
    <w:p w14:paraId="313B0BEF" w14:textId="77777777" w:rsidR="00CD272F" w:rsidRDefault="00CD272F" w:rsidP="00E80005">
      <w:pPr>
        <w:pStyle w:val="Paragraph"/>
        <w:numPr>
          <w:ilvl w:val="0"/>
          <w:numId w:val="73"/>
        </w:numPr>
        <w:spacing w:after="0" w:line="240" w:lineRule="auto"/>
        <w:jc w:val="both"/>
      </w:pPr>
      <w:r>
        <w:t>the marginal congestion cost (MCC) component; and</w:t>
      </w:r>
    </w:p>
    <w:p w14:paraId="4145937C" w14:textId="77777777" w:rsidR="00CD272F" w:rsidRDefault="00CD272F" w:rsidP="00E80005">
      <w:pPr>
        <w:pStyle w:val="Paragraph"/>
        <w:numPr>
          <w:ilvl w:val="0"/>
          <w:numId w:val="73"/>
        </w:numPr>
        <w:spacing w:after="0" w:line="240" w:lineRule="auto"/>
        <w:jc w:val="both"/>
      </w:pPr>
      <w:r>
        <w:t>the marginal greenhouse gas cost (MGC) component.</w:t>
      </w:r>
    </w:p>
    <w:p w14:paraId="2537D6B6" w14:textId="77777777" w:rsidR="00CD272F" w:rsidRDefault="00CD272F" w:rsidP="00CD272F">
      <w:pPr>
        <w:pStyle w:val="Paragraph"/>
      </w:pPr>
      <w:r>
        <w:t>These LMP components are as follows:</w:t>
      </w:r>
    </w:p>
    <w:p w14:paraId="6A34D5B6" w14:textId="27FFDC29" w:rsidR="00CD272F" w:rsidRPr="0066701D" w:rsidRDefault="00461DCC" w:rsidP="00CD272F">
      <w:pPr>
        <w:pStyle w:val="Equation"/>
        <w:pBdr>
          <w:top w:val="single" w:sz="4" w:space="1" w:color="auto"/>
          <w:left w:val="single" w:sz="4" w:space="4" w:color="auto"/>
          <w:bottom w:val="single" w:sz="4" w:space="1" w:color="auto"/>
          <w:right w:val="single" w:sz="4" w:space="4" w:color="auto"/>
        </w:pBdr>
      </w:pPr>
      <m:oMathPara>
        <m:oMath>
          <m:sSub>
            <m:sSubPr>
              <m:ctrlPr>
                <w:rPr>
                  <w:rFonts w:ascii="Cambria Math" w:hAnsi="Cambria Math"/>
                  <w:i/>
                </w:rPr>
              </m:ctrlPr>
            </m:sSubPr>
            <m:e>
              <m:r>
                <w:rPr>
                  <w:rFonts w:ascii="Cambria Math" w:hAnsi="Cambria Math"/>
                </w:rPr>
                <m:t>LMP</m:t>
              </m:r>
            </m:e>
            <m:sub>
              <m:r>
                <w:rPr>
                  <w:rFonts w:ascii="Cambria Math" w:hAnsi="Cambria Math"/>
                </w:rPr>
                <m:t>i</m:t>
              </m:r>
            </m:sub>
          </m:sSub>
          <m:r>
            <w:rPr>
              <w:rFonts w:ascii="Cambria Math" w:hAnsi="Cambria Math"/>
            </w:rPr>
            <m:t>=SMEC+</m:t>
          </m:r>
          <m:sSub>
            <m:sSubPr>
              <m:ctrlPr>
                <w:rPr>
                  <w:rFonts w:ascii="Cambria Math" w:hAnsi="Cambria Math"/>
                  <w:i/>
                </w:rPr>
              </m:ctrlPr>
            </m:sSubPr>
            <m:e>
              <m:r>
                <w:rPr>
                  <w:rFonts w:ascii="Cambria Math" w:hAnsi="Cambria Math"/>
                </w:rPr>
                <m:t>MLC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m:t>
          </m:r>
          <m:r>
            <m:rPr>
              <m:sty m:val="p"/>
            </m:rPr>
            <w:br/>
          </m:r>
        </m:oMath>
        <m:oMath>
          <m:sSub>
            <m:sSubPr>
              <m:ctrlPr>
                <w:rPr>
                  <w:rFonts w:ascii="Cambria Math" w:hAnsi="Cambria Math"/>
                  <w:i/>
                </w:rPr>
              </m:ctrlPr>
            </m:sSubPr>
            <m:e>
              <m:r>
                <w:rPr>
                  <w:rFonts w:ascii="Cambria Math" w:hAnsi="Cambria Math"/>
                </w:rPr>
                <m:t>LMP</m:t>
              </m:r>
            </m:e>
            <m:sub>
              <m:r>
                <w:rPr>
                  <w:rFonts w:ascii="Cambria Math" w:hAnsi="Cambria Math"/>
                </w:rPr>
                <m:t>j,k,l</m:t>
              </m:r>
            </m:sub>
          </m:sSub>
          <m:r>
            <w:rPr>
              <w:rFonts w:ascii="Cambria Math" w:hAnsi="Cambria Math"/>
            </w:rPr>
            <m:t>=SMEC+</m:t>
          </m:r>
          <m:sSub>
            <m:sSubPr>
              <m:ctrlPr>
                <w:rPr>
                  <w:rFonts w:ascii="Cambria Math" w:hAnsi="Cambria Math"/>
                  <w:i/>
                </w:rPr>
              </m:ctrlPr>
            </m:sSubPr>
            <m:e>
              <m:r>
                <w:rPr>
                  <w:rFonts w:ascii="Cambria Math" w:hAnsi="Cambria Math"/>
                </w:rPr>
                <m:t>MLC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j,k,l</m:t>
              </m:r>
            </m:sub>
          </m:sSub>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EIM∧k≠j∧l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r>
            <w:rPr>
              <w:rFonts w:ascii="Cambria Math" w:hAnsi="Cambria Math"/>
            </w:rPr>
            <m:t>SMEC=λ</m:t>
          </m:r>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i</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mr>
                <m:mr>
                  <m:e>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=0</m:t>
                    </m:r>
                  </m:e>
                </m:mr>
              </m:m>
            </m:e>
          </m:d>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0</m:t>
              </m:r>
            </m:sub>
          </m:sSub>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mr>
                <m:mr>
                  <m:e>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=-ψ</m:t>
                    </m:r>
                  </m:e>
                </m:mr>
              </m:m>
            </m:e>
          </m:d>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∧j∈EIM∧j&gt;0</m:t>
          </m:r>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0,k,l</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0,k,l</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0,k,l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m,n,0,k,l</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0,k,l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0,k,l</m:t>
                        </m:r>
                      </m:sub>
                    </m:sSub>
                  </m:e>
                </m:mr>
                <m:mr>
                  <m:e>
                    <m:sSub>
                      <m:sSubPr>
                        <m:ctrlPr>
                          <w:rPr>
                            <w:rFonts w:ascii="Cambria Math" w:hAnsi="Cambria Math"/>
                            <w:i/>
                          </w:rPr>
                        </m:ctrlPr>
                      </m:sSubPr>
                      <m:e>
                        <m:r>
                          <w:rPr>
                            <w:rFonts w:ascii="Cambria Math" w:hAnsi="Cambria Math"/>
                          </w:rPr>
                          <m:t>MGC</m:t>
                        </m:r>
                      </m:e>
                      <m:sub>
                        <m:r>
                          <w:rPr>
                            <w:rFonts w:ascii="Cambria Math" w:hAnsi="Cambria Math"/>
                          </w:rPr>
                          <m:t>0,k,l</m:t>
                        </m:r>
                      </m:sub>
                    </m:sSub>
                    <m:r>
                      <w:rPr>
                        <w:rFonts w:ascii="Cambria Math" w:hAnsi="Cambria Math"/>
                      </w:rPr>
                      <m:t>=0</m:t>
                    </m:r>
                  </m:e>
                </m:mr>
              </m:m>
            </m:e>
          </m:d>
          <m:r>
            <w:rPr>
              <w:rFonts w:ascii="Cambria Math" w:hAnsi="Cambria Math"/>
            </w:rPr>
            <m:t xml:space="preserve">,  </m:t>
          </m:r>
          <m:r>
            <m:rPr>
              <m:sty m:val="p"/>
            </m:rPr>
            <w:rPr>
              <w:rFonts w:ascii="Cambria Math" w:hAnsi="Cambria Math"/>
            </w:rPr>
            <m:t>∀</m:t>
          </m:r>
          <m:r>
            <w:rPr>
              <w:rFonts w:ascii="Cambria Math" w:hAnsi="Cambria Math"/>
            </w:rPr>
            <m:t>k</m:t>
          </m:r>
          <m:r>
            <m:rPr>
              <m:sty m:val="p"/>
            </m:rPr>
            <w:rPr>
              <w:rFonts w:ascii="Cambria Math" w:hAnsi="Cambria Math"/>
            </w:rPr>
            <m:t>&gt;0</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d>
            <m:dPr>
              <m:begChr m:val=""/>
              <m:endChr m:val="}"/>
              <m:ctrlPr>
                <w:rPr>
                  <w:rFonts w:ascii="Cambria Math" w:hAnsi="Cambria Math"/>
                  <w:i/>
                </w:rPr>
              </m:ctrlPr>
            </m:dPr>
            <m:e>
              <m:m>
                <m:mPr>
                  <m:cGp m:val="8"/>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MLC</m:t>
                        </m:r>
                      </m:e>
                      <m:sub>
                        <m:r>
                          <w:rPr>
                            <w:rFonts w:ascii="Cambria Math" w:hAnsi="Cambria Math"/>
                          </w:rPr>
                          <m:t>j,k,l</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j,k,l</m:t>
                                </m:r>
                              </m:sub>
                            </m:sSub>
                          </m:den>
                        </m:f>
                        <m:r>
                          <w:rPr>
                            <w:rFonts w:ascii="Cambria Math" w:hAnsi="Cambria Math"/>
                          </w:rPr>
                          <m:t>-1</m:t>
                        </m:r>
                      </m:e>
                    </m:d>
                  </m:e>
                </m:mr>
                <m:mr>
                  <m:e>
                    <m:sSub>
                      <m:sSubPr>
                        <m:ctrlPr>
                          <w:rPr>
                            <w:rFonts w:ascii="Cambria Math" w:hAnsi="Cambria Math"/>
                            <w:i/>
                          </w:rPr>
                        </m:ctrlPr>
                      </m:sSubPr>
                      <m:e>
                        <m:r>
                          <w:rPr>
                            <w:rFonts w:ascii="Cambria Math" w:hAnsi="Cambria Math"/>
                          </w:rPr>
                          <m:t>MCC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mr>
                <m:mr>
                  <m:e>
                    <m:sSub>
                      <m:sSubPr>
                        <m:ctrlPr>
                          <w:rPr>
                            <w:rFonts w:ascii="Cambria Math" w:hAnsi="Cambria Math"/>
                            <w:i/>
                          </w:rPr>
                        </m:ctrlPr>
                      </m:sSubPr>
                      <m:e>
                        <m:r>
                          <w:rPr>
                            <w:rFonts w:ascii="Cambria Math" w:hAnsi="Cambria Math"/>
                          </w:rPr>
                          <m:t>MGC</m:t>
                        </m:r>
                      </m:e>
                      <m:sub>
                        <m:r>
                          <w:rPr>
                            <w:rFonts w:ascii="Cambria Math" w:hAnsi="Cambria Math"/>
                          </w:rPr>
                          <m:t>j,k,l</m:t>
                        </m:r>
                      </m:sub>
                    </m:sSub>
                    <m:r>
                      <w:rPr>
                        <w:rFonts w:ascii="Cambria Math" w:hAnsi="Cambria Math"/>
                      </w:rPr>
                      <m:t>=-ψ</m:t>
                    </m:r>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07F79FE8" w14:textId="6093C6A8" w:rsidR="00CD272F" w:rsidRPr="00A77A19" w:rsidRDefault="00125E03" w:rsidP="00CD272F">
      <w:pPr>
        <w:pStyle w:val="Paragraph"/>
      </w:pPr>
      <w:r>
        <w:t xml:space="preserve">Where the MCC contributions from FRP requirement constraints are not shown for simplicity. </w:t>
      </w:r>
    </w:p>
    <w:p w14:paraId="064F1B26" w14:textId="501A9CE3" w:rsidR="00B47D9D" w:rsidRDefault="00B47D9D" w:rsidP="00B47D9D">
      <w:r>
        <w:t>For the MCC Decomposition, the allocation of congestion revenue to corresponding BAAs in the</w:t>
      </w:r>
      <w:r w:rsidR="005F24C1">
        <w:t xml:space="preserve"> WEIM </w:t>
      </w:r>
      <w:r>
        <w:t xml:space="preserve">area is based on the </w:t>
      </w:r>
      <w:r w:rsidR="0041523D">
        <w:t>c</w:t>
      </w:r>
      <w:r>
        <w:t xml:space="preserve">ongestion revenue distribution factors set up for each constraint whose shadow price contributes to the MCC. The </w:t>
      </w:r>
      <w:r w:rsidR="0041523D">
        <w:t>c</w:t>
      </w:r>
      <w:r>
        <w:t xml:space="preserve">ongestion revenue distribution factors for </w:t>
      </w:r>
      <w:r>
        <w:lastRenderedPageBreak/>
        <w:t xml:space="preserve">BAA constraints of all types are defined in the Master File (MF) and these congestion distribution factors are </w:t>
      </w:r>
      <w:r w:rsidR="0041523D">
        <w:t>used in</w:t>
      </w:r>
      <w:r>
        <w:t xml:space="preserve"> the market. </w:t>
      </w:r>
    </w:p>
    <w:p w14:paraId="23D13D46" w14:textId="77777777" w:rsidR="00B47D9D" w:rsidRDefault="00B47D9D" w:rsidP="00B47D9D">
      <w:r>
        <w:t>Example:</w:t>
      </w:r>
    </w:p>
    <w:tbl>
      <w:tblPr>
        <w:tblStyle w:val="TableGrid"/>
        <w:tblW w:w="0" w:type="auto"/>
        <w:tblLook w:val="04A0" w:firstRow="1" w:lastRow="0" w:firstColumn="1" w:lastColumn="0" w:noHBand="0" w:noVBand="1"/>
      </w:tblPr>
      <w:tblGrid>
        <w:gridCol w:w="3116"/>
        <w:gridCol w:w="3117"/>
        <w:gridCol w:w="3117"/>
      </w:tblGrid>
      <w:tr w:rsidR="00B47D9D" w14:paraId="128DE9C3" w14:textId="77777777" w:rsidTr="00024366">
        <w:tc>
          <w:tcPr>
            <w:tcW w:w="3116" w:type="dxa"/>
          </w:tcPr>
          <w:p w14:paraId="2D28704F" w14:textId="77777777" w:rsidR="00B47D9D" w:rsidRDefault="00B47D9D" w:rsidP="00B255B1">
            <w:pPr>
              <w:spacing w:after="0"/>
              <w:jc w:val="left"/>
            </w:pPr>
            <w:r>
              <w:t>BAA</w:t>
            </w:r>
          </w:p>
        </w:tc>
        <w:tc>
          <w:tcPr>
            <w:tcW w:w="3117" w:type="dxa"/>
          </w:tcPr>
          <w:p w14:paraId="0369644A" w14:textId="58AA3799" w:rsidR="00B47D9D" w:rsidRDefault="00B47D9D" w:rsidP="00B255B1">
            <w:pPr>
              <w:spacing w:after="0"/>
              <w:jc w:val="left"/>
            </w:pPr>
            <w:r>
              <w:t>Intertie Schedule/EIM Transfer/Constraints</w:t>
            </w:r>
          </w:p>
        </w:tc>
        <w:tc>
          <w:tcPr>
            <w:tcW w:w="3117" w:type="dxa"/>
          </w:tcPr>
          <w:p w14:paraId="7D391956" w14:textId="77777777" w:rsidR="00B47D9D" w:rsidRDefault="00B47D9D" w:rsidP="00B255B1">
            <w:pPr>
              <w:spacing w:after="0"/>
              <w:jc w:val="left"/>
            </w:pPr>
            <w:r>
              <w:t>Congestion Revenue Distribution Factor</w:t>
            </w:r>
          </w:p>
        </w:tc>
      </w:tr>
      <w:tr w:rsidR="00B47D9D" w14:paraId="4C996DA6" w14:textId="77777777" w:rsidTr="00024366">
        <w:tc>
          <w:tcPr>
            <w:tcW w:w="3116" w:type="dxa"/>
          </w:tcPr>
          <w:p w14:paraId="694D9882" w14:textId="77777777" w:rsidR="00B47D9D" w:rsidRDefault="00B47D9D" w:rsidP="00B255B1">
            <w:pPr>
              <w:spacing w:after="0"/>
            </w:pPr>
            <w:r>
              <w:t>BAA 1</w:t>
            </w:r>
          </w:p>
        </w:tc>
        <w:tc>
          <w:tcPr>
            <w:tcW w:w="3117" w:type="dxa"/>
          </w:tcPr>
          <w:p w14:paraId="60E095AE" w14:textId="7CE302F1" w:rsidR="00B47D9D" w:rsidRDefault="00B47D9D" w:rsidP="00B255B1">
            <w:pPr>
              <w:spacing w:after="0"/>
            </w:pPr>
            <w:r>
              <w:t>Tie 1-Schedul</w:t>
            </w:r>
            <w:r w:rsidR="002A1EF4">
              <w:t>ing limit</w:t>
            </w:r>
          </w:p>
        </w:tc>
        <w:tc>
          <w:tcPr>
            <w:tcW w:w="3117" w:type="dxa"/>
          </w:tcPr>
          <w:p w14:paraId="22DB27FA" w14:textId="77777777" w:rsidR="00B47D9D" w:rsidRDefault="00B47D9D" w:rsidP="00B255B1">
            <w:pPr>
              <w:spacing w:after="0"/>
            </w:pPr>
            <w:r>
              <w:t>1</w:t>
            </w:r>
          </w:p>
        </w:tc>
      </w:tr>
      <w:tr w:rsidR="00B47D9D" w14:paraId="3485F0AB" w14:textId="77777777" w:rsidTr="00024366">
        <w:tc>
          <w:tcPr>
            <w:tcW w:w="3116" w:type="dxa"/>
          </w:tcPr>
          <w:p w14:paraId="35104C40" w14:textId="77777777" w:rsidR="00B47D9D" w:rsidRDefault="00B47D9D" w:rsidP="00B255B1">
            <w:pPr>
              <w:spacing w:after="0"/>
            </w:pPr>
            <w:r>
              <w:t>BAA 1</w:t>
            </w:r>
          </w:p>
        </w:tc>
        <w:tc>
          <w:tcPr>
            <w:tcW w:w="3117" w:type="dxa"/>
          </w:tcPr>
          <w:p w14:paraId="4D4A1003" w14:textId="77777777" w:rsidR="00B47D9D" w:rsidRDefault="00B47D9D" w:rsidP="00B255B1">
            <w:pPr>
              <w:spacing w:after="0"/>
            </w:pPr>
            <w:r>
              <w:t>Tie 1-EIM transfer: ETSR (BAA 1)</w:t>
            </w:r>
          </w:p>
        </w:tc>
        <w:tc>
          <w:tcPr>
            <w:tcW w:w="3117" w:type="dxa"/>
          </w:tcPr>
          <w:p w14:paraId="2D5517FC" w14:textId="77777777" w:rsidR="00B47D9D" w:rsidRDefault="00B47D9D" w:rsidP="00B255B1">
            <w:pPr>
              <w:spacing w:after="0"/>
            </w:pPr>
            <w:r>
              <w:t>0.5</w:t>
            </w:r>
          </w:p>
        </w:tc>
      </w:tr>
      <w:tr w:rsidR="00B47D9D" w14:paraId="43CD4584" w14:textId="77777777" w:rsidTr="00024366">
        <w:tc>
          <w:tcPr>
            <w:tcW w:w="3116" w:type="dxa"/>
          </w:tcPr>
          <w:p w14:paraId="116EACF6" w14:textId="77777777" w:rsidR="00B47D9D" w:rsidRDefault="00B47D9D" w:rsidP="00B255B1">
            <w:pPr>
              <w:spacing w:after="0"/>
            </w:pPr>
            <w:r>
              <w:t>BAA 2</w:t>
            </w:r>
          </w:p>
        </w:tc>
        <w:tc>
          <w:tcPr>
            <w:tcW w:w="3117" w:type="dxa"/>
          </w:tcPr>
          <w:p w14:paraId="5DEE0EDD" w14:textId="5D6E8C27" w:rsidR="00B47D9D" w:rsidRDefault="00B47D9D" w:rsidP="00B255B1">
            <w:pPr>
              <w:spacing w:after="0"/>
            </w:pPr>
            <w:r>
              <w:t>Tie 1-</w:t>
            </w:r>
            <w:r w:rsidR="005F24C1">
              <w:t xml:space="preserve"> WEIM </w:t>
            </w:r>
            <w:r>
              <w:t>transfer ETSR (BAA</w:t>
            </w:r>
            <w:r w:rsidR="002A1EF4">
              <w:t xml:space="preserve"> </w:t>
            </w:r>
            <w:r>
              <w:t>2)</w:t>
            </w:r>
          </w:p>
        </w:tc>
        <w:tc>
          <w:tcPr>
            <w:tcW w:w="3117" w:type="dxa"/>
          </w:tcPr>
          <w:p w14:paraId="10BD28A7" w14:textId="77777777" w:rsidR="00B47D9D" w:rsidRDefault="00B47D9D" w:rsidP="00B255B1">
            <w:pPr>
              <w:spacing w:after="0"/>
            </w:pPr>
            <w:r>
              <w:t>0.5</w:t>
            </w:r>
          </w:p>
        </w:tc>
      </w:tr>
    </w:tbl>
    <w:p w14:paraId="3E65E2E2" w14:textId="4A0E0890" w:rsidR="009839BA" w:rsidRDefault="009839BA" w:rsidP="009839BA">
      <w:pPr>
        <w:pStyle w:val="Paragraph"/>
      </w:pPr>
      <w:r>
        <w:t xml:space="preserve">For transmission constraints that do not affect </w:t>
      </w:r>
      <w:r w:rsidR="00035DAF">
        <w:t xml:space="preserve">energy </w:t>
      </w:r>
      <w:r>
        <w:t>transfers (</w:t>
      </w:r>
      <w:r w:rsidR="00035DAF">
        <w:t xml:space="preserve">generic transmission constraint </w:t>
      </w:r>
      <w:r w:rsidR="00035DAF" w:rsidRPr="00B255B1">
        <w:rPr>
          <w:i/>
        </w:rPr>
        <w:t>m</w:t>
      </w:r>
      <w:r>
        <w:t>), the congestion revenue is allocated as follows:</w:t>
      </w:r>
    </w:p>
    <w:p w14:paraId="65BDDEFA" w14:textId="77777777" w:rsidR="009839BA" w:rsidRDefault="00461DCC" w:rsidP="009839BA">
      <w:pPr>
        <w:pStyle w:val="Equation"/>
      </w:pPr>
      <m:oMathPara>
        <m:oMath>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m</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m</m:t>
                  </m:r>
                </m:sub>
              </m:sSub>
            </m:e>
          </m:nary>
          <m:r>
            <w:rPr>
              <w:rFonts w:ascii="Cambria Math" w:hAnsi="Cambria Math"/>
            </w:rPr>
            <m:t>,  ∀m</m:t>
          </m:r>
        </m:oMath>
      </m:oMathPara>
    </w:p>
    <w:p w14:paraId="402005B8" w14:textId="77777777" w:rsidR="009839BA" w:rsidRDefault="009839BA" w:rsidP="009839BA">
      <w:pPr>
        <w:pStyle w:val="Paragraph"/>
      </w:pPr>
      <w:r>
        <w:t>Where:</w:t>
      </w:r>
    </w:p>
    <w:p w14:paraId="27884913" w14:textId="77777777" w:rsidR="009839BA" w:rsidRDefault="00461DCC" w:rsidP="009839BA">
      <w:pPr>
        <w:pStyle w:val="Equation"/>
      </w:pPr>
      <m:oMathPara>
        <m:oMath>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m,r</m:t>
                  </m:r>
                </m:sub>
              </m:sSub>
            </m:e>
          </m:nary>
          <m:r>
            <w:rPr>
              <w:rFonts w:ascii="Cambria Math" w:hAnsi="Cambria Math"/>
            </w:rPr>
            <m:t>=1,  ∀m</m:t>
          </m:r>
        </m:oMath>
      </m:oMathPara>
    </w:p>
    <w:p w14:paraId="32682097" w14:textId="77777777" w:rsidR="009839BA" w:rsidRDefault="009839BA" w:rsidP="009839BA">
      <w:pPr>
        <w:pStyle w:val="Paragraph"/>
      </w:pPr>
      <w:r>
        <w:t>This is accomplished by decomposing the corresponding MCC contributions using the congestion revenue distribution factors, as follows:</w:t>
      </w:r>
    </w:p>
    <w:p w14:paraId="5FB70DA8" w14:textId="77777777" w:rsidR="009839BA" w:rsidRDefault="009839BA" w:rsidP="009839BA">
      <w:pPr>
        <w:pStyle w:val="Equation"/>
      </w:pPr>
      <m:oMathPara>
        <m:oMath>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nary>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m:t>
          </m:r>
          <m:r>
            <m:rPr>
              <m:sty m:val="p"/>
            </m:rPr>
            <w:br/>
          </m:r>
        </m:oMath>
        <m:oMath>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09A81850" w14:textId="28C4225A" w:rsidR="008C1669" w:rsidRDefault="008C1669" w:rsidP="008C1669">
      <w:r>
        <w:t>This is equivalent to distributing the transmission constraint shadow price across BAAs in the</w:t>
      </w:r>
      <w:r w:rsidR="005F24C1">
        <w:t xml:space="preserve"> WEIM </w:t>
      </w:r>
      <w:r>
        <w:t xml:space="preserve">Area. Typically, the congestion revenue distribution factors for these constraints allocate the congestion revenue 100% to a single BAA, the one the constraint resides in, or if it is an intertie constraint, the BAA at the intertie definition side where the constraint is enforced.  </w:t>
      </w:r>
    </w:p>
    <w:p w14:paraId="10B97714" w14:textId="1B40001F" w:rsidR="008C1669" w:rsidRDefault="008C1669" w:rsidP="009839BA">
      <w:pPr>
        <w:pStyle w:val="Paragraph"/>
      </w:pPr>
      <w:r>
        <w:t>If the constraint is located in a non-EIM BAA (e.g., Rate of Change constraints or</w:t>
      </w:r>
      <w:r w:rsidR="005F24C1">
        <w:t xml:space="preserve"> WEIM </w:t>
      </w:r>
      <w:r>
        <w:t>flow limits in BPAT pursuant to the Coordinated Transmission Agreement), the congestion revenue distribution factors for these constraints allocate the congestion revenue among the</w:t>
      </w:r>
      <w:r w:rsidR="005F24C1">
        <w:t xml:space="preserve"> WEIM </w:t>
      </w:r>
      <w:r>
        <w:t xml:space="preserve">Area </w:t>
      </w:r>
      <w:r>
        <w:lastRenderedPageBreak/>
        <w:t>BAAs responsible for the limits in proportion to the transmission rights made available by the relevant</w:t>
      </w:r>
      <w:r w:rsidR="005F24C1">
        <w:t xml:space="preserve"> WEIM </w:t>
      </w:r>
      <w:r>
        <w:t>BAAs through the non-EIM BAA, which are generally those</w:t>
      </w:r>
      <w:r w:rsidR="005F24C1">
        <w:t xml:space="preserve"> WEIM </w:t>
      </w:r>
      <w:r>
        <w:t>BAAs that have made transmission rights through the non-EIM BAA available to the</w:t>
      </w:r>
      <w:r w:rsidR="005F24C1">
        <w:t xml:space="preserve"> WEIM </w:t>
      </w:r>
      <w:r>
        <w:t>model.</w:t>
      </w:r>
    </w:p>
    <w:p w14:paraId="3619EEB7" w14:textId="77777777" w:rsidR="008C1669" w:rsidRDefault="008C1669" w:rsidP="009839BA">
      <w:pPr>
        <w:pStyle w:val="Paragraph"/>
      </w:pPr>
    </w:p>
    <w:tbl>
      <w:tblPr>
        <w:tblW w:w="0" w:type="auto"/>
        <w:tblInd w:w="720" w:type="dxa"/>
        <w:tblCellMar>
          <w:left w:w="0" w:type="dxa"/>
          <w:right w:w="0" w:type="dxa"/>
        </w:tblCellMar>
        <w:tblLook w:val="04A0" w:firstRow="1" w:lastRow="0" w:firstColumn="1" w:lastColumn="0" w:noHBand="0" w:noVBand="1"/>
      </w:tblPr>
      <w:tblGrid>
        <w:gridCol w:w="1223"/>
        <w:gridCol w:w="1716"/>
        <w:gridCol w:w="1012"/>
        <w:gridCol w:w="1012"/>
        <w:gridCol w:w="824"/>
        <w:gridCol w:w="697"/>
      </w:tblGrid>
      <w:tr w:rsidR="008C1669" w14:paraId="0049FBB1" w14:textId="77777777" w:rsidTr="008C1669">
        <w:tc>
          <w:tcPr>
            <w:tcW w:w="0" w:type="auto"/>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1BE7C204" w14:textId="77777777" w:rsidR="008C1669" w:rsidRDefault="008C1669" w:rsidP="008C1669">
            <w:pPr>
              <w:rPr>
                <w:rFonts w:ascii="Times New Roman" w:hAnsi="Times New Roman"/>
              </w:rPr>
            </w:pPr>
            <w:r>
              <w:rPr>
                <w:rFonts w:ascii="Times New Roman" w:hAnsi="Times New Roman"/>
              </w:rPr>
              <w:t>EIM BAA</w:t>
            </w:r>
          </w:p>
        </w:tc>
        <w:tc>
          <w:tcPr>
            <w:tcW w:w="0" w:type="auto"/>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50ADDA2" w14:textId="77777777" w:rsidR="008C1669" w:rsidRDefault="008C1669" w:rsidP="008C1669">
            <w:pPr>
              <w:rPr>
                <w:rFonts w:ascii="Times New Roman" w:hAnsi="Times New Roman"/>
              </w:rPr>
            </w:pPr>
            <w:r>
              <w:rPr>
                <w:rFonts w:ascii="Times New Roman" w:hAnsi="Times New Roman"/>
              </w:rPr>
              <w:t>Non-EIM BAA</w:t>
            </w:r>
          </w:p>
        </w:tc>
        <w:tc>
          <w:tcPr>
            <w:tcW w:w="0" w:type="auto"/>
            <w:gridSpan w:val="3"/>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CE562F3" w14:textId="77777777" w:rsidR="008C1669" w:rsidRDefault="008C1669" w:rsidP="008C1669">
            <w:pPr>
              <w:rPr>
                <w:rFonts w:ascii="Times New Roman" w:hAnsi="Times New Roman"/>
              </w:rPr>
            </w:pPr>
            <w:r>
              <w:rPr>
                <w:rFonts w:ascii="Times New Roman" w:hAnsi="Times New Roman"/>
              </w:rPr>
              <w:t>Transmission Rights (MW)</w:t>
            </w:r>
          </w:p>
        </w:tc>
        <w:tc>
          <w:tcPr>
            <w:tcW w:w="0" w:type="auto"/>
            <w:tcBorders>
              <w:top w:val="single" w:sz="8" w:space="0" w:color="auto"/>
              <w:left w:val="nil"/>
              <w:bottom w:val="single" w:sz="8" w:space="0" w:color="auto"/>
              <w:right w:val="single" w:sz="8" w:space="0" w:color="auto"/>
            </w:tcBorders>
            <w:shd w:val="clear" w:color="auto" w:fill="9CC2E5"/>
            <w:tcMar>
              <w:top w:w="0" w:type="dxa"/>
              <w:left w:w="115" w:type="dxa"/>
              <w:bottom w:w="0" w:type="dxa"/>
              <w:right w:w="115" w:type="dxa"/>
            </w:tcMar>
            <w:hideMark/>
          </w:tcPr>
          <w:p w14:paraId="7711C89C" w14:textId="77777777" w:rsidR="008C1669" w:rsidRDefault="008C1669" w:rsidP="008C1669">
            <w:pPr>
              <w:rPr>
                <w:rFonts w:ascii="Times New Roman" w:hAnsi="Times New Roman"/>
              </w:rPr>
            </w:pPr>
            <w:r>
              <w:rPr>
                <w:rFonts w:ascii="Times New Roman" w:hAnsi="Times New Roman"/>
              </w:rPr>
              <w:t>CDF</w:t>
            </w:r>
          </w:p>
        </w:tc>
      </w:tr>
      <w:tr w:rsidR="008C1669" w14:paraId="61AF6C51" w14:textId="77777777" w:rsidTr="008C1669">
        <w:tc>
          <w:tcPr>
            <w:tcW w:w="0" w:type="auto"/>
            <w:tcBorders>
              <w:top w:val="nil"/>
              <w:left w:val="single" w:sz="8" w:space="0" w:color="auto"/>
              <w:bottom w:val="single" w:sz="8" w:space="0" w:color="auto"/>
              <w:right w:val="single" w:sz="8" w:space="0" w:color="auto"/>
            </w:tcBorders>
            <w:shd w:val="clear" w:color="auto" w:fill="9CC2E5"/>
            <w:tcMar>
              <w:top w:w="0" w:type="dxa"/>
              <w:left w:w="108" w:type="dxa"/>
              <w:bottom w:w="0" w:type="dxa"/>
              <w:right w:w="108" w:type="dxa"/>
            </w:tcMar>
          </w:tcPr>
          <w:p w14:paraId="314961E2" w14:textId="77777777" w:rsidR="008C1669" w:rsidRDefault="008C1669" w:rsidP="008C1669">
            <w:pPr>
              <w:rPr>
                <w:rFonts w:ascii="Times New Roman" w:hAnsi="Times New Roman"/>
              </w:rPr>
            </w:pPr>
          </w:p>
        </w:tc>
        <w:tc>
          <w:tcPr>
            <w:tcW w:w="0" w:type="auto"/>
            <w:tcBorders>
              <w:top w:val="nil"/>
              <w:left w:val="nil"/>
              <w:bottom w:val="single" w:sz="8" w:space="0" w:color="auto"/>
              <w:right w:val="single" w:sz="8" w:space="0" w:color="auto"/>
            </w:tcBorders>
            <w:shd w:val="clear" w:color="auto" w:fill="9CC2E5"/>
            <w:tcMar>
              <w:top w:w="0" w:type="dxa"/>
              <w:left w:w="108" w:type="dxa"/>
              <w:bottom w:w="0" w:type="dxa"/>
              <w:right w:w="108" w:type="dxa"/>
            </w:tcMar>
          </w:tcPr>
          <w:p w14:paraId="673CF7DD" w14:textId="77777777" w:rsidR="008C1669" w:rsidRDefault="008C1669" w:rsidP="008C1669">
            <w:pPr>
              <w:rPr>
                <w:rFonts w:ascii="Times New Roman" w:hAnsi="Times New Roman"/>
              </w:rPr>
            </w:pP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hideMark/>
          </w:tcPr>
          <w:p w14:paraId="28FDBC91" w14:textId="77777777" w:rsidR="008C1669" w:rsidRDefault="008C1669" w:rsidP="008C1669">
            <w:pPr>
              <w:rPr>
                <w:rFonts w:ascii="Times New Roman" w:hAnsi="Times New Roman"/>
              </w:rPr>
            </w:pPr>
            <w:r>
              <w:rPr>
                <w:rFonts w:ascii="Times New Roman" w:hAnsi="Times New Roman"/>
              </w:rPr>
              <w:t>Import</w:t>
            </w: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hideMark/>
          </w:tcPr>
          <w:p w14:paraId="2937D401" w14:textId="77777777" w:rsidR="008C1669" w:rsidRDefault="008C1669" w:rsidP="008C1669">
            <w:pPr>
              <w:rPr>
                <w:rFonts w:ascii="Times New Roman" w:hAnsi="Times New Roman"/>
              </w:rPr>
            </w:pPr>
            <w:r>
              <w:rPr>
                <w:rFonts w:ascii="Times New Roman" w:hAnsi="Times New Roman"/>
              </w:rPr>
              <w:t>Export</w:t>
            </w: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hideMark/>
          </w:tcPr>
          <w:p w14:paraId="5DCCEF39" w14:textId="77777777" w:rsidR="008C1669" w:rsidRDefault="008C1669" w:rsidP="008C1669">
            <w:pPr>
              <w:rPr>
                <w:rFonts w:ascii="Times New Roman" w:hAnsi="Times New Roman"/>
              </w:rPr>
            </w:pPr>
            <w:r>
              <w:rPr>
                <w:rFonts w:ascii="Times New Roman" w:hAnsi="Times New Roman"/>
              </w:rPr>
              <w:t>Total</w:t>
            </w:r>
          </w:p>
        </w:tc>
        <w:tc>
          <w:tcPr>
            <w:tcW w:w="0" w:type="auto"/>
            <w:tcBorders>
              <w:top w:val="nil"/>
              <w:left w:val="nil"/>
              <w:bottom w:val="single" w:sz="8" w:space="0" w:color="auto"/>
              <w:right w:val="single" w:sz="8" w:space="0" w:color="auto"/>
            </w:tcBorders>
            <w:shd w:val="clear" w:color="auto" w:fill="9CC2E5"/>
            <w:tcMar>
              <w:top w:w="0" w:type="dxa"/>
              <w:left w:w="115" w:type="dxa"/>
              <w:bottom w:w="0" w:type="dxa"/>
              <w:right w:w="115" w:type="dxa"/>
            </w:tcMar>
          </w:tcPr>
          <w:p w14:paraId="1A0234C7" w14:textId="77777777" w:rsidR="008C1669" w:rsidRDefault="008C1669" w:rsidP="008C1669">
            <w:pPr>
              <w:rPr>
                <w:rFonts w:ascii="Times New Roman" w:hAnsi="Times New Roman"/>
              </w:rPr>
            </w:pPr>
          </w:p>
        </w:tc>
      </w:tr>
      <w:tr w:rsidR="008C1669" w14:paraId="6D253D5B" w14:textId="77777777" w:rsidTr="008C16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37D8" w14:textId="77777777" w:rsidR="008C1669" w:rsidRDefault="008C1669" w:rsidP="008C1669">
            <w:pPr>
              <w:rPr>
                <w:rFonts w:ascii="Times New Roman" w:hAnsi="Times New Roman"/>
              </w:rPr>
            </w:pPr>
            <w:r>
              <w:rPr>
                <w:rFonts w:ascii="Times New Roman" w:hAnsi="Times New Roman"/>
              </w:rPr>
              <w:t>PACW</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FA19D4" w14:textId="77777777" w:rsidR="008C1669" w:rsidRDefault="008C1669" w:rsidP="008C1669">
            <w:pPr>
              <w:rPr>
                <w:rFonts w:ascii="Times New Roman" w:hAnsi="Times New Roman"/>
              </w:rPr>
            </w:pPr>
            <w:r>
              <w:rPr>
                <w:rFonts w:ascii="Times New Roman" w:hAnsi="Times New Roman"/>
              </w:rPr>
              <w:t>BPAT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BDDB58" w14:textId="77777777" w:rsidR="008C1669" w:rsidRDefault="008C1669" w:rsidP="008C1669">
            <w:pPr>
              <w:jc w:val="right"/>
              <w:rPr>
                <w:rFonts w:ascii="Times New Roman" w:hAnsi="Times New Roman"/>
              </w:rPr>
            </w:pPr>
            <w:r>
              <w:rPr>
                <w:rFonts w:ascii="Times New Roman" w:hAnsi="Times New Roman"/>
              </w:rPr>
              <w:t>400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68948639" w14:textId="77777777" w:rsidR="008C1669" w:rsidRDefault="008C1669" w:rsidP="008C1669">
            <w:pPr>
              <w:jc w:val="right"/>
              <w:rPr>
                <w:rFonts w:ascii="Times New Roman" w:hAnsi="Times New Roman"/>
              </w:rPr>
            </w:pPr>
            <w:r>
              <w:rPr>
                <w:rFonts w:ascii="Times New Roman" w:hAnsi="Times New Roman"/>
              </w:rPr>
              <w:t>400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24EE2EF2" w14:textId="77777777" w:rsidR="008C1669" w:rsidRDefault="008C1669" w:rsidP="008C1669">
            <w:pPr>
              <w:jc w:val="right"/>
              <w:rPr>
                <w:rFonts w:ascii="Times New Roman" w:hAnsi="Times New Roman"/>
              </w:rPr>
            </w:pPr>
            <w:r>
              <w:rPr>
                <w:rFonts w:ascii="Times New Roman" w:hAnsi="Times New Roman"/>
              </w:rPr>
              <w:t>800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608BC584" w14:textId="77777777" w:rsidR="008C1669" w:rsidRDefault="008C1669" w:rsidP="008C1669">
            <w:pPr>
              <w:jc w:val="right"/>
              <w:rPr>
                <w:rFonts w:ascii="Times New Roman" w:hAnsi="Times New Roman"/>
              </w:rPr>
            </w:pPr>
            <w:r>
              <w:rPr>
                <w:rFonts w:ascii="Times New Roman" w:hAnsi="Times New Roman"/>
              </w:rPr>
              <w:t>0.4</w:t>
            </w:r>
          </w:p>
        </w:tc>
      </w:tr>
      <w:tr w:rsidR="008C1669" w14:paraId="51327E1F" w14:textId="77777777" w:rsidTr="008C16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FB52F" w14:textId="77777777" w:rsidR="008C1669" w:rsidRDefault="008C1669" w:rsidP="008C1669">
            <w:pPr>
              <w:rPr>
                <w:rFonts w:ascii="Times New Roman" w:hAnsi="Times New Roman"/>
              </w:rPr>
            </w:pPr>
            <w:r>
              <w:rPr>
                <w:rFonts w:ascii="Times New Roman" w:hAnsi="Times New Roman"/>
              </w:rPr>
              <w:t>PSEI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C69FEC" w14:textId="77777777" w:rsidR="008C1669" w:rsidRDefault="008C1669" w:rsidP="008C1669">
            <w:pPr>
              <w:rPr>
                <w:rFonts w:ascii="Times New Roman" w:hAnsi="Times New Roman"/>
              </w:rPr>
            </w:pPr>
            <w:r>
              <w:rPr>
                <w:rFonts w:ascii="Times New Roman" w:hAnsi="Times New Roman"/>
              </w:rPr>
              <w:t>BPAT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F1DE07"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0EDF7C5A"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2EB238F3" w14:textId="77777777" w:rsidR="008C1669" w:rsidRDefault="008C1669" w:rsidP="008C1669">
            <w:pPr>
              <w:jc w:val="right"/>
              <w:rPr>
                <w:rFonts w:ascii="Times New Roman" w:hAnsi="Times New Roman"/>
              </w:rPr>
            </w:pPr>
            <w:r>
              <w:rPr>
                <w:rFonts w:ascii="Times New Roman" w:hAnsi="Times New Roman"/>
              </w:rPr>
              <w:t>600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063F9B39" w14:textId="77777777" w:rsidR="008C1669" w:rsidRDefault="008C1669" w:rsidP="008C1669">
            <w:pPr>
              <w:jc w:val="right"/>
              <w:rPr>
                <w:rFonts w:ascii="Times New Roman" w:hAnsi="Times New Roman"/>
              </w:rPr>
            </w:pPr>
            <w:r>
              <w:rPr>
                <w:rFonts w:ascii="Times New Roman" w:hAnsi="Times New Roman"/>
              </w:rPr>
              <w:t>0.3</w:t>
            </w:r>
          </w:p>
        </w:tc>
      </w:tr>
      <w:tr w:rsidR="008C1669" w14:paraId="4BD87DB8" w14:textId="77777777" w:rsidTr="008C16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4FBE" w14:textId="77777777" w:rsidR="008C1669" w:rsidRDefault="008C1669" w:rsidP="008C1669">
            <w:pPr>
              <w:rPr>
                <w:rFonts w:ascii="Times New Roman" w:hAnsi="Times New Roman"/>
              </w:rPr>
            </w:pPr>
            <w:r>
              <w:rPr>
                <w:rFonts w:ascii="Times New Roman" w:hAnsi="Times New Roman"/>
              </w:rPr>
              <w:t>PGE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488F5C1" w14:textId="77777777" w:rsidR="008C1669" w:rsidRDefault="008C1669" w:rsidP="008C1669">
            <w:pPr>
              <w:rPr>
                <w:rFonts w:ascii="Times New Roman" w:hAnsi="Times New Roman"/>
              </w:rPr>
            </w:pPr>
            <w:r>
              <w:rPr>
                <w:rFonts w:ascii="Times New Roman" w:hAnsi="Times New Roman"/>
              </w:rPr>
              <w:t>BPAT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48BCC3"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327E61E7" w14:textId="77777777" w:rsidR="008C1669" w:rsidRDefault="008C1669" w:rsidP="008C1669">
            <w:pPr>
              <w:jc w:val="right"/>
              <w:rPr>
                <w:rFonts w:ascii="Times New Roman" w:hAnsi="Times New Roman"/>
              </w:rPr>
            </w:pPr>
            <w:r>
              <w:rPr>
                <w:rFonts w:ascii="Times New Roman" w:hAnsi="Times New Roman"/>
              </w:rPr>
              <w:t>300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357EA553" w14:textId="77777777" w:rsidR="008C1669" w:rsidRDefault="008C1669" w:rsidP="008C1669">
            <w:pPr>
              <w:jc w:val="right"/>
              <w:rPr>
                <w:rFonts w:ascii="Times New Roman" w:hAnsi="Times New Roman"/>
              </w:rPr>
            </w:pPr>
            <w:r>
              <w:rPr>
                <w:rFonts w:ascii="Times New Roman" w:hAnsi="Times New Roman"/>
              </w:rPr>
              <w:t>600</w:t>
            </w:r>
          </w:p>
        </w:tc>
        <w:tc>
          <w:tcPr>
            <w:tcW w:w="0" w:type="auto"/>
            <w:tcBorders>
              <w:top w:val="nil"/>
              <w:left w:val="nil"/>
              <w:bottom w:val="single" w:sz="8" w:space="0" w:color="auto"/>
              <w:right w:val="single" w:sz="8" w:space="0" w:color="auto"/>
            </w:tcBorders>
            <w:tcMar>
              <w:top w:w="0" w:type="dxa"/>
              <w:left w:w="115" w:type="dxa"/>
              <w:bottom w:w="0" w:type="dxa"/>
              <w:right w:w="115" w:type="dxa"/>
            </w:tcMar>
            <w:hideMark/>
          </w:tcPr>
          <w:p w14:paraId="569922CA" w14:textId="77777777" w:rsidR="008C1669" w:rsidRDefault="008C1669" w:rsidP="008C1669">
            <w:pPr>
              <w:jc w:val="right"/>
              <w:rPr>
                <w:rFonts w:ascii="Times New Roman" w:hAnsi="Times New Roman"/>
              </w:rPr>
            </w:pPr>
            <w:r>
              <w:rPr>
                <w:rFonts w:ascii="Times New Roman" w:hAnsi="Times New Roman"/>
              </w:rPr>
              <w:t>0.3</w:t>
            </w:r>
          </w:p>
        </w:tc>
      </w:tr>
    </w:tbl>
    <w:p w14:paraId="4B5BC99E" w14:textId="77777777" w:rsidR="008C1669" w:rsidRDefault="008C1669"/>
    <w:p w14:paraId="1C3FF3A9" w14:textId="149384C5" w:rsidR="009839BA" w:rsidRDefault="009839BA" w:rsidP="009839BA">
      <w:pPr>
        <w:pStyle w:val="Paragraph"/>
      </w:pPr>
      <w:r>
        <w:t>This methodology can be extended to the shadow prices of the</w:t>
      </w:r>
      <w:r w:rsidR="005F24C1">
        <w:t xml:space="preserve"> WEIM </w:t>
      </w:r>
      <w:r>
        <w:t>transfer scheduling limits (</w:t>
      </w:r>
      <w:r w:rsidRPr="00E17250">
        <w:rPr>
          <w:i/>
        </w:rPr>
        <w:sym w:font="Symbol" w:char="F06E"/>
      </w:r>
      <w:r>
        <w:t xml:space="preserve"> or </w:t>
      </w:r>
      <w:r w:rsidRPr="00E17250">
        <w:rPr>
          <w:i/>
        </w:rPr>
        <w:sym w:font="Symbol" w:char="F078"/>
      </w:r>
      <w:r>
        <w:t>).</w:t>
      </w:r>
      <w:r w:rsidRPr="000E710B">
        <w:t xml:space="preserve"> </w:t>
      </w:r>
      <w:r>
        <w:t>The congestion revenue from the</w:t>
      </w:r>
      <w:r w:rsidR="005F24C1">
        <w:t xml:space="preserve"> WEIM </w:t>
      </w:r>
      <w:r>
        <w:t>transfer scheduling limits is allocated as follows:</w:t>
      </w:r>
    </w:p>
    <w:p w14:paraId="5C734DCB" w14:textId="77777777" w:rsidR="009839BA" w:rsidRDefault="00461DCC" w:rsidP="009839BA">
      <w:pPr>
        <w:pStyle w:val="Equation"/>
      </w:pPr>
      <m:oMathPara>
        <m:oMath>
          <m:sSub>
            <m:sSubPr>
              <m:ctrlPr>
                <w:rPr>
                  <w:rFonts w:ascii="Cambria Math" w:hAnsi="Cambria Math"/>
                  <w:i/>
                </w:rPr>
              </m:ctrlPr>
            </m:sSubPr>
            <m:e>
              <m:r>
                <w:rPr>
                  <w:rFonts w:ascii="Cambria Math" w:hAnsi="Cambria Math"/>
                </w:rPr>
                <m:t>R</m:t>
              </m:r>
            </m:e>
            <m:sub>
              <m:r>
                <w:rPr>
                  <w:rFonts w:ascii="Cambria Math" w:hAnsi="Cambria Math"/>
                </w:rPr>
                <m:t>Tj</m:t>
              </m:r>
            </m:sub>
          </m:sSub>
          <m:r>
            <w:rPr>
              <w:rFonts w:ascii="Cambria Math" w:hAnsi="Cambria Math"/>
            </w:rPr>
            <m:t>=-</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j</m:t>
                  </m:r>
                </m:sub>
              </m:sSub>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m:t>
          </m:r>
        </m:oMath>
      </m:oMathPara>
    </w:p>
    <w:p w14:paraId="4E7C55D0" w14:textId="77777777" w:rsidR="009839BA" w:rsidRDefault="009839BA" w:rsidP="009839BA">
      <w:pPr>
        <w:pStyle w:val="Paragraph"/>
      </w:pPr>
      <w:r>
        <w:t>Where:</w:t>
      </w:r>
    </w:p>
    <w:p w14:paraId="12F4EA13" w14:textId="77777777" w:rsidR="009839BA" w:rsidRDefault="00461DCC" w:rsidP="009839BA">
      <w:pPr>
        <w:pStyle w:val="Equation"/>
      </w:pPr>
      <m:oMathPara>
        <m:oMath>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Tj,r</m:t>
                  </m:r>
                </m:sub>
              </m:sSub>
            </m:e>
          </m:nary>
          <m:r>
            <w:rPr>
              <w:rFonts w:ascii="Cambria Math" w:hAnsi="Cambria Math"/>
            </w:rPr>
            <m:t>=1,  ∀j</m:t>
          </m:r>
          <m:r>
            <m:rPr>
              <m:sty m:val="p"/>
            </m:rPr>
            <w:rPr>
              <w:rFonts w:ascii="Cambria Math" w:hAnsi="Cambria Math"/>
            </w:rPr>
            <m:t>∈</m:t>
          </m:r>
          <m:r>
            <w:rPr>
              <w:rFonts w:ascii="Cambria Math" w:hAnsi="Cambria Math"/>
            </w:rPr>
            <m:t>EIM∧j&gt;0</m:t>
          </m:r>
        </m:oMath>
      </m:oMathPara>
    </w:p>
    <w:p w14:paraId="58C4A8C0" w14:textId="77777777" w:rsidR="009839BA" w:rsidRDefault="009839BA" w:rsidP="009839BA">
      <w:pPr>
        <w:pStyle w:val="Paragraph"/>
      </w:pPr>
      <w:r>
        <w:t>This is accomplished by decomposing the corresponding MCC contributions using the congestion revenue distribution factors, as follows:</w:t>
      </w:r>
    </w:p>
    <w:p w14:paraId="0B8AC364" w14:textId="77777777" w:rsidR="009839BA" w:rsidRDefault="009839BA" w:rsidP="009839BA">
      <w:pPr>
        <w:pStyle w:val="Equation"/>
      </w:pPr>
      <m:oMathPara>
        <m:oMath>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m:t>
          </m:r>
        </m:oMath>
      </m:oMathPara>
    </w:p>
    <w:p w14:paraId="65768D8C" w14:textId="48DA36B6" w:rsidR="009839BA" w:rsidRDefault="00FD5ED6" w:rsidP="009839BA">
      <w:pPr>
        <w:pStyle w:val="Paragraph"/>
      </w:pPr>
      <w:r>
        <w:t>T</w:t>
      </w:r>
      <w:r w:rsidR="009839BA">
        <w:t>he congestion revenue distribution factors for these constraints allocate the congestion revenue 100% to the BAA for which the constraint is formulated:</w:t>
      </w:r>
    </w:p>
    <w:p w14:paraId="102112DF" w14:textId="77777777" w:rsidR="009839BA" w:rsidRDefault="00461DCC" w:rsidP="009839BA">
      <w:pPr>
        <w:pStyle w:val="Equation"/>
      </w:pPr>
      <m:oMathPara>
        <m:oMath>
          <m:d>
            <m:dPr>
              <m:begChr m:val=""/>
              <m:endChr m:val="}"/>
              <m:ctrlPr>
                <w:rPr>
                  <w:rFonts w:ascii="Cambria Math" w:hAnsi="Cambria Math"/>
                  <w:i/>
                </w:rPr>
              </m:ctrlPr>
            </m:dPr>
            <m:e>
              <m:m>
                <m:mPr>
                  <m:mcs>
                    <m:mc>
                      <m:mcPr>
                        <m:count m:val="1"/>
                        <m:mcJc m:val="center"/>
                      </m:mcPr>
                    </m:mc>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=1</m:t>
                    </m:r>
                  </m:e>
                  <m:e>
                    <m:r>
                      <w:rPr>
                        <w:rFonts w:ascii="Cambria Math" w:hAnsi="Cambria Math"/>
                      </w:rPr>
                      <m:t>∴r=j</m:t>
                    </m:r>
                  </m:e>
                </m:mr>
                <m:mr>
                  <m:e>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=0</m:t>
                    </m:r>
                  </m:e>
                  <m:e>
                    <m:r>
                      <w:rPr>
                        <w:rFonts w:ascii="Cambria Math" w:hAnsi="Cambria Math"/>
                      </w:rPr>
                      <m:t>∴r≠j</m:t>
                    </m:r>
                  </m:e>
                </m:mr>
              </m:m>
            </m:e>
          </m:d>
          <m:r>
            <w:rPr>
              <w:rFonts w:ascii="Cambria Math" w:hAnsi="Cambria Math"/>
            </w:rPr>
            <m:t>,  ∀j</m:t>
          </m:r>
          <m:r>
            <m:rPr>
              <m:sty m:val="p"/>
            </m:rPr>
            <w:rPr>
              <w:rFonts w:ascii="Cambria Math" w:hAnsi="Cambria Math"/>
            </w:rPr>
            <m:t>∈</m:t>
          </m:r>
          <m:r>
            <w:rPr>
              <w:rFonts w:ascii="Cambria Math" w:hAnsi="Cambria Math"/>
            </w:rPr>
            <m:t>EIM∧j&gt;0</m:t>
          </m:r>
        </m:oMath>
      </m:oMathPara>
    </w:p>
    <w:p w14:paraId="3547BCCA" w14:textId="49B4D5DC" w:rsidR="00FD5ED6" w:rsidRDefault="00FD5ED6" w:rsidP="009839BA">
      <w:pPr>
        <w:pStyle w:val="Paragraph"/>
      </w:pPr>
      <w:r>
        <w:lastRenderedPageBreak/>
        <w:t>MCC contributions from FRP requirement constraints</w:t>
      </w:r>
      <w:r w:rsidR="00123564">
        <w:t xml:space="preserve"> for specific BAAs (due to the dependency on the available net import/export capability)</w:t>
      </w:r>
      <w:r w:rsidR="000C0DDC">
        <w:t xml:space="preserve"> are similarly distributed 100% to the BAA for which the constraint is formulated.</w:t>
      </w:r>
    </w:p>
    <w:p w14:paraId="5FDDB4C6" w14:textId="2394F62E" w:rsidR="009839BA" w:rsidRDefault="009839BA" w:rsidP="009839BA">
      <w:pPr>
        <w:pStyle w:val="Paragraph"/>
      </w:pPr>
      <w:r>
        <w:t>The only remaining MCC component after the allocation of the shadow prices of generic transmission constraints (</w:t>
      </w:r>
      <w:r w:rsidRPr="00A65D19">
        <w:rPr>
          <w:i/>
        </w:rPr>
        <w:sym w:font="Symbol" w:char="F06D"/>
      </w:r>
      <w:r>
        <w:t>)</w:t>
      </w:r>
      <w:r w:rsidR="00D06167">
        <w:t>,</w:t>
      </w:r>
      <w:r w:rsidR="005F24C1">
        <w:t xml:space="preserve"> WEIM </w:t>
      </w:r>
      <w:r>
        <w:t>transfer scheduling limits (</w:t>
      </w:r>
      <w:r w:rsidRPr="00E17250">
        <w:rPr>
          <w:i/>
        </w:rPr>
        <w:sym w:font="Symbol" w:char="F06E"/>
      </w:r>
      <w:r>
        <w:t xml:space="preserve"> or </w:t>
      </w:r>
      <w:r w:rsidRPr="00E17250">
        <w:rPr>
          <w:i/>
        </w:rPr>
        <w:sym w:font="Symbol" w:char="F078"/>
      </w:r>
      <w:r>
        <w:t>)</w:t>
      </w:r>
      <w:r w:rsidR="00D06167">
        <w:t>, and FRP requirement constraints,</w:t>
      </w:r>
      <w:r>
        <w:t xml:space="preserve"> is the shadow price of the</w:t>
      </w:r>
      <w:r w:rsidR="005F24C1">
        <w:t xml:space="preserve"> WEIM </w:t>
      </w:r>
      <w:r>
        <w:t>transfer distribution constraint (</w:t>
      </w:r>
      <w:r w:rsidRPr="0000273E">
        <w:rPr>
          <w:i/>
        </w:rPr>
        <w:sym w:font="Symbol" w:char="F06A"/>
      </w:r>
      <w:r>
        <w:t xml:space="preserve">). </w:t>
      </w:r>
      <w:r w:rsidR="00D379A1">
        <w:t>T</w:t>
      </w:r>
      <w:r>
        <w:t>he same allocation process</w:t>
      </w:r>
      <w:r w:rsidR="00D379A1">
        <w:t xml:space="preserve"> is used</w:t>
      </w:r>
      <w:r>
        <w:t xml:space="preserve">, but instead of allocating the congestion revenue at the BAA level, the allocation </w:t>
      </w:r>
      <w:r w:rsidR="00D379A1">
        <w:t xml:space="preserve">is performed </w:t>
      </w:r>
      <w:r>
        <w:t xml:space="preserve">for each BAA intertie instead. The congestion revenue collected at the BAA level through </w:t>
      </w:r>
      <w:r w:rsidRPr="0000273E">
        <w:rPr>
          <w:i/>
        </w:rPr>
        <w:sym w:font="Symbol" w:char="F06A"/>
      </w:r>
      <w:r>
        <w:t xml:space="preserve"> is equal overall to the congestion revenue collected from each intertie with ETSRs due to the ETSR transmission cost (</w:t>
      </w:r>
      <w:r w:rsidRPr="00713CD5">
        <w:rPr>
          <w:i/>
        </w:rPr>
        <w:t>CT</w:t>
      </w:r>
      <w:r>
        <w:t>), the shadow price of the ETSR schedule limit (</w:t>
      </w:r>
      <w:r>
        <w:rPr>
          <w:i/>
        </w:rPr>
        <w:sym w:font="Symbol" w:char="F072"/>
      </w:r>
      <w:r>
        <w:t xml:space="preserve"> or </w:t>
      </w:r>
      <w:r>
        <w:rPr>
          <w:i/>
        </w:rPr>
        <w:sym w:font="Symbol" w:char="F073"/>
      </w:r>
      <w:r>
        <w:t>), and the intertie scheduling limit</w:t>
      </w:r>
      <w:r w:rsidR="00B43647">
        <w:t xml:space="preserve"> (ISL or ITC)</w:t>
      </w:r>
      <w:r>
        <w:t xml:space="preserve"> shadow price (</w:t>
      </w:r>
      <w:r>
        <w:rPr>
          <w:i/>
        </w:rPr>
        <w:sym w:font="Symbol" w:char="F068"/>
      </w:r>
      <w:r>
        <w:t xml:space="preserve"> or </w:t>
      </w:r>
      <w:r>
        <w:rPr>
          <w:i/>
        </w:rPr>
        <w:sym w:font="Symbol" w:char="F07A"/>
      </w:r>
      <w:r>
        <w:t>).</w:t>
      </w:r>
    </w:p>
    <w:p w14:paraId="0D6E0C03" w14:textId="1570A499" w:rsidR="001A4653" w:rsidRDefault="00461DCC" w:rsidP="009839BA">
      <w:pPr>
        <w:pStyle w:val="Paragraph"/>
      </w:pPr>
      <m:oMathPara>
        <m:oMath>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j</m:t>
                  </m:r>
                </m:sub>
              </m:sSub>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sSub>
                    <m:sSubPr>
                      <m:ctrlPr>
                        <w:rPr>
                          <w:rFonts w:ascii="Cambria Math" w:hAnsi="Cambria Math"/>
                          <w:i/>
                        </w:rPr>
                      </m:ctrlPr>
                    </m:sSubPr>
                    <m:e>
                      <m:r>
                        <w:rPr>
                          <w:rFonts w:ascii="Cambria Math" w:hAnsi="Cambria Math"/>
                        </w:rPr>
                        <m:t>R</m:t>
                      </m:r>
                    </m:e>
                    <m:sub>
                      <m:r>
                        <w:rPr>
                          <w:rFonts w:ascii="Cambria Math" w:hAnsi="Cambria Math"/>
                        </w:rPr>
                        <m:t>j,k,l</m:t>
                      </m:r>
                    </m:sub>
                  </m:sSub>
                </m:e>
              </m:nary>
            </m:e>
          </m:nary>
        </m:oMath>
      </m:oMathPara>
    </w:p>
    <w:p w14:paraId="216AEBE2" w14:textId="2BF4E218" w:rsidR="00641A10" w:rsidRDefault="00880DC4" w:rsidP="00641A10">
      <w:pPr>
        <w:pStyle w:val="Paragraph"/>
      </w:pPr>
      <w:r>
        <w:t>T</w:t>
      </w:r>
      <w:r w:rsidR="00641A10">
        <w:t>he congestion revenue from each ETSR (</w:t>
      </w:r>
      <m:oMath>
        <m:sSub>
          <m:sSubPr>
            <m:ctrlPr>
              <w:rPr>
                <w:rFonts w:ascii="Cambria Math" w:hAnsi="Cambria Math"/>
                <w:i/>
              </w:rPr>
            </m:ctrlPr>
          </m:sSubPr>
          <m:e>
            <m:r>
              <w:rPr>
                <w:rFonts w:ascii="Cambria Math" w:hAnsi="Cambria Math"/>
              </w:rPr>
              <m:t>R</m:t>
            </m:r>
          </m:e>
          <m:sub>
            <m:r>
              <w:rPr>
                <w:rFonts w:ascii="Cambria Math" w:hAnsi="Cambria Math"/>
              </w:rPr>
              <m:t>j,k,l</m:t>
            </m:r>
          </m:sub>
        </m:sSub>
      </m:oMath>
      <w:r w:rsidR="00641A10">
        <w:t xml:space="preserve">) </w:t>
      </w:r>
      <w:r>
        <w:t xml:space="preserve">can be separated </w:t>
      </w:r>
      <w:r w:rsidR="00641A10">
        <w:t>to its contributions from the ETSR transmission cost (</w:t>
      </w:r>
      <w:r w:rsidR="00641A10" w:rsidRPr="00713CD5">
        <w:rPr>
          <w:i/>
        </w:rPr>
        <w:t>CT</w:t>
      </w:r>
      <w:r w:rsidR="00641A10">
        <w:t>), the shadow price of the ETSR schedule limit (</w:t>
      </w:r>
      <w:r w:rsidR="00641A10">
        <w:rPr>
          <w:i/>
        </w:rPr>
        <w:sym w:font="Symbol" w:char="F072"/>
      </w:r>
      <w:r w:rsidR="00641A10">
        <w:t xml:space="preserve"> or </w:t>
      </w:r>
      <w:r w:rsidR="00641A10">
        <w:rPr>
          <w:i/>
        </w:rPr>
        <w:sym w:font="Symbol" w:char="F073"/>
      </w:r>
      <w:r w:rsidR="00641A10">
        <w:t>), and the intertie scheduling limit shadow price (</w:t>
      </w:r>
      <w:r w:rsidR="00641A10">
        <w:rPr>
          <w:i/>
        </w:rPr>
        <w:sym w:font="Symbol" w:char="F068"/>
      </w:r>
      <w:r w:rsidR="00641A10">
        <w:t xml:space="preserve"> or </w:t>
      </w:r>
      <w:r w:rsidR="00641A10">
        <w:rPr>
          <w:i/>
        </w:rPr>
        <w:sym w:font="Symbol" w:char="F07A"/>
      </w:r>
      <w:r w:rsidR="00641A10">
        <w:t>) as follows:</w:t>
      </w:r>
    </w:p>
    <w:p w14:paraId="1DE80389" w14:textId="77777777" w:rsidR="00641A10" w:rsidRPr="00176726" w:rsidRDefault="00461DCC" w:rsidP="00641A10">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SLj,k,l</m:t>
                        </m:r>
                      </m:sub>
                    </m:sSub>
                  </m:e>
                </m:mr>
                <m:mr>
                  <m:e>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mr>
                <m:mr>
                  <m:e>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R</m:t>
                        </m:r>
                      </m:e>
                      <m:sub>
                        <m:r>
                          <w:rPr>
                            <w:rFonts w:ascii="Cambria Math" w:hAnsi="Cambria Math"/>
                          </w:rPr>
                          <m:t>SLj,k,l</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EIM</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68DC6EB7" w14:textId="51437F59" w:rsidR="00641A10" w:rsidRDefault="00641A10" w:rsidP="00641A10">
      <w:pPr>
        <w:pStyle w:val="Paragraph"/>
      </w:pPr>
      <w:r>
        <w:t>Each of these contributions can be distributed to BAAs in the</w:t>
      </w:r>
      <w:r w:rsidR="005F24C1">
        <w:t xml:space="preserve"> WEIM </w:t>
      </w:r>
      <w:r>
        <w:t>Area using configurable distribution factors as follows:</w:t>
      </w:r>
    </w:p>
    <w:p w14:paraId="6B905B6A" w14:textId="77777777" w:rsidR="00641A10" w:rsidRDefault="00461DCC" w:rsidP="00641A10">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mr>
                <m:mr>
                  <m:e>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mr>
                <m:mr>
                  <m:e>
                    <m:sSub>
                      <m:sSubPr>
                        <m:ctrlPr>
                          <w:rPr>
                            <w:rFonts w:ascii="Cambria Math" w:hAnsi="Cambria Math"/>
                            <w:i/>
                          </w:rPr>
                        </m:ctrlPr>
                      </m:sSubPr>
                      <m:e>
                        <m:r>
                          <w:rPr>
                            <w:rFonts w:ascii="Cambria Math" w:hAnsi="Cambria Math"/>
                          </w:rPr>
                          <m:t>R</m:t>
                        </m:r>
                      </m:e>
                      <m:sub>
                        <m:r>
                          <w:rPr>
                            <w:rFonts w:ascii="Cambria Math" w:hAnsi="Cambria Math"/>
                          </w:rPr>
                          <m:t>SLj,k,l</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EIM</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1C0FD1CB" w14:textId="77777777" w:rsidR="00641A10" w:rsidRDefault="00641A10" w:rsidP="00641A10">
      <w:pPr>
        <w:pStyle w:val="Paragraph"/>
      </w:pPr>
      <w:r>
        <w:t>Where:</w:t>
      </w:r>
    </w:p>
    <w:p w14:paraId="25F01BF5" w14:textId="77777777" w:rsidR="00641A10" w:rsidRDefault="00461DCC" w:rsidP="00641A10">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CTj,k,l,r</m:t>
                            </m:r>
                          </m:sub>
                        </m:sSub>
                      </m:e>
                    </m:nary>
                    <m:r>
                      <w:rPr>
                        <w:rFonts w:ascii="Cambria Math" w:hAnsi="Cambria Math"/>
                      </w:rPr>
                      <m:t>=1</m:t>
                    </m:r>
                  </m:e>
                </m:mr>
                <m:mr>
                  <m:e>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ETj,k,l,r</m:t>
                            </m:r>
                          </m:sub>
                        </m:sSub>
                      </m:e>
                    </m:nary>
                    <m:r>
                      <w:rPr>
                        <w:rFonts w:ascii="Cambria Math" w:hAnsi="Cambria Math"/>
                      </w:rPr>
                      <m:t>=1</m:t>
                    </m:r>
                  </m:e>
                </m:mr>
                <m:mr>
                  <m:e>
                    <m:nary>
                      <m:naryPr>
                        <m:chr m:val="∑"/>
                        <m:limLoc m:val="undOvr"/>
                        <m:supHide m:val="1"/>
                        <m:ctrlPr>
                          <w:rPr>
                            <w:rFonts w:ascii="Cambria Math" w:hAnsi="Cambria Math"/>
                            <w:i/>
                          </w:rPr>
                        </m:ctrlPr>
                      </m:naryPr>
                      <m:sub>
                        <m:r>
                          <w:rPr>
                            <w:rFonts w:ascii="Cambria Math" w:hAnsi="Cambria Math"/>
                          </w:rPr>
                          <m:t>r∈EIM</m:t>
                        </m:r>
                      </m:sub>
                      <m:sup/>
                      <m:e>
                        <m:sSub>
                          <m:sSubPr>
                            <m:ctrlPr>
                              <w:rPr>
                                <w:rFonts w:ascii="Cambria Math" w:hAnsi="Cambria Math"/>
                                <w:i/>
                              </w:rPr>
                            </m:ctrlPr>
                          </m:sSubPr>
                          <m:e>
                            <m:r>
                              <w:rPr>
                                <w:rFonts w:ascii="Cambria Math" w:hAnsi="Cambria Math"/>
                              </w:rPr>
                              <m:t>f</m:t>
                            </m:r>
                          </m:e>
                          <m:sub>
                            <m:r>
                              <w:rPr>
                                <w:rFonts w:ascii="Cambria Math" w:hAnsi="Cambria Math"/>
                              </w:rPr>
                              <m:t>SLj,k,l,r</m:t>
                            </m:r>
                          </m:sub>
                        </m:sSub>
                      </m:e>
                    </m:nary>
                    <m:r>
                      <w:rPr>
                        <w:rFonts w:ascii="Cambria Math" w:hAnsi="Cambria Math"/>
                      </w:rPr>
                      <m:t>=1</m:t>
                    </m:r>
                  </m:e>
                </m:mr>
              </m:m>
            </m:e>
          </m:d>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EIM</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33BDE27E" w14:textId="5717859C" w:rsidR="002A168E" w:rsidRDefault="004E4871" w:rsidP="00912DDD">
      <w:pPr>
        <w:pStyle w:val="Paragraph"/>
      </w:pPr>
      <w:r>
        <w:t>The congestion distribution factors for the ETSR transmission cost (</w:t>
      </w:r>
      <m:oMath>
        <m:sSub>
          <m:sSubPr>
            <m:ctrlPr>
              <w:rPr>
                <w:rFonts w:ascii="Cambria Math" w:hAnsi="Cambria Math"/>
                <w:i/>
              </w:rPr>
            </m:ctrlPr>
          </m:sSubPr>
          <m:e>
            <m:r>
              <w:rPr>
                <w:rFonts w:ascii="Cambria Math" w:hAnsi="Cambria Math"/>
              </w:rPr>
              <m:t>f</m:t>
            </m:r>
          </m:e>
          <m:sub>
            <m:r>
              <w:rPr>
                <w:rFonts w:ascii="Cambria Math" w:hAnsi="Cambria Math"/>
              </w:rPr>
              <m:t>CTj,k,l,r</m:t>
            </m:r>
          </m:sub>
        </m:sSub>
      </m:oMath>
      <w:r>
        <w:t xml:space="preserve">) are </w:t>
      </w:r>
      <w:r w:rsidR="00450CA3">
        <w:t xml:space="preserve">set to 50% for each of the two BAAs </w:t>
      </w:r>
      <w:r w:rsidR="002A3D5D">
        <w:t>of the</w:t>
      </w:r>
      <w:r w:rsidR="00450CA3">
        <w:t xml:space="preserve"> associated </w:t>
      </w:r>
      <w:r w:rsidR="002A3D5D">
        <w:t xml:space="preserve">ETSR. The congestion distribution factors for the ETSR </w:t>
      </w:r>
      <w:r w:rsidR="001B2A2C">
        <w:t>scheduling limits</w:t>
      </w:r>
      <w:r w:rsidR="002A3D5D">
        <w:t xml:space="preserve"> (</w:t>
      </w:r>
      <m:oMath>
        <m:sSub>
          <m:sSubPr>
            <m:ctrlPr>
              <w:rPr>
                <w:rFonts w:ascii="Cambria Math" w:hAnsi="Cambria Math"/>
                <w:i/>
              </w:rPr>
            </m:ctrlPr>
          </m:sSubPr>
          <m:e>
            <m:r>
              <w:rPr>
                <w:rFonts w:ascii="Cambria Math" w:hAnsi="Cambria Math"/>
              </w:rPr>
              <m:t>f</m:t>
            </m:r>
          </m:e>
          <m:sub>
            <m:r>
              <w:rPr>
                <w:rFonts w:ascii="Cambria Math" w:hAnsi="Cambria Math"/>
              </w:rPr>
              <m:t>ETj,k,l,r</m:t>
            </m:r>
          </m:sub>
        </m:sSub>
      </m:oMath>
      <w:r w:rsidR="002A3D5D">
        <w:t>) are set to</w:t>
      </w:r>
      <w:r w:rsidR="008508DA">
        <w:t xml:space="preserve"> 50%</w:t>
      </w:r>
      <w:r w:rsidR="008508DA" w:rsidRPr="008508DA">
        <w:t xml:space="preserve"> </w:t>
      </w:r>
      <w:r w:rsidR="008508DA">
        <w:t xml:space="preserve">for each of the two BAAs of the associated ETSR if they have transmission rights through </w:t>
      </w:r>
      <w:r w:rsidR="000E563F">
        <w:t>the intertie (typical case for ETSRs between</w:t>
      </w:r>
      <w:r w:rsidR="005F24C1">
        <w:t xml:space="preserve"> WEIM </w:t>
      </w:r>
      <w:r w:rsidR="000E563F">
        <w:t>BAAs)</w:t>
      </w:r>
      <w:r w:rsidR="00CB6ECE">
        <w:t xml:space="preserve">, or 100% to the BAA that has transmission rights to, but not through, the intertie (typical case for ETSRs between </w:t>
      </w:r>
      <w:r w:rsidR="00153940">
        <w:t>a WEIM</w:t>
      </w:r>
      <w:r w:rsidR="005F24C1">
        <w:t xml:space="preserve"> </w:t>
      </w:r>
      <w:r w:rsidR="00A16D58">
        <w:t>BAA and the CISO).</w:t>
      </w:r>
      <w:r w:rsidR="00A16D58" w:rsidRPr="00A16D58">
        <w:t xml:space="preserve"> </w:t>
      </w:r>
      <w:r w:rsidR="00A16D58">
        <w:t>The congestion distribution factors for the intertie scheduling limit (ISL or ITC) (</w:t>
      </w:r>
      <m:oMath>
        <m:sSub>
          <m:sSubPr>
            <m:ctrlPr>
              <w:rPr>
                <w:rFonts w:ascii="Cambria Math" w:hAnsi="Cambria Math"/>
                <w:i/>
              </w:rPr>
            </m:ctrlPr>
          </m:sSubPr>
          <m:e>
            <m:r>
              <w:rPr>
                <w:rFonts w:ascii="Cambria Math" w:hAnsi="Cambria Math"/>
              </w:rPr>
              <m:t>f</m:t>
            </m:r>
          </m:e>
          <m:sub>
            <m:r>
              <w:rPr>
                <w:rFonts w:ascii="Cambria Math" w:hAnsi="Cambria Math"/>
              </w:rPr>
              <m:t>SLj,k,l,r</m:t>
            </m:r>
          </m:sub>
        </m:sSub>
      </m:oMath>
      <w:r w:rsidR="00A16D58">
        <w:t>) are set to</w:t>
      </w:r>
      <w:r w:rsidR="00CD09B0">
        <w:t xml:space="preserve"> 100% for the BAA that manages the limit.</w:t>
      </w:r>
    </w:p>
    <w:p w14:paraId="7384FE15" w14:textId="6C713DE5" w:rsidR="00912DDD" w:rsidRDefault="00CD09B0" w:rsidP="00912DDD">
      <w:pPr>
        <w:pStyle w:val="Paragraph"/>
      </w:pPr>
      <w:r>
        <w:t>T</w:t>
      </w:r>
      <w:r w:rsidR="00912DDD">
        <w:t>he total congestion revenue from all interties can be distributed to the BAAs in the</w:t>
      </w:r>
      <w:r w:rsidR="005F24C1">
        <w:t xml:space="preserve"> WEIM </w:t>
      </w:r>
      <w:r w:rsidR="00912DDD">
        <w:t>Area as follows:</w:t>
      </w:r>
    </w:p>
    <w:p w14:paraId="50146011" w14:textId="77777777" w:rsidR="00912DDD" w:rsidRDefault="00461DCC" w:rsidP="00912DDD">
      <w:pPr>
        <w:pStyle w:val="Equation"/>
      </w:pPr>
      <m:oMathPara>
        <m:oMath>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R</m:t>
                  </m:r>
                </m:e>
                <m:sub>
                  <m:r>
                    <w:rPr>
                      <w:rFonts w:ascii="Cambria Math" w:hAnsi="Cambria Math"/>
                    </w:rPr>
                    <m:t>Dr</m:t>
                  </m:r>
                </m:sub>
              </m:sSub>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sSub>
                    <m:sSubPr>
                      <m:ctrlPr>
                        <w:rPr>
                          <w:rFonts w:ascii="Cambria Math" w:hAnsi="Cambria Math"/>
                          <w:i/>
                        </w:rPr>
                      </m:ctrlPr>
                    </m:sSubPr>
                    <m:e>
                      <m:r>
                        <w:rPr>
                          <w:rFonts w:ascii="Cambria Math" w:hAnsi="Cambria Math"/>
                        </w:rPr>
                        <m:t>R</m:t>
                      </m:r>
                    </m:e>
                    <m:sub>
                      <m:r>
                        <w:rPr>
                          <w:rFonts w:ascii="Cambria Math" w:hAnsi="Cambria Math"/>
                        </w:rPr>
                        <m:t>j,k,l</m:t>
                      </m:r>
                    </m:sub>
                  </m:sSub>
                </m:e>
              </m:nary>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CTj,k,l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ETj,k,l</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SLj,k,l</m:t>
                          </m:r>
                        </m:sub>
                      </m:sSub>
                    </m:e>
                  </m:d>
                </m:e>
              </m:nary>
            </m:e>
          </m:nary>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nary>
                    <m:naryPr>
                      <m:chr m:val="∑"/>
                      <m:limLoc m:val="undOvr"/>
                      <m:supHide m:val="1"/>
                      <m:ctrlPr>
                        <w:rPr>
                          <w:rFonts w:ascii="Cambria Math" w:hAnsi="Cambria Math"/>
                          <w:i/>
                        </w:rPr>
                      </m:ctrlPr>
                    </m:naryPr>
                    <m:sub>
                      <m:r>
                        <w:rPr>
                          <w:rFonts w:ascii="Cambria Math" w:hAnsi="Cambria Math"/>
                        </w:rPr>
                        <m:t>r∈EIM</m:t>
                      </m:r>
                    </m:sub>
                    <m:sup/>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r∈EIM</m:t>
              </m:r>
            </m:sub>
            <m:sup/>
            <m:e>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nary>
            </m:e>
          </m:nary>
          <m:r>
            <w:rPr>
              <w:rFonts w:ascii="Cambria Math" w:hAnsi="Cambria Math"/>
            </w:rPr>
            <m:t>⇒</m:t>
          </m:r>
          <m:r>
            <m:rPr>
              <m:sty m:val="p"/>
            </m:rPr>
            <w:rPr>
              <w:rFonts w:ascii="Cambria Math" w:hAnsi="Cambria Math"/>
            </w:rPr>
            <w:br/>
          </m:r>
        </m:oMath>
        <m:oMath>
          <m:sSub>
            <m:sSubPr>
              <m:ctrlPr>
                <w:rPr>
                  <w:rFonts w:ascii="Cambria Math" w:hAnsi="Cambria Math"/>
                  <w:i/>
                </w:rPr>
              </m:ctrlPr>
            </m:sSubPr>
            <m:e>
              <m:r>
                <w:rPr>
                  <w:rFonts w:ascii="Cambria Math" w:hAnsi="Cambria Math"/>
                </w:rPr>
                <m:t>R</m:t>
              </m:r>
            </m:e>
            <m:sub>
              <m:r>
                <w:rPr>
                  <w:rFonts w:ascii="Cambria Math" w:hAnsi="Cambria Math"/>
                </w:rPr>
                <m:t>Dr</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m:t>
                    </m:r>
                    <m:r>
                      <m:rPr>
                        <m:sty m:val="p"/>
                      </m:rPr>
                      <w:rPr>
                        <w:rFonts w:ascii="Cambria Math" w:hAnsi="Cambria Math"/>
                      </w:rPr>
                      <m:t>∈</m:t>
                    </m:r>
                    <m:r>
                      <w:rPr>
                        <w:rFonts w:ascii="Cambria Math" w:hAnsi="Cambria Math"/>
                      </w:rPr>
                      <m:t>EIM</m:t>
                    </m:r>
                  </m:e>
                </m:mr>
                <m:mr>
                  <m:e>
                    <m:r>
                      <w:rPr>
                        <w:rFonts w:ascii="Cambria Math" w:hAnsi="Cambria Math"/>
                      </w:rPr>
                      <m:t>j≠k</m:t>
                    </m:r>
                  </m:e>
                </m:mr>
              </m:m>
            </m:sub>
            <m:sup/>
            <m:e>
              <m:nary>
                <m:naryPr>
                  <m:chr m:val="∑"/>
                  <m:limLoc m:val="undOvr"/>
                  <m:supHide m:val="1"/>
                  <m:ctrlPr>
                    <w:rPr>
                      <w:rFonts w:ascii="Cambria Math" w:hAnsi="Cambria Math"/>
                    </w:rPr>
                  </m:ctrlPr>
                </m:naryPr>
                <m:sub>
                  <m:r>
                    <w:rPr>
                      <w:rFonts w:ascii="Cambria Math" w:hAnsi="Cambria Math"/>
                    </w:rPr>
                    <m:t>lϵ</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CTj,k,l,r</m:t>
                          </m:r>
                        </m:sub>
                      </m:sSub>
                      <m:r>
                        <w:rPr>
                          <w:rFonts w:ascii="Cambria Math" w:hAnsi="Cambria Math"/>
                        </w:rPr>
                        <m:t xml:space="preserve"> </m:t>
                      </m:r>
                      <m:sSub>
                        <m:sSubPr>
                          <m:ctrlPr>
                            <w:rPr>
                              <w:rFonts w:ascii="Cambria Math" w:hAnsi="Cambria Math"/>
                              <w:i/>
                            </w:rPr>
                          </m:ctrlPr>
                        </m:sSubPr>
                        <m:e>
                          <m:r>
                            <w:rPr>
                              <w:rFonts w:ascii="Cambria Math" w:hAnsi="Cambria Math"/>
                            </w:rPr>
                            <m:t>CT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ETj,k,l,r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SLk,j,l,r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k,j,l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k,j,l</m:t>
                              </m:r>
                            </m:sub>
                          </m:sSub>
                        </m:e>
                      </m:d>
                    </m:e>
                  </m:d>
                  <m:r>
                    <w:rPr>
                      <w:rFonts w:ascii="Cambria Math" w:hAnsi="Cambria Math"/>
                    </w:rPr>
                    <m:t xml:space="preserve"> </m:t>
                  </m:r>
                  <m:sSub>
                    <m:sSubPr>
                      <m:ctrlPr>
                        <w:rPr>
                          <w:rFonts w:ascii="Cambria Math" w:hAnsi="Cambria Math"/>
                          <w:i/>
                        </w:rPr>
                      </m:ctrlPr>
                    </m:sSubPr>
                    <m:e>
                      <m:r>
                        <w:rPr>
                          <w:rFonts w:ascii="Cambria Math" w:hAnsi="Cambria Math"/>
                        </w:rPr>
                        <m:t>ET</m:t>
                      </m:r>
                    </m:e>
                    <m:sub>
                      <m:r>
                        <w:rPr>
                          <w:rFonts w:ascii="Cambria Math" w:hAnsi="Cambria Math"/>
                        </w:rPr>
                        <m:t>j,k,l</m:t>
                      </m:r>
                    </m:sub>
                  </m:sSub>
                </m:e>
              </m:nary>
            </m:e>
          </m:nary>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EIM</m:t>
          </m:r>
        </m:oMath>
      </m:oMathPara>
    </w:p>
    <w:p w14:paraId="38B65081" w14:textId="42BD2C71" w:rsidR="00912DDD" w:rsidRDefault="00912DDD" w:rsidP="00912DDD">
      <w:pPr>
        <w:pStyle w:val="Paragraph"/>
      </w:pPr>
      <w:r>
        <w:t>Therefore, all shadow prices of the</w:t>
      </w:r>
      <w:r w:rsidR="005F24C1">
        <w:t xml:space="preserve"> WEIM </w:t>
      </w:r>
      <w:r>
        <w:t>Transfer distribution constraints can be decomposed to BAA contributions using a global distribution vector as follows:</w:t>
      </w:r>
    </w:p>
    <w:p w14:paraId="453B4705" w14:textId="77777777" w:rsidR="00912DDD" w:rsidRDefault="00461DCC" w:rsidP="00912DDD">
      <w:pPr>
        <w:pStyle w:val="Equation"/>
      </w:pPr>
      <m:oMathPara>
        <m:oMath>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r</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j</m:t>
                  </m:r>
                </m:sub>
              </m:sSub>
            </m:e>
          </m:nary>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m:t>
          </m:r>
        </m:oMath>
      </m:oMathPara>
    </w:p>
    <w:p w14:paraId="0E2062B6" w14:textId="77777777" w:rsidR="00912DDD" w:rsidRDefault="00912DDD" w:rsidP="00912DDD">
      <w:pPr>
        <w:pStyle w:val="Paragraph"/>
      </w:pPr>
      <w:r>
        <w:t>Where:</w:t>
      </w:r>
    </w:p>
    <w:p w14:paraId="0B779612" w14:textId="77777777" w:rsidR="00912DDD" w:rsidRDefault="00461DCC" w:rsidP="00912DDD">
      <w:pPr>
        <w:pStyle w:val="Equation"/>
      </w:pPr>
      <m:oMathPara>
        <m:oMath>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Dr</m:t>
                  </m:r>
                </m:sub>
              </m:sSub>
            </m:num>
            <m:den>
              <m:sSub>
                <m:sSubPr>
                  <m:ctrlPr>
                    <w:rPr>
                      <w:rFonts w:ascii="Cambria Math" w:hAnsi="Cambria Math"/>
                      <w:i/>
                    </w:rPr>
                  </m:ctrlPr>
                </m:sSubPr>
                <m:e>
                  <m:r>
                    <w:rPr>
                      <w:rFonts w:ascii="Cambria Math" w:hAnsi="Cambria Math"/>
                    </w:rPr>
                    <m:t>R</m:t>
                  </m:r>
                </m:e>
                <m:sub>
                  <m:r>
                    <w:rPr>
                      <w:rFonts w:ascii="Cambria Math" w:hAnsi="Cambria Math"/>
                    </w:rPr>
                    <m:t>D</m:t>
                  </m:r>
                </m:sub>
              </m:sSub>
            </m:den>
          </m:f>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EIM</m:t>
          </m:r>
        </m:oMath>
      </m:oMathPara>
    </w:p>
    <w:p w14:paraId="05C4DBA0" w14:textId="77777777" w:rsidR="00912DDD" w:rsidRDefault="00912DDD" w:rsidP="00912DDD">
      <w:pPr>
        <w:pStyle w:val="Paragraph"/>
      </w:pPr>
      <w:r>
        <w:t>And:</w:t>
      </w:r>
    </w:p>
    <w:p w14:paraId="6C2A4D9B" w14:textId="77777777" w:rsidR="00912DDD" w:rsidRDefault="00461DCC" w:rsidP="00912DDD">
      <w:pPr>
        <w:pStyle w:val="Equation"/>
      </w:pPr>
      <m:oMathPara>
        <m:oMath>
          <m:nary>
            <m:naryPr>
              <m:chr m:val="∑"/>
              <m:limLoc m:val="undOvr"/>
              <m:supHide m:val="1"/>
              <m:ctrlPr>
                <w:rPr>
                  <w:rFonts w:ascii="Cambria Math" w:hAnsi="Cambria Math"/>
                  <w:i/>
                </w:rPr>
              </m:ctrlPr>
            </m:naryPr>
            <m:sub>
              <m:r>
                <w:rPr>
                  <w:rFonts w:ascii="Cambria Math" w:hAnsi="Cambria Math"/>
                </w:rPr>
                <m:t>r</m:t>
              </m:r>
              <m:r>
                <m:rPr>
                  <m:sty m:val="p"/>
                </m:rPr>
                <w:rPr>
                  <w:rFonts w:ascii="Cambria Math" w:hAnsi="Cambria Math"/>
                </w:rPr>
                <m:t>∈</m:t>
              </m:r>
              <m:r>
                <w:rPr>
                  <w:rFonts w:ascii="Cambria Math" w:hAnsi="Cambria Math"/>
                </w:rPr>
                <m:t>EIM</m:t>
              </m:r>
            </m:sub>
            <m:sup/>
            <m:e>
              <m:sSub>
                <m:sSubPr>
                  <m:ctrlPr>
                    <w:rPr>
                      <w:rFonts w:ascii="Cambria Math" w:hAnsi="Cambria Math"/>
                      <w:i/>
                    </w:rPr>
                  </m:ctrlPr>
                </m:sSubPr>
                <m:e>
                  <m:r>
                    <w:rPr>
                      <w:rFonts w:ascii="Cambria Math" w:hAnsi="Cambria Math"/>
                    </w:rPr>
                    <m:t>f</m:t>
                  </m:r>
                </m:e>
                <m:sub>
                  <m:r>
                    <w:rPr>
                      <w:rFonts w:ascii="Cambria Math" w:hAnsi="Cambria Math"/>
                    </w:rPr>
                    <m:t>Dr</m:t>
                  </m:r>
                </m:sub>
              </m:sSub>
            </m:e>
          </m:nary>
          <m:r>
            <w:rPr>
              <w:rFonts w:ascii="Cambria Math" w:hAnsi="Cambria Math"/>
            </w:rPr>
            <m:t>=1</m:t>
          </m:r>
        </m:oMath>
      </m:oMathPara>
    </w:p>
    <w:p w14:paraId="6029974A" w14:textId="77777777" w:rsidR="00F7494A" w:rsidRDefault="00F7494A" w:rsidP="00F7494A">
      <w:pPr>
        <w:pStyle w:val="Paragraph"/>
      </w:pPr>
      <w:r>
        <w:t>Finally, all BAA MCC contributions can be summed up to yield the MCC decomposition to BAA components:</w:t>
      </w:r>
    </w:p>
    <w:p w14:paraId="369DDB3C" w14:textId="7E0939B5" w:rsidR="00F7494A" w:rsidRPr="00B762F6" w:rsidRDefault="00461DCC" w:rsidP="00F7494A">
      <w:pPr>
        <w:pStyle w:val="Equation"/>
        <w:pBdr>
          <w:top w:val="single" w:sz="4" w:space="1" w:color="auto"/>
          <w:left w:val="single" w:sz="4" w:space="4" w:color="auto"/>
          <w:bottom w:val="single" w:sz="4" w:space="1" w:color="auto"/>
          <w:right w:val="single" w:sz="4" w:space="4" w:color="auto"/>
        </w:pBdr>
      </w:pPr>
      <m:oMathPara>
        <m:oMath>
          <m:sSub>
            <m:sSubPr>
              <m:ctrlPr>
                <w:rPr>
                  <w:rFonts w:ascii="Cambria Math" w:hAnsi="Cambria Math"/>
                  <w:i/>
                </w:rPr>
              </m:ctrlPr>
            </m:sSubPr>
            <m:e>
              <m:r>
                <w:rPr>
                  <w:rFonts w:ascii="Cambria Math" w:hAnsi="Cambria Math"/>
                </w:rPr>
                <m:t>MCC</m:t>
              </m:r>
            </m:e>
            <m:sub>
              <m:r>
                <w:rPr>
                  <w:rFonts w:ascii="Cambria Math" w:hAnsi="Cambria Math"/>
                </w:rPr>
                <m:t>i,r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0</m:t>
              </m:r>
            </m:sub>
          </m:sSub>
          <m:r>
            <m:rPr>
              <m:sty m:val="p"/>
            </m:rPr>
            <w:br/>
          </m:r>
        </m:oMath>
        <m:oMath>
          <m:sSub>
            <m:sSubPr>
              <m:ctrlPr>
                <w:rPr>
                  <w:rFonts w:ascii="Cambria Math" w:hAnsi="Cambria Math"/>
                  <w:i/>
                </w:rPr>
              </m:ctrlPr>
            </m:sSubPr>
            <m:e>
              <m:r>
                <w:rPr>
                  <w:rFonts w:ascii="Cambria Math" w:hAnsi="Cambria Math"/>
                </w:rPr>
                <m:t>MCC</m:t>
              </m:r>
            </m:e>
            <m:sub>
              <m:r>
                <w:rPr>
                  <w:rFonts w:ascii="Cambria Math" w:hAnsi="Cambria Math"/>
                </w:rPr>
                <m:t>i,r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∧j∈EIM∧j&gt;0</m:t>
          </m:r>
          <m:r>
            <m:rPr>
              <m:sty m:val="p"/>
            </m:rPr>
            <w:br/>
          </m:r>
        </m:oMath>
        <m:oMath>
          <m:sSub>
            <m:sSubPr>
              <m:ctrlPr>
                <w:rPr>
                  <w:rFonts w:ascii="Cambria Math" w:hAnsi="Cambria Math"/>
                  <w:i/>
                </w:rPr>
              </m:ctrlPr>
            </m:sSubPr>
            <m:e>
              <m:r>
                <w:rPr>
                  <w:rFonts w:ascii="Cambria Math" w:hAnsi="Cambria Math"/>
                </w:rPr>
                <m:t>MCC</m:t>
              </m:r>
            </m:e>
            <m:sub>
              <m:r>
                <w:rPr>
                  <w:rFonts w:ascii="Cambria Math" w:hAnsi="Cambria Math"/>
                </w:rPr>
                <m:t>0,k,l,r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m,n,0,k,l</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SL0,k,l,r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0,k,l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0,k,l</m:t>
                  </m:r>
                </m:sub>
              </m:sSub>
            </m:e>
          </m:d>
          <m:r>
            <w:rPr>
              <w:rFonts w:ascii="Cambria Math" w:hAnsi="Cambria Math"/>
            </w:rPr>
            <m:t xml:space="preserve">,  </m:t>
          </m:r>
          <m:r>
            <m:rPr>
              <m:sty m:val="p"/>
            </m:rPr>
            <w:rPr>
              <w:rFonts w:ascii="Cambria Math" w:hAnsi="Cambria Math"/>
            </w:rPr>
            <m:t>∀</m:t>
          </m:r>
          <m:r>
            <w:rPr>
              <w:rFonts w:ascii="Cambria Math" w:hAnsi="Cambria Math"/>
            </w:rPr>
            <m:t>k</m:t>
          </m:r>
          <m:r>
            <m:rPr>
              <m:sty m:val="p"/>
            </m:rPr>
            <w:rPr>
              <w:rFonts w:ascii="Cambria Math" w:hAnsi="Cambria Math"/>
            </w:rPr>
            <m:t>&gt;0</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sSub>
            <m:sSubPr>
              <m:ctrlPr>
                <w:rPr>
                  <w:rFonts w:ascii="Cambria Math" w:hAnsi="Cambria Math"/>
                  <w:i/>
                </w:rPr>
              </m:ctrlPr>
            </m:sSubPr>
            <m:e>
              <m:r>
                <w:rPr>
                  <w:rFonts w:ascii="Cambria Math" w:hAnsi="Cambria Math"/>
                </w:rPr>
                <m:t>MCC</m:t>
              </m:r>
            </m:e>
            <m:sub>
              <m:r>
                <w:rPr>
                  <w:rFonts w:ascii="Cambria Math" w:hAnsi="Cambria Math"/>
                </w:rPr>
                <m:t>j,k,l,r</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m</m:t>
              </m:r>
            </m:sub>
            <m:sup/>
            <m:e>
              <m:nary>
                <m:naryPr>
                  <m:chr m:val="∑"/>
                  <m:limLoc m:val="undOvr"/>
                  <m:supHide m:val="1"/>
                  <m:ctrlPr>
                    <w:rPr>
                      <w:rFonts w:ascii="Cambria Math" w:hAnsi="Cambria Math"/>
                      <w:i/>
                    </w:rPr>
                  </m:ctrlPr>
                </m:naryPr>
                <m:sub>
                  <m:r>
                    <w:rPr>
                      <w:rFonts w:ascii="Cambria Math" w:hAnsi="Cambria Math"/>
                    </w:rPr>
                    <m:t>nϵ</m:t>
                  </m:r>
                  <m:sSub>
                    <m:sSubPr>
                      <m:ctrlPr>
                        <w:rPr>
                          <w:rFonts w:ascii="Cambria Math" w:hAnsi="Cambria Math"/>
                          <w:i/>
                        </w:rPr>
                      </m:ctrlPr>
                    </m:sSubPr>
                    <m:e>
                      <m:r>
                        <w:rPr>
                          <w:rFonts w:ascii="Cambria Math" w:hAnsi="Cambria Math"/>
                        </w:rPr>
                        <m:t>N</m:t>
                      </m:r>
                    </m:e>
                    <m:sub>
                      <m:r>
                        <w:rPr>
                          <w:rFonts w:ascii="Cambria Math" w:hAnsi="Cambria Math"/>
                        </w:rPr>
                        <m:t>m</m:t>
                      </m:r>
                    </m:sub>
                  </m:sSub>
                </m:sub>
                <m:sup/>
                <m:e>
                  <m:sSub>
                    <m:sSubPr>
                      <m:ctrlPr>
                        <w:rPr>
                          <w:rFonts w:ascii="Cambria Math" w:hAnsi="Cambria Math"/>
                          <w:i/>
                        </w:rPr>
                      </m:ctrlPr>
                    </m:sSubPr>
                    <m:e>
                      <m:r>
                        <w:rPr>
                          <w:rFonts w:ascii="Cambria Math" w:hAnsi="Cambria Math"/>
                        </w:rPr>
                        <m:t>a</m:t>
                      </m:r>
                    </m:e>
                    <m:sub>
                      <m:r>
                        <w:rPr>
                          <w:rFonts w:ascii="Cambria Math" w:hAnsi="Cambria Math"/>
                        </w:rPr>
                        <m:t>m,n</m:t>
                      </m:r>
                    </m:sub>
                  </m:sSub>
                  <m:r>
                    <w:rPr>
                      <w:rFonts w:ascii="Cambria Math" w:hAnsi="Cambria Math"/>
                    </w:rPr>
                    <m:t xml:space="preserve"> </m:t>
                  </m:r>
                  <m:sSub>
                    <m:sSubPr>
                      <m:ctrlPr>
                        <w:rPr>
                          <w:rFonts w:ascii="Cambria Math" w:hAnsi="Cambria Math"/>
                          <w:i/>
                        </w:rPr>
                      </m:ctrlPr>
                    </m:sSubPr>
                    <m:e>
                      <m:r>
                        <w:rPr>
                          <w:rFonts w:ascii="Cambria Math" w:hAnsi="Cambria Math"/>
                        </w:rPr>
                        <m:t>SF</m:t>
                      </m:r>
                    </m:e>
                    <m:sub>
                      <m:r>
                        <w:rPr>
                          <w:rFonts w:ascii="Cambria Math" w:hAnsi="Cambria Math"/>
                        </w:rPr>
                        <m:t>m,n,j,k,l</m:t>
                      </m:r>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m,r</m:t>
                          </m:r>
                        </m:sub>
                      </m:sSub>
                      <m:r>
                        <w:rPr>
                          <w:rFonts w:ascii="Cambria Math" w:hAnsi="Cambria Math"/>
                        </w:rPr>
                        <m:t xml:space="preserve"> μ</m:t>
                      </m:r>
                    </m:e>
                    <m:sub>
                      <m:r>
                        <w:rPr>
                          <w:rFonts w:ascii="Cambria Math" w:hAnsi="Cambria Math"/>
                        </w:rPr>
                        <m:t>m</m:t>
                      </m:r>
                    </m:sub>
                  </m:sSub>
                </m:e>
              </m:nary>
            </m:e>
          </m:nary>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SLj,k,l,r</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ζ</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j,k,l</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Tj,r</m:t>
              </m:r>
            </m:sub>
          </m:sSub>
          <m:r>
            <w:rPr>
              <w:rFonts w:ascii="Cambria Math" w:hAnsi="Cambria Math"/>
            </w:rPr>
            <m:t xml:space="preserve"> </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Dr</m:t>
              </m:r>
            </m:sub>
          </m:sSub>
          <m:r>
            <w:rPr>
              <w:rFonts w:ascii="Cambria Math" w:hAnsi="Cambria Math"/>
            </w:rPr>
            <m:t xml:space="preserve"> </m:t>
          </m:r>
          <m:sSub>
            <m:sSubPr>
              <m:ctrlPr>
                <w:rPr>
                  <w:rFonts w:ascii="Cambria Math" w:hAnsi="Cambria Math"/>
                  <w:i/>
                </w:rPr>
              </m:ctrlPr>
            </m:sSubPr>
            <m:e>
              <m:r>
                <w:rPr>
                  <w:rFonts w:ascii="Cambria Math" w:hAnsi="Cambria Math"/>
                </w:rPr>
                <m:t>φ</m:t>
              </m:r>
            </m:e>
            <m:sub>
              <m:r>
                <w:rPr>
                  <w:rFonts w:ascii="Cambria Math" w:hAnsi="Cambria Math"/>
                </w:rPr>
                <m:t>j</m:t>
              </m:r>
            </m:sub>
          </m:sSub>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EIM∧j&gt;0∧k∉EIM∧l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30AA50D4" w14:textId="456D9F3A" w:rsidR="00B47D9D" w:rsidRDefault="002C3088" w:rsidP="00B47D9D">
      <w:pPr>
        <w:pStyle w:val="ListParagraph"/>
        <w:ind w:left="1440"/>
      </w:pPr>
      <w:r>
        <w:t>Where the contributions from FRP requirement constraints are not shown for simplicity.</w:t>
      </w:r>
    </w:p>
    <w:p w14:paraId="10EB95FB" w14:textId="39BE0524" w:rsidR="00B47D9D" w:rsidRDefault="00B47D9D" w:rsidP="00B47D9D">
      <w:pPr>
        <w:pStyle w:val="BPM3"/>
      </w:pPr>
      <w:r w:rsidRPr="00C71D25">
        <w:t xml:space="preserve">Marginal </w:t>
      </w:r>
      <w:r w:rsidR="000D3882">
        <w:t>Cost of Losses</w:t>
      </w:r>
      <w:r w:rsidRPr="00C71D25">
        <w:t xml:space="preserve"> (</w:t>
      </w:r>
      <w:r w:rsidR="00854973">
        <w:t>MCL</w:t>
      </w:r>
      <w:r w:rsidRPr="00684F4A">
        <w:t xml:space="preserve"> </w:t>
      </w:r>
      <w:r>
        <w:t>)</w:t>
      </w:r>
    </w:p>
    <w:p w14:paraId="38E5842B" w14:textId="77777777" w:rsidR="00B47D9D" w:rsidRPr="005C423C" w:rsidRDefault="00B47D9D" w:rsidP="00B47D9D">
      <w:pPr>
        <w:rPr>
          <w:b/>
        </w:rPr>
      </w:pPr>
    </w:p>
    <w:p w14:paraId="580C321F" w14:textId="18299004" w:rsidR="00B47D9D" w:rsidRDefault="00B47D9D" w:rsidP="00B47D9D">
      <w:pPr>
        <w:pStyle w:val="ListParagraph"/>
        <w:ind w:left="1440"/>
      </w:pPr>
      <w:r>
        <w:t xml:space="preserve">Marginal </w:t>
      </w:r>
      <w:r w:rsidR="000D3882">
        <w:t>Cost of Losses</w:t>
      </w:r>
      <w:r>
        <w:t xml:space="preserve"> is a component of the Locational Marginal price that considers the System Marginal Energy Cost (SMEC), and the Loss Penalty Factor (LPF) at the PNode (Physical Node). The </w:t>
      </w:r>
      <w:r w:rsidR="00854973">
        <w:t>MCL</w:t>
      </w:r>
      <w:r>
        <w:t xml:space="preserve"> at a particular PNode may be positive or negative, depending on the submitted bids.  At a Particular PNode, the </w:t>
      </w:r>
      <w:r w:rsidR="00854973">
        <w:t>MCL</w:t>
      </w:r>
      <w:r>
        <w:t xml:space="preserve"> accounts for the real power marginal losses as measured between a </w:t>
      </w:r>
      <w:r>
        <w:lastRenderedPageBreak/>
        <w:t>CNode (Connection Node) and the distributed load reference. The LPF is derived by the market optimization software (IFM/RTM).</w:t>
      </w:r>
    </w:p>
    <w:p w14:paraId="66EBBA8F" w14:textId="77777777" w:rsidR="00B47D9D" w:rsidRDefault="00B47D9D" w:rsidP="00B47D9D">
      <w:pPr>
        <w:pStyle w:val="ListParagraph"/>
        <w:ind w:left="1440"/>
      </w:pPr>
    </w:p>
    <w:p w14:paraId="7C60DDFB" w14:textId="0D86B849" w:rsidR="00B47D9D" w:rsidRDefault="00B47D9D" w:rsidP="00B47D9D">
      <w:pPr>
        <w:pStyle w:val="Heading5"/>
      </w:pPr>
      <w:r w:rsidRPr="00C71D25">
        <w:t xml:space="preserve">Marginal </w:t>
      </w:r>
      <w:r w:rsidR="000D3882">
        <w:t>Cost of Losses</w:t>
      </w:r>
      <w:r w:rsidRPr="00C71D25">
        <w:t xml:space="preserve"> Decomposition as LMP Componen</w:t>
      </w:r>
      <w:r>
        <w:t>t</w:t>
      </w:r>
    </w:p>
    <w:p w14:paraId="2B30E4D0" w14:textId="77777777" w:rsidR="00B47D9D" w:rsidRDefault="00B47D9D" w:rsidP="00B47D9D">
      <w:pPr>
        <w:pStyle w:val="ListParagraph"/>
        <w:ind w:left="0"/>
      </w:pPr>
    </w:p>
    <w:p w14:paraId="0DC6D881" w14:textId="04586FF0" w:rsidR="00B47D9D" w:rsidRDefault="00B47D9D" w:rsidP="00B47D9D">
      <w:pPr>
        <w:pStyle w:val="ListParagraph"/>
        <w:ind w:left="1440"/>
      </w:pPr>
      <w:r>
        <w:t xml:space="preserve">The </w:t>
      </w:r>
      <w:r w:rsidR="00854973">
        <w:t>MCL</w:t>
      </w:r>
      <w:r>
        <w:t xml:space="preserve"> as a component of the LMP is calculated on the Node price and the SP-Tie Price. Mathematically expressed as below:</w:t>
      </w:r>
    </w:p>
    <w:p w14:paraId="206C97A5" w14:textId="77777777" w:rsidR="00B47D9D" w:rsidRDefault="00B47D9D" w:rsidP="00B47D9D">
      <w:pPr>
        <w:pStyle w:val="ListParagraph"/>
        <w:ind w:left="1440"/>
      </w:pPr>
      <w:r>
        <w:t>Node Price:</w:t>
      </w:r>
    </w:p>
    <w:p w14:paraId="01025310" w14:textId="4FCAEC21" w:rsidR="00B47D9D" w:rsidRPr="0063510A" w:rsidRDefault="00461DCC" w:rsidP="00B47D9D">
      <w:pPr>
        <w:pStyle w:val="ListParagraph"/>
        <w:ind w:left="1440"/>
      </w:pPr>
      <m:oMathPara>
        <m:oMath>
          <m:sSub>
            <m:sSubPr>
              <m:ctrlPr>
                <w:rPr>
                  <w:rFonts w:ascii="Cambria Math" w:hAnsi="Cambria Math"/>
                  <w:i/>
                </w:rPr>
              </m:ctrlPr>
            </m:sSubPr>
            <m:e>
              <m:r>
                <w:rPr>
                  <w:rFonts w:ascii="Cambria Math" w:hAnsi="Cambria Math"/>
                </w:rPr>
                <m:t>LMP</m:t>
              </m:r>
            </m:e>
            <m:sub>
              <m:r>
                <w:rPr>
                  <w:rFonts w:ascii="Cambria Math" w:hAnsi="Cambria Math"/>
                </w:rPr>
                <m:t>i</m:t>
              </m:r>
            </m:sub>
          </m:sSub>
          <m:r>
            <w:rPr>
              <w:rFonts w:ascii="Cambria Math" w:hAnsi="Cambria Math"/>
            </w:rPr>
            <m:t>=SMEC+</m:t>
          </m:r>
          <m:sSub>
            <m:sSubPr>
              <m:ctrlPr>
                <w:rPr>
                  <w:rFonts w:ascii="Cambria Math" w:hAnsi="Cambria Math"/>
                  <w:i/>
                </w:rPr>
              </m:ctrlPr>
            </m:sSubPr>
            <m:e>
              <m:r>
                <w:rPr>
                  <w:rFonts w:ascii="Cambria Math" w:hAnsi="Cambria Math"/>
                </w:rPr>
                <m:t>MCL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i</m:t>
              </m:r>
            </m:sub>
          </m:sSub>
          <m:r>
            <w:rPr>
              <w:rFonts w:ascii="Cambria Math" w:hAnsi="Cambria Math"/>
            </w:rPr>
            <m:t>,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m:t>
          </m:r>
        </m:oMath>
      </m:oMathPara>
    </w:p>
    <w:p w14:paraId="5139302E" w14:textId="77777777" w:rsidR="00B47D9D" w:rsidRDefault="00B47D9D" w:rsidP="00B47D9D">
      <w:pPr>
        <w:pStyle w:val="ListParagraph"/>
        <w:ind w:left="1440"/>
      </w:pPr>
    </w:p>
    <w:p w14:paraId="19FA245D" w14:textId="77777777" w:rsidR="00B47D9D" w:rsidRDefault="00B47D9D" w:rsidP="00B47D9D">
      <w:pPr>
        <w:pStyle w:val="ListParagraph"/>
        <w:ind w:left="1440"/>
      </w:pPr>
      <w:r>
        <w:t>SP-Tie Price:</w:t>
      </w:r>
    </w:p>
    <w:p w14:paraId="2C51C5F3" w14:textId="20F56EF0" w:rsidR="00B47D9D" w:rsidRDefault="00461DCC" w:rsidP="00B47D9D">
      <w:pPr>
        <w:pStyle w:val="ListParagraph"/>
        <w:ind w:left="1440"/>
      </w:pPr>
      <m:oMathPara>
        <m:oMathParaPr>
          <m:jc m:val="center"/>
        </m:oMathParaPr>
        <m:oMath>
          <m:sSub>
            <m:sSubPr>
              <m:ctrlPr>
                <w:rPr>
                  <w:rFonts w:ascii="Cambria Math" w:hAnsi="Cambria Math"/>
                  <w:i/>
                </w:rPr>
              </m:ctrlPr>
            </m:sSubPr>
            <m:e>
              <m:r>
                <w:rPr>
                  <w:rFonts w:ascii="Cambria Math" w:hAnsi="Cambria Math"/>
                </w:rPr>
                <m:t>LMP</m:t>
              </m:r>
            </m:e>
            <m:sub>
              <m:r>
                <w:rPr>
                  <w:rFonts w:ascii="Cambria Math" w:hAnsi="Cambria Math"/>
                </w:rPr>
                <m:t>j,k,l</m:t>
              </m:r>
            </m:sub>
          </m:sSub>
          <m:r>
            <w:rPr>
              <w:rFonts w:ascii="Cambria Math" w:hAnsi="Cambria Math"/>
            </w:rPr>
            <m:t>=SMEC+</m:t>
          </m:r>
          <m:sSub>
            <m:sSubPr>
              <m:ctrlPr>
                <w:rPr>
                  <w:rFonts w:ascii="Cambria Math" w:hAnsi="Cambria Math"/>
                  <w:i/>
                </w:rPr>
              </m:ctrlPr>
            </m:sSubPr>
            <m:e>
              <m:r>
                <w:rPr>
                  <w:rFonts w:ascii="Cambria Math" w:hAnsi="Cambria Math"/>
                </w:rPr>
                <m:t>MCL</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MCC</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MGC</m:t>
              </m:r>
            </m:e>
            <m:sub>
              <m:r>
                <w:rPr>
                  <w:rFonts w:ascii="Cambria Math" w:hAnsi="Cambria Math"/>
                </w:rPr>
                <m:t>j,k,l</m:t>
              </m:r>
            </m:sub>
          </m:sSub>
          <m:r>
            <w:rPr>
              <w:rFonts w:ascii="Cambria Math" w:hAnsi="Cambria Math"/>
            </w:rPr>
            <m:t xml:space="preserve">,  </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EIM∧k≠j∧l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r>
            <m:rPr>
              <m:sty m:val="p"/>
            </m:rPr>
            <w:br/>
          </m:r>
        </m:oMath>
        <m:oMath>
          <m:r>
            <w:rPr>
              <w:rFonts w:ascii="Cambria Math" w:hAnsi="Cambria Math"/>
            </w:rPr>
            <m:t>SMEC=λ</m:t>
          </m:r>
          <m:r>
            <m:rPr>
              <m:sty m:val="p"/>
            </m:rPr>
            <w:rPr>
              <w:rFonts w:ascii="Cambria Math" w:hAnsi="Cambria Math"/>
            </w:rPr>
            <w:br/>
          </m:r>
        </m:oMath>
      </m:oMathPara>
    </w:p>
    <w:p w14:paraId="5823BDAA" w14:textId="02ADB07A" w:rsidR="00B47D9D" w:rsidRDefault="0026238F" w:rsidP="00E80005">
      <w:pPr>
        <w:pStyle w:val="ListParagraph"/>
        <w:numPr>
          <w:ilvl w:val="0"/>
          <w:numId w:val="72"/>
        </w:numPr>
        <w:contextualSpacing/>
      </w:pPr>
      <w:r>
        <w:t>CA</w:t>
      </w:r>
      <w:r w:rsidR="00B47D9D">
        <w:t xml:space="preserve">ISO Nodal </w:t>
      </w:r>
      <w:r w:rsidR="00854973">
        <w:t>MCL</w:t>
      </w:r>
      <w:r w:rsidR="00B47D9D">
        <w:t xml:space="preserve"> Component</w:t>
      </w:r>
    </w:p>
    <w:p w14:paraId="6E2FFA0C" w14:textId="77777777" w:rsidR="00B47D9D" w:rsidRDefault="00B47D9D" w:rsidP="00B47D9D">
      <w:pPr>
        <w:pStyle w:val="ListParagraph"/>
        <w:ind w:left="1800"/>
      </w:pPr>
    </w:p>
    <w:p w14:paraId="41988FA7" w14:textId="5C57F024" w:rsidR="00B47D9D" w:rsidRDefault="00B47D9D" w:rsidP="00B47D9D">
      <w:pPr>
        <w:pStyle w:val="ListParagraph"/>
        <w:ind w:left="1800"/>
      </w:pPr>
      <w:r>
        <w:t xml:space="preserve">The </w:t>
      </w:r>
      <w:r w:rsidR="00854973">
        <w:t>MCL</w:t>
      </w:r>
      <w:r>
        <w:t xml:space="preserve"> component of the LMP at any bus </w:t>
      </w:r>
      <w:r>
        <w:rPr>
          <w:i/>
        </w:rPr>
        <w:t xml:space="preserve">i </w:t>
      </w:r>
      <w:r>
        <w:t>within the ISO BAA is calculated in the Real-Time Market (RTM) and represented mathematically as below:</w:t>
      </w:r>
    </w:p>
    <w:p w14:paraId="14CBC5B9" w14:textId="77777777" w:rsidR="00B47D9D" w:rsidRDefault="00B47D9D" w:rsidP="00B47D9D">
      <w:pPr>
        <w:pStyle w:val="ListParagraph"/>
        <w:ind w:left="1800"/>
      </w:pPr>
    </w:p>
    <w:p w14:paraId="686D0BB1" w14:textId="77777777" w:rsidR="00B47D9D" w:rsidRDefault="00B47D9D" w:rsidP="00B47D9D">
      <w:pPr>
        <w:pStyle w:val="Paragraph"/>
      </w:pPr>
      <m:oMathPara>
        <m:oMath>
          <m:r>
            <w:rPr>
              <w:rFonts w:ascii="Cambria Math" w:hAnsi="Cambria Math"/>
            </w:rPr>
            <m:t>SMEC=λ</m:t>
          </m:r>
        </m:oMath>
      </m:oMathPara>
    </w:p>
    <w:p w14:paraId="3A667C10" w14:textId="34A47B49" w:rsidR="00B47D9D" w:rsidRPr="006B52EC" w:rsidRDefault="00461DCC" w:rsidP="00B47D9D">
      <w:pPr>
        <w:pStyle w:val="ListParagraph"/>
        <w:ind w:left="1800"/>
      </w:pPr>
      <m:oMathPara>
        <m:oMath>
          <m:sSub>
            <m:sSubPr>
              <m:ctrlPr>
                <w:rPr>
                  <w:rFonts w:ascii="Cambria Math" w:hAnsi="Cambria Math"/>
                  <w:i/>
                </w:rPr>
              </m:ctrlPr>
            </m:sSubPr>
            <m:e>
              <m:r>
                <w:rPr>
                  <w:rFonts w:ascii="Cambria Math" w:hAnsi="Cambria Math"/>
                </w:rPr>
                <m:t>MCL</m:t>
              </m:r>
            </m:e>
            <m:sub>
              <m:r>
                <w:rPr>
                  <w:rFonts w:ascii="Cambria Math" w:hAnsi="Cambria Math"/>
                </w:rPr>
                <m:t>i</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r>
            <w:rPr>
              <w:rFonts w:ascii="Cambria Math" w:hAnsi="Cambria Math"/>
            </w:rPr>
            <m:t xml:space="preserve">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0</m:t>
              </m:r>
            </m:sub>
          </m:sSub>
        </m:oMath>
      </m:oMathPara>
    </w:p>
    <w:p w14:paraId="08B247D5" w14:textId="77777777" w:rsidR="00B47D9D" w:rsidRPr="00EA7032" w:rsidRDefault="00B47D9D" w:rsidP="00B47D9D">
      <w:pPr>
        <w:pStyle w:val="ListParagraph"/>
        <w:ind w:left="1800"/>
      </w:pPr>
    </w:p>
    <w:p w14:paraId="3A7A7DF0" w14:textId="251A60B6" w:rsidR="00B47D9D" w:rsidRDefault="00B47D9D" w:rsidP="00E80005">
      <w:pPr>
        <w:pStyle w:val="ListParagraph"/>
        <w:numPr>
          <w:ilvl w:val="0"/>
          <w:numId w:val="72"/>
        </w:numPr>
        <w:contextualSpacing/>
      </w:pPr>
      <w:r>
        <w:t xml:space="preserve">EIM Nodal </w:t>
      </w:r>
      <w:r w:rsidR="00854973">
        <w:t>MCL</w:t>
      </w:r>
      <w:r>
        <w:t xml:space="preserve"> Component</w:t>
      </w:r>
    </w:p>
    <w:p w14:paraId="083E2593" w14:textId="77777777" w:rsidR="00B47D9D" w:rsidRDefault="00B47D9D" w:rsidP="00B47D9D">
      <w:pPr>
        <w:pStyle w:val="ListParagraph"/>
        <w:ind w:left="1800"/>
      </w:pPr>
    </w:p>
    <w:p w14:paraId="53343385" w14:textId="0D05DDD1" w:rsidR="00B47D9D" w:rsidRDefault="00B47D9D" w:rsidP="00B47D9D">
      <w:pPr>
        <w:pStyle w:val="ListParagraph"/>
        <w:ind w:left="1800"/>
      </w:pPr>
      <w:r>
        <w:lastRenderedPageBreak/>
        <w:t xml:space="preserve">The Nodal </w:t>
      </w:r>
      <w:r w:rsidR="00854973">
        <w:t>MCL</w:t>
      </w:r>
      <w:r>
        <w:t xml:space="preserve"> component of the LMP at any bus </w:t>
      </w:r>
      <w:r w:rsidRPr="006B52EC">
        <w:rPr>
          <w:i/>
        </w:rPr>
        <w:t>i</w:t>
      </w:r>
      <w:r>
        <w:rPr>
          <w:i/>
        </w:rPr>
        <w:t xml:space="preserve"> </w:t>
      </w:r>
      <w:r w:rsidRPr="000D0751">
        <w:t>within</w:t>
      </w:r>
      <w:r>
        <w:t xml:space="preserve"> </w:t>
      </w:r>
      <w:r w:rsidR="00153940">
        <w:t>a WEIM</w:t>
      </w:r>
      <w:r w:rsidR="005F24C1">
        <w:t xml:space="preserve"> </w:t>
      </w:r>
      <w:r>
        <w:t xml:space="preserve">BAA is calculated in the RTM. This component takes the BAA j power balance shadow price </w:t>
      </w:r>
      <m:oMath>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 xml:space="preserve"> </m:t>
        </m:r>
      </m:oMath>
      <w:r>
        <w:t xml:space="preserve">  and GHG shadow </w:t>
      </w:r>
      <w:r w:rsidR="00153940">
        <w:t xml:space="preserve">price. </w:t>
      </w:r>
      <w:r>
        <w:t>It is mathematically represented as below:</w:t>
      </w:r>
    </w:p>
    <w:p w14:paraId="14A95B39" w14:textId="77777777" w:rsidR="00B47D9D" w:rsidRDefault="00B47D9D" w:rsidP="00B47D9D">
      <w:pPr>
        <w:pStyle w:val="ListParagraph"/>
        <w:ind w:left="1800"/>
      </w:pPr>
    </w:p>
    <w:p w14:paraId="401D4E62" w14:textId="77777777" w:rsidR="00B47D9D" w:rsidRDefault="00B47D9D" w:rsidP="00B47D9D">
      <w:pPr>
        <w:pStyle w:val="Paragraph"/>
      </w:pPr>
      <m:oMathPara>
        <m:oMath>
          <m:r>
            <w:rPr>
              <w:rFonts w:ascii="Cambria Math" w:hAnsi="Cambria Math"/>
            </w:rPr>
            <m:t>SMEC=λ</m:t>
          </m:r>
        </m:oMath>
      </m:oMathPara>
    </w:p>
    <w:p w14:paraId="3F54D3AD" w14:textId="225CAC15" w:rsidR="00B47D9D" w:rsidRPr="000D0751" w:rsidRDefault="00461DCC" w:rsidP="00B47D9D">
      <w:pPr>
        <w:pStyle w:val="ListParagraph"/>
        <w:ind w:left="1800"/>
      </w:pPr>
      <m:oMathPara>
        <m:oMath>
          <m:sSub>
            <m:sSubPr>
              <m:ctrlPr>
                <w:rPr>
                  <w:rFonts w:ascii="Cambria Math" w:hAnsi="Cambria Math"/>
                  <w:i/>
                </w:rPr>
              </m:ctrlPr>
            </m:sSubPr>
            <m:e>
              <m:r>
                <w:rPr>
                  <w:rFonts w:ascii="Cambria Math" w:hAnsi="Cambria Math"/>
                </w:rPr>
                <m:t>MCL</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i</m:t>
                      </m:r>
                    </m:sub>
                  </m:sSub>
                </m:den>
              </m:f>
              <m:r>
                <w:rPr>
                  <w:rFonts w:ascii="Cambria Math" w:hAnsi="Cambria Math"/>
                </w:rPr>
                <m:t>-1</m:t>
              </m:r>
            </m:e>
          </m:d>
          <m:r>
            <w:rPr>
              <w:rFonts w:ascii="Cambria Math" w:hAnsi="Cambria Math"/>
            </w:rPr>
            <m:t xml:space="preserve"> ∀i</m:t>
          </m:r>
          <m:r>
            <m:rPr>
              <m:sty m:val="p"/>
            </m:rPr>
            <w:rPr>
              <w:rFonts w:ascii="Cambria Math" w:hAnsi="Cambria Math"/>
            </w:rPr>
            <m:t>∈</m:t>
          </m:r>
          <m:sSub>
            <m:sSubPr>
              <m:ctrlPr>
                <w:rPr>
                  <w:rFonts w:ascii="Cambria Math" w:hAnsi="Cambria Math"/>
                </w:rPr>
              </m:ctrlPr>
            </m:sSubPr>
            <m:e>
              <m:r>
                <w:rPr>
                  <w:rFonts w:ascii="Cambria Math" w:hAnsi="Cambria Math"/>
                </w:rPr>
                <m:t>BAA</m:t>
              </m:r>
            </m:e>
            <m:sub>
              <m:r>
                <w:rPr>
                  <w:rFonts w:ascii="Cambria Math" w:hAnsi="Cambria Math"/>
                </w:rPr>
                <m:t>j</m:t>
              </m:r>
            </m:sub>
          </m:sSub>
          <m:r>
            <w:rPr>
              <w:rFonts w:ascii="Cambria Math" w:hAnsi="Cambria Math"/>
            </w:rPr>
            <m:t>∧j∈EIM∧j&gt;0</m:t>
          </m:r>
          <m:r>
            <m:rPr>
              <m:sty m:val="p"/>
            </m:rPr>
            <w:rPr>
              <w:rFonts w:ascii="Cambria Math" w:hAnsi="Cambria Math"/>
            </w:rPr>
            <w:br/>
          </m:r>
        </m:oMath>
      </m:oMathPara>
    </w:p>
    <w:p w14:paraId="34497807" w14:textId="77777777" w:rsidR="00B47D9D" w:rsidRDefault="00B47D9D" w:rsidP="00B47D9D">
      <w:pPr>
        <w:pStyle w:val="ListParagraph"/>
        <w:ind w:left="1800"/>
      </w:pPr>
    </w:p>
    <w:p w14:paraId="018E78C4" w14:textId="584267B0" w:rsidR="00B47D9D" w:rsidRDefault="00B47D9D" w:rsidP="00E80005">
      <w:pPr>
        <w:pStyle w:val="ListParagraph"/>
        <w:numPr>
          <w:ilvl w:val="0"/>
          <w:numId w:val="72"/>
        </w:numPr>
        <w:contextualSpacing/>
      </w:pPr>
      <w:r>
        <w:t xml:space="preserve">ISO SP-Tie </w:t>
      </w:r>
      <w:r w:rsidR="00854973">
        <w:t>MCL</w:t>
      </w:r>
      <w:r>
        <w:t xml:space="preserve"> Component</w:t>
      </w:r>
    </w:p>
    <w:p w14:paraId="51BBB0F9" w14:textId="77777777" w:rsidR="00B47D9D" w:rsidRDefault="00B47D9D" w:rsidP="00B47D9D">
      <w:pPr>
        <w:pStyle w:val="ListParagraph"/>
        <w:ind w:left="1800"/>
      </w:pPr>
    </w:p>
    <w:p w14:paraId="28811C06" w14:textId="77777777" w:rsidR="00B47D9D" w:rsidRDefault="00B47D9D" w:rsidP="00B47D9D">
      <w:pPr>
        <w:pStyle w:val="ListParagraph"/>
        <w:ind w:left="1800"/>
      </w:pPr>
      <w:r>
        <w:t xml:space="preserve">This is the MCL component of the LMP at a scheduling point (SP) within the ISO BAA for import/export </w:t>
      </w:r>
      <w:r w:rsidRPr="00215D33">
        <w:rPr>
          <w:i/>
        </w:rPr>
        <w:t>l</w:t>
      </w:r>
      <w:r>
        <w:t xml:space="preserve"> to/from ISO BAA from/to BAA </w:t>
      </w:r>
      <w:r w:rsidRPr="00215D33">
        <w:rPr>
          <w:i/>
        </w:rPr>
        <w:t>k</w:t>
      </w:r>
      <w:r>
        <w:rPr>
          <w:i/>
        </w:rPr>
        <w:t xml:space="preserve">. </w:t>
      </w:r>
      <w:r>
        <w:t>It is mathematically represented as below:</w:t>
      </w:r>
    </w:p>
    <w:p w14:paraId="7C1CCFC4" w14:textId="77777777" w:rsidR="00B47D9D" w:rsidRPr="0019548D" w:rsidRDefault="00B47D9D" w:rsidP="00B47D9D">
      <w:pPr>
        <w:pStyle w:val="Paragraph"/>
      </w:pPr>
      <m:oMathPara>
        <m:oMath>
          <m:r>
            <w:rPr>
              <w:rFonts w:ascii="Cambria Math" w:hAnsi="Cambria Math"/>
            </w:rPr>
            <m:t>SMEC=λ</m:t>
          </m:r>
        </m:oMath>
      </m:oMathPara>
    </w:p>
    <w:p w14:paraId="785B9E3E" w14:textId="06909E69" w:rsidR="00B47D9D" w:rsidRPr="00215D33" w:rsidRDefault="00461DCC" w:rsidP="00B47D9D">
      <w:pPr>
        <w:pStyle w:val="ListParagraph"/>
        <w:ind w:left="1800"/>
      </w:pPr>
      <m:oMathPara>
        <m:oMath>
          <m:sSub>
            <m:sSubPr>
              <m:ctrlPr>
                <w:rPr>
                  <w:rFonts w:ascii="Cambria Math" w:hAnsi="Cambria Math"/>
                  <w:i/>
                </w:rPr>
              </m:ctrlPr>
            </m:sSubPr>
            <m:e>
              <m:r>
                <w:rPr>
                  <w:rFonts w:ascii="Cambria Math" w:hAnsi="Cambria Math"/>
                </w:rPr>
                <m:t>MCL</m:t>
              </m:r>
            </m:e>
            <m:sub>
              <m:r>
                <w:rPr>
                  <w:rFonts w:ascii="Cambria Math" w:hAnsi="Cambria Math"/>
                </w:rPr>
                <m:t>0,k,l</m:t>
              </m:r>
            </m:sub>
          </m:sSub>
          <m:r>
            <w:rPr>
              <w:rFonts w:ascii="Cambria Math" w:hAnsi="Cambria Math"/>
            </w:rPr>
            <m:t>=λ</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0,k,l</m:t>
                      </m:r>
                    </m:sub>
                  </m:sSub>
                </m:den>
              </m:f>
              <m:r>
                <w:rPr>
                  <w:rFonts w:ascii="Cambria Math" w:hAnsi="Cambria Math"/>
                </w:rPr>
                <m:t>-1</m:t>
              </m:r>
            </m:e>
          </m:d>
          <m:r>
            <m:rPr>
              <m:sty m:val="p"/>
            </m:rPr>
            <w:rPr>
              <w:rFonts w:ascii="Cambria Math" w:hAnsi="Cambria Math"/>
            </w:rPr>
            <m:t>∀</m:t>
          </m:r>
          <m:r>
            <w:rPr>
              <w:rFonts w:ascii="Cambria Math" w:hAnsi="Cambria Math"/>
            </w:rPr>
            <m:t>k</m:t>
          </m:r>
          <m:r>
            <m:rPr>
              <m:sty m:val="p"/>
            </m:rPr>
            <w:rPr>
              <w:rFonts w:ascii="Cambria Math" w:hAnsi="Cambria Math"/>
            </w:rPr>
            <m:t>&gt;0</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6DD29D18" w14:textId="77777777" w:rsidR="00B47D9D" w:rsidRDefault="00B47D9D" w:rsidP="00B47D9D">
      <w:pPr>
        <w:pStyle w:val="ListParagraph"/>
        <w:ind w:left="1800"/>
      </w:pPr>
    </w:p>
    <w:p w14:paraId="43E18333" w14:textId="7519E2F4" w:rsidR="00B47D9D" w:rsidRDefault="00B47D9D" w:rsidP="00E80005">
      <w:pPr>
        <w:pStyle w:val="ListParagraph"/>
        <w:numPr>
          <w:ilvl w:val="0"/>
          <w:numId w:val="72"/>
        </w:numPr>
        <w:contextualSpacing/>
      </w:pPr>
      <w:r>
        <w:t xml:space="preserve">EIM SP-Tie </w:t>
      </w:r>
      <w:r w:rsidR="00854973">
        <w:t>MCL</w:t>
      </w:r>
      <w:r>
        <w:t xml:space="preserve"> Component</w:t>
      </w:r>
    </w:p>
    <w:p w14:paraId="3D732181" w14:textId="77777777" w:rsidR="00B47D9D" w:rsidRDefault="00B47D9D" w:rsidP="00B47D9D">
      <w:pPr>
        <w:pStyle w:val="ListParagraph"/>
        <w:ind w:left="1440"/>
      </w:pPr>
    </w:p>
    <w:p w14:paraId="04D933E0" w14:textId="3D8AF382" w:rsidR="00B47D9D" w:rsidRDefault="00B47D9D" w:rsidP="00B47D9D">
      <w:pPr>
        <w:pStyle w:val="ListParagraph"/>
        <w:ind w:left="1800"/>
      </w:pPr>
      <w:r>
        <w:t>This is the MCL component of the LMP at a scheduling point within the</w:t>
      </w:r>
      <w:r w:rsidR="005F24C1">
        <w:t xml:space="preserve"> WEIM </w:t>
      </w:r>
      <w:r>
        <w:t xml:space="preserve">BAA </w:t>
      </w:r>
      <w:r w:rsidRPr="00840DFB">
        <w:rPr>
          <w:i/>
        </w:rPr>
        <w:t xml:space="preserve">j </w:t>
      </w:r>
      <w:r>
        <w:t>for import/export</w:t>
      </w:r>
      <w:r w:rsidRPr="00840DFB">
        <w:rPr>
          <w:i/>
        </w:rPr>
        <w:t xml:space="preserve"> l</w:t>
      </w:r>
      <w:r>
        <w:t xml:space="preserve"> to/from</w:t>
      </w:r>
      <w:r w:rsidR="005F24C1">
        <w:t xml:space="preserve"> WEIM </w:t>
      </w:r>
      <w:r>
        <w:t xml:space="preserve">BAA </w:t>
      </w:r>
      <w:r w:rsidRPr="00840DFB">
        <w:rPr>
          <w:i/>
        </w:rPr>
        <w:t xml:space="preserve">j </w:t>
      </w:r>
      <w:r>
        <w:t xml:space="preserve">from/to BAA </w:t>
      </w:r>
      <w:r w:rsidRPr="00215D33">
        <w:rPr>
          <w:i/>
        </w:rPr>
        <w:t>k</w:t>
      </w:r>
      <w:r>
        <w:rPr>
          <w:i/>
        </w:rPr>
        <w:t>.</w:t>
      </w:r>
      <w:r>
        <w:t xml:space="preserve"> this is calculated with BAA</w:t>
      </w:r>
      <w:r w:rsidRPr="00840DFB">
        <w:rPr>
          <w:i/>
        </w:rPr>
        <w:t xml:space="preserve"> j</w:t>
      </w:r>
      <w:r>
        <w:rPr>
          <w:i/>
        </w:rPr>
        <w:t xml:space="preserve"> </w:t>
      </w:r>
      <w:r>
        <w:t xml:space="preserve">power balance shadow price </w:t>
      </w:r>
      <m:oMath>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 xml:space="preserve"> </m:t>
        </m:r>
      </m:oMath>
      <w:r>
        <w:t xml:space="preserve">and GHG shadow price </w:t>
      </w:r>
      <m:oMath>
        <m:r>
          <w:rPr>
            <w:rFonts w:ascii="Cambria Math" w:hAnsi="Cambria Math"/>
          </w:rPr>
          <m:t>ψ</m:t>
        </m:r>
      </m:oMath>
      <w:r>
        <w:rPr>
          <w:i/>
        </w:rPr>
        <w:t xml:space="preserve"> </w:t>
      </w:r>
      <w:r>
        <w:t>. It is mathematically represented as below:</w:t>
      </w:r>
    </w:p>
    <w:p w14:paraId="1BA7BBF8" w14:textId="77777777" w:rsidR="00B47D9D" w:rsidRPr="002B2A7E" w:rsidRDefault="00B47D9D" w:rsidP="00B47D9D">
      <w:pPr>
        <w:pStyle w:val="Paragraph"/>
      </w:pPr>
      <m:oMathPara>
        <m:oMath>
          <m:r>
            <w:rPr>
              <w:rFonts w:ascii="Cambria Math" w:hAnsi="Cambria Math"/>
            </w:rPr>
            <m:t>SMEC=λ</m:t>
          </m:r>
        </m:oMath>
      </m:oMathPara>
    </w:p>
    <w:p w14:paraId="0CE2D74A" w14:textId="77777777" w:rsidR="00B47D9D" w:rsidRDefault="00B47D9D" w:rsidP="00B47D9D">
      <w:pPr>
        <w:pStyle w:val="ListParagraph"/>
        <w:ind w:left="1800"/>
      </w:pPr>
    </w:p>
    <w:p w14:paraId="7569DC37" w14:textId="7D24AF69" w:rsidR="00B47D9D" w:rsidRPr="00840DFB" w:rsidRDefault="00461DCC" w:rsidP="00B47D9D">
      <w:pPr>
        <w:pStyle w:val="Paragraph"/>
        <w:ind w:left="2160"/>
      </w:pPr>
      <m:oMathPara>
        <m:oMath>
          <m:sSub>
            <m:sSubPr>
              <m:ctrlPr>
                <w:rPr>
                  <w:rFonts w:ascii="Cambria Math" w:hAnsi="Cambria Math"/>
                  <w:i/>
                </w:rPr>
              </m:ctrlPr>
            </m:sSubPr>
            <m:e>
              <m:r>
                <w:rPr>
                  <w:rFonts w:ascii="Cambria Math" w:hAnsi="Cambria Math"/>
                </w:rPr>
                <m:t>MCL</m:t>
              </m:r>
            </m:e>
            <m:sub>
              <m:r>
                <w:rPr>
                  <w:rFonts w:ascii="Cambria Math" w:hAnsi="Cambria Math"/>
                </w:rPr>
                <m:t>j,k,l</m:t>
              </m:r>
            </m:sub>
          </m:sSub>
          <m:r>
            <w:rPr>
              <w:rFonts w:ascii="Cambria Math" w:hAnsi="Cambria Math"/>
            </w:rPr>
            <m:t>=</m:t>
          </m:r>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j</m:t>
                  </m:r>
                </m:sub>
              </m:sSub>
              <m:r>
                <w:rPr>
                  <w:rFonts w:ascii="Cambria Math" w:hAnsi="Cambria Math"/>
                </w:rPr>
                <m:t>-ψ</m:t>
              </m:r>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LPF</m:t>
                      </m:r>
                    </m:e>
                    <m:sub>
                      <m:r>
                        <w:rPr>
                          <w:rFonts w:ascii="Cambria Math" w:hAnsi="Cambria Math"/>
                        </w:rPr>
                        <m:t>j,k,l</m:t>
                      </m:r>
                    </m:sub>
                  </m:sSub>
                </m:den>
              </m:f>
              <m:r>
                <w:rPr>
                  <w:rFonts w:ascii="Cambria Math" w:hAnsi="Cambria Math"/>
                </w:rPr>
                <m:t>-1</m:t>
              </m:r>
            </m:e>
          </m:d>
        </m:oMath>
      </m:oMathPara>
    </w:p>
    <w:p w14:paraId="79321BDE" w14:textId="77777777" w:rsidR="00B47D9D" w:rsidRPr="002B2A7E" w:rsidRDefault="00B47D9D" w:rsidP="00B47D9D">
      <w:pPr>
        <w:pStyle w:val="Paragraph"/>
        <w:ind w:left="3600"/>
      </w:pPr>
      <m:oMathPara>
        <m:oMath>
          <m:r>
            <m:rPr>
              <m:sty m:val="p"/>
            </m:rPr>
            <w:rPr>
              <w:rFonts w:ascii="Cambria Math" w:hAnsi="Cambria Math"/>
            </w:rPr>
            <w:lastRenderedPageBreak/>
            <m:t>∀</m:t>
          </m:r>
          <m:r>
            <w:rPr>
              <w:rFonts w:ascii="Cambria Math" w:hAnsi="Cambria Math"/>
            </w:rPr>
            <m:t>j</m:t>
          </m:r>
          <m:r>
            <m:rPr>
              <m:sty m:val="p"/>
            </m:rPr>
            <w:rPr>
              <w:rFonts w:ascii="Cambria Math" w:hAnsi="Cambria Math"/>
            </w:rPr>
            <m:t>∈</m:t>
          </m:r>
          <m:r>
            <w:rPr>
              <w:rFonts w:ascii="Cambria Math" w:hAnsi="Cambria Math"/>
            </w:rPr>
            <m:t>EIM∧j&gt;0∧k∉EIM∧l</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j</m:t>
              </m:r>
              <m:r>
                <m:rPr>
                  <m:sty m:val="p"/>
                </m:rPr>
                <w:rPr>
                  <w:rFonts w:ascii="Cambria Math" w:hAnsi="Cambria Math"/>
                </w:rPr>
                <m:t>,</m:t>
              </m:r>
              <m:r>
                <w:rPr>
                  <w:rFonts w:ascii="Cambria Math" w:hAnsi="Cambria Math"/>
                </w:rPr>
                <m:t>k</m:t>
              </m:r>
            </m:sub>
          </m:sSub>
        </m:oMath>
      </m:oMathPara>
    </w:p>
    <w:p w14:paraId="12641773" w14:textId="77777777" w:rsidR="00B47D9D" w:rsidRDefault="00B47D9D" w:rsidP="00B47D9D">
      <w:pPr>
        <w:pStyle w:val="ListParagraph"/>
        <w:ind w:left="1800"/>
      </w:pPr>
    </w:p>
    <w:p w14:paraId="00DD71A1" w14:textId="77777777" w:rsidR="00B47D9D" w:rsidRDefault="00B47D9D" w:rsidP="00877DDB">
      <w:pPr>
        <w:pStyle w:val="BPM"/>
      </w:pPr>
    </w:p>
    <w:p w14:paraId="46507722" w14:textId="3077B209" w:rsidR="00571BB2" w:rsidRDefault="00571BB2" w:rsidP="00571BB2">
      <w:pPr>
        <w:pStyle w:val="Heading3"/>
      </w:pPr>
      <w:bookmarkStart w:id="1977" w:name="_Ref439164002"/>
      <w:bookmarkStart w:id="1978" w:name="_Toc229054506"/>
      <w:bookmarkStart w:id="1979" w:name="_Toc390946295"/>
      <w:bookmarkStart w:id="1980" w:name="_Toc391969856"/>
      <w:r>
        <w:t>Using</w:t>
      </w:r>
      <w:r w:rsidR="005F24C1">
        <w:t xml:space="preserve"> WEIM </w:t>
      </w:r>
      <w:r w:rsidR="006A5B19">
        <w:t>Available Balancing C</w:t>
      </w:r>
      <w:r w:rsidR="00701AB3">
        <w:t>apacity</w:t>
      </w:r>
      <w:r w:rsidR="008D621F">
        <w:t xml:space="preserve"> </w:t>
      </w:r>
      <w:r>
        <w:t xml:space="preserve">to </w:t>
      </w:r>
      <w:r w:rsidRPr="002F6982">
        <w:t xml:space="preserve">Resolve Infeasible Power </w:t>
      </w:r>
      <w:r>
        <w:t>B</w:t>
      </w:r>
      <w:r w:rsidRPr="002F6982">
        <w:t>alance Conditions in</w:t>
      </w:r>
      <w:r w:rsidR="005F24C1">
        <w:t xml:space="preserve"> WEIM </w:t>
      </w:r>
      <w:r w:rsidRPr="002F6982">
        <w:t>BAAs</w:t>
      </w:r>
      <w:bookmarkEnd w:id="1977"/>
      <w:bookmarkEnd w:id="1978"/>
    </w:p>
    <w:p w14:paraId="17F7361C" w14:textId="4497F3B3" w:rsidR="00E02FC4" w:rsidRDefault="00816472" w:rsidP="00877DDB">
      <w:pPr>
        <w:pStyle w:val="BPM"/>
      </w:pPr>
      <w:r>
        <w:t>The</w:t>
      </w:r>
      <w:r w:rsidR="005F24C1">
        <w:t xml:space="preserve"> WEIM </w:t>
      </w:r>
      <w:r>
        <w:t xml:space="preserve">entity scheduling coordinator </w:t>
      </w:r>
      <w:r w:rsidR="00F64C98">
        <w:t>may</w:t>
      </w:r>
      <w:r>
        <w:t xml:space="preserve"> identify any available balancing capacity that it wishes the </w:t>
      </w:r>
      <w:r w:rsidR="005F24C1">
        <w:t>Western Energy Imbalance Market</w:t>
      </w:r>
      <w:r>
        <w:t xml:space="preserve"> to utilize to address any infeasibility in its balancing authority area in the fields labelled as “regulation up” and “regulation down” of its resource plans</w:t>
      </w:r>
      <w:r w:rsidR="002852BA">
        <w:t>.</w:t>
      </w:r>
    </w:p>
    <w:p w14:paraId="128E6E57" w14:textId="77777777" w:rsidR="00701AB3" w:rsidRDefault="00701AB3" w:rsidP="00571BB2">
      <w:pPr>
        <w:pStyle w:val="ParaText"/>
      </w:pPr>
    </w:p>
    <w:p w14:paraId="7D2BADAF" w14:textId="77777777" w:rsidR="00701AB3" w:rsidRDefault="00701AB3" w:rsidP="001431EC">
      <w:pPr>
        <w:pStyle w:val="Heading4"/>
      </w:pPr>
      <w:r>
        <w:t>Available Capacity Bid Curve</w:t>
      </w:r>
    </w:p>
    <w:p w14:paraId="0FB31E9E" w14:textId="23364313" w:rsidR="00D62321" w:rsidRDefault="00D62321" w:rsidP="00877DDB">
      <w:pPr>
        <w:pStyle w:val="BPM"/>
      </w:pPr>
      <w:r>
        <w:t xml:space="preserve">EIM participating resources and non-participating resources </w:t>
      </w:r>
      <w:r w:rsidR="00F64C98">
        <w:t>for which the</w:t>
      </w:r>
      <w:r w:rsidR="005F24C1">
        <w:t xml:space="preserve"> WEIM </w:t>
      </w:r>
      <w:r w:rsidR="00F64C98">
        <w:t>Entity Scheduling Coordinator has identified</w:t>
      </w:r>
      <w:r w:rsidR="005F24C1">
        <w:t xml:space="preserve"> WEIM </w:t>
      </w:r>
      <w:r>
        <w:t>Upward Available Balancing Capacity and/or</w:t>
      </w:r>
      <w:r w:rsidR="005F24C1">
        <w:t xml:space="preserve"> WEIM </w:t>
      </w:r>
      <w:r>
        <w:t>Downward Available Capacity in the</w:t>
      </w:r>
      <w:r w:rsidR="005F24C1">
        <w:t xml:space="preserve"> WEIM </w:t>
      </w:r>
      <w:r>
        <w:t xml:space="preserve">resource plan submission can provide available </w:t>
      </w:r>
      <w:r w:rsidR="00F64C98">
        <w:t xml:space="preserve">balancing </w:t>
      </w:r>
      <w:r>
        <w:t>capacity</w:t>
      </w:r>
      <w:r w:rsidR="00F64C98" w:rsidRPr="00F64C98">
        <w:t xml:space="preserve"> </w:t>
      </w:r>
      <w:r w:rsidR="00F64C98">
        <w:t xml:space="preserve">to designated EIM. </w:t>
      </w:r>
      <w:r>
        <w:t xml:space="preserve"> </w:t>
      </w:r>
    </w:p>
    <w:p w14:paraId="65AA599B" w14:textId="607470DA" w:rsidR="00701AB3" w:rsidRPr="0053405B" w:rsidRDefault="00701AB3" w:rsidP="00877DDB">
      <w:pPr>
        <w:pStyle w:val="BPM"/>
        <w:rPr>
          <w:rFonts w:cs="Arial"/>
          <w:kern w:val="16"/>
          <w:sz w:val="20"/>
        </w:rPr>
      </w:pPr>
      <w:r>
        <w:t xml:space="preserve">To be able to dispatch any </w:t>
      </w:r>
      <w:r w:rsidR="00816472">
        <w:rPr>
          <w:rFonts w:cs="Arial"/>
        </w:rPr>
        <w:t>available balancing capacity,</w:t>
      </w:r>
      <w:r w:rsidR="00816472">
        <w:t xml:space="preserve"> </w:t>
      </w:r>
      <w:r>
        <w:t xml:space="preserve">in </w:t>
      </w:r>
      <w:r w:rsidR="00F64C98">
        <w:t xml:space="preserve">applicable </w:t>
      </w:r>
      <w:r>
        <w:t>EIM, the market optimization requires the</w:t>
      </w:r>
      <w:r w:rsidR="005F24C1">
        <w:t xml:space="preserve"> WEIM </w:t>
      </w:r>
      <w:r>
        <w:t>Base schedule,</w:t>
      </w:r>
      <w:r w:rsidR="00AA468F">
        <w:t xml:space="preserve"> and </w:t>
      </w:r>
      <w:r>
        <w:t xml:space="preserve">an Energy Bid Curve from </w:t>
      </w:r>
      <w:r w:rsidR="00F64C98">
        <w:t>the resource identified as available balancing capacity by the</w:t>
      </w:r>
      <w:r w:rsidR="005F24C1">
        <w:t xml:space="preserve"> WEIM </w:t>
      </w:r>
      <w:r w:rsidR="00F64C98">
        <w:t>Scheduling Coordinator.  In order to make the designated available balancing capacity participate in the applicable</w:t>
      </w:r>
      <w:r w:rsidR="005F24C1">
        <w:t xml:space="preserve"> WEIM </w:t>
      </w:r>
      <w:r w:rsidR="00F64C98">
        <w:t>area, the</w:t>
      </w:r>
      <w:r w:rsidR="005F24C1">
        <w:t xml:space="preserve"> WEIM </w:t>
      </w:r>
      <w:r w:rsidR="00F64C98">
        <w:t>p</w:t>
      </w:r>
      <w:r>
        <w:t xml:space="preserve">articipating resources </w:t>
      </w:r>
      <w:r w:rsidR="00F64C98">
        <w:t>scheduling coordinator must also submit an economic bid for that resource for the relevant trading hour.  For non-participating resources, the</w:t>
      </w:r>
      <w:r w:rsidR="005F24C1">
        <w:t xml:space="preserve"> WEIM </w:t>
      </w:r>
      <w:r w:rsidR="00F64C98">
        <w:t xml:space="preserve">entity scheduling coordinator established Default Energy Bids with the CAISO consistent with the rules in Section 39.7.1 of the CAISO tariff.  The </w:t>
      </w:r>
      <w:r w:rsidR="00503FED">
        <w:t xml:space="preserve">CAISO </w:t>
      </w:r>
      <w:r>
        <w:t xml:space="preserve">creates Energy Bid Curves </w:t>
      </w:r>
      <w:r w:rsidR="00503FED">
        <w:t>based on the</w:t>
      </w:r>
      <w:r>
        <w:t xml:space="preserve"> Default Energy Bids </w:t>
      </w:r>
      <w:r w:rsidR="00F64C98">
        <w:t xml:space="preserve">created </w:t>
      </w:r>
      <w:r>
        <w:t>for non-participating resources</w:t>
      </w:r>
      <w:r w:rsidR="00F64C98">
        <w:t xml:space="preserve">. </w:t>
      </w:r>
      <w:r w:rsidR="00816472">
        <w:rPr>
          <w:rFonts w:cs="Arial"/>
        </w:rPr>
        <w:t xml:space="preserve"> </w:t>
      </w:r>
      <w:r>
        <w:t>T</w:t>
      </w:r>
      <w:r w:rsidRPr="00CC457E">
        <w:t xml:space="preserve">he allocation of the energy bid portions to ancillary services </w:t>
      </w:r>
      <w:r w:rsidR="00F64C98">
        <w:t>and available balancing capacity is described below, and is done differently than</w:t>
      </w:r>
      <w:r w:rsidR="000D17F1">
        <w:t xml:space="preserve"> for CAISO’s resources</w:t>
      </w:r>
      <w:r w:rsidRPr="00CC457E">
        <w:t xml:space="preserve"> (see 4.2.5 in BPM for Market Operations). </w:t>
      </w:r>
    </w:p>
    <w:p w14:paraId="533C70B7" w14:textId="7E9F69DE" w:rsidR="00816472" w:rsidRPr="003E31BD" w:rsidRDefault="00816472" w:rsidP="00701AB3">
      <w:pPr>
        <w:pStyle w:val="ParaText"/>
        <w:rPr>
          <w:rFonts w:ascii="Arial,Bold" w:hAnsi="Arial,Bold" w:cs="Arial,Bold"/>
          <w:b/>
          <w:bCs/>
          <w:sz w:val="20"/>
        </w:rPr>
      </w:pPr>
      <w:r w:rsidRPr="003E31BD">
        <w:rPr>
          <w:rFonts w:ascii="Arial,Bold" w:hAnsi="Arial,Bold" w:cs="Arial,Bold"/>
          <w:b/>
          <w:bCs/>
          <w:sz w:val="20"/>
        </w:rPr>
        <w:t>Energy Bid Curves for</w:t>
      </w:r>
      <w:r w:rsidR="005F24C1">
        <w:rPr>
          <w:rFonts w:ascii="Arial,Bold" w:hAnsi="Arial,Bold" w:cs="Arial,Bold"/>
          <w:b/>
          <w:bCs/>
          <w:sz w:val="20"/>
        </w:rPr>
        <w:t xml:space="preserve"> WEIM </w:t>
      </w:r>
      <w:r w:rsidRPr="003E31BD">
        <w:rPr>
          <w:rFonts w:ascii="Arial,Bold" w:hAnsi="Arial,Bold" w:cs="Arial,Bold"/>
          <w:b/>
          <w:bCs/>
          <w:sz w:val="20"/>
        </w:rPr>
        <w:t>Available Balancing Capacity</w:t>
      </w:r>
    </w:p>
    <w:p w14:paraId="50BCFB6A" w14:textId="77777777" w:rsidR="00701AB3" w:rsidRDefault="00701AB3" w:rsidP="003E31BD">
      <w:pPr>
        <w:pStyle w:val="BPM"/>
      </w:pPr>
      <w:r>
        <w:lastRenderedPageBreak/>
        <w:t>For each trading hour, CAISO determines the resource’s overall available capacity based on any updated outage information. Then CAISO determines if the submitted Energy Bid Curve for participating resources or the D</w:t>
      </w:r>
      <w:r w:rsidR="00816472">
        <w:t>efault Energy Bid Curve for non-</w:t>
      </w:r>
      <w:r>
        <w:t>participating resources is sufficient to cover all the services identified in the Resource Plan in the following priority:</w:t>
      </w:r>
    </w:p>
    <w:p w14:paraId="7D05F0AA" w14:textId="615C4624" w:rsidR="00701AB3" w:rsidRPr="00E65471" w:rsidRDefault="00701AB3" w:rsidP="00E80005">
      <w:pPr>
        <w:pStyle w:val="ListParagraph"/>
        <w:numPr>
          <w:ilvl w:val="0"/>
          <w:numId w:val="61"/>
        </w:numPr>
      </w:pPr>
      <w:r w:rsidRPr="00E65471">
        <w:t>If the</w:t>
      </w:r>
      <w:r w:rsidR="005F24C1">
        <w:t xml:space="preserve"> WEIM </w:t>
      </w:r>
      <w:r w:rsidRPr="00E65471">
        <w:t>Resource Plan includes</w:t>
      </w:r>
      <w:r w:rsidR="005F24C1">
        <w:t xml:space="preserve"> WEIM </w:t>
      </w:r>
      <w:r w:rsidR="004E6476">
        <w:t>Reserves to Meet NERC/WECC Contingency Reserves Requirements</w:t>
      </w:r>
      <w:r w:rsidRPr="00E65471">
        <w:t>, the Energy Bid portion equal to the base</w:t>
      </w:r>
      <w:r w:rsidR="005F24C1">
        <w:t xml:space="preserve"> WEIM </w:t>
      </w:r>
      <w:r w:rsidR="004E6476">
        <w:t>Reserves to Meet NERC/WECC Contingency Reserves Requirements</w:t>
      </w:r>
      <w:r w:rsidRPr="00E65471">
        <w:t xml:space="preserve"> schedule (MW) just below the URL (if base</w:t>
      </w:r>
      <w:r w:rsidR="005F24C1">
        <w:t xml:space="preserve"> WEIM </w:t>
      </w:r>
      <w:r w:rsidR="004E6476">
        <w:rPr>
          <w:rFonts w:eastAsia="Calibri"/>
        </w:rPr>
        <w:t>Upward or Downward Available Balancing Capacity</w:t>
      </w:r>
      <w:r w:rsidR="004E6476" w:rsidRPr="00E65471">
        <w:t xml:space="preserve"> </w:t>
      </w:r>
      <w:r w:rsidRPr="00E65471">
        <w:t>schedules are specified) or the Upper Operating Limit (UOL), whichever lower, and above the base</w:t>
      </w:r>
      <w:r w:rsidR="005F24C1">
        <w:t xml:space="preserve"> WEIM </w:t>
      </w:r>
      <w:r w:rsidRPr="00E65471">
        <w:t>Energy Base Schedule is reserved for</w:t>
      </w:r>
      <w:r w:rsidR="005F24C1">
        <w:t xml:space="preserve"> WEIM </w:t>
      </w:r>
      <w:r w:rsidR="004E6476" w:rsidRPr="004E6476">
        <w:t>Reserves to Meet NERC/WECC Contingency Reserves Requirements</w:t>
      </w:r>
      <w:r w:rsidRPr="00E65471">
        <w:t xml:space="preserve">. </w:t>
      </w:r>
      <w:r>
        <w:t>I</w:t>
      </w:r>
      <w:r w:rsidRPr="00E65471">
        <w:t>f there is insufficient capacity to allocate all of the base</w:t>
      </w:r>
      <w:r w:rsidR="005F24C1">
        <w:t xml:space="preserve"> WEIM </w:t>
      </w:r>
      <w:r w:rsidR="004E6476">
        <w:t xml:space="preserve">Reserves to Meet NERC/WECC Contingency Reserves Requirements </w:t>
      </w:r>
      <w:r w:rsidRPr="00E65471">
        <w:t xml:space="preserve">schedule, </w:t>
      </w:r>
      <w:r w:rsidRPr="005C63F6">
        <w:t>the latter</w:t>
      </w:r>
      <w:r w:rsidRPr="00E65471">
        <w:t xml:space="preserve"> shall be reduced accordingly.</w:t>
      </w:r>
    </w:p>
    <w:p w14:paraId="67EE9DD2" w14:textId="2E272D1C" w:rsidR="00701AB3" w:rsidRPr="005C63F6" w:rsidRDefault="00701AB3" w:rsidP="00E80005">
      <w:pPr>
        <w:pStyle w:val="ListParagraph"/>
        <w:numPr>
          <w:ilvl w:val="0"/>
          <w:numId w:val="61"/>
        </w:numPr>
      </w:pPr>
      <w:r w:rsidRPr="005C63F6">
        <w:t>If the</w:t>
      </w:r>
      <w:r w:rsidR="005F24C1">
        <w:t xml:space="preserve"> WEIM </w:t>
      </w:r>
      <w:r w:rsidRPr="005C63F6">
        <w:t>Resource Plan includes Non-Spinning Reserve, the Energy Bid portion equal to the base Non-Spinning Reserve schedule (MW) just below the allocated portion for Spinning Reserve, if any, otherwise below the URL (if base Regulation schedules are specified) or the Upper Operating Limit (UOL), whichever lower, and above the base</w:t>
      </w:r>
      <w:r w:rsidR="005F24C1">
        <w:t xml:space="preserve"> WEIM </w:t>
      </w:r>
      <w:r w:rsidRPr="005C63F6">
        <w:t xml:space="preserve">Energy Base Schedule is reserved for Non-Spinning Reserve. </w:t>
      </w:r>
      <w:r w:rsidR="00153940" w:rsidRPr="005C63F6">
        <w:t>If</w:t>
      </w:r>
      <w:r w:rsidRPr="005C63F6">
        <w:t xml:space="preserve"> there is insufficient capacity to allocate all of the base Non-Spinning Reserve schedule, the latter shall be reduced accordingly.</w:t>
      </w:r>
    </w:p>
    <w:p w14:paraId="48296911" w14:textId="3F75B352" w:rsidR="00701AB3" w:rsidRPr="005C63F6" w:rsidRDefault="00701AB3" w:rsidP="00E80005">
      <w:pPr>
        <w:pStyle w:val="ListParagraph"/>
        <w:numPr>
          <w:ilvl w:val="0"/>
          <w:numId w:val="61"/>
        </w:numPr>
      </w:pPr>
      <w:r w:rsidRPr="005C63F6">
        <w:t>If the</w:t>
      </w:r>
      <w:r w:rsidR="005F24C1">
        <w:t xml:space="preserve"> WEIM </w:t>
      </w:r>
      <w:r w:rsidRPr="005C63F6">
        <w:t>Resource Plan includes</w:t>
      </w:r>
      <w:r w:rsidR="005F24C1">
        <w:t xml:space="preserve"> WEIM </w:t>
      </w:r>
      <w:r w:rsidR="004E6476">
        <w:t>Upward Available Balancing Capacity</w:t>
      </w:r>
      <w:r w:rsidRPr="005C63F6">
        <w:t>, the Energy Bid portion equal to the Regulation Up (MW) just below the allocated portion for</w:t>
      </w:r>
      <w:r w:rsidR="005F24C1">
        <w:t xml:space="preserve"> WEIM </w:t>
      </w:r>
      <w:r w:rsidR="004E6476">
        <w:t>Reserves to Meet NERC/WECC Contingency Reserves Requirements</w:t>
      </w:r>
      <w:r w:rsidRPr="005C63F6">
        <w:t>, if any, otherwise below the URL (if base</w:t>
      </w:r>
      <w:r w:rsidR="005F24C1">
        <w:t xml:space="preserve"> WEIM </w:t>
      </w:r>
      <w:r w:rsidR="004E6476">
        <w:t xml:space="preserve">Upward or Downward Available Balancing Capacity </w:t>
      </w:r>
      <w:r w:rsidRPr="005C63F6">
        <w:t>schedules are specified) or the Upper Operating Limit (UOL), whichever lower, and above the base</w:t>
      </w:r>
      <w:r w:rsidR="005F24C1">
        <w:t xml:space="preserve"> WEIM </w:t>
      </w:r>
      <w:r w:rsidRPr="005C63F6">
        <w:t xml:space="preserve">Energy Base Schedule is reserved for Regulation Up. </w:t>
      </w:r>
      <w:r>
        <w:t>I</w:t>
      </w:r>
      <w:r w:rsidRPr="005C63F6">
        <w:t>f there is insufficient energy bid range to allocate all of the base</w:t>
      </w:r>
      <w:r w:rsidR="005F24C1">
        <w:t xml:space="preserve"> WEIM </w:t>
      </w:r>
      <w:r w:rsidR="004E6476">
        <w:t xml:space="preserve">Upward Available Balancing Capacity </w:t>
      </w:r>
      <w:r w:rsidRPr="005C63F6">
        <w:t>schedule, the latter shall be reduced accordingly.</w:t>
      </w:r>
    </w:p>
    <w:p w14:paraId="77B07A9A" w14:textId="53B34972" w:rsidR="004E327C" w:rsidRDefault="00701AB3" w:rsidP="00E80005">
      <w:pPr>
        <w:pStyle w:val="ListParagraph"/>
        <w:numPr>
          <w:ilvl w:val="0"/>
          <w:numId w:val="61"/>
        </w:numPr>
      </w:pPr>
      <w:r w:rsidRPr="005C63F6">
        <w:t>If the</w:t>
      </w:r>
      <w:r w:rsidR="005F24C1">
        <w:t xml:space="preserve"> WEIM </w:t>
      </w:r>
      <w:r w:rsidRPr="005C63F6">
        <w:t>Resource Plan includes</w:t>
      </w:r>
      <w:r w:rsidR="005F24C1">
        <w:t xml:space="preserve"> WEIM </w:t>
      </w:r>
      <w:r w:rsidR="004E6476">
        <w:t>Downward Available Balancing Capacity,</w:t>
      </w:r>
      <w:r w:rsidRPr="005C63F6">
        <w:t xml:space="preserve"> the Energy Bid portion equal to the</w:t>
      </w:r>
      <w:r w:rsidR="005F24C1">
        <w:t xml:space="preserve"> WEIM </w:t>
      </w:r>
      <w:r w:rsidR="004E6476">
        <w:t xml:space="preserve">Downward Available Balancing Capacity </w:t>
      </w:r>
      <w:r w:rsidRPr="005C63F6">
        <w:t>(MW) just above the Lower Operating Limit (LOL), or the Lower Economic Limit (LEL), whichever higher, and below the base</w:t>
      </w:r>
      <w:r w:rsidR="005F24C1">
        <w:t xml:space="preserve"> WEIM </w:t>
      </w:r>
      <w:r w:rsidRPr="005C63F6">
        <w:t xml:space="preserve">Energy Base Schedule is reserved for Regulation Down. </w:t>
      </w:r>
      <w:r w:rsidR="002852BA">
        <w:t>I</w:t>
      </w:r>
      <w:r w:rsidRPr="005C63F6">
        <w:t>f there is insufficient energy bid range to allocate all of the base</w:t>
      </w:r>
      <w:r w:rsidR="005F24C1">
        <w:t xml:space="preserve"> </w:t>
      </w:r>
      <w:r w:rsidR="005F24C1">
        <w:lastRenderedPageBreak/>
        <w:t xml:space="preserve">WEIM </w:t>
      </w:r>
      <w:r w:rsidR="004E6476">
        <w:t xml:space="preserve">Downward Available Balancing Capacity </w:t>
      </w:r>
      <w:r w:rsidRPr="005C63F6">
        <w:t>schedule, the latter shall be reduced accordingly.</w:t>
      </w:r>
    </w:p>
    <w:p w14:paraId="485C6672" w14:textId="77777777" w:rsidR="004E327C" w:rsidRDefault="00701AB3" w:rsidP="00E80005">
      <w:pPr>
        <w:pStyle w:val="ListParagraph"/>
        <w:numPr>
          <w:ilvl w:val="0"/>
          <w:numId w:val="61"/>
        </w:numPr>
      </w:pPr>
      <w:r w:rsidRPr="004E327C">
        <w:rPr>
          <w:rFonts w:cs="Arial"/>
        </w:rPr>
        <w:t xml:space="preserve">The remaining portion of the Energy Bid, if any, is used for </w:t>
      </w:r>
      <w:r w:rsidRPr="004E327C">
        <w:t xml:space="preserve">Dispatch. </w:t>
      </w:r>
    </w:p>
    <w:p w14:paraId="1BD31109" w14:textId="3635936C" w:rsidR="00701AB3" w:rsidRDefault="00701AB3" w:rsidP="00E80005">
      <w:pPr>
        <w:pStyle w:val="ListParagraph"/>
        <w:numPr>
          <w:ilvl w:val="0"/>
          <w:numId w:val="61"/>
        </w:numPr>
      </w:pPr>
      <w:r w:rsidRPr="004E327C">
        <w:t>For</w:t>
      </w:r>
      <w:r w:rsidR="005F24C1">
        <w:t xml:space="preserve"> WEIM </w:t>
      </w:r>
      <w:r w:rsidRPr="004E327C">
        <w:t>Non-Participating Resources, the Default Energy Bid (DEB) is used for</w:t>
      </w:r>
      <w:r w:rsidR="005F24C1">
        <w:t xml:space="preserve"> WEIM </w:t>
      </w:r>
      <w:r w:rsidRPr="004E327C">
        <w:t xml:space="preserve">Resource Plan’s </w:t>
      </w:r>
      <w:r w:rsidR="004E6476">
        <w:t>capacity</w:t>
      </w:r>
      <w:r w:rsidRPr="004E327C">
        <w:t xml:space="preserve"> allocation. The allocation is similar to that for</w:t>
      </w:r>
      <w:r w:rsidR="005F24C1">
        <w:t xml:space="preserve"> WEIM </w:t>
      </w:r>
      <w:r w:rsidRPr="004E327C">
        <w:t>Participating Resources, except that after the allocation,</w:t>
      </w:r>
      <w:r w:rsidR="005F24C1">
        <w:t xml:space="preserve"> WEIM </w:t>
      </w:r>
      <w:r w:rsidR="004E6476">
        <w:t xml:space="preserve">Upward Available Balancing Capacity </w:t>
      </w:r>
      <w:r w:rsidRPr="004E327C">
        <w:t>and</w:t>
      </w:r>
      <w:r w:rsidR="005F24C1">
        <w:t xml:space="preserve"> WEIM </w:t>
      </w:r>
      <w:r w:rsidR="004E6476">
        <w:t>Reserves to Meet NERC/WECC Contingency Reserves Requirements</w:t>
      </w:r>
      <w:r w:rsidRPr="003F05BB">
        <w:t xml:space="preserve"> slides down and</w:t>
      </w:r>
      <w:r w:rsidR="005F24C1">
        <w:t xml:space="preserve"> WEIM </w:t>
      </w:r>
      <w:r w:rsidR="004E6476">
        <w:t xml:space="preserve">Downward Available Balancing Capacity </w:t>
      </w:r>
      <w:r w:rsidRPr="003F05BB">
        <w:t>slides up to the base Energy schedule so that there is no remaining energy bid range available for Dispatch.</w:t>
      </w:r>
    </w:p>
    <w:p w14:paraId="0B415626" w14:textId="478B396B" w:rsidR="004E327C" w:rsidRPr="00287E25" w:rsidRDefault="004E327C" w:rsidP="00E80005">
      <w:pPr>
        <w:pStyle w:val="ListParagraph"/>
        <w:numPr>
          <w:ilvl w:val="0"/>
          <w:numId w:val="61"/>
        </w:numPr>
      </w:pPr>
      <w:r>
        <w:t>The energy bid ranges reserved for base</w:t>
      </w:r>
      <w:r w:rsidR="005F24C1">
        <w:t xml:space="preserve"> WEIM </w:t>
      </w:r>
      <w:r w:rsidR="0031695C">
        <w:t xml:space="preserve">Reserves to Meet NERC/WECC Contingency Reserves Requirements </w:t>
      </w:r>
      <w:r>
        <w:t>and base</w:t>
      </w:r>
      <w:r w:rsidR="005F24C1">
        <w:t xml:space="preserve"> WEIM </w:t>
      </w:r>
      <w:r w:rsidR="0031695C">
        <w:t>Upward and Downward Available Balancing Capacity</w:t>
      </w:r>
      <w:r>
        <w:t xml:space="preserve"> shall not be considered available in the capacity and flexible ramp sufficiency tests for</w:t>
      </w:r>
      <w:r w:rsidR="005F24C1">
        <w:t xml:space="preserve"> WEIM </w:t>
      </w:r>
      <w:r>
        <w:t>BAAs.</w:t>
      </w:r>
    </w:p>
    <w:p w14:paraId="6492950B" w14:textId="77777777" w:rsidR="00287E25" w:rsidRPr="004E327C" w:rsidRDefault="00287E25" w:rsidP="001431EC">
      <w:pPr>
        <w:pStyle w:val="ListParagraph"/>
      </w:pPr>
    </w:p>
    <w:p w14:paraId="666CAB66" w14:textId="3AEA4F0A" w:rsidR="00571BB2" w:rsidRPr="00D46438" w:rsidRDefault="0040431D" w:rsidP="00571BB2">
      <w:pPr>
        <w:pStyle w:val="Heading4"/>
      </w:pPr>
      <w:r>
        <w:t>Use of</w:t>
      </w:r>
      <w:r w:rsidR="005F24C1">
        <w:t xml:space="preserve"> WEIM </w:t>
      </w:r>
      <w:r w:rsidR="00F87074">
        <w:t>Available Balancing C</w:t>
      </w:r>
      <w:r>
        <w:t>apacity</w:t>
      </w:r>
    </w:p>
    <w:p w14:paraId="71F8512D" w14:textId="77777777" w:rsidR="00571BB2" w:rsidRDefault="00571BB2" w:rsidP="00571BB2">
      <w:pPr>
        <w:pStyle w:val="ParaText"/>
      </w:pPr>
      <w:r w:rsidRPr="00F90F86">
        <w:t>The CAISO’s market clearing software calculates the optimal solution in two passes, referred to as the scheduling and pricing run. The scheduling run is a full optimization run where constraints may be relaxed at a penalty price to avoid infeasibility. The pricing run is a simple economic dispatch, initialized from the scheduling run solution, where penalty prices are replaced by administrative prices and the problem is constrained so that the primal solution does not drift far away from the primal solution of the scheduling run. Both binding schedules and prices are obtained from the pricing run.</w:t>
      </w:r>
    </w:p>
    <w:p w14:paraId="5E4F257B" w14:textId="77777777" w:rsidR="00571BB2" w:rsidRPr="00D64081" w:rsidRDefault="00571BB2" w:rsidP="00877DDB">
      <w:pPr>
        <w:pStyle w:val="ParaText"/>
        <w:keepNext/>
        <w:keepLines/>
        <w:rPr>
          <w:b/>
        </w:rPr>
      </w:pPr>
      <w:r w:rsidRPr="00D64081">
        <w:rPr>
          <w:b/>
        </w:rPr>
        <w:lastRenderedPageBreak/>
        <w:t>Scheduling Run</w:t>
      </w:r>
    </w:p>
    <w:p w14:paraId="1D5DBC86" w14:textId="30E52638" w:rsidR="00571BB2" w:rsidRPr="005551A2" w:rsidRDefault="00571BB2" w:rsidP="00877DDB">
      <w:pPr>
        <w:pStyle w:val="ParaText"/>
        <w:keepNext/>
        <w:keepLines/>
      </w:pPr>
      <w:r w:rsidRPr="00D64081">
        <w:t>To effectively reserve</w:t>
      </w:r>
      <w:r w:rsidR="005F24C1">
        <w:t xml:space="preserve"> WEIM </w:t>
      </w:r>
      <w:r w:rsidR="0031695C">
        <w:t>Reserves to Meet NERC/WECC Contingency Reserves Requirements</w:t>
      </w:r>
      <w:r w:rsidRPr="00D64081">
        <w:t xml:space="preserve"> from Dispatch and dispatch</w:t>
      </w:r>
      <w:r w:rsidR="005F24C1">
        <w:t xml:space="preserve"> WEIM </w:t>
      </w:r>
      <w:r w:rsidR="0031695C">
        <w:t xml:space="preserve">Upward and Downward Available Balancing Capacity </w:t>
      </w:r>
      <w:r>
        <w:t>after the dispatch of all available economic bids and before violating power balance or transmission constraints, the</w:t>
      </w:r>
      <w:r w:rsidR="005F24C1">
        <w:t xml:space="preserve"> WEIM </w:t>
      </w:r>
      <w:r w:rsidRPr="00D64081">
        <w:t>applications make</w:t>
      </w:r>
      <w:r w:rsidR="005F24C1">
        <w:t xml:space="preserve"> WEIM </w:t>
      </w:r>
      <w:r w:rsidR="0031695C">
        <w:t>Upward and Downward Available Balancing Capacity</w:t>
      </w:r>
      <w:r w:rsidRPr="00F2404E">
        <w:t xml:space="preserve"> for dispatch at </w:t>
      </w:r>
      <w:r>
        <w:t>penalty</w:t>
      </w:r>
      <w:r w:rsidRPr="00F2404E">
        <w:t xml:space="preserve"> prices</w:t>
      </w:r>
      <w:r>
        <w:t>. Those penalty prices are economically differentiated for t</w:t>
      </w:r>
      <w:r w:rsidRPr="00F2404E">
        <w:t xml:space="preserve">he energy bid portions </w:t>
      </w:r>
      <w:r>
        <w:t xml:space="preserve">allocated </w:t>
      </w:r>
      <w:r w:rsidRPr="00F2404E">
        <w:t xml:space="preserve">to </w:t>
      </w:r>
      <w:r>
        <w:t>base</w:t>
      </w:r>
      <w:r w:rsidR="005F24C1">
        <w:t xml:space="preserve"> WEIM </w:t>
      </w:r>
      <w:r w:rsidR="0031695C">
        <w:t xml:space="preserve">Upward and Downward Available Balancing Capacity </w:t>
      </w:r>
      <w:r>
        <w:t xml:space="preserve">schedules </w:t>
      </w:r>
      <w:r w:rsidRPr="00F2404E">
        <w:t>prices</w:t>
      </w:r>
      <w:r>
        <w:t xml:space="preserve"> to maintain the economic merit order reflected in the energy bid prices of the allocated energy bid portions.</w:t>
      </w:r>
      <w:r w:rsidRPr="00B52BA3">
        <w:t xml:space="preserve"> </w:t>
      </w:r>
      <w:r>
        <w:t>The penalty prices are contained within a configurable penalty price range</w:t>
      </w:r>
      <w:r w:rsidRPr="00F2404E">
        <w:t xml:space="preserve">. </w:t>
      </w:r>
      <w:r>
        <w:t>The penalty price range for</w:t>
      </w:r>
      <w:r w:rsidR="005F24C1">
        <w:t xml:space="preserve"> WEIM </w:t>
      </w:r>
      <w:r w:rsidR="0031695C">
        <w:t>Upward and Downward Available Balancing Capacity</w:t>
      </w:r>
      <w:r>
        <w:t xml:space="preserve"> is sufficiently above the bid ceiling and below the self-schedule penalty, the power balance and transmission constraint violation penalties.</w:t>
      </w:r>
    </w:p>
    <w:p w14:paraId="3016162E" w14:textId="00B0DE83" w:rsidR="00571BB2" w:rsidRPr="00D64081" w:rsidRDefault="00571BB2" w:rsidP="00571BB2">
      <w:pPr>
        <w:pStyle w:val="ParaText"/>
      </w:pPr>
      <w:r w:rsidRPr="00D64081">
        <w:t>The economically differentiated penalty prices for</w:t>
      </w:r>
      <w:r w:rsidR="005F24C1">
        <w:t xml:space="preserve"> WEIM </w:t>
      </w:r>
      <w:r w:rsidR="0031695C">
        <w:t xml:space="preserve">Upward and Downward Available Balancing Capacity </w:t>
      </w:r>
      <w:r w:rsidRPr="00D64081">
        <w:t>are determined by a linear transformation into the relevant configurable penalty price ranges as follows:</w:t>
      </w:r>
    </w:p>
    <w:p w14:paraId="5A5DB0B6" w14:textId="29EB17E8" w:rsidR="00571BB2" w:rsidRPr="00CC457E" w:rsidRDefault="00571BB2" w:rsidP="00E80005">
      <w:pPr>
        <w:pStyle w:val="ParaText"/>
        <w:numPr>
          <w:ilvl w:val="0"/>
          <w:numId w:val="68"/>
        </w:numPr>
      </w:pPr>
      <w:r w:rsidRPr="00D64081">
        <w:t>If the configurable penalty price range for</w:t>
      </w:r>
      <w:r w:rsidR="005F24C1">
        <w:t xml:space="preserve"> WEIM </w:t>
      </w:r>
      <w:r w:rsidR="0031695C">
        <w:t xml:space="preserve">Upward Available Balancing Capacity </w:t>
      </w:r>
      <w:r w:rsidRPr="00D64081">
        <w:t>is sufficiently wide to accommodate the range of economic prices of the energy bid segments allocated to</w:t>
      </w:r>
      <w:r w:rsidRPr="00CC457E">
        <w:t xml:space="preserve"> base</w:t>
      </w:r>
      <w:r w:rsidR="005F24C1">
        <w:t xml:space="preserve"> WEIM </w:t>
      </w:r>
      <w:r w:rsidR="00703DFF">
        <w:t xml:space="preserve">Upward Available Balancing Capacity </w:t>
      </w:r>
      <w:r w:rsidRPr="00CC457E">
        <w:t>schedules among all</w:t>
      </w:r>
      <w:r w:rsidR="005F24C1">
        <w:t xml:space="preserve"> WEIM </w:t>
      </w:r>
      <w:r w:rsidRPr="00CC457E">
        <w:t>Resources, these segments are elevated by a positive penalty offset so that the lowest economic price among these segments will be equal to the bottom of the configurable penalty price range.</w:t>
      </w:r>
    </w:p>
    <w:p w14:paraId="57511354" w14:textId="2CB2EAD8" w:rsidR="00571BB2" w:rsidRPr="00551C07" w:rsidRDefault="00571BB2" w:rsidP="00E80005">
      <w:pPr>
        <w:pStyle w:val="ParaText"/>
        <w:numPr>
          <w:ilvl w:val="0"/>
          <w:numId w:val="68"/>
        </w:numPr>
      </w:pPr>
      <w:r w:rsidRPr="0077590F">
        <w:t>Otherwise, each energy bid segment allocated to a base</w:t>
      </w:r>
      <w:r w:rsidR="005F24C1">
        <w:t xml:space="preserve"> WEIM </w:t>
      </w:r>
      <w:r w:rsidR="00703DFF">
        <w:t>Upward Available Balancing Capacity</w:t>
      </w:r>
      <w:r w:rsidRPr="0077590F">
        <w:t xml:space="preserve"> schedule is scaled by an upward scaling factor and then elevated by a positive penalty offset so that the lowest economic price among these segments will be equal to the bottom of the configurable p</w:t>
      </w:r>
      <w:r w:rsidRPr="007E65DD">
        <w:t>enalty price range, while the highest economic price among these segments will be equal to the top of the configurable penalty price range.</w:t>
      </w:r>
    </w:p>
    <w:p w14:paraId="5C5F55DB" w14:textId="70C2BD53" w:rsidR="00571BB2" w:rsidRPr="00BD15CD" w:rsidRDefault="00571BB2" w:rsidP="00E80005">
      <w:pPr>
        <w:pStyle w:val="ParaText"/>
        <w:numPr>
          <w:ilvl w:val="0"/>
          <w:numId w:val="68"/>
        </w:numPr>
      </w:pPr>
      <w:r w:rsidRPr="00551C07">
        <w:t>If the configurable penalty price range for</w:t>
      </w:r>
      <w:r w:rsidR="005F24C1">
        <w:t xml:space="preserve"> WEIM </w:t>
      </w:r>
      <w:r w:rsidR="00703DFF">
        <w:t>Downward Available Balancing Capacity</w:t>
      </w:r>
      <w:r w:rsidRPr="00551C07">
        <w:t xml:space="preserve"> is sufficiently wide to accommodate the range of economi</w:t>
      </w:r>
      <w:r w:rsidRPr="00EF242D">
        <w:t xml:space="preserve">c prices </w:t>
      </w:r>
      <w:r w:rsidRPr="00885310">
        <w:t>of the energy bid segments allocated to base</w:t>
      </w:r>
      <w:r w:rsidR="005F24C1">
        <w:t xml:space="preserve"> WEIM </w:t>
      </w:r>
      <w:r w:rsidR="00703DFF">
        <w:t xml:space="preserve">Downward Available Balancing Capacity </w:t>
      </w:r>
      <w:r w:rsidRPr="00885310">
        <w:t xml:space="preserve">schedules </w:t>
      </w:r>
      <w:r w:rsidRPr="00885310">
        <w:lastRenderedPageBreak/>
        <w:t>among all</w:t>
      </w:r>
      <w:r w:rsidR="005F24C1">
        <w:t xml:space="preserve"> WEIM </w:t>
      </w:r>
      <w:r w:rsidRPr="00885310">
        <w:t>Resources, these segments are lowered by a negative penalty offset so that the highest economic price among these segments will be equal to the top of the configurable penalty price range.</w:t>
      </w:r>
    </w:p>
    <w:p w14:paraId="506D9251" w14:textId="09E65B23" w:rsidR="00571BB2" w:rsidRDefault="00571BB2" w:rsidP="00E80005">
      <w:pPr>
        <w:pStyle w:val="ParaText"/>
        <w:numPr>
          <w:ilvl w:val="0"/>
          <w:numId w:val="68"/>
        </w:numPr>
      </w:pPr>
      <w:r w:rsidRPr="00BD15CD">
        <w:t>Otherwise, each energy bid segment allocated to a base</w:t>
      </w:r>
      <w:r w:rsidR="005F24C1">
        <w:t xml:space="preserve"> WEIM </w:t>
      </w:r>
      <w:r w:rsidR="00703DFF">
        <w:t xml:space="preserve">Downward Available Balancing Capacity </w:t>
      </w:r>
      <w:r w:rsidRPr="00BD15CD">
        <w:t>schedule is scaled by a downward scaling factor and then lowered by a negative penalty offset so that the highest economic price among these segments will</w:t>
      </w:r>
      <w:r w:rsidR="00713C13">
        <w:t xml:space="preserve"> </w:t>
      </w:r>
      <w:r w:rsidRPr="00BD15CD">
        <w:t>be equal to t</w:t>
      </w:r>
      <w:r w:rsidRPr="00711B49">
        <w:t>he top of the configurable penalty price range, while the lowest economic price among these segments will be equal to the bottom of the configurable penalty price range.</w:t>
      </w:r>
    </w:p>
    <w:p w14:paraId="16930C83" w14:textId="444137E8" w:rsidR="009B43A2" w:rsidRPr="00F40388" w:rsidRDefault="009B43A2" w:rsidP="00E80005">
      <w:pPr>
        <w:pStyle w:val="ParaText"/>
        <w:numPr>
          <w:ilvl w:val="0"/>
          <w:numId w:val="68"/>
        </w:numPr>
      </w:pPr>
      <w:r>
        <w:t>For multi-stage generation units (MSG) if the penalty prices are left in</w:t>
      </w:r>
      <w:r w:rsidR="00AA468F">
        <w:t xml:space="preserve"> place</w:t>
      </w:r>
      <w:r>
        <w:t xml:space="preserve">, it will prevent economical transitions. In order to avoid this problem, the </w:t>
      </w:r>
      <w:r w:rsidR="009C4FC1">
        <w:t>economic</w:t>
      </w:r>
      <w:r>
        <w:t xml:space="preserve"> cost</w:t>
      </w:r>
      <w:r w:rsidR="002C63E7">
        <w:t xml:space="preserve"> instead of the penalty cost</w:t>
      </w:r>
      <w:r>
        <w:t xml:space="preserve"> of regulation</w:t>
      </w:r>
      <w:r w:rsidR="002C63E7">
        <w:t xml:space="preserve"> will be </w:t>
      </w:r>
      <w:r w:rsidR="00EC721F">
        <w:t>associated with</w:t>
      </w:r>
      <w:r>
        <w:t xml:space="preserve"> the decision variables for transitions such that the optimization can determine optimally economical transitions.</w:t>
      </w:r>
    </w:p>
    <w:p w14:paraId="2253C453" w14:textId="480A946A" w:rsidR="00571BB2" w:rsidRDefault="00571BB2" w:rsidP="00571BB2">
      <w:pPr>
        <w:pStyle w:val="ParaText"/>
      </w:pPr>
      <w:r>
        <w:t>To limit</w:t>
      </w:r>
      <w:r w:rsidR="005F24C1">
        <w:t xml:space="preserve"> WEIM </w:t>
      </w:r>
      <w:r w:rsidR="00CF5C33">
        <w:t xml:space="preserve">Upward and Downward Available Balancing Capacity </w:t>
      </w:r>
      <w:r>
        <w:t>dispatch only to the amount required to resolve power balance infeasibility in the native</w:t>
      </w:r>
      <w:r w:rsidR="005F24C1">
        <w:t xml:space="preserve"> WEIM </w:t>
      </w:r>
      <w:r>
        <w:t>BAA, two constraints are included in the problem formulation for each</w:t>
      </w:r>
      <w:r w:rsidR="005F24C1">
        <w:t xml:space="preserve"> WEIM </w:t>
      </w:r>
      <w:r>
        <w:t>BAA, one for limiting</w:t>
      </w:r>
      <w:r w:rsidR="005F24C1">
        <w:t xml:space="preserve"> WEIM </w:t>
      </w:r>
      <w:r w:rsidR="00CF5C33">
        <w:t>Upward Available Balancing Capacity</w:t>
      </w:r>
      <w:r>
        <w:t xml:space="preserve"> dispatch and the other for limiting</w:t>
      </w:r>
      <w:r w:rsidR="005F24C1">
        <w:t xml:space="preserve"> WEIM </w:t>
      </w:r>
      <w:r w:rsidR="00CF5C33">
        <w:t>Downward Available Balancing Capacity</w:t>
      </w:r>
      <w:r>
        <w:t xml:space="preserve">. </w:t>
      </w:r>
      <w:r w:rsidR="009C4FC1">
        <w:t>The first constraint prevents</w:t>
      </w:r>
      <w:r w:rsidR="005F24C1">
        <w:t xml:space="preserve"> WEIM </w:t>
      </w:r>
      <w:r w:rsidR="00CF5C33">
        <w:t xml:space="preserve">Upward Available Balancing Capacity </w:t>
      </w:r>
      <w:r w:rsidR="009C4FC1">
        <w:t>dispatch when the net optimal transfer is higher than the base net transfer for the</w:t>
      </w:r>
      <w:r w:rsidR="005F24C1">
        <w:t xml:space="preserve"> WEIM </w:t>
      </w:r>
      <w:r w:rsidR="009C4FC1">
        <w:t>BAA (exporting above base). The second constraint prevent</w:t>
      </w:r>
      <w:r w:rsidR="00C62B32">
        <w:t>s</w:t>
      </w:r>
      <w:r w:rsidR="005F24C1">
        <w:t xml:space="preserve"> WEIM </w:t>
      </w:r>
      <w:r w:rsidR="00CF5C33">
        <w:t>Downward</w:t>
      </w:r>
      <w:r w:rsidR="00BA7532">
        <w:t xml:space="preserve"> Available Balancing Capacity </w:t>
      </w:r>
      <w:r w:rsidR="009C4FC1">
        <w:t>dispatch when the net optimal transfer is lower than the base net transfer for the</w:t>
      </w:r>
      <w:r w:rsidR="005F24C1">
        <w:t xml:space="preserve"> WEIM </w:t>
      </w:r>
      <w:r w:rsidR="009C4FC1">
        <w:t>BAA (importing below base).</w:t>
      </w:r>
    </w:p>
    <w:p w14:paraId="029F699D" w14:textId="589756E4" w:rsidR="00571BB2" w:rsidRDefault="00571BB2" w:rsidP="00571BB2">
      <w:pPr>
        <w:pStyle w:val="ParaText"/>
      </w:pPr>
      <w:r>
        <w:t>These constraints, in conjunction with the economically differentiated penalty prices for Regulation Up and Down, result in an optimal solution where</w:t>
      </w:r>
      <w:r w:rsidR="005F24C1">
        <w:t xml:space="preserve"> WEIM </w:t>
      </w:r>
      <w:r w:rsidR="00BE30C5">
        <w:t xml:space="preserve">Upward or Downward Available Balancing Capacity </w:t>
      </w:r>
      <w:r>
        <w:t xml:space="preserve">in </w:t>
      </w:r>
      <w:r w:rsidR="00153940">
        <w:t>a WEIM</w:t>
      </w:r>
      <w:r w:rsidR="005F24C1">
        <w:t xml:space="preserve"> </w:t>
      </w:r>
      <w:r>
        <w:t xml:space="preserve">BAA are dispatched only if that is necessary to remove power balance infeasibility in that BAA, while not violating transmission constraints when doing so. </w:t>
      </w:r>
    </w:p>
    <w:p w14:paraId="38A36E1F" w14:textId="6A70DCCA" w:rsidR="00571BB2" w:rsidRPr="005551A2" w:rsidRDefault="00571BB2" w:rsidP="00571BB2">
      <w:pPr>
        <w:pStyle w:val="ParaText"/>
      </w:pPr>
      <w:r w:rsidRPr="005551A2">
        <w:t>If the available</w:t>
      </w:r>
      <w:r w:rsidR="005F24C1">
        <w:t xml:space="preserve"> WEIM </w:t>
      </w:r>
      <w:r w:rsidR="00BE30C5">
        <w:t xml:space="preserve">Upward or Downward Available Balancing Capacity </w:t>
      </w:r>
      <w:r w:rsidRPr="005551A2">
        <w:t xml:space="preserve">is fully dispatched in </w:t>
      </w:r>
      <w:r w:rsidR="00153940">
        <w:t>a WEIM</w:t>
      </w:r>
      <w:r w:rsidR="005F24C1">
        <w:t xml:space="preserve"> </w:t>
      </w:r>
      <w:r w:rsidRPr="005551A2">
        <w:t xml:space="preserve">BAA and infeasibility conditions persist, the relevant surplus variable in that BAA’s power </w:t>
      </w:r>
      <w:r w:rsidRPr="005551A2">
        <w:lastRenderedPageBreak/>
        <w:t>balance constraint will normally take value at the applicable power balance relaxation penalty</w:t>
      </w:r>
      <w:r w:rsidR="00C51D2D">
        <w:t xml:space="preserve"> price.</w:t>
      </w:r>
      <w:r w:rsidRPr="005551A2">
        <w:t xml:space="preserve"> </w:t>
      </w:r>
    </w:p>
    <w:p w14:paraId="70C47D0B" w14:textId="77777777" w:rsidR="00571BB2" w:rsidRPr="00D64081" w:rsidRDefault="00571BB2" w:rsidP="00571BB2">
      <w:pPr>
        <w:pStyle w:val="ParaText"/>
        <w:rPr>
          <w:b/>
        </w:rPr>
      </w:pPr>
      <w:r w:rsidRPr="00D64081">
        <w:rPr>
          <w:b/>
        </w:rPr>
        <w:t>Pricing Run</w:t>
      </w:r>
    </w:p>
    <w:p w14:paraId="3CFE016A" w14:textId="391C1BB4" w:rsidR="00571BB2" w:rsidRPr="00CC457E" w:rsidRDefault="00571BB2" w:rsidP="00571BB2">
      <w:pPr>
        <w:pStyle w:val="ParaText"/>
      </w:pPr>
      <w:r w:rsidRPr="00D64081">
        <w:t>Only energy bid portions allocated to base</w:t>
      </w:r>
      <w:r w:rsidR="005F24C1">
        <w:t xml:space="preserve"> WEIM </w:t>
      </w:r>
      <w:r w:rsidR="00BE30C5">
        <w:t xml:space="preserve">Upward and Downward Available Balancing Capacity </w:t>
      </w:r>
      <w:r w:rsidRPr="00D64081">
        <w:t>schedules that were dispatched in the scheduling run are available</w:t>
      </w:r>
      <w:r>
        <w:t xml:space="preserve"> for dispatch</w:t>
      </w:r>
      <w:r w:rsidRPr="00D64081">
        <w:t xml:space="preserve"> at the corresponding economic energy bid prices at the pricing run.</w:t>
      </w:r>
      <w:r w:rsidR="005F24C1">
        <w:t xml:space="preserve"> WEIM </w:t>
      </w:r>
      <w:r w:rsidR="00BE30C5">
        <w:t>Upward and Downward Available Balancing Capacity</w:t>
      </w:r>
      <w:r w:rsidRPr="00D64081">
        <w:t xml:space="preserve"> schedules that were not dispatched in the Scheduling Run </w:t>
      </w:r>
      <w:r w:rsidRPr="00CC457E">
        <w:t>and energy bid portions allocated to base</w:t>
      </w:r>
      <w:r w:rsidR="005F24C1">
        <w:t xml:space="preserve"> WEIM </w:t>
      </w:r>
      <w:r w:rsidR="00BE30C5">
        <w:t xml:space="preserve">Reserves to Meet NERC/WECC Contingency Reserves Requirements </w:t>
      </w:r>
      <w:r w:rsidRPr="00CC457E">
        <w:t>are not available for dispatch in the pricing run.</w:t>
      </w:r>
    </w:p>
    <w:p w14:paraId="77890111" w14:textId="77777777" w:rsidR="00571BB2" w:rsidRPr="0077590F" w:rsidRDefault="00571BB2" w:rsidP="00571BB2">
      <w:pPr>
        <w:pStyle w:val="ParaText"/>
        <w:rPr>
          <w:b/>
        </w:rPr>
      </w:pPr>
      <w:r w:rsidRPr="0077590F">
        <w:rPr>
          <w:b/>
        </w:rPr>
        <w:t xml:space="preserve">LMP </w:t>
      </w:r>
    </w:p>
    <w:p w14:paraId="6B3EAD64" w14:textId="3F889289" w:rsidR="00BE30C5" w:rsidRPr="005551A2" w:rsidRDefault="00571BB2" w:rsidP="00571BB2">
      <w:pPr>
        <w:pStyle w:val="ParaText"/>
      </w:pPr>
      <w:r w:rsidRPr="005551A2">
        <w:t xml:space="preserve">To calculate an economic optimal solution in </w:t>
      </w:r>
      <w:r w:rsidR="00153940">
        <w:t>a WEIM</w:t>
      </w:r>
      <w:r w:rsidR="005F24C1">
        <w:t xml:space="preserve"> </w:t>
      </w:r>
      <w:r w:rsidRPr="005551A2">
        <w:t>BAA where</w:t>
      </w:r>
      <w:r w:rsidR="005F24C1">
        <w:t xml:space="preserve"> WEIM </w:t>
      </w:r>
      <w:r w:rsidR="00BE30C5">
        <w:t xml:space="preserve">Upward and Downward Available Balancing </w:t>
      </w:r>
      <w:r w:rsidR="000D3882">
        <w:t>Capaciti</w:t>
      </w:r>
      <w:r w:rsidR="000D3882" w:rsidRPr="005551A2">
        <w:t>es</w:t>
      </w:r>
      <w:r w:rsidRPr="005551A2">
        <w:t xml:space="preserve"> dispatched to resolve power balance infeasibility, the demand forecast shall be reduced or increased in the Pricing Run by a small tolerance, respectively, so that the marginal economic bid would set the price.</w:t>
      </w:r>
      <w:r w:rsidRPr="00E13A20">
        <w:t xml:space="preserve"> The marginal</w:t>
      </w:r>
      <w:r>
        <w:t xml:space="preserve"> bid at the pricing run may be from an energy bid allocated to</w:t>
      </w:r>
      <w:r w:rsidR="005F24C1">
        <w:t xml:space="preserve"> WEIM </w:t>
      </w:r>
      <w:r w:rsidR="00BE30C5">
        <w:t>Upward and Downward Available Balancing Capacity</w:t>
      </w:r>
      <w:r>
        <w:t xml:space="preserve"> or to capacity that is normally available for dispatch in EIM, or even an energy bid outside the</w:t>
      </w:r>
      <w:r w:rsidR="005F24C1">
        <w:t xml:space="preserve"> WEIM </w:t>
      </w:r>
      <w:r>
        <w:t>BAA, in which case the</w:t>
      </w:r>
      <w:r w:rsidR="005F24C1">
        <w:t xml:space="preserve"> WEIM </w:t>
      </w:r>
      <w:r>
        <w:t>Transfer would move off its limit. If the dispatched</w:t>
      </w:r>
      <w:r w:rsidR="005F24C1">
        <w:t xml:space="preserve"> WEIM </w:t>
      </w:r>
      <w:r w:rsidR="00BE30C5">
        <w:t>Upward and Downward Available Balancing Capacity</w:t>
      </w:r>
      <w:r>
        <w:t xml:space="preserve"> was insufficient to resolve the power balance infeasibility in </w:t>
      </w:r>
      <w:r w:rsidR="00153940">
        <w:t>a WEIM</w:t>
      </w:r>
      <w:r w:rsidR="005F24C1">
        <w:t xml:space="preserve"> </w:t>
      </w:r>
      <w:r>
        <w:t>BAA in the Scheduling Run, the relevant surplus variable in that BAA’s power balance constraint will be normally priced at the applicable bid ceiling or floor, respectively, thus setting the administrative price.</w:t>
      </w:r>
    </w:p>
    <w:p w14:paraId="7D792453" w14:textId="77777777" w:rsidR="00571BB2" w:rsidRPr="005551A2" w:rsidRDefault="00571BB2" w:rsidP="00571BB2">
      <w:pPr>
        <w:pStyle w:val="ParaText"/>
        <w:rPr>
          <w:b/>
        </w:rPr>
      </w:pPr>
      <w:r w:rsidRPr="00D64081">
        <w:rPr>
          <w:b/>
        </w:rPr>
        <w:t>Expected Energy Calculation</w:t>
      </w:r>
    </w:p>
    <w:p w14:paraId="2B738063" w14:textId="396ADF7C" w:rsidR="00571BB2" w:rsidRDefault="00571BB2" w:rsidP="00571BB2">
      <w:pPr>
        <w:pStyle w:val="Paragraph"/>
      </w:pPr>
      <w:r>
        <w:t>RTD passes to MQS the energy bid used for Imbalance Energy and</w:t>
      </w:r>
      <w:r w:rsidR="005F24C1">
        <w:t xml:space="preserve"> WEIM </w:t>
      </w:r>
      <w:r w:rsidR="000A0E68">
        <w:t xml:space="preserve">Upward and Downward Available Balancing Capacity </w:t>
      </w:r>
      <w:r>
        <w:t>dispatch in the Pricing Run for the 5min</w:t>
      </w:r>
      <w:r w:rsidR="000A0E68">
        <w:t xml:space="preserve"> RTD</w:t>
      </w:r>
      <w:r>
        <w:t xml:space="preserve"> binding interval. The applicable DEB shall be passed for</w:t>
      </w:r>
      <w:r w:rsidR="005F24C1">
        <w:t xml:space="preserve"> WEIM </w:t>
      </w:r>
      <w:r>
        <w:t>Non-Participating Resources.</w:t>
      </w:r>
    </w:p>
    <w:p w14:paraId="09110FBD" w14:textId="63654F22" w:rsidR="00571BB2" w:rsidRPr="005551A2" w:rsidRDefault="00571BB2" w:rsidP="00571BB2">
      <w:pPr>
        <w:pStyle w:val="ParaText"/>
        <w:rPr>
          <w:rFonts w:cs="Arial"/>
        </w:rPr>
      </w:pPr>
      <w:r>
        <w:t>MQS calculates and allocates Expected Energy using the DOPs and the applicable energy bid. Expected Energy from</w:t>
      </w:r>
      <w:r w:rsidR="005F24C1">
        <w:t xml:space="preserve"> WEIM </w:t>
      </w:r>
      <w:r w:rsidR="00FD5B28">
        <w:t>Upward and Downward Available Balancing Capacity</w:t>
      </w:r>
      <w:r>
        <w:t xml:space="preserve"> dispatch from</w:t>
      </w:r>
      <w:r w:rsidR="005F24C1">
        <w:t xml:space="preserve"> WEIM </w:t>
      </w:r>
      <w:r>
        <w:t>Participating Resources is accounted as Optimal Energy.</w:t>
      </w:r>
      <w:r w:rsidR="005F24C1">
        <w:t xml:space="preserve"> WEIM </w:t>
      </w:r>
      <w:r>
        <w:t xml:space="preserve">Non-Participating Resources are treated similarly to any resource </w:t>
      </w:r>
      <w:r w:rsidR="00FD5B28">
        <w:t xml:space="preserve">and </w:t>
      </w:r>
      <w:r>
        <w:t>therefore, Expected Energy from</w:t>
      </w:r>
      <w:r w:rsidR="005F24C1">
        <w:t xml:space="preserve"> WEIM </w:t>
      </w:r>
      <w:r w:rsidR="00FD5B28">
        <w:lastRenderedPageBreak/>
        <w:t>Upward and Downward Available Balancing Capacity</w:t>
      </w:r>
      <w:r>
        <w:t xml:space="preserve"> dispatch from</w:t>
      </w:r>
      <w:r w:rsidR="005F24C1">
        <w:t xml:space="preserve"> WEIM </w:t>
      </w:r>
      <w:r>
        <w:t xml:space="preserve">Non-Participating Resources is also accounted as Optimal Energy. </w:t>
      </w:r>
    </w:p>
    <w:p w14:paraId="6E957ADB" w14:textId="663442FD" w:rsidR="00571BB2" w:rsidRDefault="00571BB2" w:rsidP="00877DDB">
      <w:pPr>
        <w:pStyle w:val="BPM"/>
      </w:pPr>
      <w:r w:rsidRPr="005551A2">
        <w:t xml:space="preserve">Appendix B presents Mathematical Formulation for using regulation </w:t>
      </w:r>
      <w:r w:rsidR="000D17F1">
        <w:t xml:space="preserve">to </w:t>
      </w:r>
      <w:r w:rsidRPr="005551A2">
        <w:t>resolv</w:t>
      </w:r>
      <w:r w:rsidR="000D17F1">
        <w:t>e</w:t>
      </w:r>
      <w:r w:rsidRPr="005551A2">
        <w:t xml:space="preserve"> infeasible power balance conditions in</w:t>
      </w:r>
      <w:r w:rsidR="005F24C1">
        <w:t xml:space="preserve"> WEIM </w:t>
      </w:r>
      <w:r w:rsidRPr="005551A2">
        <w:t>BAAs.</w:t>
      </w:r>
    </w:p>
    <w:p w14:paraId="77972269" w14:textId="77777777" w:rsidR="00713C13" w:rsidRPr="005551A2" w:rsidRDefault="00713C13" w:rsidP="00571BB2">
      <w:pPr>
        <w:pStyle w:val="Paragraph"/>
        <w:rPr>
          <w:rFonts w:ascii="Arial" w:hAnsi="Arial" w:cs="Arial"/>
        </w:rPr>
      </w:pPr>
    </w:p>
    <w:p w14:paraId="7C1003E9" w14:textId="7E8E2CFB" w:rsidR="008817D0" w:rsidRDefault="008817D0" w:rsidP="00C33762">
      <w:pPr>
        <w:pStyle w:val="Heading3"/>
        <w:rPr>
          <w:rFonts w:eastAsia="Calibri"/>
        </w:rPr>
      </w:pPr>
      <w:bookmarkStart w:id="1981" w:name="_Toc229054507"/>
      <w:r w:rsidRPr="008817D0">
        <w:rPr>
          <w:rFonts w:eastAsia="Calibri"/>
        </w:rPr>
        <w:t>EIM Market Power Mitigation</w:t>
      </w:r>
      <w:bookmarkEnd w:id="1979"/>
      <w:bookmarkEnd w:id="1980"/>
      <w:bookmarkEnd w:id="1981"/>
      <w:r w:rsidRPr="008817D0">
        <w:rPr>
          <w:rFonts w:eastAsia="Calibri"/>
        </w:rPr>
        <w:t xml:space="preserve"> </w:t>
      </w:r>
    </w:p>
    <w:p w14:paraId="0D7305E5" w14:textId="1C81248C" w:rsidR="004C48E8" w:rsidRPr="00AD0DB1" w:rsidRDefault="004C48E8" w:rsidP="004C48E8">
      <w:pPr>
        <w:spacing w:after="240" w:line="300" w:lineRule="auto"/>
        <w:rPr>
          <w:rFonts w:eastAsia="Calibri"/>
        </w:rPr>
      </w:pPr>
      <w:r>
        <w:rPr>
          <w:rFonts w:eastAsia="Calibri"/>
        </w:rPr>
        <w:t>CAISO is authorized to adjust a resource’s submitted energy bid downward to the level of the resource’s cost based bid, or Default Energy Bid, when the resource has been determined to wield Local Market Power.  The Local Market Power Mitigation procedure is administrated by an automated process integrated into the Day-Ahead and Real-Time Market systems.  This section describes the Local Market Power Mitigation procedure as it is applied to the</w:t>
      </w:r>
      <w:r w:rsidR="005F24C1">
        <w:rPr>
          <w:rFonts w:eastAsia="Calibri"/>
        </w:rPr>
        <w:t xml:space="preserve"> WEIM </w:t>
      </w:r>
      <w:r>
        <w:rPr>
          <w:rFonts w:eastAsia="Calibri"/>
        </w:rPr>
        <w:t xml:space="preserve">market.  Applicable portions of Sections 6 and 7 of the </w:t>
      </w:r>
      <w:hyperlink r:id="rId87" w:history="1">
        <w:r w:rsidRPr="00B406F1">
          <w:rPr>
            <w:rStyle w:val="Hyperlink"/>
            <w:rFonts w:eastAsia="Calibri"/>
            <w:b/>
          </w:rPr>
          <w:t>BPM for Market Operations</w:t>
        </w:r>
      </w:hyperlink>
      <w:r>
        <w:rPr>
          <w:rFonts w:eastAsia="Calibri"/>
        </w:rPr>
        <w:t xml:space="preserve"> describe the general operation and timeline of the Local Market Power Mitigation process for the Day-Ahead and Real-Time Markets, respectively.</w:t>
      </w:r>
    </w:p>
    <w:p w14:paraId="10B5EC99" w14:textId="77777777" w:rsidR="004C48E8" w:rsidRDefault="004C48E8" w:rsidP="004C48E8">
      <w:pPr>
        <w:spacing w:after="240" w:line="300" w:lineRule="auto"/>
        <w:rPr>
          <w:rFonts w:eastAsia="Calibri"/>
        </w:rPr>
      </w:pPr>
      <w:r>
        <w:rPr>
          <w:rFonts w:eastAsia="Calibri"/>
        </w:rPr>
        <w:t>As mentioned in the previous section, the Default Energy Bid is a resource’s cost-based bid that may be used in the event that the CAISO markets determine that the resource wields Local Market Power.  See also the</w:t>
      </w:r>
      <w:r w:rsidRPr="00A746D3">
        <w:rPr>
          <w:rFonts w:eastAsia="Calibri"/>
          <w:b/>
        </w:rPr>
        <w:t xml:space="preserve"> </w:t>
      </w:r>
      <w:hyperlink r:id="rId88" w:history="1">
        <w:r w:rsidRPr="00A746D3">
          <w:rPr>
            <w:rStyle w:val="Hyperlink"/>
            <w:rFonts w:eastAsia="Calibri"/>
            <w:b/>
          </w:rPr>
          <w:t>BPM for Market Instruments</w:t>
        </w:r>
      </w:hyperlink>
      <w:r>
        <w:rPr>
          <w:rFonts w:eastAsia="Calibri"/>
        </w:rPr>
        <w:t xml:space="preserve"> Appendix Attachment D for additional details.  </w:t>
      </w:r>
    </w:p>
    <w:p w14:paraId="2E426B38" w14:textId="77777777" w:rsidR="004C48E8" w:rsidRPr="004C48E8" w:rsidRDefault="004C48E8" w:rsidP="00831D03">
      <w:pPr>
        <w:pStyle w:val="ParaText"/>
        <w:rPr>
          <w:rFonts w:eastAsia="Calibri"/>
        </w:rPr>
      </w:pPr>
    </w:p>
    <w:p w14:paraId="451821AE" w14:textId="77777777" w:rsidR="008817D0" w:rsidRPr="008817D0" w:rsidRDefault="008817D0" w:rsidP="00C33762">
      <w:pPr>
        <w:pStyle w:val="Heading4"/>
        <w:spacing w:after="120" w:line="300" w:lineRule="auto"/>
        <w:rPr>
          <w:rFonts w:eastAsia="Calibri"/>
        </w:rPr>
      </w:pPr>
      <w:r w:rsidRPr="008817D0">
        <w:rPr>
          <w:rFonts w:eastAsia="Calibri"/>
        </w:rPr>
        <w:t xml:space="preserve">EIM Market Power Mitigation Procedure </w:t>
      </w:r>
    </w:p>
    <w:p w14:paraId="49D0DDFC" w14:textId="0EDA2F68" w:rsidR="008817D0" w:rsidRPr="00FC6F91" w:rsidRDefault="00E4613C" w:rsidP="000E31C9">
      <w:pPr>
        <w:spacing w:line="300" w:lineRule="auto"/>
        <w:rPr>
          <w:rFonts w:eastAsia="Calibri"/>
        </w:rPr>
      </w:pPr>
      <w:r>
        <w:rPr>
          <w:rFonts w:eastAsia="Calibri"/>
        </w:rPr>
        <w:t>CA</w:t>
      </w:r>
      <w:r w:rsidR="008817D0" w:rsidRPr="008817D0">
        <w:rPr>
          <w:rFonts w:eastAsia="Calibri"/>
        </w:rPr>
        <w:t xml:space="preserve">ISO will use the same </w:t>
      </w:r>
      <w:r w:rsidR="002B55FD">
        <w:rPr>
          <w:rFonts w:eastAsia="Calibri"/>
        </w:rPr>
        <w:t>dynamic competitive path assessment (</w:t>
      </w:r>
      <w:r w:rsidR="008817D0" w:rsidRPr="008817D0">
        <w:rPr>
          <w:rFonts w:eastAsia="Calibri"/>
        </w:rPr>
        <w:t>DCPA</w:t>
      </w:r>
      <w:r w:rsidR="002B55FD">
        <w:rPr>
          <w:rFonts w:eastAsia="Calibri"/>
        </w:rPr>
        <w:t>)</w:t>
      </w:r>
      <w:r w:rsidR="008817D0" w:rsidRPr="008817D0">
        <w:rPr>
          <w:rFonts w:eastAsia="Calibri"/>
        </w:rPr>
        <w:t xml:space="preserve"> and LMPM methodology to mitigate energy bids from</w:t>
      </w:r>
      <w:r w:rsidR="005F24C1">
        <w:rPr>
          <w:rFonts w:eastAsia="Calibri"/>
        </w:rPr>
        <w:t xml:space="preserve"> WEIM </w:t>
      </w:r>
      <w:r w:rsidR="008817D0" w:rsidRPr="008817D0">
        <w:rPr>
          <w:rFonts w:eastAsia="Calibri"/>
        </w:rPr>
        <w:t>Participating Resources in the RTM. DCPA will be conducted for each transmission constraint separately in each</w:t>
      </w:r>
      <w:r w:rsidR="005F24C1">
        <w:rPr>
          <w:rFonts w:eastAsia="Calibri"/>
        </w:rPr>
        <w:t xml:space="preserve"> WEIM </w:t>
      </w:r>
      <w:r w:rsidR="008817D0" w:rsidRPr="008817D0">
        <w:rPr>
          <w:rFonts w:eastAsia="Calibri"/>
        </w:rPr>
        <w:t>Entity BAA, and LMPM may mitigate</w:t>
      </w:r>
      <w:r w:rsidR="005F24C1">
        <w:rPr>
          <w:rFonts w:eastAsia="Calibri"/>
        </w:rPr>
        <w:t xml:space="preserve"> WEIM </w:t>
      </w:r>
      <w:r w:rsidR="008817D0" w:rsidRPr="008817D0">
        <w:rPr>
          <w:rFonts w:eastAsia="Calibri"/>
        </w:rPr>
        <w:t>Participating Resource bids for binding congestion separately in each</w:t>
      </w:r>
      <w:r w:rsidR="005F24C1">
        <w:rPr>
          <w:rFonts w:eastAsia="Calibri"/>
        </w:rPr>
        <w:t xml:space="preserve"> WEIM </w:t>
      </w:r>
      <w:r w:rsidR="008817D0" w:rsidRPr="008817D0">
        <w:rPr>
          <w:rFonts w:eastAsia="Calibri"/>
        </w:rPr>
        <w:t xml:space="preserve">Entity BAA. Interties between BAAs are </w:t>
      </w:r>
      <w:r w:rsidR="005116F7">
        <w:rPr>
          <w:rFonts w:eastAsia="Calibri"/>
        </w:rPr>
        <w:t xml:space="preserve">not </w:t>
      </w:r>
      <w:r w:rsidR="00ED42BC">
        <w:rPr>
          <w:rFonts w:eastAsia="Calibri"/>
        </w:rPr>
        <w:t>subject to market power mitigation</w:t>
      </w:r>
      <w:r w:rsidR="005116F7">
        <w:rPr>
          <w:rFonts w:eastAsia="Calibri"/>
        </w:rPr>
        <w:t xml:space="preserve">, except for groups of interties which make up </w:t>
      </w:r>
      <w:r w:rsidR="00153940">
        <w:rPr>
          <w:rFonts w:eastAsia="Calibri"/>
        </w:rPr>
        <w:t>a WEIM</w:t>
      </w:r>
      <w:r w:rsidR="005F24C1">
        <w:rPr>
          <w:rFonts w:eastAsia="Calibri"/>
        </w:rPr>
        <w:t xml:space="preserve"> </w:t>
      </w:r>
      <w:r w:rsidR="005116F7">
        <w:rPr>
          <w:rFonts w:eastAsia="Calibri"/>
        </w:rPr>
        <w:t>Transfer constraint</w:t>
      </w:r>
      <w:r w:rsidR="000E31C9">
        <w:rPr>
          <w:rFonts w:eastAsia="Calibri"/>
        </w:rPr>
        <w:t>.</w:t>
      </w:r>
    </w:p>
    <w:p w14:paraId="6CE0FB37" w14:textId="77777777" w:rsidR="008817D0" w:rsidRPr="008817D0" w:rsidRDefault="008817D0" w:rsidP="00C33762">
      <w:pPr>
        <w:pStyle w:val="Heading4"/>
        <w:rPr>
          <w:rFonts w:eastAsia="Calibri"/>
        </w:rPr>
      </w:pPr>
      <w:r w:rsidRPr="008817D0">
        <w:rPr>
          <w:rFonts w:eastAsia="Calibri"/>
        </w:rPr>
        <w:lastRenderedPageBreak/>
        <w:t>Dynamic Competitive Path Assessment</w:t>
      </w:r>
    </w:p>
    <w:p w14:paraId="0E1251B0" w14:textId="7F5EA130" w:rsidR="008817D0" w:rsidRPr="008817D0" w:rsidRDefault="008817D0" w:rsidP="008817D0">
      <w:pPr>
        <w:spacing w:after="240" w:line="300" w:lineRule="auto"/>
        <w:rPr>
          <w:rFonts w:eastAsia="Calibri"/>
        </w:rPr>
      </w:pPr>
      <w:r w:rsidRPr="008817D0">
        <w:rPr>
          <w:rFonts w:eastAsia="Calibri"/>
        </w:rPr>
        <w:t>CAISO shall conduct the dynamic competitive path assessment to determine for each</w:t>
      </w:r>
      <w:r w:rsidR="005F24C1">
        <w:rPr>
          <w:rFonts w:eastAsia="Calibri"/>
        </w:rPr>
        <w:t xml:space="preserve"> WEIM </w:t>
      </w:r>
      <w:r w:rsidRPr="008817D0">
        <w:rPr>
          <w:rFonts w:eastAsia="Calibri"/>
        </w:rPr>
        <w:t xml:space="preserve">Entity Balancing Authority Area whether a path is competitive or non-competitive, consistent with </w:t>
      </w:r>
      <w:r w:rsidR="000D44E7">
        <w:rPr>
          <w:rFonts w:eastAsia="Calibri"/>
        </w:rPr>
        <w:t xml:space="preserve">Tariff </w:t>
      </w:r>
      <w:r w:rsidRPr="008817D0">
        <w:rPr>
          <w:rFonts w:eastAsia="Calibri"/>
        </w:rPr>
        <w:t>Section 39.7.2, except that:</w:t>
      </w:r>
    </w:p>
    <w:p w14:paraId="6FD48535" w14:textId="77777777" w:rsidR="008817D0" w:rsidRPr="008817D0" w:rsidRDefault="008817D0" w:rsidP="00E80005">
      <w:pPr>
        <w:numPr>
          <w:ilvl w:val="0"/>
          <w:numId w:val="32"/>
        </w:numPr>
        <w:spacing w:after="240" w:line="300" w:lineRule="auto"/>
        <w:rPr>
          <w:rFonts w:eastAsia="Calibri"/>
        </w:rPr>
      </w:pPr>
      <w:r w:rsidRPr="008817D0">
        <w:rPr>
          <w:rFonts w:eastAsia="Calibri"/>
        </w:rPr>
        <w:t>EIM Participating Resource Scheduling Coordinators shall sub</w:t>
      </w:r>
      <w:r w:rsidR="009D507A">
        <w:rPr>
          <w:rFonts w:eastAsia="Calibri"/>
        </w:rPr>
        <w:t xml:space="preserve">mit information required by </w:t>
      </w:r>
      <w:r w:rsidRPr="008817D0">
        <w:rPr>
          <w:rFonts w:eastAsia="Calibri"/>
        </w:rPr>
        <w:t>CAISO to perform dynamic competitive path assessment.</w:t>
      </w:r>
    </w:p>
    <w:p w14:paraId="47072BE7" w14:textId="6EF8CF2A" w:rsidR="008817D0" w:rsidRPr="008817D0" w:rsidRDefault="008817D0" w:rsidP="00E80005">
      <w:pPr>
        <w:numPr>
          <w:ilvl w:val="0"/>
          <w:numId w:val="32"/>
        </w:numPr>
        <w:spacing w:after="240" w:line="300" w:lineRule="auto"/>
        <w:rPr>
          <w:rFonts w:eastAsia="Calibri"/>
        </w:rPr>
      </w:pPr>
      <w:r w:rsidRPr="008817D0">
        <w:rPr>
          <w:rFonts w:eastAsia="Calibri"/>
        </w:rPr>
        <w:t>The dynamic competitive path assessment shall not exclude</w:t>
      </w:r>
      <w:r w:rsidR="005F24C1">
        <w:rPr>
          <w:rFonts w:eastAsia="Calibri"/>
        </w:rPr>
        <w:t xml:space="preserve"> WEIM </w:t>
      </w:r>
      <w:r w:rsidRPr="008817D0">
        <w:rPr>
          <w:rFonts w:eastAsia="Calibri"/>
        </w:rPr>
        <w:t xml:space="preserve">Participating Resources from the test used to determine the competitiveness of Transmission Constraints on the basis that they may be net buyers of energy in the </w:t>
      </w:r>
      <w:r w:rsidR="00FC30E3">
        <w:rPr>
          <w:rFonts w:eastAsia="Calibri"/>
        </w:rPr>
        <w:t>Real-Time</w:t>
      </w:r>
      <w:r w:rsidRPr="008817D0">
        <w:rPr>
          <w:rFonts w:eastAsia="Calibri"/>
        </w:rPr>
        <w:t xml:space="preserve"> Market. </w:t>
      </w:r>
    </w:p>
    <w:p w14:paraId="792C1B40" w14:textId="2AC83581" w:rsidR="008817D0" w:rsidRDefault="008817D0" w:rsidP="00E80005">
      <w:pPr>
        <w:numPr>
          <w:ilvl w:val="0"/>
          <w:numId w:val="32"/>
        </w:numPr>
        <w:spacing w:after="240" w:line="300" w:lineRule="auto"/>
        <w:rPr>
          <w:rFonts w:eastAsia="Calibri"/>
        </w:rPr>
      </w:pPr>
      <w:r w:rsidRPr="008817D0">
        <w:rPr>
          <w:rFonts w:eastAsia="Calibri"/>
        </w:rPr>
        <w:t>CAISO may establish different Reference Buses for each Balancing Authority Area, which need not be within the Balancing Authority Area, for calculating the LMP Decomposition which is used to trigger Bid mitigation, based on the topology of each Balancing Authority Area and consideration of the bus at which the Marginal Cost of Congestion component of Locational Marginal Prices is least influenced by market power.</w:t>
      </w:r>
      <w:r w:rsidR="005116F7">
        <w:rPr>
          <w:rFonts w:eastAsia="Calibri"/>
        </w:rPr>
        <w:t xml:space="preserve">  With that said, CAISO will use a common Reference Bus for both the</w:t>
      </w:r>
      <w:r w:rsidR="005F24C1">
        <w:rPr>
          <w:rFonts w:eastAsia="Calibri"/>
        </w:rPr>
        <w:t xml:space="preserve"> WEIM </w:t>
      </w:r>
      <w:r w:rsidR="005116F7">
        <w:rPr>
          <w:rFonts w:eastAsia="Calibri"/>
        </w:rPr>
        <w:t>and CAISO areas upon commencement of</w:t>
      </w:r>
      <w:r w:rsidR="005F24C1">
        <w:rPr>
          <w:rFonts w:eastAsia="Calibri"/>
        </w:rPr>
        <w:t xml:space="preserve"> WEIM </w:t>
      </w:r>
      <w:r w:rsidR="005116F7">
        <w:rPr>
          <w:rFonts w:eastAsia="Calibri"/>
        </w:rPr>
        <w:t xml:space="preserve">operations.  See the </w:t>
      </w:r>
      <w:hyperlink r:id="rId89" w:history="1">
        <w:r w:rsidR="001E40B2" w:rsidRPr="00B406F1">
          <w:rPr>
            <w:rStyle w:val="Hyperlink"/>
            <w:rFonts w:eastAsia="Calibri"/>
            <w:b/>
          </w:rPr>
          <w:t>BPM for Market Operations</w:t>
        </w:r>
      </w:hyperlink>
      <w:r w:rsidR="005116F7">
        <w:rPr>
          <w:rFonts w:eastAsia="Calibri"/>
        </w:rPr>
        <w:t>, Section 6.5.1, for more information</w:t>
      </w:r>
      <w:r w:rsidR="007668BC">
        <w:rPr>
          <w:rFonts w:eastAsia="Calibri"/>
        </w:rPr>
        <w:t xml:space="preserve"> on Reference Bus selection</w:t>
      </w:r>
      <w:r w:rsidR="005116F7">
        <w:rPr>
          <w:rFonts w:eastAsia="Calibri"/>
        </w:rPr>
        <w:t>.</w:t>
      </w:r>
    </w:p>
    <w:p w14:paraId="237E76C9" w14:textId="7862C88E" w:rsidR="00211D91" w:rsidRDefault="00F42CAB" w:rsidP="00E80005">
      <w:pPr>
        <w:numPr>
          <w:ilvl w:val="0"/>
          <w:numId w:val="32"/>
        </w:numPr>
        <w:spacing w:after="240" w:line="300" w:lineRule="auto"/>
        <w:rPr>
          <w:rFonts w:eastAsia="Calibri"/>
        </w:rPr>
      </w:pPr>
      <w:r>
        <w:rPr>
          <w:rFonts w:eastAsia="Calibri"/>
        </w:rPr>
        <w:t>I</w:t>
      </w:r>
      <w:r w:rsidR="00D323B6" w:rsidRPr="00211D91">
        <w:rPr>
          <w:rFonts w:eastAsia="Calibri"/>
        </w:rPr>
        <w:t>n case</w:t>
      </w:r>
      <w:r w:rsidR="005F24C1">
        <w:rPr>
          <w:rFonts w:eastAsia="Calibri"/>
        </w:rPr>
        <w:t xml:space="preserve"> WEIM </w:t>
      </w:r>
      <w:r>
        <w:t xml:space="preserve">Upward and Downward Available Balancing Capacity </w:t>
      </w:r>
      <w:r w:rsidR="00D323B6" w:rsidRPr="0053405B">
        <w:rPr>
          <w:rFonts w:eastAsia="Calibri"/>
        </w:rPr>
        <w:t xml:space="preserve">is dispatched in </w:t>
      </w:r>
      <w:r w:rsidR="00153940">
        <w:rPr>
          <w:rFonts w:eastAsia="Calibri"/>
        </w:rPr>
        <w:t>a WEIM</w:t>
      </w:r>
      <w:r w:rsidR="005F24C1">
        <w:rPr>
          <w:rFonts w:eastAsia="Calibri"/>
        </w:rPr>
        <w:t xml:space="preserve"> </w:t>
      </w:r>
      <w:r w:rsidR="00D323B6" w:rsidRPr="0053405B">
        <w:rPr>
          <w:rFonts w:eastAsia="Calibri"/>
        </w:rPr>
        <w:t>BAA to resolve power balance infeasibility in that BAA, the</w:t>
      </w:r>
      <w:r w:rsidR="005F24C1">
        <w:rPr>
          <w:rFonts w:eastAsia="Calibri"/>
        </w:rPr>
        <w:t xml:space="preserve"> WEIM </w:t>
      </w:r>
      <w:r w:rsidR="00D323B6" w:rsidRPr="0053405B">
        <w:rPr>
          <w:rFonts w:eastAsia="Calibri"/>
        </w:rPr>
        <w:t>Transfer for that</w:t>
      </w:r>
      <w:r w:rsidR="005F24C1">
        <w:rPr>
          <w:rFonts w:eastAsia="Calibri"/>
        </w:rPr>
        <w:t xml:space="preserve"> WEIM </w:t>
      </w:r>
      <w:r w:rsidR="00D323B6" w:rsidRPr="0053405B">
        <w:rPr>
          <w:rFonts w:eastAsia="Calibri"/>
        </w:rPr>
        <w:t>BAA will be constrained in the import direction. If this constraint is assessed to be non-competitive, the energy bids of all</w:t>
      </w:r>
      <w:r w:rsidR="005F24C1">
        <w:rPr>
          <w:rFonts w:eastAsia="Calibri"/>
        </w:rPr>
        <w:t xml:space="preserve"> WEIM </w:t>
      </w:r>
      <w:r w:rsidR="00D323B6" w:rsidRPr="0053405B">
        <w:rPr>
          <w:rFonts w:eastAsia="Calibri"/>
        </w:rPr>
        <w:t>Participating Resources in that</w:t>
      </w:r>
      <w:r w:rsidR="005F24C1">
        <w:rPr>
          <w:rFonts w:eastAsia="Calibri"/>
        </w:rPr>
        <w:t xml:space="preserve"> WEIM </w:t>
      </w:r>
      <w:r w:rsidR="00D323B6" w:rsidRPr="0053405B">
        <w:rPr>
          <w:rFonts w:eastAsia="Calibri"/>
        </w:rPr>
        <w:t>BAA would be subject to Market Power Mitigation (MPM)</w:t>
      </w:r>
      <w:r>
        <w:rPr>
          <w:rFonts w:eastAsia="Calibri"/>
        </w:rPr>
        <w:t>.  Therefore</w:t>
      </w:r>
      <w:r w:rsidR="00D323B6" w:rsidRPr="0053405B">
        <w:rPr>
          <w:rFonts w:eastAsia="Calibri"/>
        </w:rPr>
        <w:t xml:space="preserve"> the energy bids used for</w:t>
      </w:r>
      <w:r w:rsidR="005F24C1">
        <w:rPr>
          <w:rFonts w:eastAsia="Calibri"/>
        </w:rPr>
        <w:t xml:space="preserve"> WEIM </w:t>
      </w:r>
      <w:r>
        <w:t>Upward Available Balancing Capacity</w:t>
      </w:r>
      <w:r w:rsidR="00D323B6" w:rsidRPr="0053405B">
        <w:rPr>
          <w:rFonts w:eastAsia="Calibri"/>
        </w:rPr>
        <w:t xml:space="preserve"> dispatch would be mitigated. </w:t>
      </w:r>
    </w:p>
    <w:p w14:paraId="7C57E7C7" w14:textId="3977FF50" w:rsidR="00326D43" w:rsidRPr="00326D43" w:rsidRDefault="00326D43" w:rsidP="00E80005">
      <w:pPr>
        <w:pStyle w:val="ListParagraph"/>
        <w:numPr>
          <w:ilvl w:val="0"/>
          <w:numId w:val="32"/>
        </w:numPr>
        <w:spacing w:after="240" w:line="300" w:lineRule="auto"/>
        <w:rPr>
          <w:rFonts w:eastAsia="Calibri"/>
        </w:rPr>
      </w:pPr>
      <w:r w:rsidRPr="00326D43">
        <w:rPr>
          <w:rFonts w:eastAsia="Calibri"/>
        </w:rPr>
        <w:t xml:space="preserve">The shadow price of the power balance constraint for </w:t>
      </w:r>
      <w:r w:rsidR="00153940">
        <w:rPr>
          <w:rFonts w:eastAsia="Calibri"/>
        </w:rPr>
        <w:t>a WEIM</w:t>
      </w:r>
      <w:r w:rsidR="005F24C1">
        <w:rPr>
          <w:rFonts w:eastAsia="Calibri"/>
        </w:rPr>
        <w:t xml:space="preserve"> </w:t>
      </w:r>
      <w:r w:rsidRPr="00326D43">
        <w:rPr>
          <w:rFonts w:eastAsia="Calibri"/>
        </w:rPr>
        <w:t xml:space="preserve">BAA is calculated with reference to the system marginal energy cost (SMEC), which is the shadow price of the system power balance constraint. When the shadow price of the power balance constraint of </w:t>
      </w:r>
      <w:r w:rsidR="00153940">
        <w:rPr>
          <w:rFonts w:eastAsia="Calibri"/>
        </w:rPr>
        <w:t>a WEIM</w:t>
      </w:r>
      <w:r w:rsidR="005F24C1">
        <w:rPr>
          <w:rFonts w:eastAsia="Calibri"/>
        </w:rPr>
        <w:t xml:space="preserve"> </w:t>
      </w:r>
      <w:r w:rsidRPr="00326D43">
        <w:rPr>
          <w:rFonts w:eastAsia="Calibri"/>
        </w:rPr>
        <w:t xml:space="preserve">BAA is positive, it indicates that there are binding constraints in </w:t>
      </w:r>
      <w:r w:rsidRPr="00326D43">
        <w:rPr>
          <w:rFonts w:eastAsia="Calibri"/>
        </w:rPr>
        <w:lastRenderedPageBreak/>
        <w:t>the</w:t>
      </w:r>
      <w:r w:rsidR="005F24C1">
        <w:rPr>
          <w:rFonts w:eastAsia="Calibri"/>
        </w:rPr>
        <w:t xml:space="preserve"> WEIM </w:t>
      </w:r>
      <w:r w:rsidRPr="00326D43">
        <w:rPr>
          <w:rFonts w:eastAsia="Calibri"/>
        </w:rPr>
        <w:t>Area that constrain the</w:t>
      </w:r>
      <w:r w:rsidR="005F24C1">
        <w:rPr>
          <w:rFonts w:eastAsia="Calibri"/>
        </w:rPr>
        <w:t xml:space="preserve"> WEIM </w:t>
      </w:r>
      <w:r w:rsidRPr="00326D43">
        <w:rPr>
          <w:rFonts w:eastAsia="Calibri"/>
        </w:rPr>
        <w:t>Transfers into that BAA. This condition triggers a dynamic competitive path assessment (DCPA) evaluation of whether the available generation in that</w:t>
      </w:r>
      <w:r w:rsidR="005F24C1">
        <w:rPr>
          <w:rFonts w:eastAsia="Calibri"/>
        </w:rPr>
        <w:t xml:space="preserve"> WEIM </w:t>
      </w:r>
      <w:r w:rsidRPr="00326D43">
        <w:rPr>
          <w:rFonts w:eastAsia="Calibri"/>
        </w:rPr>
        <w:t>BAA can competitively satisfy the demand in that</w:t>
      </w:r>
      <w:r w:rsidR="005F24C1">
        <w:rPr>
          <w:rFonts w:eastAsia="Calibri"/>
        </w:rPr>
        <w:t xml:space="preserve"> WEIM </w:t>
      </w:r>
      <w:r w:rsidRPr="00326D43">
        <w:rPr>
          <w:rFonts w:eastAsia="Calibri"/>
        </w:rPr>
        <w:t>BAA without additional</w:t>
      </w:r>
      <w:r w:rsidR="005F24C1">
        <w:rPr>
          <w:rFonts w:eastAsia="Calibri"/>
        </w:rPr>
        <w:t xml:space="preserve"> WEIM </w:t>
      </w:r>
      <w:r w:rsidRPr="00326D43">
        <w:rPr>
          <w:rFonts w:eastAsia="Calibri"/>
        </w:rPr>
        <w:t>Transfer imports. If the DCPA identifies non-competitive conditions, all</w:t>
      </w:r>
      <w:r w:rsidR="005F24C1">
        <w:rPr>
          <w:rFonts w:eastAsia="Calibri"/>
        </w:rPr>
        <w:t xml:space="preserve"> WEIM </w:t>
      </w:r>
      <w:r w:rsidRPr="00326D43">
        <w:rPr>
          <w:rFonts w:eastAsia="Calibri"/>
        </w:rPr>
        <w:t>Participating Resource Bids in that</w:t>
      </w:r>
      <w:r w:rsidR="005F24C1">
        <w:rPr>
          <w:rFonts w:eastAsia="Calibri"/>
        </w:rPr>
        <w:t xml:space="preserve"> WEIM </w:t>
      </w:r>
      <w:r w:rsidRPr="00326D43">
        <w:rPr>
          <w:rFonts w:eastAsia="Calibri"/>
        </w:rPr>
        <w:t>BAA are mitigated above the Competitive LMP at their location to the lower of their submitted Bid, or the applicable DEB, as described in §6.5 of the BPM for Market Operations.</w:t>
      </w:r>
    </w:p>
    <w:p w14:paraId="459FC94C" w14:textId="77777777" w:rsidR="008817D0" w:rsidRPr="008817D0" w:rsidRDefault="008817D0" w:rsidP="00C33762">
      <w:pPr>
        <w:pStyle w:val="Heading4"/>
        <w:rPr>
          <w:rFonts w:eastAsia="Calibri"/>
        </w:rPr>
      </w:pPr>
      <w:bookmarkStart w:id="1982" w:name="_Locational_Marginal_Price"/>
      <w:bookmarkEnd w:id="1982"/>
      <w:r w:rsidRPr="008817D0">
        <w:rPr>
          <w:rFonts w:eastAsia="Calibri"/>
        </w:rPr>
        <w:t xml:space="preserve">Locational Marginal Price Decomposition  </w:t>
      </w:r>
    </w:p>
    <w:p w14:paraId="1DFA3F01" w14:textId="22540DD6" w:rsidR="008817D0" w:rsidRPr="008817D0" w:rsidRDefault="008817D0" w:rsidP="008817D0">
      <w:pPr>
        <w:spacing w:after="240" w:line="300" w:lineRule="auto"/>
        <w:rPr>
          <w:rFonts w:eastAsia="Calibri"/>
        </w:rPr>
      </w:pPr>
      <w:r w:rsidRPr="008817D0">
        <w:rPr>
          <w:rFonts w:eastAsia="Calibri"/>
        </w:rPr>
        <w:t>CAISO shall perform the Locational Marginal Price decomposition for each</w:t>
      </w:r>
      <w:r w:rsidR="005F24C1">
        <w:rPr>
          <w:rFonts w:eastAsia="Calibri"/>
        </w:rPr>
        <w:t xml:space="preserve"> WEIM </w:t>
      </w:r>
      <w:r w:rsidRPr="008817D0">
        <w:rPr>
          <w:rFonts w:eastAsia="Calibri"/>
        </w:rPr>
        <w:t xml:space="preserve">Entity Balancing Authority Area using the results of the dynamic competitive path assessment and the Congestion pricing results of the pre-market run to determine which resources may have local market power due to Congestion on a non-competitive Transmission Constraint, consistent with </w:t>
      </w:r>
      <w:r w:rsidR="00BD6784">
        <w:rPr>
          <w:rFonts w:eastAsia="Calibri"/>
        </w:rPr>
        <w:t xml:space="preserve">CAISO Tariff </w:t>
      </w:r>
      <w:r w:rsidRPr="008817D0">
        <w:rPr>
          <w:rFonts w:eastAsia="Calibri"/>
        </w:rPr>
        <w:t>Sections 34.2.3 and 39.7, except that:</w:t>
      </w:r>
    </w:p>
    <w:p w14:paraId="244FCD66" w14:textId="77777777" w:rsidR="008817D0" w:rsidRPr="008817D0" w:rsidRDefault="008817D0" w:rsidP="00B851D4">
      <w:pPr>
        <w:numPr>
          <w:ilvl w:val="0"/>
          <w:numId w:val="11"/>
        </w:numPr>
        <w:spacing w:after="240" w:line="300" w:lineRule="auto"/>
        <w:rPr>
          <w:rFonts w:eastAsia="Calibri"/>
        </w:rPr>
      </w:pPr>
      <w:r w:rsidRPr="008817D0">
        <w:rPr>
          <w:rFonts w:eastAsia="Calibri"/>
        </w:rPr>
        <w:t xml:space="preserve">CAISO will not mitigate resource bids for scheduling limit constraints with Balancing Authority Areas that do not participate in the EIM;  </w:t>
      </w:r>
    </w:p>
    <w:p w14:paraId="24879933" w14:textId="77777777" w:rsidR="008817D0" w:rsidRPr="008817D0" w:rsidRDefault="008817D0" w:rsidP="00B851D4">
      <w:pPr>
        <w:numPr>
          <w:ilvl w:val="0"/>
          <w:numId w:val="11"/>
        </w:numPr>
        <w:spacing w:after="240" w:line="300" w:lineRule="auto"/>
        <w:rPr>
          <w:rFonts w:eastAsia="Calibri"/>
        </w:rPr>
      </w:pPr>
      <w:r w:rsidRPr="008817D0">
        <w:rPr>
          <w:rFonts w:eastAsia="Calibri"/>
        </w:rPr>
        <w:t>The Locational Marginal Price decomposition shall only be triggered if the resource is effective at relieving an uncompetitive constraint within the same Balancing Authority Area in which the resource is l</w:t>
      </w:r>
      <w:r w:rsidR="007970DF">
        <w:rPr>
          <w:rFonts w:eastAsia="Calibri"/>
        </w:rPr>
        <w:t xml:space="preserve">ocated, except as described in </w:t>
      </w:r>
      <w:r w:rsidR="000D44E7">
        <w:rPr>
          <w:rFonts w:eastAsia="Calibri"/>
        </w:rPr>
        <w:t xml:space="preserve">Tariff </w:t>
      </w:r>
      <w:r w:rsidR="007970DF">
        <w:rPr>
          <w:rFonts w:eastAsia="Calibri"/>
        </w:rPr>
        <w:t>S</w:t>
      </w:r>
      <w:r w:rsidRPr="008817D0">
        <w:rPr>
          <w:rFonts w:eastAsia="Calibri"/>
        </w:rPr>
        <w:t xml:space="preserve">ection 29.39(c)(4); </w:t>
      </w:r>
    </w:p>
    <w:p w14:paraId="010CF686" w14:textId="593B81D1" w:rsidR="008817D0" w:rsidRPr="008817D0" w:rsidRDefault="008817D0" w:rsidP="00B851D4">
      <w:pPr>
        <w:numPr>
          <w:ilvl w:val="0"/>
          <w:numId w:val="11"/>
        </w:numPr>
        <w:spacing w:after="240" w:line="300" w:lineRule="auto"/>
        <w:rPr>
          <w:rFonts w:eastAsia="Calibri"/>
        </w:rPr>
      </w:pPr>
      <w:r w:rsidRPr="008817D0">
        <w:rPr>
          <w:rFonts w:eastAsia="Calibri"/>
        </w:rPr>
        <w:t>EIM Resources shall be mitigated to relieve congestion on uncompetitive constraints within the same Balancing Authority Area in which the</w:t>
      </w:r>
      <w:r w:rsidR="005F24C1">
        <w:rPr>
          <w:rFonts w:eastAsia="Calibri"/>
        </w:rPr>
        <w:t xml:space="preserve"> WEIM </w:t>
      </w:r>
      <w:r w:rsidRPr="008817D0">
        <w:rPr>
          <w:rFonts w:eastAsia="Calibri"/>
        </w:rPr>
        <w:t xml:space="preserve">Resources are located except as described in </w:t>
      </w:r>
      <w:r w:rsidR="000D44E7">
        <w:rPr>
          <w:rFonts w:eastAsia="Calibri"/>
        </w:rPr>
        <w:t xml:space="preserve">Tariff </w:t>
      </w:r>
      <w:r w:rsidRPr="008817D0">
        <w:rPr>
          <w:rFonts w:eastAsia="Calibri"/>
        </w:rPr>
        <w:t>Section 29.39(c)(4); and</w:t>
      </w:r>
    </w:p>
    <w:p w14:paraId="695A209C" w14:textId="37A3FCBE" w:rsidR="008817D0" w:rsidRPr="008817D0" w:rsidRDefault="008817D0" w:rsidP="00B851D4">
      <w:pPr>
        <w:numPr>
          <w:ilvl w:val="0"/>
          <w:numId w:val="11"/>
        </w:numPr>
        <w:spacing w:after="240" w:line="300" w:lineRule="auto"/>
        <w:rPr>
          <w:rFonts w:eastAsia="Calibri"/>
        </w:rPr>
      </w:pPr>
      <w:r w:rsidRPr="008817D0">
        <w:rPr>
          <w:rFonts w:eastAsia="Calibri"/>
        </w:rPr>
        <w:t xml:space="preserve">EIM Transfer constraints into </w:t>
      </w:r>
      <w:r w:rsidR="00153940">
        <w:rPr>
          <w:rFonts w:eastAsia="Calibri"/>
        </w:rPr>
        <w:t>a WEIM</w:t>
      </w:r>
      <w:r w:rsidR="005F24C1">
        <w:rPr>
          <w:rFonts w:eastAsia="Calibri"/>
        </w:rPr>
        <w:t xml:space="preserve"> </w:t>
      </w:r>
      <w:r w:rsidRPr="008817D0">
        <w:rPr>
          <w:rFonts w:eastAsia="Calibri"/>
        </w:rPr>
        <w:t xml:space="preserve">Entity Balancing Authority Area on </w:t>
      </w:r>
      <w:r w:rsidR="00153940">
        <w:rPr>
          <w:rFonts w:eastAsia="Calibri"/>
        </w:rPr>
        <w:t>a WEIM</w:t>
      </w:r>
      <w:r w:rsidR="005F24C1">
        <w:rPr>
          <w:rFonts w:eastAsia="Calibri"/>
        </w:rPr>
        <w:t xml:space="preserve"> </w:t>
      </w:r>
      <w:r w:rsidRPr="008817D0">
        <w:rPr>
          <w:rFonts w:eastAsia="Calibri"/>
        </w:rPr>
        <w:t>Internal Intertie shall be included in the Market Pow</w:t>
      </w:r>
      <w:r w:rsidR="000C19F0">
        <w:rPr>
          <w:rFonts w:eastAsia="Calibri"/>
        </w:rPr>
        <w:t xml:space="preserve">er Mitigation procedures if </w:t>
      </w:r>
      <w:r w:rsidRPr="008817D0">
        <w:rPr>
          <w:rFonts w:eastAsia="Calibri"/>
        </w:rPr>
        <w:t>CAISO determines that</w:t>
      </w:r>
      <w:r w:rsidR="005F24C1">
        <w:rPr>
          <w:rFonts w:eastAsia="Calibri"/>
        </w:rPr>
        <w:t xml:space="preserve"> WEIM </w:t>
      </w:r>
      <w:r w:rsidRPr="008817D0">
        <w:rPr>
          <w:rFonts w:eastAsia="Calibri"/>
        </w:rPr>
        <w:t>Entity Balancing Authority Area market power exists based on a structural competitiveness assessment of an individual or group of</w:t>
      </w:r>
      <w:r w:rsidR="005F24C1">
        <w:rPr>
          <w:rFonts w:eastAsia="Calibri"/>
        </w:rPr>
        <w:t xml:space="preserve"> WEIM </w:t>
      </w:r>
      <w:r w:rsidRPr="008817D0">
        <w:rPr>
          <w:rFonts w:eastAsia="Calibri"/>
        </w:rPr>
        <w:t>Balancing Authority Areas in the</w:t>
      </w:r>
      <w:r w:rsidR="005F24C1">
        <w:rPr>
          <w:rFonts w:eastAsia="Calibri"/>
        </w:rPr>
        <w:t xml:space="preserve"> WEIM </w:t>
      </w:r>
      <w:r w:rsidRPr="008817D0">
        <w:rPr>
          <w:rFonts w:eastAsia="Calibri"/>
        </w:rPr>
        <w:t xml:space="preserve">Area, provided such authority has been </w:t>
      </w:r>
      <w:r w:rsidRPr="008817D0">
        <w:rPr>
          <w:rFonts w:eastAsia="Calibri"/>
        </w:rPr>
        <w:lastRenderedPageBreak/>
        <w:t>granted by the CAISO Governing Board based on the assessment of structural competiveness.</w:t>
      </w:r>
    </w:p>
    <w:p w14:paraId="41A1E7C6" w14:textId="2E5F0B03" w:rsidR="001555AC" w:rsidRPr="00326D43" w:rsidRDefault="001555AC" w:rsidP="00B851D4">
      <w:pPr>
        <w:numPr>
          <w:ilvl w:val="0"/>
          <w:numId w:val="11"/>
        </w:numPr>
        <w:spacing w:after="240" w:line="300" w:lineRule="auto"/>
        <w:rPr>
          <w:rFonts w:eastAsia="Calibri"/>
          <w:color w:val="000000" w:themeColor="text1"/>
        </w:rPr>
      </w:pPr>
      <w:bookmarkStart w:id="1983" w:name="_Toc390946296"/>
      <w:bookmarkStart w:id="1984" w:name="_Toc391969857"/>
      <w:r w:rsidRPr="004B5C2B">
        <w:rPr>
          <w:color w:val="000000" w:themeColor="text1"/>
        </w:rPr>
        <w:t>EIM Transfer constraints that are included in the market power mitigation procedures are represented in the LMP decomposition by the</w:t>
      </w:r>
      <w:r w:rsidR="005F24C1">
        <w:rPr>
          <w:color w:val="000000" w:themeColor="text1"/>
        </w:rPr>
        <w:t xml:space="preserve"> WEIM </w:t>
      </w:r>
      <w:r w:rsidRPr="004B5C2B">
        <w:rPr>
          <w:color w:val="000000" w:themeColor="text1"/>
        </w:rPr>
        <w:t xml:space="preserve">BAA specific power balance constraints. The shadow price of the BAA specific power balance constraint is </w:t>
      </w:r>
      <w:r w:rsidR="00326D43">
        <w:rPr>
          <w:color w:val="000000" w:themeColor="text1"/>
        </w:rPr>
        <w:t>related to</w:t>
      </w:r>
      <w:r w:rsidRPr="004B5C2B">
        <w:rPr>
          <w:color w:val="000000" w:themeColor="text1"/>
        </w:rPr>
        <w:t xml:space="preserve"> the shadow prices of the relevant set of</w:t>
      </w:r>
      <w:r w:rsidR="00326D43">
        <w:rPr>
          <w:color w:val="000000" w:themeColor="text1"/>
        </w:rPr>
        <w:t xml:space="preserve"> binding</w:t>
      </w:r>
      <w:r w:rsidR="005F24C1">
        <w:rPr>
          <w:color w:val="000000" w:themeColor="text1"/>
        </w:rPr>
        <w:t xml:space="preserve"> WEIM </w:t>
      </w:r>
      <w:r w:rsidRPr="004B5C2B">
        <w:rPr>
          <w:color w:val="000000" w:themeColor="text1"/>
        </w:rPr>
        <w:t>transfer constraints</w:t>
      </w:r>
      <w:r w:rsidR="00326D43">
        <w:rPr>
          <w:color w:val="000000" w:themeColor="text1"/>
        </w:rPr>
        <w:t xml:space="preserve"> </w:t>
      </w:r>
      <w:r w:rsidR="00326D43" w:rsidRPr="00326D43">
        <w:rPr>
          <w:color w:val="000000" w:themeColor="text1"/>
        </w:rPr>
        <w:t>that restrict energy transfer in or out of that BAA</w:t>
      </w:r>
      <w:r w:rsidRPr="004B5C2B">
        <w:rPr>
          <w:color w:val="000000" w:themeColor="text1"/>
        </w:rPr>
        <w:t>.  The shadow price on the</w:t>
      </w:r>
      <w:r w:rsidR="005F24C1">
        <w:rPr>
          <w:color w:val="000000" w:themeColor="text1"/>
        </w:rPr>
        <w:t xml:space="preserve"> WEIM </w:t>
      </w:r>
      <w:r w:rsidRPr="004B5C2B">
        <w:rPr>
          <w:color w:val="000000" w:themeColor="text1"/>
        </w:rPr>
        <w:t>BAA specific power balance constraint will be included in the LMP decomposition as either competitive congestion costs or non-competitive congestion costs depending on whether the constraint is deemed competitive or non-competitive.</w:t>
      </w:r>
    </w:p>
    <w:p w14:paraId="4047F2E9" w14:textId="6109CBDE" w:rsidR="00326D43" w:rsidRPr="00326D43" w:rsidRDefault="00326D43" w:rsidP="00B851D4">
      <w:pPr>
        <w:pStyle w:val="ListParagraph"/>
        <w:numPr>
          <w:ilvl w:val="0"/>
          <w:numId w:val="11"/>
        </w:numPr>
        <w:spacing w:after="240" w:line="300" w:lineRule="auto"/>
        <w:rPr>
          <w:rFonts w:eastAsia="Calibri"/>
          <w:color w:val="000000" w:themeColor="text1"/>
        </w:rPr>
      </w:pPr>
      <w:r w:rsidRPr="00326D43">
        <w:rPr>
          <w:rFonts w:eastAsia="Calibri"/>
          <w:color w:val="000000" w:themeColor="text1"/>
        </w:rPr>
        <w:t>A small configurable adder, which must in all cases be less than $0.01, shall be added to the Competitive LMP at each location in the</w:t>
      </w:r>
      <w:r w:rsidR="005F24C1">
        <w:rPr>
          <w:rFonts w:eastAsia="Calibri"/>
          <w:color w:val="000000" w:themeColor="text1"/>
        </w:rPr>
        <w:t xml:space="preserve"> WEIM </w:t>
      </w:r>
      <w:r w:rsidRPr="00326D43">
        <w:rPr>
          <w:rFonts w:eastAsia="Calibri"/>
          <w:color w:val="000000" w:themeColor="text1"/>
        </w:rPr>
        <w:t>Area to reduce the occurrence of flow reversal that may happen after</w:t>
      </w:r>
      <w:r w:rsidR="005F24C1">
        <w:rPr>
          <w:rFonts w:eastAsia="Calibri"/>
          <w:color w:val="000000" w:themeColor="text1"/>
        </w:rPr>
        <w:t xml:space="preserve"> WEIM </w:t>
      </w:r>
      <w:r w:rsidRPr="00326D43">
        <w:rPr>
          <w:rFonts w:eastAsia="Calibri"/>
          <w:color w:val="000000" w:themeColor="text1"/>
        </w:rPr>
        <w:t xml:space="preserve">Participating Resource Bids are mitigated in </w:t>
      </w:r>
      <w:r w:rsidR="00153940">
        <w:rPr>
          <w:rFonts w:eastAsia="Calibri"/>
          <w:color w:val="000000" w:themeColor="text1"/>
        </w:rPr>
        <w:t>a WEIM</w:t>
      </w:r>
      <w:r w:rsidR="005F24C1">
        <w:rPr>
          <w:rFonts w:eastAsia="Calibri"/>
          <w:color w:val="000000" w:themeColor="text1"/>
        </w:rPr>
        <w:t xml:space="preserve"> </w:t>
      </w:r>
      <w:r w:rsidRPr="00326D43">
        <w:rPr>
          <w:rFonts w:eastAsia="Calibri"/>
          <w:color w:val="000000" w:themeColor="text1"/>
        </w:rPr>
        <w:t>BAA.</w:t>
      </w:r>
    </w:p>
    <w:p w14:paraId="7B4579D5" w14:textId="77777777" w:rsidR="008817D0" w:rsidRPr="008817D0" w:rsidRDefault="008817D0" w:rsidP="00C33762">
      <w:pPr>
        <w:pStyle w:val="Heading3"/>
        <w:rPr>
          <w:rFonts w:eastAsia="Calibri"/>
        </w:rPr>
      </w:pPr>
      <w:bookmarkStart w:id="1985" w:name="_Toc229054508"/>
      <w:r w:rsidRPr="008817D0">
        <w:rPr>
          <w:rFonts w:eastAsia="Calibri"/>
        </w:rPr>
        <w:t>Default Energy Bids</w:t>
      </w:r>
      <w:bookmarkEnd w:id="1983"/>
      <w:bookmarkEnd w:id="1984"/>
      <w:bookmarkEnd w:id="1985"/>
    </w:p>
    <w:p w14:paraId="335FD797" w14:textId="3D9728CE" w:rsidR="00EB114F" w:rsidRDefault="008817D0" w:rsidP="005C74BF">
      <w:pPr>
        <w:spacing w:after="240" w:line="300" w:lineRule="auto"/>
        <w:rPr>
          <w:rFonts w:eastAsia="Calibri"/>
        </w:rPr>
      </w:pPr>
      <w:r w:rsidRPr="008817D0">
        <w:rPr>
          <w:rFonts w:eastAsia="Calibri"/>
        </w:rPr>
        <w:t xml:space="preserve">CAISO shall use the methods and standards set forth in Section 39.7 of the </w:t>
      </w:r>
      <w:r w:rsidR="00D41801">
        <w:rPr>
          <w:rFonts w:eastAsia="Calibri"/>
        </w:rPr>
        <w:t>CA</w:t>
      </w:r>
      <w:r w:rsidRPr="008817D0">
        <w:rPr>
          <w:rFonts w:eastAsia="Calibri"/>
        </w:rPr>
        <w:t>ISO Tariff to determine Default Energy Bids for</w:t>
      </w:r>
      <w:r w:rsidR="005F24C1">
        <w:rPr>
          <w:rFonts w:eastAsia="Calibri"/>
        </w:rPr>
        <w:t xml:space="preserve"> WEIM </w:t>
      </w:r>
      <w:r w:rsidRPr="008817D0">
        <w:rPr>
          <w:rFonts w:eastAsia="Calibri"/>
        </w:rPr>
        <w:t>Participating Resources.</w:t>
      </w:r>
      <w:r w:rsidR="00211D91" w:rsidRPr="00211D91">
        <w:rPr>
          <w:rFonts w:eastAsia="Calibri"/>
        </w:rPr>
        <w:t xml:space="preserve"> </w:t>
      </w:r>
      <w:r w:rsidR="00211D91">
        <w:rPr>
          <w:rFonts w:eastAsia="Calibri"/>
        </w:rPr>
        <w:t>Please note that default energy bids are also used for</w:t>
      </w:r>
      <w:r w:rsidR="005F24C1">
        <w:rPr>
          <w:rFonts w:eastAsia="Calibri"/>
        </w:rPr>
        <w:t xml:space="preserve"> WEIM </w:t>
      </w:r>
      <w:r w:rsidR="00211D91">
        <w:rPr>
          <w:rFonts w:eastAsia="Calibri"/>
        </w:rPr>
        <w:t xml:space="preserve">Non Participating Resources </w:t>
      </w:r>
      <w:r w:rsidR="004B5C2B">
        <w:rPr>
          <w:rFonts w:eastAsia="Calibri"/>
        </w:rPr>
        <w:t>that the</w:t>
      </w:r>
      <w:r w:rsidR="005F24C1">
        <w:rPr>
          <w:rFonts w:eastAsia="Calibri"/>
        </w:rPr>
        <w:t xml:space="preserve"> WEIM </w:t>
      </w:r>
      <w:r w:rsidR="004B5C2B">
        <w:rPr>
          <w:rFonts w:eastAsia="Calibri"/>
        </w:rPr>
        <w:t>Entity Scheduling Coordinator has identified as</w:t>
      </w:r>
      <w:r w:rsidR="004B5C2B" w:rsidDel="004B5C2B">
        <w:rPr>
          <w:rFonts w:eastAsia="Calibri"/>
        </w:rPr>
        <w:t xml:space="preserve"> </w:t>
      </w:r>
      <w:r w:rsidR="005A0611">
        <w:rPr>
          <w:rFonts w:eastAsia="Calibri"/>
        </w:rPr>
        <w:t>available balancing</w:t>
      </w:r>
      <w:r w:rsidR="00211D91">
        <w:rPr>
          <w:rFonts w:eastAsia="Calibri"/>
        </w:rPr>
        <w:t>.</w:t>
      </w:r>
    </w:p>
    <w:p w14:paraId="66A7236A" w14:textId="170CEDFC" w:rsidR="008E6DC4" w:rsidRDefault="008E6DC4" w:rsidP="00E37D66">
      <w:pPr>
        <w:pStyle w:val="Heading3"/>
      </w:pPr>
      <w:bookmarkStart w:id="1986" w:name="_Toc501614283"/>
      <w:bookmarkStart w:id="1987" w:name="_Toc229054509"/>
      <w:r>
        <w:t>Auto-Match of Import/Export Schedule Changes</w:t>
      </w:r>
      <w:bookmarkEnd w:id="1986"/>
      <w:bookmarkEnd w:id="1987"/>
    </w:p>
    <w:p w14:paraId="35067B24" w14:textId="447AB3EA" w:rsidR="008E6DC4" w:rsidRDefault="008E6DC4" w:rsidP="008817D0">
      <w:pPr>
        <w:spacing w:after="240" w:line="300" w:lineRule="auto"/>
        <w:rPr>
          <w:rFonts w:eastAsia="Calibri"/>
        </w:rPr>
      </w:pPr>
      <w:r>
        <w:rPr>
          <w:rFonts w:eastAsia="Calibri"/>
        </w:rPr>
        <w:t>The auto-match feature facilitates the management of base intertie schedule</w:t>
      </w:r>
      <w:r w:rsidR="001E257D">
        <w:rPr>
          <w:rFonts w:eastAsia="Calibri"/>
        </w:rPr>
        <w:t xml:space="preserve"> </w:t>
      </w:r>
      <w:r>
        <w:rPr>
          <w:rFonts w:eastAsia="Calibri"/>
        </w:rPr>
        <w:t>changes after T–40'. It is limited to</w:t>
      </w:r>
      <w:r w:rsidR="005F24C1">
        <w:rPr>
          <w:rFonts w:eastAsia="Calibri"/>
        </w:rPr>
        <w:t xml:space="preserve"> WEIM </w:t>
      </w:r>
      <w:r>
        <w:rPr>
          <w:rFonts w:eastAsia="Calibri"/>
        </w:rPr>
        <w:t>Non-Participating Resources (EIMNPR), namely System Resources (SRs), including Energy Transfer System Resources (Base ETSRs) and Mirror System Resources (MSRs).</w:t>
      </w:r>
    </w:p>
    <w:p w14:paraId="54AEE18E" w14:textId="7DEE589C" w:rsidR="008E6DC4" w:rsidRDefault="008E6DC4" w:rsidP="00E37D66">
      <w:pPr>
        <w:spacing w:after="240" w:line="300" w:lineRule="auto"/>
        <w:jc w:val="both"/>
        <w:rPr>
          <w:rFonts w:eastAsia="Calibri"/>
        </w:rPr>
      </w:pPr>
      <w:r>
        <w:rPr>
          <w:rFonts w:eastAsia="Calibri"/>
        </w:rPr>
        <w:t xml:space="preserve">If the schedule of </w:t>
      </w:r>
      <w:r w:rsidR="00153940">
        <w:rPr>
          <w:rFonts w:eastAsia="Calibri"/>
        </w:rPr>
        <w:t>a WEIM</w:t>
      </w:r>
      <w:r w:rsidR="005F24C1">
        <w:rPr>
          <w:rFonts w:eastAsia="Calibri"/>
        </w:rPr>
        <w:t xml:space="preserve"> </w:t>
      </w:r>
      <w:r>
        <w:rPr>
          <w:rFonts w:eastAsia="Calibri"/>
        </w:rPr>
        <w:t xml:space="preserve">System Resource changes from its base schedule after –40' for </w:t>
      </w:r>
      <w:r w:rsidR="00153940">
        <w:rPr>
          <w:rFonts w:eastAsia="Calibri"/>
        </w:rPr>
        <w:t>a WEIM</w:t>
      </w:r>
      <w:r w:rsidR="005F24C1">
        <w:rPr>
          <w:rFonts w:eastAsia="Calibri"/>
        </w:rPr>
        <w:t xml:space="preserve"> </w:t>
      </w:r>
      <w:r>
        <w:rPr>
          <w:rFonts w:eastAsia="Calibri"/>
        </w:rPr>
        <w:t>BAA, the CAISO will automatically match that schedule change from a pre-selected available EIMNPR in the same</w:t>
      </w:r>
      <w:r w:rsidR="005F24C1">
        <w:rPr>
          <w:rFonts w:eastAsia="Calibri"/>
        </w:rPr>
        <w:t xml:space="preserve"> WEIM </w:t>
      </w:r>
      <w:r>
        <w:rPr>
          <w:rFonts w:eastAsia="Calibri"/>
        </w:rPr>
        <w:t xml:space="preserve">BAA. The net of multiple System Resource schedule deviations at the </w:t>
      </w:r>
      <w:r>
        <w:rPr>
          <w:rFonts w:eastAsia="Calibri"/>
        </w:rPr>
        <w:lastRenderedPageBreak/>
        <w:t xml:space="preserve">interties of </w:t>
      </w:r>
      <w:r w:rsidR="00153940">
        <w:rPr>
          <w:rFonts w:eastAsia="Calibri"/>
        </w:rPr>
        <w:t>a WEIM</w:t>
      </w:r>
      <w:r w:rsidR="005F24C1">
        <w:rPr>
          <w:rFonts w:eastAsia="Calibri"/>
        </w:rPr>
        <w:t xml:space="preserve"> </w:t>
      </w:r>
      <w:r>
        <w:rPr>
          <w:rFonts w:eastAsia="Calibri"/>
        </w:rPr>
        <w:t>BAA can be matched by the same pre-selected EIMNPR in the same BAA, and different pre-selected EIMNPRs can be used to match different System Resource schedule changes. The pre-selected EIMNPRs and their associated System Resources must be registered in the Master File for the auto-match feature by the relevant</w:t>
      </w:r>
      <w:r w:rsidR="005F24C1">
        <w:rPr>
          <w:rFonts w:eastAsia="Calibri"/>
        </w:rPr>
        <w:t xml:space="preserve"> WEIM </w:t>
      </w:r>
      <w:r>
        <w:rPr>
          <w:rFonts w:eastAsia="Calibri"/>
        </w:rPr>
        <w:t>Entity Scheduling Coordinator.</w:t>
      </w:r>
    </w:p>
    <w:p w14:paraId="540FD761" w14:textId="1F77E54A" w:rsidR="008E6DC4" w:rsidRDefault="008E6DC4" w:rsidP="008817D0">
      <w:pPr>
        <w:spacing w:after="240" w:line="300" w:lineRule="auto"/>
        <w:rPr>
          <w:rFonts w:eastAsia="Calibri"/>
        </w:rPr>
      </w:pPr>
      <w:r>
        <w:rPr>
          <w:rFonts w:eastAsia="Calibri"/>
        </w:rPr>
        <w:t>Schedule deviations from System Resources registered for auto-match will be ignored from the historical data used in compiling the intertie over/under-scheduling histogram. Additionally, the corresponding schedules will be excluded from the gross import or export base schedule for the purpose of calculating additional capacity test requirements associated with intertie over/under-scheduling for the corresponding</w:t>
      </w:r>
      <w:r w:rsidR="005F24C1">
        <w:rPr>
          <w:rFonts w:eastAsia="Calibri"/>
        </w:rPr>
        <w:t xml:space="preserve"> WEIM </w:t>
      </w:r>
      <w:r>
        <w:rPr>
          <w:rFonts w:eastAsia="Calibri"/>
        </w:rPr>
        <w:t xml:space="preserve">BAA. </w:t>
      </w:r>
    </w:p>
    <w:p w14:paraId="7EC6996C" w14:textId="3A239B37" w:rsidR="008E6DC4" w:rsidRDefault="008E6DC4" w:rsidP="00E37D66">
      <w:pPr>
        <w:rPr>
          <w:rFonts w:eastAsia="Calibri"/>
        </w:rPr>
      </w:pPr>
      <w:r>
        <w:rPr>
          <w:rFonts w:eastAsia="Calibri"/>
        </w:rPr>
        <w:t>No Manual Dispatch Instructions or ABC are allowed for EIMNPRs that are registered for the auto-match feature since their schedules are determined by the market.</w:t>
      </w:r>
    </w:p>
    <w:p w14:paraId="23F8C7BC" w14:textId="297DA2A0" w:rsidR="008E6DC4" w:rsidRDefault="008E6DC4" w:rsidP="00E37D66">
      <w:pPr>
        <w:pStyle w:val="Heading3"/>
        <w:keepLines/>
        <w:spacing w:before="240" w:after="60"/>
      </w:pPr>
      <w:bookmarkStart w:id="1988" w:name="_Toc501614284"/>
      <w:bookmarkStart w:id="1989" w:name="_Toc229054510"/>
      <w:r w:rsidRPr="00231AB1">
        <w:t xml:space="preserve">Auto Mirror </w:t>
      </w:r>
      <w:bookmarkEnd w:id="1988"/>
      <w:r>
        <w:t>of CAISO Import/Export Schedule Changes</w:t>
      </w:r>
      <w:bookmarkEnd w:id="1989"/>
    </w:p>
    <w:p w14:paraId="1A1348BF" w14:textId="5A7315B5" w:rsidR="008E6DC4" w:rsidRDefault="008E6DC4" w:rsidP="008817D0">
      <w:pPr>
        <w:spacing w:after="240" w:line="300" w:lineRule="auto"/>
        <w:rPr>
          <w:rFonts w:eastAsia="Calibri"/>
        </w:rPr>
      </w:pPr>
      <w:r>
        <w:rPr>
          <w:rFonts w:eastAsia="Calibri"/>
        </w:rPr>
        <w:t xml:space="preserve">The auto-mirror feature facilitates the mirroring of intertie schedules with CISO (CAISO BAA) at CAISO intertie Scheduling Points from System Resources (SRs) and Tie-Generators (TGs) when the associated energy is generated, consumed, or wheeled through </w:t>
      </w:r>
      <w:r w:rsidR="00153940">
        <w:rPr>
          <w:rFonts w:eastAsia="Calibri"/>
        </w:rPr>
        <w:t>a WEIM</w:t>
      </w:r>
      <w:r w:rsidR="005F24C1">
        <w:rPr>
          <w:rFonts w:eastAsia="Calibri"/>
        </w:rPr>
        <w:t xml:space="preserve"> </w:t>
      </w:r>
      <w:r>
        <w:rPr>
          <w:rFonts w:eastAsia="Calibri"/>
        </w:rPr>
        <w:t>BAA. The CAISO will automatically mirror the gross import/export schedule changes after T-40' from specified SRs and TGs at a CAISO intertie Scheduling Point by adjusting the schedule of an associated Mirror System Resource (MSR) at the same Scheduling Point. An import MSR may only be associated with export SRs, and an export MSR may only be associated with import SRs and TGs at the same CAISO Scheduling Point. The MSRs and their associated SRs and TGs must be registered in the Master File for the auto-mirror feature by the relevant</w:t>
      </w:r>
      <w:r w:rsidR="005F24C1">
        <w:rPr>
          <w:rFonts w:eastAsia="Calibri"/>
        </w:rPr>
        <w:t xml:space="preserve"> WEIM </w:t>
      </w:r>
      <w:r>
        <w:rPr>
          <w:rFonts w:eastAsia="Calibri"/>
        </w:rPr>
        <w:t>Entity Scheduling Coordinator.</w:t>
      </w:r>
    </w:p>
    <w:p w14:paraId="70DA8BDE" w14:textId="6C24D787" w:rsidR="008E6DC4" w:rsidRDefault="008E6DC4" w:rsidP="008817D0">
      <w:pPr>
        <w:spacing w:after="240" w:line="300" w:lineRule="auto"/>
        <w:rPr>
          <w:rFonts w:eastAsia="Calibri"/>
        </w:rPr>
      </w:pPr>
      <w:r>
        <w:rPr>
          <w:rFonts w:eastAsia="Calibri"/>
        </w:rPr>
        <w:t xml:space="preserve">MSRs may also be registered to participate in the auto-match feature, but only when the mirrored CISO intertie schedules are submitted as Self-Schedules without bids.  </w:t>
      </w:r>
    </w:p>
    <w:p w14:paraId="0B34C49B" w14:textId="77777777" w:rsidR="008E6DC4" w:rsidRDefault="008E6DC4">
      <w:r>
        <w:rPr>
          <w:rFonts w:eastAsia="Calibri"/>
        </w:rPr>
        <w:t xml:space="preserve">No real-time schedule change submission is allowed for MSRs registered for the auto-mirror feature since their schedules are determined by the market. </w:t>
      </w:r>
    </w:p>
    <w:p w14:paraId="6307508A" w14:textId="77777777" w:rsidR="006D624B" w:rsidRDefault="006D624B" w:rsidP="006D624B">
      <w:pPr>
        <w:pStyle w:val="Heading4"/>
      </w:pPr>
      <w:r w:rsidRPr="00705169">
        <w:t>Auto-Mirror Implementation Activities</w:t>
      </w:r>
    </w:p>
    <w:p w14:paraId="2AA999ED" w14:textId="506DB25A" w:rsidR="006D624B" w:rsidRDefault="006D624B" w:rsidP="006D624B">
      <w:r>
        <w:t>CAISO will implement each auto-mirror in coordination with the</w:t>
      </w:r>
      <w:r w:rsidR="005F24C1">
        <w:t xml:space="preserve"> WEIM </w:t>
      </w:r>
      <w:r>
        <w:t xml:space="preserve">Entity responsible for the resource or the Energy being wheeled through its Balancing Authority Area, and will track </w:t>
      </w:r>
      <w:r>
        <w:lastRenderedPageBreak/>
        <w:t>progress to ensure the auto-mirror functionality is implemented within a reasonable time. Each impacted</w:t>
      </w:r>
      <w:r w:rsidR="005F24C1">
        <w:t xml:space="preserve"> WEIM </w:t>
      </w:r>
      <w:r>
        <w:t xml:space="preserve">Entity will need to: </w:t>
      </w:r>
    </w:p>
    <w:p w14:paraId="4782D0C5" w14:textId="77777777" w:rsidR="006D624B" w:rsidRDefault="006D624B" w:rsidP="003A69E6">
      <w:pPr>
        <w:pStyle w:val="ListParagraph"/>
        <w:numPr>
          <w:ilvl w:val="0"/>
          <w:numId w:val="86"/>
        </w:numPr>
        <w:contextualSpacing/>
      </w:pPr>
      <w:r>
        <w:t>Provide a list of System Resources linked to the registered mirror,</w:t>
      </w:r>
    </w:p>
    <w:p w14:paraId="008FEDD6" w14:textId="77777777" w:rsidR="006D624B" w:rsidRDefault="006D624B" w:rsidP="003A69E6">
      <w:pPr>
        <w:pStyle w:val="ListParagraph"/>
        <w:numPr>
          <w:ilvl w:val="0"/>
          <w:numId w:val="86"/>
        </w:numPr>
        <w:contextualSpacing/>
      </w:pPr>
      <w:r>
        <w:t xml:space="preserve">Update their internal systems and procedures to ensure accurate accounting of the intertie schedules accounted for,  </w:t>
      </w:r>
    </w:p>
    <w:p w14:paraId="2CA3DD2C" w14:textId="77777777" w:rsidR="006D624B" w:rsidRDefault="006D624B" w:rsidP="003A69E6">
      <w:pPr>
        <w:pStyle w:val="ListParagraph"/>
        <w:numPr>
          <w:ilvl w:val="0"/>
          <w:numId w:val="86"/>
        </w:numPr>
        <w:contextualSpacing/>
      </w:pPr>
      <w:r>
        <w:t>Verify the system development changes of the base schedule submission, RT interchange schedule data (RTSI) during PRE-HOUR, and RT interchange schedule data (RTSI) during after the fact, and</w:t>
      </w:r>
    </w:p>
    <w:p w14:paraId="25689DD4" w14:textId="77777777" w:rsidR="006D624B" w:rsidRDefault="006D624B" w:rsidP="003A69E6">
      <w:pPr>
        <w:pStyle w:val="ListParagraph"/>
        <w:numPr>
          <w:ilvl w:val="0"/>
          <w:numId w:val="87"/>
        </w:numPr>
        <w:contextualSpacing/>
      </w:pPr>
      <w:r>
        <w:t>Coordinate with CAISO on an activation date for each auto-mirror.</w:t>
      </w:r>
    </w:p>
    <w:p w14:paraId="397B9FE0" w14:textId="77777777" w:rsidR="006D624B" w:rsidRDefault="006D624B" w:rsidP="006D624B">
      <w:pPr>
        <w:pStyle w:val="ListParagraph"/>
      </w:pPr>
    </w:p>
    <w:p w14:paraId="56B12C01" w14:textId="77777777" w:rsidR="006D624B" w:rsidRDefault="006D624B" w:rsidP="006D624B">
      <w:pPr>
        <w:pStyle w:val="Heading4"/>
        <w:numPr>
          <w:ilvl w:val="0"/>
          <w:numId w:val="0"/>
        </w:numPr>
        <w:ind w:left="1080" w:hanging="1080"/>
      </w:pPr>
      <w:r>
        <w:t>11.3.8.2</w:t>
      </w:r>
      <w:r>
        <w:tab/>
      </w:r>
      <w:r w:rsidRPr="00705169">
        <w:t>Auto-Mirror Implementation Review Procedure</w:t>
      </w:r>
    </w:p>
    <w:p w14:paraId="65F1F96E" w14:textId="0FA09231" w:rsidR="006D624B" w:rsidRDefault="006D624B" w:rsidP="006D624B">
      <w:r>
        <w:t xml:space="preserve">In some circumstances, the auto mirror functionality can create interchange accounting issues when a resource is wheeled through </w:t>
      </w:r>
      <w:r w:rsidR="00153940">
        <w:t>a WEIM</w:t>
      </w:r>
      <w:r w:rsidR="005F24C1">
        <w:t xml:space="preserve"> </w:t>
      </w:r>
      <w:r>
        <w:t>Entity Balancing Authority Area.  It is therefore necessary to review each auto-mirror implementation in accordance with CAISO Tariff section 29.27(c).  Accordingly, the CAISO will determine whether:</w:t>
      </w:r>
    </w:p>
    <w:p w14:paraId="0EFACD5A" w14:textId="77777777" w:rsidR="006D624B" w:rsidRDefault="006D624B" w:rsidP="003A69E6">
      <w:pPr>
        <w:pStyle w:val="ListParagraph"/>
        <w:numPr>
          <w:ilvl w:val="0"/>
          <w:numId w:val="85"/>
        </w:numPr>
        <w:contextualSpacing/>
      </w:pPr>
      <w:r>
        <w:t>The source of the Energy at the resource location is dynamic,</w:t>
      </w:r>
    </w:p>
    <w:p w14:paraId="46A4A7BF" w14:textId="2C92D74C" w:rsidR="006D624B" w:rsidRDefault="006D624B" w:rsidP="003A69E6">
      <w:pPr>
        <w:pStyle w:val="ListParagraph"/>
        <w:numPr>
          <w:ilvl w:val="0"/>
          <w:numId w:val="85"/>
        </w:numPr>
        <w:contextualSpacing/>
      </w:pPr>
      <w:r>
        <w:t xml:space="preserve">The Energy is wheeled through </w:t>
      </w:r>
      <w:r w:rsidR="00153940">
        <w:t>a WEIM</w:t>
      </w:r>
      <w:r w:rsidR="005F24C1">
        <w:t xml:space="preserve"> </w:t>
      </w:r>
      <w:r>
        <w:t>Entity Balancing Authority Area, and</w:t>
      </w:r>
    </w:p>
    <w:p w14:paraId="35C4311D" w14:textId="30056F3A" w:rsidR="006D624B" w:rsidRDefault="006D624B" w:rsidP="003A69E6">
      <w:pPr>
        <w:pStyle w:val="ListParagraph"/>
        <w:numPr>
          <w:ilvl w:val="0"/>
          <w:numId w:val="85"/>
        </w:numPr>
        <w:contextualSpacing/>
      </w:pPr>
      <w:r>
        <w:t>Auto mirroring the resource can cause an imbalance in the</w:t>
      </w:r>
      <w:r w:rsidR="005F24C1">
        <w:t xml:space="preserve"> WEIM </w:t>
      </w:r>
      <w:r>
        <w:t>Entity Balancing Authority Area through which the energy is wheeled.</w:t>
      </w:r>
    </w:p>
    <w:p w14:paraId="429D0080" w14:textId="299F88E2" w:rsidR="006D624B" w:rsidRPr="00E8018D" w:rsidRDefault="006D624B" w:rsidP="006D624B">
      <w:r>
        <w:t>If all of these conditions in this review procedure are met, then the Tie Gen Energy will be reflected at the Tie Gen and linked to the resource without auto-mirroring to ensure that the Energy dispatched is committed for delivery through the Tie Gen and does not create incorrect imbalance for the wheeling</w:t>
      </w:r>
      <w:r w:rsidR="005F24C1">
        <w:t xml:space="preserve"> WEIM </w:t>
      </w:r>
      <w:r>
        <w:t>Entity Balancing Authority.</w:t>
      </w:r>
    </w:p>
    <w:p w14:paraId="7A76C071" w14:textId="77777777" w:rsidR="008E6DC4" w:rsidRDefault="008E6DC4" w:rsidP="008817D0">
      <w:pPr>
        <w:spacing w:after="240" w:line="300" w:lineRule="auto"/>
        <w:rPr>
          <w:rFonts w:eastAsia="Calibri"/>
        </w:rPr>
      </w:pPr>
    </w:p>
    <w:p w14:paraId="37D0D838" w14:textId="77777777" w:rsidR="008817D0" w:rsidRPr="008817D0" w:rsidRDefault="008817D0" w:rsidP="00C33762">
      <w:pPr>
        <w:pStyle w:val="Heading3"/>
        <w:rPr>
          <w:rFonts w:eastAsia="Calibri"/>
        </w:rPr>
      </w:pPr>
      <w:bookmarkStart w:id="1990" w:name="_Toc390946298"/>
      <w:bookmarkStart w:id="1991" w:name="_Toc391969859"/>
      <w:bookmarkStart w:id="1992" w:name="_Toc229054511"/>
      <w:r w:rsidRPr="008817D0">
        <w:rPr>
          <w:rFonts w:eastAsia="Calibri"/>
        </w:rPr>
        <w:t>Manual Dispatch</w:t>
      </w:r>
      <w:bookmarkEnd w:id="1942"/>
      <w:bookmarkEnd w:id="1990"/>
      <w:bookmarkEnd w:id="1991"/>
      <w:bookmarkEnd w:id="1992"/>
      <w:r w:rsidRPr="008817D0">
        <w:rPr>
          <w:rFonts w:eastAsia="Calibri"/>
        </w:rPr>
        <w:tab/>
      </w:r>
    </w:p>
    <w:p w14:paraId="6203B701" w14:textId="185316A2" w:rsidR="002C20D4" w:rsidRDefault="008E6DC4" w:rsidP="008E6DC4">
      <w:pPr>
        <w:rPr>
          <w:rFonts w:eastAsia="Calibri"/>
        </w:rPr>
      </w:pPr>
      <w:r>
        <w:rPr>
          <w:rFonts w:eastAsia="Calibri"/>
        </w:rPr>
        <w:t xml:space="preserve">Manual dispatches refer to a manual override of </w:t>
      </w:r>
      <w:r w:rsidR="00153940">
        <w:rPr>
          <w:rFonts w:eastAsia="Calibri"/>
        </w:rPr>
        <w:t>a WEIM</w:t>
      </w:r>
      <w:r w:rsidR="005F24C1">
        <w:rPr>
          <w:rFonts w:eastAsia="Calibri"/>
        </w:rPr>
        <w:t xml:space="preserve"> </w:t>
      </w:r>
      <w:r>
        <w:rPr>
          <w:rFonts w:eastAsia="Calibri"/>
        </w:rPr>
        <w:t>market dispatch in cases where the</w:t>
      </w:r>
      <w:r w:rsidR="005F24C1">
        <w:rPr>
          <w:rFonts w:eastAsia="Calibri"/>
        </w:rPr>
        <w:t xml:space="preserve"> WEIM </w:t>
      </w:r>
      <w:r>
        <w:rPr>
          <w:rFonts w:eastAsia="Calibri"/>
        </w:rPr>
        <w:t>Entity BAA recognizes a need to adjust the dispatch.  Reasons for a manual dispatch include, but are not limited to: congestion management not otherwise handled by the</w:t>
      </w:r>
      <w:r w:rsidR="005F24C1">
        <w:rPr>
          <w:rFonts w:eastAsia="Calibri"/>
        </w:rPr>
        <w:t xml:space="preserve"> WEIM </w:t>
      </w:r>
      <w:r>
        <w:rPr>
          <w:rFonts w:eastAsia="Calibri"/>
        </w:rPr>
        <w:t xml:space="preserve">market systems, response to contingency events, implementation of unscheduled loop flow procedures, or to comply with orders from a reliability coordinator, </w:t>
      </w:r>
      <w:r w:rsidRPr="003763FC">
        <w:rPr>
          <w:rFonts w:eastAsia="Calibri"/>
        </w:rPr>
        <w:t xml:space="preserve">or to address operational </w:t>
      </w:r>
      <w:r w:rsidRPr="003763FC">
        <w:rPr>
          <w:rFonts w:eastAsia="Calibri"/>
        </w:rPr>
        <w:lastRenderedPageBreak/>
        <w:t>issues in the</w:t>
      </w:r>
      <w:r w:rsidR="005F24C1">
        <w:rPr>
          <w:rFonts w:eastAsia="Calibri"/>
        </w:rPr>
        <w:t xml:space="preserve"> WEIM </w:t>
      </w:r>
      <w:r w:rsidRPr="003763FC">
        <w:rPr>
          <w:rFonts w:eastAsia="Calibri"/>
        </w:rPr>
        <w:t xml:space="preserve">BAA that the CAISO Market is not able to address through </w:t>
      </w:r>
      <w:r>
        <w:rPr>
          <w:rFonts w:eastAsia="Calibri"/>
        </w:rPr>
        <w:t>the</w:t>
      </w:r>
      <w:r w:rsidR="005F24C1">
        <w:rPr>
          <w:rFonts w:eastAsia="Calibri"/>
        </w:rPr>
        <w:t xml:space="preserve"> WEIM </w:t>
      </w:r>
      <w:r>
        <w:rPr>
          <w:rFonts w:eastAsia="Calibri"/>
        </w:rPr>
        <w:t>a</w:t>
      </w:r>
      <w:r w:rsidRPr="003763FC">
        <w:rPr>
          <w:rFonts w:eastAsia="Calibri"/>
        </w:rPr>
        <w:t>uto-</w:t>
      </w:r>
      <w:r>
        <w:rPr>
          <w:rFonts w:eastAsia="Calibri"/>
        </w:rPr>
        <w:t>m</w:t>
      </w:r>
      <w:r w:rsidRPr="003763FC">
        <w:rPr>
          <w:rFonts w:eastAsia="Calibri"/>
        </w:rPr>
        <w:t xml:space="preserve">atch </w:t>
      </w:r>
      <w:r>
        <w:rPr>
          <w:rFonts w:eastAsia="Calibri"/>
        </w:rPr>
        <w:t>feature</w:t>
      </w:r>
      <w:r w:rsidRPr="003763FC">
        <w:rPr>
          <w:rFonts w:eastAsia="Calibri"/>
        </w:rPr>
        <w:t>.</w:t>
      </w:r>
      <w:r w:rsidR="00673349">
        <w:rPr>
          <w:rFonts w:eastAsia="Calibri"/>
        </w:rPr>
        <w:t xml:space="preserve">  </w:t>
      </w:r>
    </w:p>
    <w:p w14:paraId="43909953" w14:textId="0D46B47E" w:rsidR="008817D0" w:rsidRPr="008817D0" w:rsidRDefault="008817D0" w:rsidP="008817D0">
      <w:pPr>
        <w:spacing w:after="240" w:line="300" w:lineRule="auto"/>
        <w:rPr>
          <w:rFonts w:eastAsia="Calibri"/>
        </w:rPr>
      </w:pPr>
      <w:r w:rsidRPr="008817D0">
        <w:rPr>
          <w:rFonts w:eastAsia="Calibri"/>
        </w:rPr>
        <w:t>EIM Entity BAA must inform CAISO RTM of any manual dispatch within its area</w:t>
      </w:r>
      <w:r w:rsidR="00F22DBD">
        <w:rPr>
          <w:rFonts w:eastAsia="Calibri"/>
        </w:rPr>
        <w:t xml:space="preserve"> which includes both participating and non-participating resources in the</w:t>
      </w:r>
      <w:r w:rsidR="005F24C1">
        <w:rPr>
          <w:rFonts w:eastAsia="Calibri"/>
        </w:rPr>
        <w:t xml:space="preserve"> WEIM </w:t>
      </w:r>
      <w:r w:rsidR="00F22DBD">
        <w:rPr>
          <w:rFonts w:eastAsia="Calibri"/>
        </w:rPr>
        <w:t>BAA</w:t>
      </w:r>
      <w:r w:rsidRPr="008817D0">
        <w:rPr>
          <w:rFonts w:eastAsia="Calibri"/>
        </w:rPr>
        <w:t>. The market will reflect the dispatch in the next RTD run whenever possible.  CAISO will provide a software tool that will</w:t>
      </w:r>
      <w:r w:rsidR="004F6C0A">
        <w:rPr>
          <w:rFonts w:eastAsia="Calibri"/>
        </w:rPr>
        <w:t xml:space="preserve"> allow the</w:t>
      </w:r>
      <w:r w:rsidR="005F24C1">
        <w:rPr>
          <w:rFonts w:eastAsia="Calibri"/>
        </w:rPr>
        <w:t xml:space="preserve"> WEIM </w:t>
      </w:r>
      <w:r w:rsidR="004F6C0A">
        <w:rPr>
          <w:rFonts w:eastAsia="Calibri"/>
        </w:rPr>
        <w:t>Entity operator</w:t>
      </w:r>
      <w:r w:rsidRPr="008817D0">
        <w:rPr>
          <w:rFonts w:eastAsia="Calibri"/>
        </w:rPr>
        <w:t xml:space="preserve"> to enter a Manual Dispatch.  The manual dispatch will include information such as resource name, start and end time, and megawatt constraint values.  </w:t>
      </w:r>
      <w:r w:rsidR="009D4FFA" w:rsidRPr="008817D0">
        <w:rPr>
          <w:rFonts w:eastAsia="Calibri"/>
        </w:rPr>
        <w:t>The</w:t>
      </w:r>
      <w:r w:rsidR="005F24C1">
        <w:rPr>
          <w:rFonts w:eastAsia="Calibri"/>
        </w:rPr>
        <w:t xml:space="preserve"> WEIM </w:t>
      </w:r>
      <w:r w:rsidR="009D4FFA" w:rsidRPr="008817D0">
        <w:rPr>
          <w:rFonts w:eastAsia="Calibri"/>
        </w:rPr>
        <w:t xml:space="preserve">Entity </w:t>
      </w:r>
      <w:r w:rsidR="009D4FFA">
        <w:rPr>
          <w:rFonts w:eastAsia="Calibri"/>
        </w:rPr>
        <w:t>operator</w:t>
      </w:r>
      <w:r w:rsidR="009D4FFA" w:rsidRPr="008817D0">
        <w:rPr>
          <w:rFonts w:eastAsia="Calibri"/>
        </w:rPr>
        <w:t xml:space="preserve"> shall enter this information as soon as possible.</w:t>
      </w:r>
      <w:r w:rsidR="009D4FFA">
        <w:rPr>
          <w:rFonts w:eastAsia="Calibri"/>
        </w:rPr>
        <w:t xml:space="preserve">  Once entered, t</w:t>
      </w:r>
      <w:r w:rsidRPr="008817D0">
        <w:rPr>
          <w:rFonts w:eastAsia="Calibri"/>
        </w:rPr>
        <w:t>he</w:t>
      </w:r>
      <w:r w:rsidR="005F24C1">
        <w:rPr>
          <w:rFonts w:eastAsia="Calibri"/>
        </w:rPr>
        <w:t xml:space="preserve"> WEIM </w:t>
      </w:r>
      <w:r w:rsidRPr="008817D0">
        <w:rPr>
          <w:rFonts w:eastAsia="Calibri"/>
        </w:rPr>
        <w:t>Entity operator has the ability to modify the instruction while it is still active</w:t>
      </w:r>
      <w:r w:rsidR="004F6C0A">
        <w:rPr>
          <w:rFonts w:eastAsia="Calibri"/>
        </w:rPr>
        <w:t>;</w:t>
      </w:r>
      <w:r w:rsidR="009D4FFA">
        <w:rPr>
          <w:rFonts w:eastAsia="Calibri"/>
        </w:rPr>
        <w:t xml:space="preserve"> for example</w:t>
      </w:r>
      <w:r w:rsidR="004F6C0A">
        <w:rPr>
          <w:rFonts w:eastAsia="Calibri"/>
        </w:rPr>
        <w:t>,</w:t>
      </w:r>
      <w:r w:rsidR="009D4FFA">
        <w:rPr>
          <w:rFonts w:eastAsia="Calibri"/>
        </w:rPr>
        <w:t xml:space="preserve"> extending the time of the dispatch</w:t>
      </w:r>
      <w:r w:rsidRPr="008817D0">
        <w:rPr>
          <w:rFonts w:eastAsia="Calibri"/>
        </w:rPr>
        <w:t xml:space="preserve">.  </w:t>
      </w:r>
    </w:p>
    <w:p w14:paraId="1D56D793" w14:textId="77777777" w:rsidR="008817D0" w:rsidRPr="008817D0" w:rsidRDefault="001B06BF" w:rsidP="008817D0">
      <w:pPr>
        <w:spacing w:after="240" w:line="300" w:lineRule="auto"/>
        <w:rPr>
          <w:rFonts w:eastAsia="Calibri"/>
        </w:rPr>
      </w:pPr>
      <w:r>
        <w:rPr>
          <w:rFonts w:eastAsia="Calibri"/>
        </w:rPr>
        <w:t xml:space="preserve">Once received by CAISO, </w:t>
      </w:r>
      <w:r w:rsidR="008817D0" w:rsidRPr="008817D0">
        <w:rPr>
          <w:rFonts w:eastAsia="Calibri"/>
        </w:rPr>
        <w:t>CAISO will dispatch the resource in the next applicable market interval in accordance with the manual dispatch</w:t>
      </w:r>
      <w:r w:rsidR="00673349">
        <w:rPr>
          <w:rFonts w:eastAsia="Calibri"/>
        </w:rPr>
        <w:t>.  Note that the market systems</w:t>
      </w:r>
      <w:r w:rsidR="008817D0" w:rsidRPr="008817D0">
        <w:rPr>
          <w:rFonts w:eastAsia="Calibri"/>
        </w:rPr>
        <w:t xml:space="preserve"> </w:t>
      </w:r>
      <w:r w:rsidR="00673349">
        <w:rPr>
          <w:rFonts w:eastAsia="Calibri"/>
        </w:rPr>
        <w:t>will</w:t>
      </w:r>
      <w:r w:rsidR="00673349" w:rsidRPr="008817D0">
        <w:rPr>
          <w:rFonts w:eastAsia="Calibri"/>
        </w:rPr>
        <w:t xml:space="preserve"> </w:t>
      </w:r>
      <w:r w:rsidR="008817D0" w:rsidRPr="008817D0">
        <w:rPr>
          <w:rFonts w:eastAsia="Calibri"/>
        </w:rPr>
        <w:t>still honor resource constraints.</w:t>
      </w:r>
      <w:r w:rsidR="00673349">
        <w:rPr>
          <w:rFonts w:eastAsia="Calibri"/>
        </w:rPr>
        <w:t xml:space="preserve">  For example, the market systems may take several intervals to dispatch a resource to </w:t>
      </w:r>
      <w:r w:rsidR="007668BC">
        <w:rPr>
          <w:rFonts w:eastAsia="Calibri"/>
        </w:rPr>
        <w:t xml:space="preserve">be within </w:t>
      </w:r>
      <w:r w:rsidR="00673349">
        <w:rPr>
          <w:rFonts w:eastAsia="Calibri"/>
        </w:rPr>
        <w:t xml:space="preserve">the manual dispatch </w:t>
      </w:r>
      <w:r w:rsidR="007668BC">
        <w:rPr>
          <w:rFonts w:eastAsia="Calibri"/>
        </w:rPr>
        <w:t>constraint range if</w:t>
      </w:r>
      <w:r w:rsidR="00673349">
        <w:rPr>
          <w:rFonts w:eastAsia="Calibri"/>
        </w:rPr>
        <w:t xml:space="preserve"> the resource is limited by ramp rate capability.  </w:t>
      </w:r>
    </w:p>
    <w:p w14:paraId="2798F4C0" w14:textId="6FAD011D" w:rsidR="006F6776" w:rsidRDefault="00F42CAB" w:rsidP="006F6776">
      <w:pPr>
        <w:pStyle w:val="Heading3"/>
        <w:rPr>
          <w:rFonts w:eastAsia="Calibri"/>
        </w:rPr>
      </w:pPr>
      <w:bookmarkStart w:id="1993" w:name="_Toc229054512"/>
      <w:bookmarkStart w:id="1994" w:name="_Toc390869270"/>
      <w:bookmarkStart w:id="1995" w:name="_Toc390946299"/>
      <w:bookmarkStart w:id="1996" w:name="_Toc391969860"/>
      <w:r>
        <w:rPr>
          <w:rFonts w:eastAsia="Calibri"/>
        </w:rPr>
        <w:t>Load Forecast Operator Adjustments</w:t>
      </w:r>
      <w:bookmarkEnd w:id="1993"/>
    </w:p>
    <w:p w14:paraId="33ED027D" w14:textId="592B90C0" w:rsidR="006F6776" w:rsidRDefault="00F42CAB" w:rsidP="00877DDB">
      <w:pPr>
        <w:autoSpaceDE w:val="0"/>
        <w:autoSpaceDN w:val="0"/>
        <w:adjustRightInd w:val="0"/>
        <w:spacing w:after="240" w:line="300" w:lineRule="auto"/>
        <w:rPr>
          <w:rFonts w:eastAsia="Calibri"/>
        </w:rPr>
      </w:pPr>
      <w:r>
        <w:rPr>
          <w:rFonts w:eastAsia="Calibri"/>
        </w:rPr>
        <w:t>The</w:t>
      </w:r>
      <w:r w:rsidR="005F24C1">
        <w:rPr>
          <w:rFonts w:eastAsia="Calibri"/>
        </w:rPr>
        <w:t xml:space="preserve"> WEIM </w:t>
      </w:r>
      <w:r>
        <w:rPr>
          <w:rFonts w:eastAsia="Calibri"/>
        </w:rPr>
        <w:t>BAA operators, like the CAISO operators may</w:t>
      </w:r>
      <w:r w:rsidR="006F6776">
        <w:rPr>
          <w:rFonts w:eastAsia="Calibri"/>
        </w:rPr>
        <w:t xml:space="preserve"> adjust –upwards or downwards- the load forecast of either the fifteen- and five-minute market used in the market clearing process to reflect the system needs and conditions.  </w:t>
      </w:r>
      <w:r w:rsidR="006F6776" w:rsidRPr="006F6776">
        <w:rPr>
          <w:rFonts w:eastAsia="Calibri"/>
        </w:rPr>
        <w:t>However, the operator adjustments to load forecasts tend to be coarse adjustments</w:t>
      </w:r>
      <w:r>
        <w:rPr>
          <w:rFonts w:eastAsia="Calibri"/>
        </w:rPr>
        <w:t xml:space="preserve"> and the</w:t>
      </w:r>
      <w:r w:rsidR="006F6776" w:rsidRPr="006F6776">
        <w:rPr>
          <w:rFonts w:eastAsia="Calibri"/>
        </w:rPr>
        <w:t xml:space="preserve"> operator cannot know at </w:t>
      </w:r>
      <w:r>
        <w:rPr>
          <w:rFonts w:eastAsia="Calibri"/>
        </w:rPr>
        <w:t xml:space="preserve">the time the adjustment is made </w:t>
      </w:r>
      <w:r w:rsidR="006F6776" w:rsidRPr="006F6776">
        <w:rPr>
          <w:rFonts w:eastAsia="Calibri"/>
        </w:rPr>
        <w:t xml:space="preserve">exactly what </w:t>
      </w:r>
      <w:r>
        <w:rPr>
          <w:rFonts w:eastAsia="Calibri"/>
        </w:rPr>
        <w:t xml:space="preserve">will be </w:t>
      </w:r>
      <w:r w:rsidR="006F6776" w:rsidRPr="006F6776">
        <w:rPr>
          <w:rFonts w:eastAsia="Calibri"/>
        </w:rPr>
        <w:t>the system ramp</w:t>
      </w:r>
      <w:r>
        <w:rPr>
          <w:rFonts w:eastAsia="Calibri"/>
        </w:rPr>
        <w:t xml:space="preserve">.  Therefore, </w:t>
      </w:r>
      <w:r w:rsidR="006F6776" w:rsidRPr="006F6776">
        <w:rPr>
          <w:rFonts w:eastAsia="Calibri"/>
        </w:rPr>
        <w:t xml:space="preserve">in making the adjustment, </w:t>
      </w:r>
      <w:r>
        <w:rPr>
          <w:rFonts w:eastAsia="Calibri"/>
        </w:rPr>
        <w:t xml:space="preserve">the operator could cause the load forecast to </w:t>
      </w:r>
      <w:r w:rsidR="006F6776" w:rsidRPr="006F6776">
        <w:rPr>
          <w:rFonts w:eastAsia="Calibri"/>
        </w:rPr>
        <w:t xml:space="preserve">exceed the system’s ability to respond. Such coarse adjustments, if more than necessary, can produce </w:t>
      </w:r>
      <w:r>
        <w:rPr>
          <w:rFonts w:eastAsia="Calibri"/>
        </w:rPr>
        <w:t>unnecessary</w:t>
      </w:r>
      <w:r w:rsidR="006F6776" w:rsidRPr="006F6776">
        <w:rPr>
          <w:rFonts w:eastAsia="Calibri"/>
        </w:rPr>
        <w:t xml:space="preserve"> infeasible market solutions. To prevent such over-adjustment</w:t>
      </w:r>
      <w:r>
        <w:rPr>
          <w:rFonts w:eastAsia="Calibri"/>
        </w:rPr>
        <w:t>s</w:t>
      </w:r>
      <w:r w:rsidR="006F6776" w:rsidRPr="006F6776">
        <w:rPr>
          <w:rFonts w:eastAsia="Calibri"/>
        </w:rPr>
        <w:t xml:space="preserve">, the CAISO employs a </w:t>
      </w:r>
      <w:r>
        <w:rPr>
          <w:rFonts w:eastAsia="Calibri"/>
        </w:rPr>
        <w:t xml:space="preserve">feature that limits the load forecast adjustment </w:t>
      </w:r>
      <w:r w:rsidR="006F6776" w:rsidRPr="006F6776">
        <w:rPr>
          <w:rFonts w:eastAsia="Calibri"/>
        </w:rPr>
        <w:t>in the CAISO</w:t>
      </w:r>
      <w:r>
        <w:rPr>
          <w:rFonts w:eastAsia="Calibri"/>
        </w:rPr>
        <w:t xml:space="preserve"> and</w:t>
      </w:r>
      <w:r w:rsidR="005F24C1">
        <w:rPr>
          <w:rFonts w:eastAsia="Calibri"/>
        </w:rPr>
        <w:t xml:space="preserve"> WEIM </w:t>
      </w:r>
      <w:r w:rsidR="006F6776" w:rsidRPr="006F6776">
        <w:rPr>
          <w:rFonts w:eastAsia="Calibri"/>
        </w:rPr>
        <w:t>balancing authority area</w:t>
      </w:r>
      <w:r>
        <w:rPr>
          <w:rFonts w:eastAsia="Calibri"/>
        </w:rPr>
        <w:t>s</w:t>
      </w:r>
      <w:r w:rsidR="006F6776" w:rsidRPr="006F6776">
        <w:rPr>
          <w:rFonts w:eastAsia="Calibri"/>
        </w:rPr>
        <w:t>, which automatically limits the course operator adjustment to what is feasible as long as the quanti</w:t>
      </w:r>
      <w:r>
        <w:rPr>
          <w:rFonts w:eastAsia="Calibri"/>
        </w:rPr>
        <w:t>t</w:t>
      </w:r>
      <w:r w:rsidR="006F6776" w:rsidRPr="006F6776">
        <w:rPr>
          <w:rFonts w:eastAsia="Calibri"/>
        </w:rPr>
        <w:t>y of the infeasibility is less than the operator adjustment and is in the same direction as the operator adjustment</w:t>
      </w:r>
      <w:r w:rsidR="006F6776">
        <w:rPr>
          <w:rFonts w:eastAsia="Calibri"/>
        </w:rPr>
        <w:t>.</w:t>
      </w:r>
    </w:p>
    <w:p w14:paraId="26854489" w14:textId="590B9FB5" w:rsidR="006F6776" w:rsidRDefault="00FB14F1" w:rsidP="00877DDB">
      <w:pPr>
        <w:autoSpaceDE w:val="0"/>
        <w:autoSpaceDN w:val="0"/>
        <w:adjustRightInd w:val="0"/>
        <w:spacing w:after="240" w:line="300" w:lineRule="auto"/>
        <w:rPr>
          <w:rFonts w:eastAsia="Calibri"/>
        </w:rPr>
      </w:pPr>
      <w:r>
        <w:rPr>
          <w:rFonts w:eastAsia="Calibri"/>
        </w:rPr>
        <w:lastRenderedPageBreak/>
        <w:t>The collect</w:t>
      </w:r>
      <w:r w:rsidR="00F42CAB">
        <w:rPr>
          <w:rFonts w:eastAsia="Calibri"/>
        </w:rPr>
        <w:t>s</w:t>
      </w:r>
      <w:r>
        <w:rPr>
          <w:rFonts w:eastAsia="Calibri"/>
        </w:rPr>
        <w:t xml:space="preserve">  </w:t>
      </w:r>
      <w:r w:rsidR="00DD0CB4">
        <w:rPr>
          <w:rFonts w:eastAsia="Calibri"/>
        </w:rPr>
        <w:t>from each</w:t>
      </w:r>
      <w:r w:rsidR="005F24C1">
        <w:rPr>
          <w:rFonts w:eastAsia="Calibri"/>
        </w:rPr>
        <w:t xml:space="preserve"> WEIM </w:t>
      </w:r>
      <w:r w:rsidR="00DD0CB4">
        <w:rPr>
          <w:rFonts w:eastAsia="Calibri"/>
        </w:rPr>
        <w:t xml:space="preserve">BAA entity </w:t>
      </w:r>
      <w:r>
        <w:rPr>
          <w:rFonts w:eastAsia="Calibri"/>
        </w:rPr>
        <w:t xml:space="preserve">relevant data about load bias, including the frequency, volume and reasons for load bias in the fifteen- and five-minute markets, </w:t>
      </w:r>
      <w:r w:rsidRPr="00DD0CB4">
        <w:rPr>
          <w:rFonts w:eastAsia="Calibri"/>
        </w:rPr>
        <w:t>as well as any alternatives considered (e.g., use of manual dispatch</w:t>
      </w:r>
      <w:r w:rsidR="00F42CAB">
        <w:rPr>
          <w:rFonts w:eastAsia="Calibri"/>
        </w:rPr>
        <w:t>)</w:t>
      </w:r>
      <w:r w:rsidRPr="00DD0CB4">
        <w:rPr>
          <w:rFonts w:eastAsia="Calibri"/>
        </w:rPr>
        <w:t>.</w:t>
      </w:r>
    </w:p>
    <w:p w14:paraId="715946F5" w14:textId="30141F19" w:rsidR="000914B7" w:rsidRPr="006F6776" w:rsidRDefault="000914B7" w:rsidP="00877DDB">
      <w:pPr>
        <w:autoSpaceDE w:val="0"/>
        <w:autoSpaceDN w:val="0"/>
        <w:adjustRightInd w:val="0"/>
        <w:spacing w:after="240" w:line="300" w:lineRule="auto"/>
        <w:rPr>
          <w:rFonts w:eastAsia="Calibri"/>
        </w:rPr>
      </w:pPr>
      <w:r>
        <w:rPr>
          <w:rFonts w:eastAsia="Calibri"/>
        </w:rPr>
        <w:t xml:space="preserve">Note: Please refer to Market Operations Appendices BPM Attachment M for details on </w:t>
      </w:r>
      <w:r w:rsidR="00D707EB">
        <w:rPr>
          <w:rFonts w:eastAsia="Calibri"/>
        </w:rPr>
        <w:t>load forecast</w:t>
      </w:r>
      <w:r>
        <w:rPr>
          <w:rFonts w:eastAsia="Calibri"/>
        </w:rPr>
        <w:t xml:space="preserve"> conformances.</w:t>
      </w:r>
    </w:p>
    <w:p w14:paraId="61A30E6A" w14:textId="77777777" w:rsidR="006F6776" w:rsidRPr="006F6776" w:rsidRDefault="006F6776" w:rsidP="006F6776">
      <w:pPr>
        <w:autoSpaceDE w:val="0"/>
        <w:autoSpaceDN w:val="0"/>
        <w:adjustRightInd w:val="0"/>
        <w:rPr>
          <w:rFonts w:eastAsia="Calibri"/>
        </w:rPr>
      </w:pPr>
    </w:p>
    <w:p w14:paraId="476CDFC2" w14:textId="5F88FF56" w:rsidR="008817D0" w:rsidRPr="008817D0" w:rsidRDefault="008817D0" w:rsidP="00C33762">
      <w:pPr>
        <w:pStyle w:val="Heading3"/>
        <w:rPr>
          <w:rFonts w:eastAsia="Calibri"/>
        </w:rPr>
      </w:pPr>
      <w:bookmarkStart w:id="1997" w:name="_Toc229054513"/>
      <w:r w:rsidRPr="008817D0">
        <w:rPr>
          <w:rFonts w:eastAsia="Calibri"/>
        </w:rPr>
        <w:t>Contingency Dispatch</w:t>
      </w:r>
      <w:bookmarkEnd w:id="1994"/>
      <w:bookmarkEnd w:id="1995"/>
      <w:bookmarkEnd w:id="1996"/>
      <w:bookmarkEnd w:id="1997"/>
    </w:p>
    <w:p w14:paraId="36D0FADB" w14:textId="77777777" w:rsidR="008817D0" w:rsidRPr="00C81814" w:rsidRDefault="008817D0">
      <w:pPr>
        <w:spacing w:after="240" w:line="300" w:lineRule="auto"/>
        <w:rPr>
          <w:rFonts w:eastAsia="Calibri"/>
          <w:b/>
        </w:rPr>
      </w:pPr>
      <w:r w:rsidRPr="008817D0">
        <w:rPr>
          <w:rFonts w:eastAsia="Calibri"/>
        </w:rPr>
        <w:t xml:space="preserve">The </w:t>
      </w:r>
      <w:r w:rsidR="00FC30E3">
        <w:rPr>
          <w:rFonts w:eastAsia="Calibri"/>
        </w:rPr>
        <w:t>Real-Time</w:t>
      </w:r>
      <w:r w:rsidRPr="008817D0">
        <w:rPr>
          <w:rFonts w:eastAsia="Calibri"/>
        </w:rPr>
        <w:t xml:space="preserve"> Contingency Dispatch (RTCD) mode of operation is run in response to a significant Contingency event, such that waiting until the next normal </w:t>
      </w:r>
      <w:r w:rsidR="00FC30E3">
        <w:rPr>
          <w:rFonts w:eastAsia="Calibri"/>
        </w:rPr>
        <w:t>Real-Time</w:t>
      </w:r>
      <w:r w:rsidR="00047681">
        <w:rPr>
          <w:rFonts w:eastAsia="Calibri"/>
        </w:rPr>
        <w:t xml:space="preserve"> Economic Dispatch (</w:t>
      </w:r>
      <w:r w:rsidRPr="008817D0">
        <w:rPr>
          <w:rFonts w:eastAsia="Calibri"/>
        </w:rPr>
        <w:t>RTED</w:t>
      </w:r>
      <w:r w:rsidR="00047681">
        <w:rPr>
          <w:rFonts w:eastAsia="Calibri"/>
        </w:rPr>
        <w:t>)</w:t>
      </w:r>
      <w:r w:rsidRPr="008817D0">
        <w:rPr>
          <w:rFonts w:eastAsia="Calibri"/>
        </w:rPr>
        <w:t xml:space="preserve"> run is not adequate.</w:t>
      </w:r>
    </w:p>
    <w:p w14:paraId="0A34742F" w14:textId="27432A36" w:rsidR="008817D0" w:rsidRPr="008817D0" w:rsidRDefault="008817D0">
      <w:pPr>
        <w:spacing w:after="240" w:line="300" w:lineRule="auto"/>
        <w:rPr>
          <w:rFonts w:eastAsia="Calibri"/>
        </w:rPr>
      </w:pPr>
      <w:r w:rsidRPr="008817D0">
        <w:rPr>
          <w:rFonts w:eastAsia="Calibri"/>
        </w:rPr>
        <w:t>RTCD produces an optimized set of Disp</w:t>
      </w:r>
      <w:r w:rsidR="00C81814">
        <w:rPr>
          <w:rFonts w:eastAsia="Calibri"/>
        </w:rPr>
        <w:t>atch Instructions for a single five</w:t>
      </w:r>
      <w:r w:rsidRPr="008817D0">
        <w:rPr>
          <w:rFonts w:eastAsia="Calibri"/>
        </w:rPr>
        <w:t>-minute Dispatch Interval for</w:t>
      </w:r>
      <w:r w:rsidR="005F24C1">
        <w:rPr>
          <w:rFonts w:eastAsia="Calibri"/>
        </w:rPr>
        <w:t xml:space="preserve"> WEIM </w:t>
      </w:r>
      <w:r w:rsidRPr="008817D0">
        <w:rPr>
          <w:rFonts w:eastAsia="Calibri"/>
        </w:rPr>
        <w:t>Entity BAA. It is possible that Dispatch Instructions are iss</w:t>
      </w:r>
      <w:r w:rsidR="00C81814">
        <w:rPr>
          <w:rFonts w:eastAsia="Calibri"/>
        </w:rPr>
        <w:t>ued more than once in the same five</w:t>
      </w:r>
      <w:r w:rsidRPr="008817D0">
        <w:rPr>
          <w:rFonts w:eastAsia="Calibri"/>
        </w:rPr>
        <w:t>-minute I</w:t>
      </w:r>
      <w:r w:rsidR="004F6C0A">
        <w:rPr>
          <w:rFonts w:eastAsia="Calibri"/>
        </w:rPr>
        <w:t>nterval, once from RTED and</w:t>
      </w:r>
      <w:r w:rsidRPr="008817D0">
        <w:rPr>
          <w:rFonts w:eastAsia="Calibri"/>
        </w:rPr>
        <w:t xml:space="preserve"> later from RTCD. Resources must respond to RTCD Dispatch Instructions as soon as possible.  The Dispatch Instructions from RTCD override any previously issued Dispatch Instructions from RTED.</w:t>
      </w:r>
    </w:p>
    <w:p w14:paraId="1959F3A3" w14:textId="77777777" w:rsidR="008817D0" w:rsidRPr="008817D0" w:rsidRDefault="008817D0" w:rsidP="00C33762">
      <w:pPr>
        <w:pStyle w:val="Heading4"/>
        <w:rPr>
          <w:rFonts w:eastAsia="Calibri"/>
        </w:rPr>
      </w:pPr>
      <w:r w:rsidRPr="008817D0">
        <w:rPr>
          <w:rFonts w:eastAsia="Calibri"/>
        </w:rPr>
        <w:t>In the Event of a Contingency in CAISO</w:t>
      </w:r>
    </w:p>
    <w:p w14:paraId="2AE46F69" w14:textId="2B817116" w:rsidR="008817D0" w:rsidRPr="008817D0" w:rsidRDefault="001848B6" w:rsidP="00E80005">
      <w:pPr>
        <w:numPr>
          <w:ilvl w:val="0"/>
          <w:numId w:val="27"/>
        </w:numPr>
        <w:rPr>
          <w:rFonts w:eastAsia="Calibri"/>
        </w:rPr>
      </w:pPr>
      <w:r w:rsidRPr="008817D0">
        <w:rPr>
          <w:rFonts w:eastAsia="Calibri"/>
        </w:rPr>
        <w:t>RT</w:t>
      </w:r>
      <w:r>
        <w:rPr>
          <w:rFonts w:eastAsia="Calibri"/>
        </w:rPr>
        <w:t>CD</w:t>
      </w:r>
      <w:r w:rsidRPr="008817D0">
        <w:rPr>
          <w:rFonts w:eastAsia="Calibri"/>
        </w:rPr>
        <w:t xml:space="preserve"> </w:t>
      </w:r>
      <w:r w:rsidR="008817D0" w:rsidRPr="008817D0">
        <w:rPr>
          <w:rFonts w:eastAsia="Calibri"/>
        </w:rPr>
        <w:t>shall isolate the CAISO BAA from the rest of the</w:t>
      </w:r>
      <w:r w:rsidR="005F24C1">
        <w:rPr>
          <w:rFonts w:eastAsia="Calibri"/>
        </w:rPr>
        <w:t xml:space="preserve"> WEIM </w:t>
      </w:r>
      <w:r w:rsidR="008817D0" w:rsidRPr="008817D0">
        <w:rPr>
          <w:rFonts w:eastAsia="Calibri"/>
        </w:rPr>
        <w:t>Area by</w:t>
      </w:r>
      <w:r w:rsidR="00C81814">
        <w:rPr>
          <w:rFonts w:eastAsia="Calibri"/>
        </w:rPr>
        <w:t xml:space="preserve"> </w:t>
      </w:r>
      <w:r w:rsidR="0028240E">
        <w:rPr>
          <w:rFonts w:eastAsia="Calibri"/>
        </w:rPr>
        <w:t xml:space="preserve">fixing </w:t>
      </w:r>
      <w:r w:rsidR="008817D0" w:rsidRPr="008817D0">
        <w:rPr>
          <w:rFonts w:eastAsia="Calibri"/>
        </w:rPr>
        <w:t>the</w:t>
      </w:r>
      <w:r w:rsidR="005F24C1">
        <w:rPr>
          <w:rFonts w:eastAsia="Calibri"/>
        </w:rPr>
        <w:t xml:space="preserve"> WEIM </w:t>
      </w:r>
      <w:r w:rsidR="008817D0" w:rsidRPr="008817D0">
        <w:rPr>
          <w:rFonts w:eastAsia="Calibri"/>
        </w:rPr>
        <w:t>Transfer between the CAISO BAA and the</w:t>
      </w:r>
      <w:r w:rsidR="005F24C1">
        <w:rPr>
          <w:rFonts w:eastAsia="Calibri"/>
        </w:rPr>
        <w:t xml:space="preserve"> WEIM </w:t>
      </w:r>
      <w:r w:rsidR="008817D0" w:rsidRPr="008817D0">
        <w:rPr>
          <w:rFonts w:eastAsia="Calibri"/>
        </w:rPr>
        <w:t>Entity BAAs at</w:t>
      </w:r>
      <w:r w:rsidR="00C81814">
        <w:rPr>
          <w:rFonts w:eastAsia="Calibri"/>
        </w:rPr>
        <w:t xml:space="preserve"> the</w:t>
      </w:r>
      <w:r w:rsidR="008817D0" w:rsidRPr="008817D0">
        <w:rPr>
          <w:rFonts w:eastAsia="Calibri"/>
        </w:rPr>
        <w:t xml:space="preserve"> last</w:t>
      </w:r>
      <w:r w:rsidR="00345FC4">
        <w:rPr>
          <w:rFonts w:eastAsia="Calibri"/>
        </w:rPr>
        <w:t xml:space="preserve"> non-contingency market solution for</w:t>
      </w:r>
      <w:r w:rsidR="008817D0" w:rsidRPr="008817D0">
        <w:rPr>
          <w:rFonts w:eastAsia="Calibri"/>
        </w:rPr>
        <w:t xml:space="preserve"> binding</w:t>
      </w:r>
      <w:r w:rsidR="00345FC4">
        <w:rPr>
          <w:rFonts w:eastAsia="Calibri"/>
        </w:rPr>
        <w:t xml:space="preserve"> and advisory intervals. </w:t>
      </w:r>
    </w:p>
    <w:p w14:paraId="1892D5A8" w14:textId="6713626B" w:rsidR="008817D0" w:rsidRPr="00B94F9D" w:rsidRDefault="00197473" w:rsidP="00E80005">
      <w:pPr>
        <w:numPr>
          <w:ilvl w:val="0"/>
          <w:numId w:val="27"/>
        </w:numPr>
        <w:rPr>
          <w:rFonts w:eastAsia="Calibri"/>
        </w:rPr>
      </w:pPr>
      <w:r>
        <w:rPr>
          <w:rFonts w:eastAsia="Calibri"/>
        </w:rPr>
        <w:t>The</w:t>
      </w:r>
      <w:r w:rsidR="008817D0" w:rsidRPr="008817D0">
        <w:rPr>
          <w:rFonts w:eastAsia="Calibri"/>
        </w:rPr>
        <w:t xml:space="preserve"> prior advisory interval results for</w:t>
      </w:r>
      <w:r w:rsidR="005F24C1">
        <w:rPr>
          <w:rFonts w:eastAsia="Calibri"/>
        </w:rPr>
        <w:t xml:space="preserve"> WEIM </w:t>
      </w:r>
      <w:r w:rsidR="008817D0" w:rsidRPr="008817D0">
        <w:rPr>
          <w:rFonts w:eastAsia="Calibri"/>
        </w:rPr>
        <w:t xml:space="preserve">Participating Resources </w:t>
      </w:r>
      <w:r w:rsidRPr="00197473">
        <w:rPr>
          <w:rFonts w:eastAsia="Calibri"/>
        </w:rPr>
        <w:t xml:space="preserve">from the last RTD run prior to the contingency event are used </w:t>
      </w:r>
      <w:r w:rsidR="008817D0" w:rsidRPr="008817D0">
        <w:rPr>
          <w:rFonts w:eastAsia="Calibri"/>
        </w:rPr>
        <w:t>while RTCD or RTDD is invoked for CAISO</w:t>
      </w:r>
      <w:r w:rsidR="00B81BC1" w:rsidRPr="00FA595A">
        <w:rPr>
          <w:rFonts w:cs="Arial"/>
        </w:rPr>
        <w:t>, unless curtailments of the</w:t>
      </w:r>
      <w:r w:rsidR="005F24C1">
        <w:rPr>
          <w:rFonts w:cs="Arial"/>
        </w:rPr>
        <w:t xml:space="preserve"> WEIM </w:t>
      </w:r>
      <w:r w:rsidR="00B81BC1" w:rsidRPr="00FA595A">
        <w:rPr>
          <w:rFonts w:cs="Arial"/>
        </w:rPr>
        <w:t>Transfer have occurred. In this case, the</w:t>
      </w:r>
      <w:r w:rsidR="005F24C1">
        <w:rPr>
          <w:rFonts w:cs="Arial"/>
        </w:rPr>
        <w:t xml:space="preserve"> WEIM </w:t>
      </w:r>
      <w:r w:rsidR="00B81BC1" w:rsidRPr="00FA595A">
        <w:rPr>
          <w:rFonts w:cs="Arial"/>
        </w:rPr>
        <w:t>Transfer will be capped at the minimum of the curtailed limit or the advisory dispatch from the last non-contingency market solution for the duration of the contingency status</w:t>
      </w:r>
      <w:r w:rsidR="008817D0" w:rsidRPr="00B94F9D">
        <w:rPr>
          <w:rFonts w:eastAsia="Calibri"/>
        </w:rPr>
        <w:t xml:space="preserve">. </w:t>
      </w:r>
      <w:r w:rsidR="00B81BC1" w:rsidRPr="00B94F9D">
        <w:rPr>
          <w:rFonts w:eastAsia="Calibri"/>
        </w:rPr>
        <w:t xml:space="preserve">The </w:t>
      </w:r>
      <w:r w:rsidR="008817D0" w:rsidRPr="00B94F9D">
        <w:rPr>
          <w:rFonts w:eastAsia="Calibri"/>
        </w:rPr>
        <w:t>advisory results come from the last R</w:t>
      </w:r>
      <w:r w:rsidR="00C81814" w:rsidRPr="00B94F9D">
        <w:rPr>
          <w:rFonts w:eastAsia="Calibri"/>
        </w:rPr>
        <w:t xml:space="preserve">TD before the contingency event, </w:t>
      </w:r>
      <w:r w:rsidR="008817D0" w:rsidRPr="00B94F9D">
        <w:rPr>
          <w:rFonts w:eastAsia="Calibri"/>
        </w:rPr>
        <w:t xml:space="preserve">and shall be sent through </w:t>
      </w:r>
      <w:r w:rsidR="00545056" w:rsidRPr="00B94F9D">
        <w:rPr>
          <w:rFonts w:eastAsia="Calibri"/>
        </w:rPr>
        <w:t>the Automatic Dispatching System (</w:t>
      </w:r>
      <w:r w:rsidR="008817D0" w:rsidRPr="00B94F9D">
        <w:rPr>
          <w:rFonts w:eastAsia="Calibri"/>
        </w:rPr>
        <w:t>ADS</w:t>
      </w:r>
      <w:r w:rsidR="00545056" w:rsidRPr="00B94F9D">
        <w:rPr>
          <w:rFonts w:eastAsia="Calibri"/>
        </w:rPr>
        <w:t>)</w:t>
      </w:r>
      <w:r w:rsidR="008817D0" w:rsidRPr="00B94F9D">
        <w:rPr>
          <w:rFonts w:eastAsia="Calibri"/>
        </w:rPr>
        <w:t>.</w:t>
      </w:r>
    </w:p>
    <w:p w14:paraId="541B3E95" w14:textId="77777777" w:rsidR="008817D0" w:rsidRPr="008817D0" w:rsidRDefault="008817D0" w:rsidP="00E80005">
      <w:pPr>
        <w:numPr>
          <w:ilvl w:val="0"/>
          <w:numId w:val="27"/>
        </w:numPr>
        <w:rPr>
          <w:rFonts w:eastAsia="Calibri"/>
        </w:rPr>
      </w:pPr>
      <w:r w:rsidRPr="008817D0">
        <w:rPr>
          <w:rFonts w:eastAsia="Calibri"/>
        </w:rPr>
        <w:t>This process will persist for the duration of the contingency status until RTD runs are reinstated.</w:t>
      </w:r>
    </w:p>
    <w:p w14:paraId="343CCEF1" w14:textId="77777777" w:rsidR="008817D0" w:rsidRPr="008817D0" w:rsidRDefault="00C81814" w:rsidP="00E80005">
      <w:pPr>
        <w:numPr>
          <w:ilvl w:val="0"/>
          <w:numId w:val="27"/>
        </w:numPr>
        <w:rPr>
          <w:rFonts w:eastAsia="Calibri"/>
        </w:rPr>
      </w:pPr>
      <w:r>
        <w:rPr>
          <w:rFonts w:eastAsia="Calibri"/>
        </w:rPr>
        <w:lastRenderedPageBreak/>
        <w:t xml:space="preserve">The contingency </w:t>
      </w:r>
      <w:r w:rsidR="008817D0" w:rsidRPr="008817D0">
        <w:rPr>
          <w:rFonts w:eastAsia="Calibri"/>
        </w:rPr>
        <w:t>dispatch instructions for CAISO internal or CAISO dynamic resources shall be sent through ADS normally.</w:t>
      </w:r>
    </w:p>
    <w:p w14:paraId="1BDBD436" w14:textId="77777777" w:rsidR="008817D0" w:rsidRPr="005860DE" w:rsidRDefault="008817D0" w:rsidP="00E80005">
      <w:pPr>
        <w:numPr>
          <w:ilvl w:val="0"/>
          <w:numId w:val="27"/>
        </w:numPr>
        <w:rPr>
          <w:rFonts w:eastAsia="Calibri"/>
        </w:rPr>
      </w:pPr>
      <w:r w:rsidRPr="008817D0">
        <w:rPr>
          <w:rFonts w:eastAsia="Calibri"/>
        </w:rPr>
        <w:t>Any contingency reserves dispatched in RTCD/RTDD from Intertie Resources shall be included in the CAISO BAA N</w:t>
      </w:r>
      <w:r w:rsidR="00C51A2E">
        <w:rPr>
          <w:rFonts w:eastAsia="Calibri"/>
        </w:rPr>
        <w:t>et Scheduled Interchange</w:t>
      </w:r>
      <w:r w:rsidRPr="008817D0">
        <w:rPr>
          <w:rFonts w:eastAsia="Calibri"/>
        </w:rPr>
        <w:t>.</w:t>
      </w:r>
    </w:p>
    <w:p w14:paraId="5B68DB3B" w14:textId="4EBFA474" w:rsidR="008817D0" w:rsidRPr="008817D0" w:rsidRDefault="008817D0" w:rsidP="00C33762">
      <w:pPr>
        <w:pStyle w:val="Heading4"/>
        <w:rPr>
          <w:rFonts w:eastAsia="Calibri"/>
        </w:rPr>
      </w:pPr>
      <w:r w:rsidRPr="008817D0">
        <w:rPr>
          <w:rFonts w:eastAsia="Calibri"/>
        </w:rPr>
        <w:t xml:space="preserve">In the Event of a Contingency in </w:t>
      </w:r>
      <w:r w:rsidR="00153940">
        <w:rPr>
          <w:rFonts w:eastAsia="Calibri"/>
        </w:rPr>
        <w:t>a WEIM</w:t>
      </w:r>
      <w:r w:rsidR="005F24C1">
        <w:rPr>
          <w:rFonts w:eastAsia="Calibri"/>
        </w:rPr>
        <w:t xml:space="preserve"> </w:t>
      </w:r>
      <w:r w:rsidRPr="008817D0">
        <w:rPr>
          <w:rFonts w:eastAsia="Calibri"/>
        </w:rPr>
        <w:t xml:space="preserve">Entity Area </w:t>
      </w:r>
    </w:p>
    <w:p w14:paraId="60AF4870" w14:textId="218C5E8D" w:rsidR="008817D0" w:rsidRPr="008817D0" w:rsidRDefault="008817D0" w:rsidP="008817D0">
      <w:pPr>
        <w:spacing w:after="240" w:line="300" w:lineRule="auto"/>
        <w:rPr>
          <w:rFonts w:eastAsia="Calibri"/>
        </w:rPr>
      </w:pPr>
      <w:r w:rsidRPr="008817D0">
        <w:rPr>
          <w:rFonts w:eastAsia="Calibri"/>
        </w:rPr>
        <w:t xml:space="preserve">Contingencies in </w:t>
      </w:r>
      <w:r w:rsidR="00153940">
        <w:rPr>
          <w:rFonts w:eastAsia="Calibri"/>
        </w:rPr>
        <w:t>a WEIM</w:t>
      </w:r>
      <w:r w:rsidR="005F24C1">
        <w:rPr>
          <w:rFonts w:eastAsia="Calibri"/>
        </w:rPr>
        <w:t xml:space="preserve"> </w:t>
      </w:r>
      <w:r w:rsidR="004A54C4">
        <w:rPr>
          <w:rFonts w:eastAsia="Calibri"/>
        </w:rPr>
        <w:t>E</w:t>
      </w:r>
      <w:r w:rsidR="00AB2354" w:rsidRPr="008817D0">
        <w:rPr>
          <w:rFonts w:eastAsia="Calibri"/>
        </w:rPr>
        <w:t>ntity</w:t>
      </w:r>
      <w:r w:rsidRPr="008817D0">
        <w:rPr>
          <w:rFonts w:eastAsia="Calibri"/>
        </w:rPr>
        <w:t xml:space="preserve"> area are gene</w:t>
      </w:r>
      <w:r w:rsidR="004A54C4">
        <w:rPr>
          <w:rFonts w:eastAsia="Calibri"/>
        </w:rPr>
        <w:t>rally handled by that</w:t>
      </w:r>
      <w:r w:rsidR="005F24C1">
        <w:rPr>
          <w:rFonts w:eastAsia="Calibri"/>
        </w:rPr>
        <w:t xml:space="preserve"> WEIM </w:t>
      </w:r>
      <w:r w:rsidR="004A54C4">
        <w:rPr>
          <w:rFonts w:eastAsia="Calibri"/>
        </w:rPr>
        <w:t>E</w:t>
      </w:r>
      <w:r w:rsidR="00C81814">
        <w:rPr>
          <w:rFonts w:eastAsia="Calibri"/>
        </w:rPr>
        <w:t>ntit</w:t>
      </w:r>
      <w:r w:rsidRPr="008817D0">
        <w:rPr>
          <w:rFonts w:eastAsia="Calibri"/>
        </w:rPr>
        <w:t>y</w:t>
      </w:r>
      <w:r w:rsidR="004A54C4">
        <w:rPr>
          <w:rFonts w:eastAsia="Calibri"/>
        </w:rPr>
        <w:t>, since the</w:t>
      </w:r>
      <w:r w:rsidR="005F24C1">
        <w:rPr>
          <w:rFonts w:eastAsia="Calibri"/>
        </w:rPr>
        <w:t xml:space="preserve"> WEIM </w:t>
      </w:r>
      <w:r w:rsidR="004A54C4">
        <w:rPr>
          <w:rFonts w:eastAsia="Calibri"/>
        </w:rPr>
        <w:t>E</w:t>
      </w:r>
      <w:r w:rsidRPr="008817D0">
        <w:rPr>
          <w:rFonts w:eastAsia="Calibri"/>
        </w:rPr>
        <w:t>ntity manages their own operating reserves.  Thus RTCD will not be used in this case.  However</w:t>
      </w:r>
      <w:r w:rsidR="00F06452">
        <w:rPr>
          <w:rFonts w:eastAsia="Calibri"/>
        </w:rPr>
        <w:t>, the regular market systems, RTUC and RTD,</w:t>
      </w:r>
      <w:r w:rsidRPr="008817D0">
        <w:rPr>
          <w:rFonts w:eastAsia="Calibri"/>
        </w:rPr>
        <w:t xml:space="preserve"> will adjust available resources within the affected area to help manage the contingency situation.</w:t>
      </w:r>
    </w:p>
    <w:p w14:paraId="6816C7EA" w14:textId="71F85E46" w:rsidR="00A57C6B" w:rsidRPr="008817D0" w:rsidRDefault="008817D0" w:rsidP="00E80005">
      <w:pPr>
        <w:numPr>
          <w:ilvl w:val="0"/>
          <w:numId w:val="28"/>
        </w:numPr>
        <w:spacing w:after="240" w:line="300" w:lineRule="auto"/>
        <w:rPr>
          <w:rFonts w:eastAsia="Calibri"/>
        </w:rPr>
      </w:pPr>
      <w:r w:rsidRPr="008817D0">
        <w:rPr>
          <w:rFonts w:eastAsia="Calibri"/>
        </w:rPr>
        <w:t>In the event of a contingency, the</w:t>
      </w:r>
      <w:r w:rsidR="005F24C1">
        <w:rPr>
          <w:rFonts w:eastAsia="Calibri"/>
        </w:rPr>
        <w:t xml:space="preserve"> WEIM </w:t>
      </w:r>
      <w:r w:rsidRPr="008817D0">
        <w:rPr>
          <w:rFonts w:eastAsia="Calibri"/>
        </w:rPr>
        <w:t xml:space="preserve">Entity Operator will electronically communicate the </w:t>
      </w:r>
      <w:r w:rsidR="00AB2354" w:rsidRPr="008817D0">
        <w:rPr>
          <w:rFonts w:eastAsia="Calibri"/>
        </w:rPr>
        <w:t>contingency</w:t>
      </w:r>
      <w:r w:rsidR="00B539B0">
        <w:rPr>
          <w:rFonts w:eastAsia="Calibri"/>
        </w:rPr>
        <w:t xml:space="preserve"> status to RTM.</w:t>
      </w:r>
    </w:p>
    <w:p w14:paraId="4D005312" w14:textId="4AEB8D8A" w:rsidR="008817D0" w:rsidRPr="006951C4" w:rsidRDefault="00197473" w:rsidP="00E80005">
      <w:pPr>
        <w:numPr>
          <w:ilvl w:val="0"/>
          <w:numId w:val="28"/>
        </w:numPr>
        <w:spacing w:after="240" w:line="300" w:lineRule="auto"/>
        <w:rPr>
          <w:rFonts w:eastAsia="Calibri"/>
        </w:rPr>
      </w:pPr>
      <w:r w:rsidRPr="00197473">
        <w:rPr>
          <w:rFonts w:eastAsia="Calibri"/>
        </w:rPr>
        <w:t>The net transfers into the</w:t>
      </w:r>
      <w:r w:rsidR="005F24C1">
        <w:rPr>
          <w:rFonts w:eastAsia="Calibri"/>
        </w:rPr>
        <w:t xml:space="preserve"> WEIM </w:t>
      </w:r>
      <w:r w:rsidRPr="00197473">
        <w:rPr>
          <w:rFonts w:eastAsia="Calibri"/>
        </w:rPr>
        <w:t>BAA with the contingency event are not optimized by the real-time market. RTD will only optimize the internal participating resources of the</w:t>
      </w:r>
      <w:r w:rsidR="005F24C1">
        <w:rPr>
          <w:rFonts w:eastAsia="Calibri"/>
        </w:rPr>
        <w:t xml:space="preserve"> WEIM </w:t>
      </w:r>
      <w:r w:rsidRPr="00197473">
        <w:rPr>
          <w:rFonts w:eastAsia="Calibri"/>
        </w:rPr>
        <w:t>BAA. The net</w:t>
      </w:r>
      <w:r w:rsidR="005F24C1">
        <w:rPr>
          <w:rFonts w:eastAsia="Calibri"/>
        </w:rPr>
        <w:t xml:space="preserve"> WEIM </w:t>
      </w:r>
      <w:r w:rsidRPr="00197473">
        <w:rPr>
          <w:rFonts w:eastAsia="Calibri"/>
        </w:rPr>
        <w:t>transfers into the BAA are set during each RTD run, to the results of the solved advisory RTD solution prior to the balancing authority area entering into contingency operations. Should the contingency operation extend beyond the advisory horizon of the last pre-contingency RTD run, the net</w:t>
      </w:r>
      <w:r w:rsidR="005F24C1">
        <w:rPr>
          <w:rFonts w:eastAsia="Calibri"/>
        </w:rPr>
        <w:t xml:space="preserve"> WEIM </w:t>
      </w:r>
      <w:r w:rsidRPr="00197473">
        <w:rPr>
          <w:rFonts w:eastAsia="Calibri"/>
        </w:rPr>
        <w:t>transfers will still be retained as the last solved advisory RTD result.</w:t>
      </w:r>
      <w:r>
        <w:rPr>
          <w:rFonts w:eastAsia="Calibri"/>
        </w:rPr>
        <w:t xml:space="preserve"> </w:t>
      </w:r>
      <w:r w:rsidR="00345FC4" w:rsidRPr="006951C4">
        <w:rPr>
          <w:rFonts w:eastAsia="Calibri"/>
        </w:rPr>
        <w:t xml:space="preserve"> </w:t>
      </w:r>
    </w:p>
    <w:p w14:paraId="207FA512" w14:textId="5CD9A91C" w:rsidR="008817D0" w:rsidRPr="008817D0" w:rsidRDefault="008817D0" w:rsidP="00E80005">
      <w:pPr>
        <w:numPr>
          <w:ilvl w:val="0"/>
          <w:numId w:val="28"/>
        </w:numPr>
        <w:spacing w:after="240" w:line="300" w:lineRule="auto"/>
        <w:rPr>
          <w:rFonts w:eastAsia="Calibri"/>
        </w:rPr>
      </w:pPr>
      <w:r w:rsidRPr="008817D0">
        <w:rPr>
          <w:rFonts w:eastAsia="Calibri"/>
        </w:rPr>
        <w:t>The contingency flag of the</w:t>
      </w:r>
      <w:r w:rsidR="005F24C1">
        <w:rPr>
          <w:rFonts w:eastAsia="Calibri"/>
        </w:rPr>
        <w:t xml:space="preserve"> WEIM </w:t>
      </w:r>
      <w:r w:rsidRPr="008817D0">
        <w:rPr>
          <w:rFonts w:eastAsia="Calibri"/>
        </w:rPr>
        <w:t>Entity BAA shall be published through ADS.</w:t>
      </w:r>
    </w:p>
    <w:p w14:paraId="5BEC5A9C" w14:textId="0109BCDE" w:rsidR="008817D0" w:rsidRPr="008817D0" w:rsidRDefault="008817D0" w:rsidP="00E80005">
      <w:pPr>
        <w:numPr>
          <w:ilvl w:val="0"/>
          <w:numId w:val="28"/>
        </w:numPr>
        <w:spacing w:after="240" w:line="300" w:lineRule="auto"/>
        <w:rPr>
          <w:rFonts w:eastAsia="Calibri"/>
        </w:rPr>
      </w:pPr>
      <w:r w:rsidRPr="008817D0">
        <w:rPr>
          <w:rFonts w:eastAsia="Calibri"/>
        </w:rPr>
        <w:t>The</w:t>
      </w:r>
      <w:r w:rsidR="005F24C1">
        <w:rPr>
          <w:rFonts w:eastAsia="Calibri"/>
        </w:rPr>
        <w:t xml:space="preserve"> WEIM </w:t>
      </w:r>
      <w:r w:rsidRPr="008817D0">
        <w:rPr>
          <w:rFonts w:eastAsia="Calibri"/>
        </w:rPr>
        <w:t>Entity Operator for the</w:t>
      </w:r>
      <w:r w:rsidR="005F24C1">
        <w:rPr>
          <w:rFonts w:eastAsia="Calibri"/>
        </w:rPr>
        <w:t xml:space="preserve"> WEIM </w:t>
      </w:r>
      <w:r w:rsidRPr="008817D0">
        <w:rPr>
          <w:rFonts w:eastAsia="Calibri"/>
        </w:rPr>
        <w:t>Entity BAA that is under contingency may dispatch manually contingency reserves from resources (participating or not) in the BAA or Interchanges through interties with other BAAs outside the</w:t>
      </w:r>
      <w:r w:rsidR="005F24C1">
        <w:rPr>
          <w:rFonts w:eastAsia="Calibri"/>
        </w:rPr>
        <w:t xml:space="preserve"> WEIM </w:t>
      </w:r>
      <w:r w:rsidRPr="008817D0">
        <w:rPr>
          <w:rFonts w:eastAsia="Calibri"/>
        </w:rPr>
        <w:t>Area; these manual dispatch in</w:t>
      </w:r>
      <w:r w:rsidR="00B406F1">
        <w:rPr>
          <w:rFonts w:eastAsia="Calibri"/>
        </w:rPr>
        <w:t xml:space="preserve">structions must be sent to RTM.  </w:t>
      </w:r>
      <w:r w:rsidRPr="008817D0">
        <w:rPr>
          <w:rFonts w:eastAsia="Calibri"/>
        </w:rPr>
        <w:t>Any interchange schedules changes shall be included in the</w:t>
      </w:r>
      <w:r w:rsidR="005F24C1">
        <w:rPr>
          <w:rFonts w:eastAsia="Calibri"/>
        </w:rPr>
        <w:t xml:space="preserve"> WEIM </w:t>
      </w:r>
      <w:r w:rsidRPr="008817D0">
        <w:rPr>
          <w:rFonts w:eastAsia="Calibri"/>
        </w:rPr>
        <w:t>Entity BAA NSI.</w:t>
      </w:r>
    </w:p>
    <w:p w14:paraId="155CFFEC" w14:textId="10F43D96" w:rsidR="008817D0" w:rsidRDefault="008817D0" w:rsidP="00E80005">
      <w:pPr>
        <w:numPr>
          <w:ilvl w:val="0"/>
          <w:numId w:val="28"/>
        </w:numPr>
        <w:spacing w:after="240" w:line="300" w:lineRule="auto"/>
        <w:rPr>
          <w:rFonts w:eastAsia="Calibri"/>
        </w:rPr>
      </w:pPr>
      <w:r w:rsidRPr="008817D0">
        <w:rPr>
          <w:rFonts w:eastAsia="Calibri"/>
        </w:rPr>
        <w:t>RTD shall be run with the latest operating conditions and any manual dispatch instruct</w:t>
      </w:r>
      <w:r w:rsidR="004A54C4">
        <w:rPr>
          <w:rFonts w:eastAsia="Calibri"/>
        </w:rPr>
        <w:t>ions.  Within the affected</w:t>
      </w:r>
      <w:r w:rsidR="005F24C1">
        <w:rPr>
          <w:rFonts w:eastAsia="Calibri"/>
        </w:rPr>
        <w:t xml:space="preserve"> WEIM </w:t>
      </w:r>
      <w:r w:rsidR="004A54C4">
        <w:rPr>
          <w:rFonts w:eastAsia="Calibri"/>
        </w:rPr>
        <w:t>E</w:t>
      </w:r>
      <w:r w:rsidRPr="008817D0">
        <w:rPr>
          <w:rFonts w:eastAsia="Calibri"/>
        </w:rPr>
        <w:t xml:space="preserve">ntity area, RTD will adjust available resources and manually dispatched resources in order to help manage the contingency event. </w:t>
      </w:r>
    </w:p>
    <w:p w14:paraId="55A103F2" w14:textId="564E58EA" w:rsidR="000F0531" w:rsidRPr="00CC346B" w:rsidRDefault="000F0531" w:rsidP="00E80005">
      <w:pPr>
        <w:numPr>
          <w:ilvl w:val="0"/>
          <w:numId w:val="28"/>
        </w:numPr>
        <w:spacing w:after="240" w:line="300" w:lineRule="auto"/>
      </w:pPr>
      <w:r w:rsidRPr="00CC346B">
        <w:lastRenderedPageBreak/>
        <w:t>RTD/RTPD will set and broadcast Flex Ramp UP and Flex Ramp Down requirements to zero in the</w:t>
      </w:r>
      <w:r w:rsidR="005F24C1">
        <w:t xml:space="preserve"> WEIM </w:t>
      </w:r>
      <w:r w:rsidRPr="00CC346B">
        <w:t>BAA(s) undergoing contingency.</w:t>
      </w:r>
    </w:p>
    <w:p w14:paraId="1D213D86" w14:textId="5ED741F2" w:rsidR="000F0531" w:rsidRPr="00CC346B" w:rsidRDefault="000F0531" w:rsidP="00E80005">
      <w:pPr>
        <w:numPr>
          <w:ilvl w:val="0"/>
          <w:numId w:val="28"/>
        </w:numPr>
        <w:spacing w:after="240" w:line="300" w:lineRule="auto"/>
      </w:pPr>
      <w:r w:rsidRPr="00CC346B">
        <w:t xml:space="preserve">RTD/RTPD will not </w:t>
      </w:r>
      <w:r w:rsidR="00197473">
        <w:t>procure</w:t>
      </w:r>
      <w:r w:rsidR="00197473" w:rsidRPr="00CC346B">
        <w:t xml:space="preserve"> </w:t>
      </w:r>
      <w:r w:rsidRPr="00CC346B">
        <w:t>any Flex Ramp UP and Flex Ramp Down awards from the</w:t>
      </w:r>
      <w:r w:rsidR="005F24C1">
        <w:t xml:space="preserve"> WEIM </w:t>
      </w:r>
      <w:r w:rsidRPr="00CC346B">
        <w:t xml:space="preserve">BAA(s) undergoing contingency. </w:t>
      </w:r>
    </w:p>
    <w:p w14:paraId="1F41F2A8" w14:textId="56ABC210" w:rsidR="000F0531" w:rsidRPr="00CC346B" w:rsidRDefault="000F0531" w:rsidP="00E80005">
      <w:pPr>
        <w:numPr>
          <w:ilvl w:val="0"/>
          <w:numId w:val="28"/>
        </w:numPr>
        <w:spacing w:after="240" w:line="300" w:lineRule="auto"/>
      </w:pPr>
      <w:r w:rsidRPr="00CC346B">
        <w:t>RTD/RTPD will subtract the Flex Ramp Up requirements from the</w:t>
      </w:r>
      <w:r w:rsidR="005F24C1">
        <w:t xml:space="preserve"> WEIM </w:t>
      </w:r>
      <w:r w:rsidRPr="00CC346B">
        <w:t>BAA(s) undergoing contingency with pro rata diversity factor from the overall</w:t>
      </w:r>
      <w:r w:rsidR="005F24C1">
        <w:t xml:space="preserve"> WEIM </w:t>
      </w:r>
      <w:r w:rsidRPr="00CC346B">
        <w:t>area requirement, such that the adjusted</w:t>
      </w:r>
      <w:r w:rsidR="005F24C1">
        <w:t xml:space="preserve"> WEIM </w:t>
      </w:r>
      <w:r w:rsidRPr="00CC346B">
        <w:t>area’s Flex Ramp UP and Flex Ramp Down requirement with one or more</w:t>
      </w:r>
      <w:r w:rsidR="005F24C1">
        <w:t xml:space="preserve"> WEIM </w:t>
      </w:r>
      <w:r w:rsidRPr="00CC346B">
        <w:t>BAA undergoing contingency is:</w:t>
      </w:r>
    </w:p>
    <w:p w14:paraId="4006DA9E" w14:textId="48E29D93" w:rsidR="000F0531" w:rsidRPr="00CC346B" w:rsidRDefault="000F0531" w:rsidP="005F7ABA">
      <w:pPr>
        <w:spacing w:after="240" w:line="300" w:lineRule="auto"/>
        <w:ind w:left="360" w:firstLine="720"/>
      </w:pPr>
      <w:r w:rsidRPr="00CC346B">
        <w:t>Adjusted</w:t>
      </w:r>
      <w:r w:rsidR="005F24C1">
        <w:t xml:space="preserve"> WEIM </w:t>
      </w:r>
      <w:r w:rsidRPr="00CC346B">
        <w:t>Area Requirement = max{M, [(Original</w:t>
      </w:r>
      <w:r w:rsidR="005F24C1">
        <w:t xml:space="preserve"> WEIM </w:t>
      </w:r>
      <w:r w:rsidRPr="00CC346B">
        <w:t>Area Requirement) – (Diversity Factor) * Σ(Original Requirement of BAAs under contingency)]}</w:t>
      </w:r>
    </w:p>
    <w:p w14:paraId="61FDB317" w14:textId="77777777" w:rsidR="000F0531" w:rsidRPr="00CC346B" w:rsidRDefault="000F0531" w:rsidP="005F7ABA">
      <w:pPr>
        <w:spacing w:after="240" w:line="300" w:lineRule="auto"/>
      </w:pPr>
      <w:r w:rsidRPr="00CC346B">
        <w:t>Where:</w:t>
      </w:r>
    </w:p>
    <w:p w14:paraId="5CCC756F" w14:textId="77777777" w:rsidR="000F0531" w:rsidRPr="00CC346B" w:rsidRDefault="000F0531" w:rsidP="005F7ABA">
      <w:pPr>
        <w:spacing w:after="240" w:line="300" w:lineRule="auto"/>
      </w:pPr>
      <w:r w:rsidRPr="00CC346B">
        <w:t>M = max(Original Requirement of BAAs without contingency)</w:t>
      </w:r>
    </w:p>
    <w:p w14:paraId="2AC21BBC" w14:textId="2224007E" w:rsidR="000F0531" w:rsidRPr="00CC346B" w:rsidRDefault="000F0531" w:rsidP="005F7ABA">
      <w:pPr>
        <w:spacing w:after="240" w:line="300" w:lineRule="auto"/>
      </w:pPr>
      <w:r w:rsidRPr="00CC346B">
        <w:t>Diversity Factor = (Original</w:t>
      </w:r>
      <w:r w:rsidR="005F24C1">
        <w:t xml:space="preserve"> WEIM </w:t>
      </w:r>
      <w:r w:rsidRPr="00CC346B">
        <w:t>Area Requirement) / Σ(Original BAA Requirement of all BAAs in the</w:t>
      </w:r>
      <w:r w:rsidR="005F24C1">
        <w:t xml:space="preserve"> WEIM </w:t>
      </w:r>
      <w:r w:rsidRPr="00CC346B">
        <w:t>Area)</w:t>
      </w:r>
    </w:p>
    <w:p w14:paraId="43E3C3A4" w14:textId="1A53EADC" w:rsidR="000F0531" w:rsidRPr="000F0531" w:rsidRDefault="000F0531" w:rsidP="00E80005">
      <w:pPr>
        <w:pStyle w:val="ListParagraph"/>
        <w:numPr>
          <w:ilvl w:val="0"/>
          <w:numId w:val="28"/>
        </w:numPr>
        <w:spacing w:after="240" w:line="300" w:lineRule="auto"/>
        <w:contextualSpacing/>
        <w:rPr>
          <w:rFonts w:eastAsia="Calibri"/>
        </w:rPr>
      </w:pPr>
      <w:r w:rsidRPr="000F0531">
        <w:rPr>
          <w:rFonts w:eastAsia="Calibri"/>
        </w:rPr>
        <w:t xml:space="preserve">Designated interval(s) in which </w:t>
      </w:r>
      <w:r w:rsidR="00153940">
        <w:rPr>
          <w:rFonts w:eastAsia="Calibri"/>
        </w:rPr>
        <w:t>a WEIM</w:t>
      </w:r>
      <w:r w:rsidR="005F24C1">
        <w:rPr>
          <w:rFonts w:eastAsia="Calibri"/>
        </w:rPr>
        <w:t xml:space="preserve"> </w:t>
      </w:r>
      <w:r w:rsidRPr="000F0531">
        <w:rPr>
          <w:rFonts w:eastAsia="Calibri"/>
        </w:rPr>
        <w:t>BAA(s) experienced a contingency event will be published on OASIS.</w:t>
      </w:r>
    </w:p>
    <w:p w14:paraId="2BD2ADC5" w14:textId="1761356D" w:rsidR="008817D0" w:rsidRDefault="008817D0">
      <w:pPr>
        <w:spacing w:after="240" w:line="300" w:lineRule="auto"/>
        <w:rPr>
          <w:rFonts w:eastAsia="Calibri"/>
        </w:rPr>
      </w:pPr>
      <w:r w:rsidRPr="008817D0">
        <w:rPr>
          <w:rFonts w:eastAsia="Calibri"/>
        </w:rPr>
        <w:t>For</w:t>
      </w:r>
      <w:r w:rsidR="005F24C1">
        <w:rPr>
          <w:rFonts w:eastAsia="Calibri"/>
        </w:rPr>
        <w:t xml:space="preserve"> WEIM </w:t>
      </w:r>
      <w:r w:rsidRPr="008817D0">
        <w:rPr>
          <w:rFonts w:eastAsia="Calibri"/>
        </w:rPr>
        <w:t>Entities that represent multiple</w:t>
      </w:r>
      <w:r w:rsidR="005F24C1">
        <w:rPr>
          <w:rFonts w:eastAsia="Calibri"/>
        </w:rPr>
        <w:t xml:space="preserve"> WEIM </w:t>
      </w:r>
      <w:r w:rsidRPr="008817D0">
        <w:rPr>
          <w:rFonts w:eastAsia="Calibri"/>
        </w:rPr>
        <w:t xml:space="preserve">Entity BAAs, the functionality described above </w:t>
      </w:r>
      <w:r w:rsidR="00AB2354">
        <w:rPr>
          <w:rFonts w:eastAsia="Calibri"/>
        </w:rPr>
        <w:t>is</w:t>
      </w:r>
      <w:r w:rsidRPr="008817D0">
        <w:rPr>
          <w:rFonts w:eastAsia="Calibri"/>
        </w:rPr>
        <w:t xml:space="preserve"> supported </w:t>
      </w:r>
      <w:r w:rsidR="007B5CB3">
        <w:rPr>
          <w:rFonts w:eastAsia="Calibri"/>
        </w:rPr>
        <w:t>for</w:t>
      </w:r>
      <w:r w:rsidR="007B5CB3" w:rsidRPr="008817D0">
        <w:rPr>
          <w:rFonts w:eastAsia="Calibri"/>
        </w:rPr>
        <w:t xml:space="preserve"> </w:t>
      </w:r>
      <w:r w:rsidRPr="008817D0">
        <w:rPr>
          <w:rFonts w:eastAsia="Calibri"/>
        </w:rPr>
        <w:t xml:space="preserve">the </w:t>
      </w:r>
      <w:r w:rsidR="007B5CB3">
        <w:rPr>
          <w:rFonts w:eastAsia="Calibri"/>
        </w:rPr>
        <w:t xml:space="preserve">individual </w:t>
      </w:r>
      <w:r w:rsidRPr="008817D0">
        <w:rPr>
          <w:rFonts w:eastAsia="Calibri"/>
        </w:rPr>
        <w:t>BAA.</w:t>
      </w:r>
    </w:p>
    <w:p w14:paraId="13D662ED" w14:textId="6F596B97" w:rsidR="00EE2BF7" w:rsidRPr="00EE2BF7" w:rsidRDefault="00EE2BF7" w:rsidP="00EE2BF7">
      <w:pPr>
        <w:pStyle w:val="Heading3"/>
      </w:pPr>
      <w:bookmarkStart w:id="1998" w:name="_Toc229054514"/>
      <w:r>
        <w:t>FMM Interchange Schedules based on RTSI</w:t>
      </w:r>
      <w:bookmarkEnd w:id="1998"/>
    </w:p>
    <w:p w14:paraId="358B5F67" w14:textId="77777777" w:rsidR="00EE2BF7" w:rsidRPr="0017711D" w:rsidRDefault="00EE2BF7" w:rsidP="005F7ABA">
      <w:pPr>
        <w:autoSpaceDE w:val="0"/>
        <w:autoSpaceDN w:val="0"/>
        <w:spacing w:after="0" w:line="240" w:lineRule="auto"/>
        <w:rPr>
          <w:rFonts w:ascii="Arial" w:hAnsi="Arial" w:cs="Arial"/>
          <w:color w:val="000000"/>
        </w:rPr>
      </w:pPr>
      <w:r w:rsidRPr="0017711D">
        <w:rPr>
          <w:rFonts w:ascii="Arial" w:hAnsi="Arial" w:cs="Arial"/>
          <w:color w:val="000000"/>
        </w:rPr>
        <w:t xml:space="preserve">Markets translate pre-hour interchange schedules into 15-minute schedules.  The FMM </w:t>
      </w:r>
      <w:r>
        <w:rPr>
          <w:rFonts w:ascii="Arial" w:hAnsi="Arial" w:cs="Arial"/>
          <w:color w:val="000000"/>
        </w:rPr>
        <w:t>c</w:t>
      </w:r>
      <w:r w:rsidRPr="0017711D">
        <w:rPr>
          <w:rFonts w:ascii="Arial" w:hAnsi="Arial" w:cs="Arial"/>
          <w:color w:val="000000"/>
        </w:rPr>
        <w:t>alculate</w:t>
      </w:r>
      <w:r>
        <w:rPr>
          <w:rFonts w:ascii="Arial" w:hAnsi="Arial" w:cs="Arial"/>
          <w:color w:val="000000"/>
        </w:rPr>
        <w:t>s</w:t>
      </w:r>
      <w:r w:rsidRPr="0017711D">
        <w:rPr>
          <w:rFonts w:ascii="Arial" w:hAnsi="Arial" w:cs="Arial"/>
          <w:color w:val="000000"/>
        </w:rPr>
        <w:t xml:space="preserve"> schedules reflective of the expected outcomes and align with the 5-minute real-time market using the following logic: </w:t>
      </w:r>
    </w:p>
    <w:tbl>
      <w:tblPr>
        <w:tblpPr w:leftFromText="180" w:rightFromText="180" w:vertAnchor="text" w:horzAnchor="margin" w:tblpY="117"/>
        <w:tblW w:w="0" w:type="auto"/>
        <w:tblCellMar>
          <w:left w:w="0" w:type="dxa"/>
          <w:right w:w="0" w:type="dxa"/>
        </w:tblCellMar>
        <w:tblLook w:val="04A0" w:firstRow="1" w:lastRow="0" w:firstColumn="1" w:lastColumn="0" w:noHBand="0" w:noVBand="1"/>
      </w:tblPr>
      <w:tblGrid>
        <w:gridCol w:w="1099"/>
        <w:gridCol w:w="8161"/>
      </w:tblGrid>
      <w:tr w:rsidR="00EE2BF7" w:rsidRPr="0017711D" w14:paraId="488A2BCD" w14:textId="77777777" w:rsidTr="005F7ABA">
        <w:tc>
          <w:tcPr>
            <w:tcW w:w="10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ED7CD4E" w14:textId="77777777" w:rsidR="00EE2BF7" w:rsidRPr="00CC346B" w:rsidRDefault="00EE2BF7" w:rsidP="005F7ABA">
            <w:pPr>
              <w:spacing w:after="0" w:line="240" w:lineRule="exact"/>
              <w:jc w:val="center"/>
              <w:rPr>
                <w:rFonts w:ascii="Arial" w:hAnsi="Arial" w:cs="Arial"/>
                <w:sz w:val="20"/>
                <w:szCs w:val="20"/>
              </w:rPr>
            </w:pPr>
            <w:r w:rsidRPr="00CC346B">
              <w:rPr>
                <w:rFonts w:ascii="Arial" w:hAnsi="Arial" w:cs="Arial"/>
                <w:i/>
                <w:iCs/>
                <w:sz w:val="20"/>
                <w:szCs w:val="20"/>
              </w:rPr>
              <w:t>FMM Market</w:t>
            </w:r>
          </w:p>
          <w:p w14:paraId="77EC0FD6" w14:textId="77777777" w:rsidR="00EE2BF7" w:rsidRPr="00CC346B" w:rsidRDefault="00EE2BF7" w:rsidP="005F7ABA">
            <w:pPr>
              <w:spacing w:after="0" w:line="240" w:lineRule="exact"/>
              <w:jc w:val="center"/>
              <w:rPr>
                <w:rFonts w:ascii="Arial" w:hAnsi="Arial" w:cs="Arial"/>
                <w:sz w:val="20"/>
                <w:szCs w:val="20"/>
              </w:rPr>
            </w:pPr>
            <w:r w:rsidRPr="00CC346B">
              <w:rPr>
                <w:rFonts w:ascii="Arial" w:hAnsi="Arial" w:cs="Arial"/>
                <w:i/>
                <w:iCs/>
                <w:sz w:val="20"/>
                <w:szCs w:val="20"/>
              </w:rPr>
              <w:t>Interval</w:t>
            </w:r>
          </w:p>
        </w:tc>
        <w:tc>
          <w:tcPr>
            <w:tcW w:w="816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628712A"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Calculated Fifteen-Minute Schedule (based on RTSI Schedule Submissions)</w:t>
            </w:r>
          </w:p>
        </w:tc>
      </w:tr>
      <w:tr w:rsidR="00EE2BF7" w:rsidRPr="0017711D" w14:paraId="6E2B790E"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F459D"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:00 to :15</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7FDE98AF"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The schedule submission for 5-minute interval value at end time :15</w:t>
            </w:r>
          </w:p>
          <w:p w14:paraId="19946D22" w14:textId="77777777" w:rsidR="00EE2BF7" w:rsidRPr="00CC346B" w:rsidRDefault="00EE2BF7" w:rsidP="005F7ABA">
            <w:pPr>
              <w:spacing w:after="0" w:line="240" w:lineRule="exact"/>
              <w:rPr>
                <w:rFonts w:ascii="Arial" w:hAnsi="Arial" w:cs="Arial"/>
                <w:sz w:val="20"/>
                <w:szCs w:val="20"/>
              </w:rPr>
            </w:pPr>
          </w:p>
        </w:tc>
      </w:tr>
      <w:tr w:rsidR="00EE2BF7" w:rsidRPr="0017711D" w14:paraId="69761167"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007C6"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:15 to :30</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0BC6E9CF"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Average of the schedule submissions for 5-minute intervals beginning at minutes :15, :20, and :25 of trade hour (i.e. each 5-minute interval spanning from :15 to :30)</w:t>
            </w:r>
          </w:p>
          <w:p w14:paraId="69046A7C" w14:textId="77777777" w:rsidR="00EE2BF7" w:rsidRPr="00CC346B" w:rsidRDefault="00EE2BF7" w:rsidP="005F7ABA">
            <w:pPr>
              <w:spacing w:after="0" w:line="240" w:lineRule="exact"/>
              <w:rPr>
                <w:rFonts w:ascii="Arial" w:hAnsi="Arial" w:cs="Arial"/>
                <w:sz w:val="20"/>
                <w:szCs w:val="20"/>
              </w:rPr>
            </w:pPr>
          </w:p>
        </w:tc>
      </w:tr>
      <w:tr w:rsidR="00EE2BF7" w:rsidRPr="0017711D" w14:paraId="40194B0A"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68E02"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lastRenderedPageBreak/>
              <w:t>:30 to :45</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5202CAA7"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Average of the schedule submission for 5-minute intervals beginning :30, :35, and :40 (i.e. each 5-minute interval spanning from :30 to :45)</w:t>
            </w:r>
          </w:p>
          <w:p w14:paraId="5025401C" w14:textId="77777777" w:rsidR="00EE2BF7" w:rsidRPr="00CC346B" w:rsidRDefault="00EE2BF7" w:rsidP="005F7ABA">
            <w:pPr>
              <w:spacing w:after="0" w:line="240" w:lineRule="exact"/>
              <w:rPr>
                <w:rFonts w:ascii="Arial" w:hAnsi="Arial" w:cs="Arial"/>
                <w:sz w:val="20"/>
                <w:szCs w:val="20"/>
              </w:rPr>
            </w:pPr>
          </w:p>
        </w:tc>
      </w:tr>
      <w:tr w:rsidR="00EE2BF7" w:rsidRPr="0017711D" w14:paraId="1645A25B" w14:textId="77777777" w:rsidTr="005F7ABA">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08272" w14:textId="77777777" w:rsidR="00EE2BF7" w:rsidRPr="00CC346B" w:rsidRDefault="00EE2BF7" w:rsidP="005F7ABA">
            <w:pPr>
              <w:spacing w:after="0" w:line="240" w:lineRule="exact"/>
              <w:rPr>
                <w:rFonts w:ascii="Arial" w:hAnsi="Arial" w:cs="Arial"/>
                <w:sz w:val="20"/>
                <w:szCs w:val="20"/>
              </w:rPr>
            </w:pPr>
            <w:r w:rsidRPr="00CC346B">
              <w:rPr>
                <w:rFonts w:ascii="Arial" w:hAnsi="Arial" w:cs="Arial"/>
                <w:i/>
                <w:iCs/>
                <w:sz w:val="20"/>
                <w:szCs w:val="20"/>
              </w:rPr>
              <w:t>:45 to :00</w:t>
            </w:r>
          </w:p>
        </w:tc>
        <w:tc>
          <w:tcPr>
            <w:tcW w:w="8161" w:type="dxa"/>
            <w:tcBorders>
              <w:top w:val="nil"/>
              <w:left w:val="nil"/>
              <w:bottom w:val="single" w:sz="8" w:space="0" w:color="auto"/>
              <w:right w:val="single" w:sz="8" w:space="0" w:color="auto"/>
            </w:tcBorders>
            <w:tcMar>
              <w:top w:w="0" w:type="dxa"/>
              <w:left w:w="108" w:type="dxa"/>
              <w:bottom w:w="0" w:type="dxa"/>
              <w:right w:w="108" w:type="dxa"/>
            </w:tcMar>
          </w:tcPr>
          <w:p w14:paraId="027911A8" w14:textId="77777777" w:rsidR="00EE2BF7" w:rsidRPr="00CC346B" w:rsidRDefault="00EE2BF7" w:rsidP="005F7ABA">
            <w:pPr>
              <w:spacing w:after="0" w:line="240" w:lineRule="exact"/>
              <w:rPr>
                <w:rFonts w:ascii="Arial" w:hAnsi="Arial" w:cs="Arial"/>
                <w:i/>
                <w:iCs/>
                <w:sz w:val="20"/>
                <w:szCs w:val="20"/>
              </w:rPr>
            </w:pPr>
            <w:r w:rsidRPr="00CC346B">
              <w:rPr>
                <w:rFonts w:ascii="Arial" w:hAnsi="Arial" w:cs="Arial"/>
                <w:i/>
                <w:iCs/>
                <w:sz w:val="20"/>
                <w:szCs w:val="20"/>
              </w:rPr>
              <w:t>The schedule submission for 5-minute interval value at start time :45</w:t>
            </w:r>
          </w:p>
          <w:p w14:paraId="79A6FD05" w14:textId="77777777" w:rsidR="00EE2BF7" w:rsidRPr="00CC346B" w:rsidRDefault="00EE2BF7" w:rsidP="005F7ABA">
            <w:pPr>
              <w:spacing w:after="0" w:line="240" w:lineRule="exact"/>
              <w:rPr>
                <w:rFonts w:ascii="Arial" w:hAnsi="Arial" w:cs="Arial"/>
                <w:sz w:val="20"/>
                <w:szCs w:val="20"/>
              </w:rPr>
            </w:pPr>
          </w:p>
        </w:tc>
      </w:tr>
    </w:tbl>
    <w:p w14:paraId="08723914" w14:textId="329F5C23" w:rsidR="00EE2BF7" w:rsidRDefault="00EE2BF7"/>
    <w:p w14:paraId="23BCCCE6" w14:textId="4D5AC6BF" w:rsidR="00440572" w:rsidRPr="00440572" w:rsidRDefault="00440572" w:rsidP="00440572">
      <w:pPr>
        <w:pStyle w:val="Heading3"/>
      </w:pPr>
      <w:bookmarkStart w:id="1999" w:name="_Toc229054515"/>
      <w:r w:rsidRPr="00440572">
        <w:t>EIM Thresholds</w:t>
      </w:r>
      <w:bookmarkEnd w:id="1999"/>
    </w:p>
    <w:p w14:paraId="1D0D641B" w14:textId="7B042DD5" w:rsidR="00440572" w:rsidRPr="00440572" w:rsidRDefault="00440572" w:rsidP="00440572">
      <w:pPr>
        <w:rPr>
          <w:rFonts w:ascii="Arial" w:eastAsia="Times New Roman" w:hAnsi="Arial" w:cs="Arial"/>
          <w:color w:val="2E74B5"/>
          <w:sz w:val="32"/>
          <w:szCs w:val="32"/>
        </w:rPr>
      </w:pPr>
      <w:r w:rsidRPr="00440572">
        <w:rPr>
          <w:rFonts w:ascii="Arial" w:hAnsi="Arial" w:cs="Arial"/>
        </w:rPr>
        <w:t>EIM Thresholds serve as a comprehensive safeguard to check the market solution before it is finalized for implementation. The</w:t>
      </w:r>
      <w:r w:rsidR="005F24C1">
        <w:rPr>
          <w:rFonts w:ascii="Arial" w:hAnsi="Arial" w:cs="Arial"/>
        </w:rPr>
        <w:t xml:space="preserve"> WEIM </w:t>
      </w:r>
      <w:r w:rsidRPr="00440572">
        <w:rPr>
          <w:rFonts w:ascii="Arial" w:hAnsi="Arial" w:cs="Arial"/>
        </w:rPr>
        <w:t>thresholds will mitigate unreasonable excursions in</w:t>
      </w:r>
      <w:r w:rsidR="005F24C1">
        <w:rPr>
          <w:rFonts w:ascii="Arial" w:hAnsi="Arial" w:cs="Arial"/>
        </w:rPr>
        <w:t xml:space="preserve"> WEIM </w:t>
      </w:r>
      <w:r w:rsidRPr="00440572">
        <w:rPr>
          <w:rFonts w:ascii="Arial" w:hAnsi="Arial" w:cs="Arial"/>
        </w:rPr>
        <w:t>energy transfers among the different</w:t>
      </w:r>
      <w:r w:rsidR="005F24C1">
        <w:rPr>
          <w:rFonts w:ascii="Arial" w:hAnsi="Arial" w:cs="Arial"/>
        </w:rPr>
        <w:t xml:space="preserve"> WEIM </w:t>
      </w:r>
      <w:r w:rsidRPr="00440572">
        <w:rPr>
          <w:rFonts w:ascii="Arial" w:hAnsi="Arial" w:cs="Arial"/>
        </w:rPr>
        <w:t>BAAs due to unjustified large changes in market solution because of software defect or inconsistency in any of the market input data.  Preventing this extreme solution from being further processes helps BAAs avoid, or at least mitigate, unnecessary reliability issues caused by the market solution excursions.  A threshold set too low may trip too often including times when the solution is actually valid, whereas a threshold set too high will not be of value.  See the section titled “Guidelines for Determination of RTD</w:t>
      </w:r>
      <w:r w:rsidR="005F24C1">
        <w:rPr>
          <w:rFonts w:ascii="Arial" w:hAnsi="Arial" w:cs="Arial"/>
        </w:rPr>
        <w:t xml:space="preserve"> WEIM </w:t>
      </w:r>
      <w:r w:rsidRPr="00440572">
        <w:rPr>
          <w:rFonts w:ascii="Arial" w:hAnsi="Arial" w:cs="Arial"/>
        </w:rPr>
        <w:t xml:space="preserve">Thresholds” below for guidance on how </w:t>
      </w:r>
      <w:r w:rsidR="00153940">
        <w:rPr>
          <w:rFonts w:ascii="Arial" w:hAnsi="Arial" w:cs="Arial"/>
        </w:rPr>
        <w:t>a WEIM</w:t>
      </w:r>
      <w:r w:rsidR="005F24C1">
        <w:rPr>
          <w:rFonts w:ascii="Arial" w:hAnsi="Arial" w:cs="Arial"/>
        </w:rPr>
        <w:t xml:space="preserve"> </w:t>
      </w:r>
      <w:r w:rsidRPr="00440572">
        <w:rPr>
          <w:rFonts w:ascii="Arial" w:hAnsi="Arial" w:cs="Arial"/>
        </w:rPr>
        <w:t>Entity should set</w:t>
      </w:r>
      <w:r w:rsidR="005F24C1">
        <w:rPr>
          <w:rFonts w:ascii="Arial" w:hAnsi="Arial" w:cs="Arial"/>
        </w:rPr>
        <w:t xml:space="preserve"> WEIM </w:t>
      </w:r>
      <w:r w:rsidRPr="00440572">
        <w:rPr>
          <w:rFonts w:ascii="Arial" w:hAnsi="Arial" w:cs="Arial"/>
        </w:rPr>
        <w:t>thresholds for its BAA.</w:t>
      </w:r>
    </w:p>
    <w:p w14:paraId="269E86F4" w14:textId="77777777" w:rsidR="00440572" w:rsidRDefault="00440572"/>
    <w:p w14:paraId="556E9A81" w14:textId="553C4A4F" w:rsidR="00440572" w:rsidRPr="00440572" w:rsidRDefault="00440572" w:rsidP="00440572">
      <w:pPr>
        <w:pStyle w:val="Heading4"/>
      </w:pPr>
      <w:r w:rsidRPr="00440572">
        <w:t>EIM Thresholds for RTD/RTPD</w:t>
      </w:r>
    </w:p>
    <w:p w14:paraId="0F2A2C78" w14:textId="77777777" w:rsidR="00440572" w:rsidRPr="00500AFD" w:rsidRDefault="00440572" w:rsidP="00440572">
      <w:pPr>
        <w:rPr>
          <w:rFonts w:ascii="Arial" w:hAnsi="Arial" w:cs="Arial"/>
        </w:rPr>
      </w:pPr>
    </w:p>
    <w:p w14:paraId="5FF8B6C2" w14:textId="77777777"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Total Generation INC/DEC MWs per BAA</w:t>
      </w:r>
    </w:p>
    <w:p w14:paraId="63880F09"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Actual total INC, Actual total DEC</w:t>
      </w:r>
    </w:p>
    <w:p w14:paraId="75B5AEF2"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Net algebraic sum of total INC and total DEC MWs</w:t>
      </w:r>
    </w:p>
    <w:p w14:paraId="56058295" w14:textId="77777777"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Total ETSRs INC and DEC MWs per BAA</w:t>
      </w:r>
    </w:p>
    <w:p w14:paraId="2C6F73F5"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Separate Actual total INC, and Actual total DEC MWs</w:t>
      </w:r>
    </w:p>
    <w:p w14:paraId="4AC05213" w14:textId="77777777" w:rsidR="00440572" w:rsidRPr="00500AFD" w:rsidRDefault="00440572" w:rsidP="00E80005">
      <w:pPr>
        <w:pStyle w:val="ListParagraph"/>
        <w:numPr>
          <w:ilvl w:val="1"/>
          <w:numId w:val="82"/>
        </w:numPr>
        <w:spacing w:after="0" w:line="240" w:lineRule="auto"/>
        <w:textAlignment w:val="center"/>
        <w:rPr>
          <w:rFonts w:ascii="Arial" w:hAnsi="Arial" w:cs="Arial"/>
        </w:rPr>
      </w:pPr>
      <w:r w:rsidRPr="00500AFD">
        <w:rPr>
          <w:rFonts w:ascii="Arial" w:hAnsi="Arial" w:cs="Arial"/>
        </w:rPr>
        <w:t>Net algebraic sum of INC and DEC MWs</w:t>
      </w:r>
    </w:p>
    <w:p w14:paraId="4F197519" w14:textId="77777777" w:rsidR="00440572" w:rsidRPr="00500AFD" w:rsidRDefault="00440572" w:rsidP="00E80005">
      <w:pPr>
        <w:numPr>
          <w:ilvl w:val="0"/>
          <w:numId w:val="82"/>
        </w:numPr>
        <w:spacing w:after="0" w:line="240" w:lineRule="auto"/>
        <w:textAlignment w:val="center"/>
        <w:rPr>
          <w:rFonts w:ascii="Arial" w:hAnsi="Arial" w:cs="Arial"/>
        </w:rPr>
      </w:pPr>
      <w:r w:rsidRPr="00500AFD">
        <w:rPr>
          <w:rFonts w:ascii="Arial" w:hAnsi="Arial" w:cs="Arial"/>
        </w:rPr>
        <w:t>Total Intertie INC/DEC MWs per BAA</w:t>
      </w:r>
    </w:p>
    <w:p w14:paraId="1EAE23E4" w14:textId="77777777" w:rsidR="00440572" w:rsidRPr="00500AFD" w:rsidRDefault="00440572" w:rsidP="00440572">
      <w:pPr>
        <w:spacing w:after="0" w:line="240" w:lineRule="auto"/>
        <w:ind w:left="1080"/>
        <w:textAlignment w:val="center"/>
        <w:rPr>
          <w:rFonts w:ascii="Arial" w:hAnsi="Arial" w:cs="Arial"/>
        </w:rPr>
      </w:pPr>
      <w:r w:rsidRPr="00500AFD">
        <w:rPr>
          <w:rFonts w:ascii="Arial" w:hAnsi="Arial" w:cs="Arial"/>
        </w:rPr>
        <w:t>o</w:t>
      </w:r>
      <w:r w:rsidRPr="00500AFD">
        <w:rPr>
          <w:rFonts w:ascii="Arial" w:hAnsi="Arial" w:cs="Arial"/>
        </w:rPr>
        <w:tab/>
        <w:t>Actual total INC, Actual total DEC</w:t>
      </w:r>
    </w:p>
    <w:p w14:paraId="19A39335" w14:textId="77777777" w:rsidR="00440572" w:rsidRPr="00500AFD" w:rsidRDefault="00440572" w:rsidP="00440572">
      <w:pPr>
        <w:spacing w:after="0" w:line="240" w:lineRule="auto"/>
        <w:ind w:left="1080"/>
        <w:textAlignment w:val="center"/>
        <w:rPr>
          <w:rFonts w:ascii="Arial" w:hAnsi="Arial" w:cs="Arial"/>
        </w:rPr>
      </w:pPr>
      <w:r w:rsidRPr="00500AFD">
        <w:rPr>
          <w:rFonts w:ascii="Arial" w:hAnsi="Arial" w:cs="Arial"/>
        </w:rPr>
        <w:t>o</w:t>
      </w:r>
      <w:r w:rsidRPr="00500AFD">
        <w:rPr>
          <w:rFonts w:ascii="Arial" w:hAnsi="Arial" w:cs="Arial"/>
        </w:rPr>
        <w:tab/>
        <w:t>Net algebraic sum of total INC and total DEC MWs</w:t>
      </w:r>
    </w:p>
    <w:p w14:paraId="335326A1"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u w:val="single"/>
        </w:rPr>
        <w:t>Actual Generation</w:t>
      </w:r>
      <w:r w:rsidRPr="00500AFD">
        <w:rPr>
          <w:rFonts w:ascii="Arial" w:hAnsi="Arial" w:cs="Arial"/>
        </w:rPr>
        <w:t xml:space="preserve"> </w:t>
      </w:r>
    </w:p>
    <w:p w14:paraId="17FDC82E"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Sums up the RTD/RTPD External DOT INC, VER DOT INC, and DR DOT INC numbers shown on the Dispatch Control Screen and compares that to the Actual Generation INC Threshold.</w:t>
      </w:r>
    </w:p>
    <w:p w14:paraId="7DF55071"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lastRenderedPageBreak/>
        <w:drawing>
          <wp:inline distT="0" distB="0" distL="0" distR="0" wp14:anchorId="1893D3F7" wp14:editId="7A377C2D">
            <wp:extent cx="1578634" cy="2008443"/>
            <wp:effectExtent l="0" t="0" r="2540" b="0"/>
            <wp:docPr id="88" name="Picture 88" descr="D:\Users\nmessner\AppData\Local\Temp\SNAGHTML1333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messner\AppData\Local\Temp\SNAGHTML1333d1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87742" cy="2020030"/>
                    </a:xfrm>
                    <a:prstGeom prst="rect">
                      <a:avLst/>
                    </a:prstGeom>
                    <a:noFill/>
                    <a:ln>
                      <a:noFill/>
                    </a:ln>
                  </pic:spPr>
                </pic:pic>
              </a:graphicData>
            </a:graphic>
          </wp:inline>
        </w:drawing>
      </w:r>
    </w:p>
    <w:p w14:paraId="471C070C" w14:textId="77777777" w:rsidR="00440572" w:rsidRPr="00500AFD" w:rsidRDefault="00440572" w:rsidP="00440572">
      <w:pPr>
        <w:spacing w:after="0" w:line="240" w:lineRule="auto"/>
        <w:textAlignment w:val="center"/>
        <w:rPr>
          <w:rFonts w:ascii="Arial" w:hAnsi="Arial" w:cs="Arial"/>
        </w:rPr>
      </w:pPr>
    </w:p>
    <w:p w14:paraId="194724EA" w14:textId="77777777" w:rsidR="00440572" w:rsidRPr="00500AFD" w:rsidRDefault="00440572" w:rsidP="00440572">
      <w:pPr>
        <w:spacing w:after="0" w:line="240" w:lineRule="auto"/>
        <w:textAlignment w:val="center"/>
        <w:rPr>
          <w:rFonts w:ascii="Arial" w:hAnsi="Arial" w:cs="Arial"/>
        </w:rPr>
      </w:pPr>
    </w:p>
    <w:p w14:paraId="595FD868"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DEC: Sums up the RTD/RTPD External DOT DEC, VER DOT DEC, and DR DOT DEC numbers shown on the Dispatch Control Screen and compares that to the Actual Generation DEC Threshold.</w:t>
      </w:r>
    </w:p>
    <w:p w14:paraId="4CFDFED9"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drawing>
          <wp:inline distT="0" distB="0" distL="0" distR="0" wp14:anchorId="3DA3B532" wp14:editId="4C6B19E7">
            <wp:extent cx="1613140" cy="2052344"/>
            <wp:effectExtent l="0" t="0" r="6350" b="5080"/>
            <wp:docPr id="89" name="Picture 89" descr="D:\Users\nmessner\AppData\Local\Temp\SNAGHTML1341c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nmessner\AppData\Local\Temp\SNAGHTML1341c38.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23661" cy="2065729"/>
                    </a:xfrm>
                    <a:prstGeom prst="rect">
                      <a:avLst/>
                    </a:prstGeom>
                    <a:noFill/>
                    <a:ln>
                      <a:noFill/>
                    </a:ln>
                  </pic:spPr>
                </pic:pic>
              </a:graphicData>
            </a:graphic>
          </wp:inline>
        </w:drawing>
      </w:r>
    </w:p>
    <w:p w14:paraId="4726A858" w14:textId="77777777" w:rsidR="00440572" w:rsidRPr="00500AFD" w:rsidRDefault="00440572" w:rsidP="00440572">
      <w:pPr>
        <w:spacing w:after="0" w:line="240" w:lineRule="auto"/>
        <w:textAlignment w:val="center"/>
        <w:rPr>
          <w:rFonts w:ascii="Arial" w:hAnsi="Arial" w:cs="Arial"/>
        </w:rPr>
      </w:pPr>
    </w:p>
    <w:p w14:paraId="311505D2" w14:textId="77777777" w:rsidR="00440572" w:rsidRPr="00500AFD" w:rsidRDefault="00440572" w:rsidP="00440572">
      <w:pPr>
        <w:spacing w:after="0" w:line="240" w:lineRule="auto"/>
        <w:textAlignment w:val="center"/>
        <w:rPr>
          <w:rFonts w:ascii="Arial" w:hAnsi="Arial" w:cs="Arial"/>
          <w:u w:val="single"/>
        </w:rPr>
      </w:pPr>
      <w:r w:rsidRPr="00500AFD">
        <w:rPr>
          <w:rFonts w:ascii="Arial" w:hAnsi="Arial" w:cs="Arial"/>
          <w:u w:val="single"/>
        </w:rPr>
        <w:t>Net Generation</w:t>
      </w:r>
    </w:p>
    <w:p w14:paraId="0E8D1891"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Sums up the RTD/RTPD External DOT SUM, VER DOT SUM, and DR DOT SUM numbers shown on the Dispatch Control Screen and compares that to the Net Generation INC Threshold.</w:t>
      </w:r>
    </w:p>
    <w:p w14:paraId="55F42CE5"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DEC: Sums up the RTD/RTPD External DOT SUM, VER DOT SUM, and DR DOT SUM numbers shown on the Dispatch Control Screen and compares that to the Net Generation DEC Threshold.</w:t>
      </w:r>
    </w:p>
    <w:p w14:paraId="136B2C34"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lastRenderedPageBreak/>
        <w:drawing>
          <wp:inline distT="0" distB="0" distL="0" distR="0" wp14:anchorId="43CD8B7C" wp14:editId="3F6CE259">
            <wp:extent cx="1685925" cy="2144056"/>
            <wp:effectExtent l="0" t="0" r="0" b="8890"/>
            <wp:docPr id="90" name="Picture 90" descr="D:\Users\nmessner\AppData\Local\Temp\SNAGHTML25ea92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messner\AppData\Local\Temp\SNAGHTML25ea92df.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05106" cy="2168449"/>
                    </a:xfrm>
                    <a:prstGeom prst="rect">
                      <a:avLst/>
                    </a:prstGeom>
                    <a:noFill/>
                    <a:ln>
                      <a:noFill/>
                    </a:ln>
                  </pic:spPr>
                </pic:pic>
              </a:graphicData>
            </a:graphic>
          </wp:inline>
        </w:drawing>
      </w:r>
    </w:p>
    <w:p w14:paraId="118B86A8" w14:textId="77777777" w:rsidR="00440572" w:rsidRPr="00500AFD" w:rsidRDefault="00440572" w:rsidP="00440572">
      <w:pPr>
        <w:spacing w:after="0" w:line="240" w:lineRule="auto"/>
        <w:textAlignment w:val="center"/>
        <w:rPr>
          <w:rFonts w:ascii="Arial" w:hAnsi="Arial" w:cs="Arial"/>
        </w:rPr>
      </w:pPr>
    </w:p>
    <w:p w14:paraId="30B9A49D"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u w:val="single"/>
        </w:rPr>
        <w:t>Actual ETSR</w:t>
      </w:r>
      <w:r w:rsidRPr="00500AFD">
        <w:rPr>
          <w:rFonts w:ascii="Arial" w:hAnsi="Arial" w:cs="Arial"/>
        </w:rPr>
        <w:t xml:space="preserve">  </w:t>
      </w:r>
    </w:p>
    <w:p w14:paraId="5CECDCBF"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Compares the total RTD/RTPD ETSR DOT INC number shown on the Dispatch Control Screen to the Actual ETSR INC Threshold.</w:t>
      </w:r>
    </w:p>
    <w:p w14:paraId="05DD70B2" w14:textId="77777777"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DEC: Compares the total 5-minute ETSR DOT DEC number shown on the RTD Dispatch Control Screen to the Actual ETSR DEC Threshold.</w:t>
      </w:r>
    </w:p>
    <w:p w14:paraId="1B38FFF5" w14:textId="77777777" w:rsidR="00440572" w:rsidRPr="00500AFD" w:rsidRDefault="00440572" w:rsidP="00440572">
      <w:pPr>
        <w:spacing w:after="0" w:line="240" w:lineRule="auto"/>
        <w:textAlignment w:val="center"/>
        <w:rPr>
          <w:rFonts w:ascii="Arial" w:hAnsi="Arial" w:cs="Arial"/>
          <w:u w:val="single"/>
        </w:rPr>
      </w:pPr>
    </w:p>
    <w:p w14:paraId="74C022AE" w14:textId="77777777" w:rsidR="00440572" w:rsidRPr="00500AFD" w:rsidRDefault="00440572" w:rsidP="00440572">
      <w:pPr>
        <w:spacing w:after="0" w:line="240" w:lineRule="auto"/>
        <w:textAlignment w:val="center"/>
        <w:rPr>
          <w:rFonts w:ascii="Arial" w:hAnsi="Arial" w:cs="Arial"/>
          <w:u w:val="single"/>
        </w:rPr>
      </w:pPr>
      <w:r w:rsidRPr="00500AFD">
        <w:rPr>
          <w:rFonts w:ascii="Arial" w:hAnsi="Arial" w:cs="Arial"/>
          <w:u w:val="single"/>
        </w:rPr>
        <w:t>Net ETSR</w:t>
      </w:r>
    </w:p>
    <w:p w14:paraId="09FF74C3" w14:textId="7B1D425D"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INC: Compares the total RTD/RTPD Total</w:t>
      </w:r>
      <w:r w:rsidR="005F24C1">
        <w:rPr>
          <w:rFonts w:ascii="Arial" w:hAnsi="Arial" w:cs="Arial"/>
        </w:rPr>
        <w:t xml:space="preserve"> WEIM </w:t>
      </w:r>
      <w:r w:rsidRPr="00500AFD">
        <w:rPr>
          <w:rFonts w:ascii="Arial" w:hAnsi="Arial" w:cs="Arial"/>
        </w:rPr>
        <w:t>Transfer number shown on the Dispatch Control Screen to the Actual ETSR INC Threshold.</w:t>
      </w:r>
    </w:p>
    <w:p w14:paraId="282F0095" w14:textId="73709484" w:rsidR="00440572" w:rsidRPr="00500AFD" w:rsidRDefault="00440572" w:rsidP="00E80005">
      <w:pPr>
        <w:numPr>
          <w:ilvl w:val="0"/>
          <w:numId w:val="83"/>
        </w:numPr>
        <w:spacing w:after="0" w:line="240" w:lineRule="auto"/>
        <w:textAlignment w:val="center"/>
        <w:rPr>
          <w:rFonts w:ascii="Arial" w:hAnsi="Arial" w:cs="Arial"/>
        </w:rPr>
      </w:pPr>
      <w:r w:rsidRPr="00500AFD">
        <w:rPr>
          <w:rFonts w:ascii="Arial" w:hAnsi="Arial" w:cs="Arial"/>
        </w:rPr>
        <w:t>DEC: Compares the total RTD/RTPD Total</w:t>
      </w:r>
      <w:r w:rsidR="005F24C1">
        <w:rPr>
          <w:rFonts w:ascii="Arial" w:hAnsi="Arial" w:cs="Arial"/>
        </w:rPr>
        <w:t xml:space="preserve"> WEIM </w:t>
      </w:r>
      <w:r w:rsidRPr="00500AFD">
        <w:rPr>
          <w:rFonts w:ascii="Arial" w:hAnsi="Arial" w:cs="Arial"/>
        </w:rPr>
        <w:t>Transfer number shown on the Dispatch Control Screen to the Actual ETSR DEC Threshold.</w:t>
      </w:r>
    </w:p>
    <w:p w14:paraId="2E362042" w14:textId="77777777" w:rsidR="00440572" w:rsidRPr="00500AFD" w:rsidRDefault="00440572" w:rsidP="00440572">
      <w:pPr>
        <w:spacing w:after="0" w:line="240" w:lineRule="auto"/>
        <w:textAlignment w:val="center"/>
        <w:rPr>
          <w:rFonts w:ascii="Arial" w:hAnsi="Arial" w:cs="Arial"/>
        </w:rPr>
      </w:pPr>
      <w:r w:rsidRPr="00500AFD">
        <w:rPr>
          <w:rFonts w:ascii="Arial" w:hAnsi="Arial" w:cs="Arial"/>
          <w:noProof/>
        </w:rPr>
        <w:drawing>
          <wp:inline distT="0" distB="0" distL="0" distR="0" wp14:anchorId="4F34430D" wp14:editId="22FD37F2">
            <wp:extent cx="1669492" cy="2130724"/>
            <wp:effectExtent l="0" t="0" r="6985" b="3175"/>
            <wp:docPr id="91" name="Picture 91" descr="D:\Users\nmessner\AppData\Local\Temp\SNAGHTML19e5a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nmessner\AppData\Local\Temp\SNAGHTML19e5a38.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679707" cy="2143761"/>
                    </a:xfrm>
                    <a:prstGeom prst="rect">
                      <a:avLst/>
                    </a:prstGeom>
                    <a:noFill/>
                    <a:ln>
                      <a:noFill/>
                    </a:ln>
                  </pic:spPr>
                </pic:pic>
              </a:graphicData>
            </a:graphic>
          </wp:inline>
        </w:drawing>
      </w:r>
    </w:p>
    <w:p w14:paraId="6D804C6E" w14:textId="77777777" w:rsidR="00440572" w:rsidRPr="00500AFD" w:rsidRDefault="00440572" w:rsidP="00440572">
      <w:pPr>
        <w:spacing w:after="0" w:line="240" w:lineRule="auto"/>
        <w:textAlignment w:val="center"/>
        <w:rPr>
          <w:rFonts w:ascii="Arial" w:hAnsi="Arial" w:cs="Arial"/>
        </w:rPr>
      </w:pPr>
    </w:p>
    <w:p w14:paraId="6E010A99" w14:textId="77777777" w:rsidR="00440572" w:rsidRPr="00500AFD" w:rsidRDefault="00440572" w:rsidP="00440572">
      <w:pPr>
        <w:spacing w:after="0" w:line="240" w:lineRule="auto"/>
        <w:ind w:left="1080"/>
        <w:textAlignment w:val="center"/>
        <w:rPr>
          <w:rFonts w:ascii="Arial" w:hAnsi="Arial" w:cs="Arial"/>
        </w:rPr>
      </w:pPr>
    </w:p>
    <w:p w14:paraId="39008C7D" w14:textId="7F1A5A72" w:rsidR="00440572" w:rsidRPr="00440572" w:rsidRDefault="00440572" w:rsidP="00440572">
      <w:pPr>
        <w:pStyle w:val="Heading4"/>
      </w:pPr>
      <w:r w:rsidRPr="00440572">
        <w:t>Guidelines for Determination of</w:t>
      </w:r>
      <w:r w:rsidR="005F24C1">
        <w:t xml:space="preserve"> WEIM </w:t>
      </w:r>
      <w:r w:rsidRPr="00440572">
        <w:t>Thresholds for RTD/RTPD</w:t>
      </w:r>
    </w:p>
    <w:p w14:paraId="651A6974" w14:textId="77777777" w:rsidR="00440572" w:rsidRPr="00500AFD" w:rsidRDefault="00440572" w:rsidP="00440572">
      <w:pPr>
        <w:rPr>
          <w:rFonts w:ascii="Arial" w:hAnsi="Arial" w:cs="Arial"/>
        </w:rPr>
      </w:pPr>
    </w:p>
    <w:p w14:paraId="414C835F" w14:textId="52ABE636"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lastRenderedPageBreak/>
        <w:t>Generation Thresholds: should be greater than the</w:t>
      </w:r>
      <w:r w:rsidR="005F24C1">
        <w:rPr>
          <w:rFonts w:ascii="Arial" w:hAnsi="Arial" w:cs="Arial"/>
        </w:rPr>
        <w:t xml:space="preserve"> WEIM </w:t>
      </w:r>
      <w:r w:rsidRPr="00500AFD">
        <w:rPr>
          <w:rFonts w:ascii="Arial" w:hAnsi="Arial" w:cs="Arial"/>
        </w:rPr>
        <w:t>Entity BAA total generation 5-minute max ramping capability of participating resources with economic bids, plus the Historical base schedule generation movement to meet the BAA demand obligation changes in 5-minutes, plus any other 5-min uncertainty related to supply or load movements. The final generation threshold number should be the maximum of the above calculation, the contingency reserve obligation, or the Most Severe Single Contingency (MSSC).</w:t>
      </w:r>
    </w:p>
    <w:p w14:paraId="2F58B37F" w14:textId="79651BC0"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ETSR Thresholds: should be at least the maximum of the 5-min ramping capability of the</w:t>
      </w:r>
      <w:r w:rsidR="005F24C1">
        <w:rPr>
          <w:rFonts w:ascii="Arial" w:hAnsi="Arial" w:cs="Arial"/>
        </w:rPr>
        <w:t xml:space="preserve"> WEIM </w:t>
      </w:r>
      <w:r w:rsidRPr="00500AFD">
        <w:rPr>
          <w:rFonts w:ascii="Arial" w:hAnsi="Arial" w:cs="Arial"/>
        </w:rPr>
        <w:t>BAA’s participating generators with economic bids supporting the ETSR movements.</w:t>
      </w:r>
    </w:p>
    <w:p w14:paraId="78EADCC2" w14:textId="45D0931E" w:rsidR="00440572" w:rsidRPr="00500AFD" w:rsidRDefault="00440572" w:rsidP="00E80005">
      <w:pPr>
        <w:pStyle w:val="ListParagraph"/>
        <w:numPr>
          <w:ilvl w:val="0"/>
          <w:numId w:val="82"/>
        </w:numPr>
        <w:spacing w:after="0" w:line="240" w:lineRule="auto"/>
        <w:textAlignment w:val="center"/>
        <w:rPr>
          <w:rFonts w:ascii="Arial" w:hAnsi="Arial" w:cs="Arial"/>
        </w:rPr>
      </w:pPr>
      <w:r w:rsidRPr="00500AFD">
        <w:rPr>
          <w:rFonts w:ascii="Arial" w:hAnsi="Arial" w:cs="Arial"/>
        </w:rPr>
        <w:t>Intertie Threshold: Currently set to high value (not active) since the interties are hourly scheduled by the</w:t>
      </w:r>
      <w:r w:rsidR="005F24C1">
        <w:rPr>
          <w:rFonts w:ascii="Arial" w:hAnsi="Arial" w:cs="Arial"/>
        </w:rPr>
        <w:t xml:space="preserve"> WEIM </w:t>
      </w:r>
      <w:r w:rsidRPr="00500AFD">
        <w:rPr>
          <w:rFonts w:ascii="Arial" w:hAnsi="Arial" w:cs="Arial"/>
        </w:rPr>
        <w:t>entities.</w:t>
      </w:r>
    </w:p>
    <w:p w14:paraId="65240592" w14:textId="77777777" w:rsidR="00440572" w:rsidRPr="00500AFD" w:rsidRDefault="00440572" w:rsidP="00440572">
      <w:pPr>
        <w:spacing w:after="0" w:line="240" w:lineRule="auto"/>
        <w:textAlignment w:val="center"/>
        <w:rPr>
          <w:rFonts w:ascii="Arial" w:hAnsi="Arial" w:cs="Arial"/>
        </w:rPr>
      </w:pPr>
    </w:p>
    <w:p w14:paraId="31F69F10" w14:textId="610B1A27" w:rsidR="00440572" w:rsidRPr="00500AFD" w:rsidRDefault="00440572" w:rsidP="00440572">
      <w:pPr>
        <w:spacing w:after="0" w:line="240" w:lineRule="auto"/>
        <w:textAlignment w:val="center"/>
        <w:rPr>
          <w:rFonts w:ascii="Arial" w:hAnsi="Arial" w:cs="Arial"/>
        </w:rPr>
      </w:pPr>
      <w:r w:rsidRPr="00500AFD">
        <w:rPr>
          <w:rFonts w:ascii="Arial" w:hAnsi="Arial" w:cs="Arial"/>
        </w:rPr>
        <w:t>It should be noted that the above guidelines should be tuned for each</w:t>
      </w:r>
      <w:r w:rsidR="005F24C1">
        <w:rPr>
          <w:rFonts w:ascii="Arial" w:hAnsi="Arial" w:cs="Arial"/>
        </w:rPr>
        <w:t xml:space="preserve"> WEIM </w:t>
      </w:r>
      <w:r w:rsidRPr="00500AFD">
        <w:rPr>
          <w:rFonts w:ascii="Arial" w:hAnsi="Arial" w:cs="Arial"/>
        </w:rPr>
        <w:t>Entity BAA depending on the amount of realistic movements and response capability of each BAA. Another important point to note is that the above thresholds are active all the time for all</w:t>
      </w:r>
      <w:r w:rsidR="005F24C1">
        <w:rPr>
          <w:rFonts w:ascii="Arial" w:hAnsi="Arial" w:cs="Arial"/>
        </w:rPr>
        <w:t xml:space="preserve"> WEIM </w:t>
      </w:r>
      <w:r w:rsidRPr="00500AFD">
        <w:rPr>
          <w:rFonts w:ascii="Arial" w:hAnsi="Arial" w:cs="Arial"/>
        </w:rPr>
        <w:t xml:space="preserve">BAAs including when </w:t>
      </w:r>
      <w:r w:rsidR="00153940">
        <w:rPr>
          <w:rFonts w:ascii="Arial" w:hAnsi="Arial" w:cs="Arial"/>
        </w:rPr>
        <w:t>a WEIM</w:t>
      </w:r>
      <w:r w:rsidR="005F24C1">
        <w:rPr>
          <w:rFonts w:ascii="Arial" w:hAnsi="Arial" w:cs="Arial"/>
        </w:rPr>
        <w:t xml:space="preserve"> </w:t>
      </w:r>
      <w:r w:rsidRPr="00500AFD">
        <w:rPr>
          <w:rFonts w:ascii="Arial" w:hAnsi="Arial" w:cs="Arial"/>
        </w:rPr>
        <w:t>BAA is flagged as being in a contingency. Since CAISO BAA has a contingency dispatch mode with 10-min recovery timeline, the 5-min thresholds are not enforced for CAISO BAA during CAISO’s contingency dispatch mode.</w:t>
      </w:r>
    </w:p>
    <w:p w14:paraId="5D40E74D" w14:textId="77777777" w:rsidR="00440572" w:rsidRPr="00500AFD" w:rsidRDefault="00440572" w:rsidP="00440572">
      <w:pPr>
        <w:rPr>
          <w:rFonts w:ascii="Arial" w:hAnsi="Arial" w:cs="Arial"/>
        </w:rPr>
      </w:pPr>
    </w:p>
    <w:p w14:paraId="1DF6618C" w14:textId="47A8F72D" w:rsidR="00440572" w:rsidRPr="00440572" w:rsidRDefault="00440572" w:rsidP="00440572">
      <w:pPr>
        <w:pStyle w:val="Heading4"/>
      </w:pPr>
      <w:r w:rsidRPr="00440572">
        <w:t>Process to Implement</w:t>
      </w:r>
      <w:r w:rsidR="005F24C1">
        <w:t xml:space="preserve"> WEIM </w:t>
      </w:r>
      <w:r w:rsidRPr="00440572">
        <w:t>Thresholds</w:t>
      </w:r>
    </w:p>
    <w:p w14:paraId="1008F2E8" w14:textId="77777777" w:rsidR="00440572" w:rsidRPr="00500AFD" w:rsidRDefault="00440572" w:rsidP="00440572">
      <w:pPr>
        <w:rPr>
          <w:rFonts w:ascii="Arial" w:hAnsi="Arial" w:cs="Arial"/>
        </w:rPr>
      </w:pPr>
    </w:p>
    <w:p w14:paraId="425B66DA" w14:textId="01BFCBCF" w:rsidR="00440572" w:rsidRPr="00500AFD" w:rsidRDefault="00440572" w:rsidP="00440572">
      <w:pPr>
        <w:textAlignment w:val="center"/>
        <w:rPr>
          <w:rFonts w:ascii="Arial" w:hAnsi="Arial" w:cs="Arial"/>
        </w:rPr>
      </w:pPr>
      <w:r w:rsidRPr="00500AFD">
        <w:rPr>
          <w:rFonts w:ascii="Arial" w:hAnsi="Arial" w:cs="Arial"/>
        </w:rPr>
        <w:t xml:space="preserve">Once </w:t>
      </w:r>
      <w:r w:rsidR="00153940">
        <w:rPr>
          <w:rFonts w:ascii="Arial" w:hAnsi="Arial" w:cs="Arial"/>
        </w:rPr>
        <w:t>a WEIM</w:t>
      </w:r>
      <w:r w:rsidR="005F24C1">
        <w:rPr>
          <w:rFonts w:ascii="Arial" w:hAnsi="Arial" w:cs="Arial"/>
        </w:rPr>
        <w:t xml:space="preserve"> </w:t>
      </w:r>
      <w:r w:rsidRPr="00500AFD">
        <w:rPr>
          <w:rFonts w:ascii="Arial" w:hAnsi="Arial" w:cs="Arial"/>
        </w:rPr>
        <w:t>entity has determined their</w:t>
      </w:r>
      <w:r w:rsidR="005F24C1">
        <w:rPr>
          <w:rFonts w:ascii="Arial" w:hAnsi="Arial" w:cs="Arial"/>
        </w:rPr>
        <w:t xml:space="preserve"> WEIM </w:t>
      </w:r>
      <w:r w:rsidRPr="00500AFD">
        <w:rPr>
          <w:rFonts w:ascii="Arial" w:hAnsi="Arial" w:cs="Arial"/>
        </w:rPr>
        <w:t>Threshold values, then they need to submit the values to the CAISO via a CIDI ticket.  Once the CAISO receives this request, the threshold values will be analyzed to ensure its reasonableness. Since these threshold values affect the entire</w:t>
      </w:r>
      <w:r w:rsidR="005F24C1">
        <w:rPr>
          <w:rFonts w:ascii="Arial" w:hAnsi="Arial" w:cs="Arial"/>
        </w:rPr>
        <w:t xml:space="preserve"> WEIM </w:t>
      </w:r>
      <w:r w:rsidRPr="00500AFD">
        <w:rPr>
          <w:rFonts w:ascii="Arial" w:hAnsi="Arial" w:cs="Arial"/>
        </w:rPr>
        <w:t>market solution for all BAAs, CAISO validation of the numbers is necessary before implementing these thresholds.  If the value submitted does not pass the validation, then the</w:t>
      </w:r>
      <w:r w:rsidR="005F24C1">
        <w:rPr>
          <w:rFonts w:ascii="Arial" w:hAnsi="Arial" w:cs="Arial"/>
        </w:rPr>
        <w:t xml:space="preserve"> WEIM </w:t>
      </w:r>
      <w:r w:rsidRPr="00500AFD">
        <w:rPr>
          <w:rFonts w:ascii="Arial" w:hAnsi="Arial" w:cs="Arial"/>
        </w:rPr>
        <w:t>Entity will be informed of why and a new number needs to be submitted if warranted.  If the value submitted passes the validation, then the associated threshold value will be implemented into the production environment and will be available to the</w:t>
      </w:r>
      <w:r w:rsidR="005F24C1">
        <w:rPr>
          <w:rFonts w:ascii="Arial" w:hAnsi="Arial" w:cs="Arial"/>
        </w:rPr>
        <w:t xml:space="preserve"> WEIM </w:t>
      </w:r>
      <w:r w:rsidRPr="00500AFD">
        <w:rPr>
          <w:rFonts w:ascii="Arial" w:hAnsi="Arial" w:cs="Arial"/>
        </w:rPr>
        <w:t xml:space="preserve">Entity BAA operators to see on the BAAOP display.  </w:t>
      </w:r>
    </w:p>
    <w:p w14:paraId="4785985B" w14:textId="73FA1E0D" w:rsidR="00440572" w:rsidRPr="00500AFD" w:rsidRDefault="00440572" w:rsidP="00440572">
      <w:pPr>
        <w:rPr>
          <w:rFonts w:ascii="Arial" w:hAnsi="Arial" w:cs="Arial"/>
          <w:b/>
        </w:rPr>
      </w:pPr>
      <w:r w:rsidRPr="00500AFD">
        <w:rPr>
          <w:rFonts w:ascii="Arial" w:hAnsi="Arial" w:cs="Arial"/>
        </w:rPr>
        <w:t>Once the</w:t>
      </w:r>
      <w:r w:rsidR="005F24C1">
        <w:rPr>
          <w:rFonts w:ascii="Arial" w:hAnsi="Arial" w:cs="Arial"/>
        </w:rPr>
        <w:t xml:space="preserve"> WEIM </w:t>
      </w:r>
      <w:r w:rsidRPr="00500AFD">
        <w:rPr>
          <w:rFonts w:ascii="Arial" w:hAnsi="Arial" w:cs="Arial"/>
        </w:rPr>
        <w:t>thresholds are implemented, it may be raised at times to allow a valid solution to be sent.  Once the solution is sent, the threshold value will be returned to its original value.  The threshold values will not be lowered below the submitted and CAISO approved value without going through the submittal process above.</w:t>
      </w:r>
    </w:p>
    <w:p w14:paraId="6B32A8C2" w14:textId="77777777" w:rsidR="00440572" w:rsidRPr="00500AFD" w:rsidRDefault="00440572" w:rsidP="00440572">
      <w:pPr>
        <w:rPr>
          <w:rFonts w:ascii="Arial" w:hAnsi="Arial" w:cs="Arial"/>
          <w:b/>
        </w:rPr>
      </w:pPr>
    </w:p>
    <w:p w14:paraId="1181022E" w14:textId="0CB60FB0" w:rsidR="00440572" w:rsidRPr="00440572" w:rsidRDefault="00440572" w:rsidP="00440572">
      <w:pPr>
        <w:pStyle w:val="Heading4"/>
      </w:pPr>
      <w:r w:rsidRPr="00440572">
        <w:lastRenderedPageBreak/>
        <w:t>EIM Thresholds in RTD/RTPD Dispatch Control Display</w:t>
      </w:r>
    </w:p>
    <w:p w14:paraId="1D3D612D" w14:textId="77777777" w:rsidR="00440572" w:rsidRPr="00500AFD" w:rsidRDefault="00440572" w:rsidP="00440572">
      <w:pPr>
        <w:rPr>
          <w:rFonts w:ascii="Arial" w:hAnsi="Arial" w:cs="Arial"/>
        </w:rPr>
      </w:pPr>
    </w:p>
    <w:p w14:paraId="56C5B33E" w14:textId="3B2BF79D" w:rsidR="00440572" w:rsidRPr="00500AFD" w:rsidRDefault="00440572" w:rsidP="00440572">
      <w:pPr>
        <w:textAlignment w:val="center"/>
        <w:rPr>
          <w:rFonts w:ascii="Arial" w:hAnsi="Arial" w:cs="Arial"/>
          <w:noProof/>
          <w:u w:val="single"/>
        </w:rPr>
      </w:pPr>
      <w:r w:rsidRPr="00500AFD">
        <w:rPr>
          <w:rFonts w:ascii="Arial" w:hAnsi="Arial" w:cs="Arial"/>
        </w:rPr>
        <w:t>Individual</w:t>
      </w:r>
      <w:r w:rsidR="005F24C1">
        <w:rPr>
          <w:rFonts w:ascii="Arial" w:hAnsi="Arial" w:cs="Arial"/>
        </w:rPr>
        <w:t xml:space="preserve"> WEIM </w:t>
      </w:r>
      <w:r w:rsidRPr="00500AFD">
        <w:rPr>
          <w:rFonts w:ascii="Arial" w:hAnsi="Arial" w:cs="Arial"/>
        </w:rPr>
        <w:t>Entity Thresholds exist in RTD/RTPD and can be viewed on the Dispatch Control screen.</w:t>
      </w:r>
      <w:r w:rsidRPr="00500AFD">
        <w:rPr>
          <w:rFonts w:ascii="Arial" w:hAnsi="Arial" w:cs="Arial"/>
          <w:color w:val="000000"/>
        </w:rPr>
        <w:t xml:space="preserve">  Once set, if a given</w:t>
      </w:r>
      <w:r w:rsidR="005F24C1">
        <w:rPr>
          <w:rFonts w:ascii="Arial" w:hAnsi="Arial" w:cs="Arial"/>
          <w:color w:val="000000"/>
        </w:rPr>
        <w:t xml:space="preserve"> WEIM </w:t>
      </w:r>
      <w:r w:rsidRPr="00500AFD">
        <w:rPr>
          <w:rFonts w:ascii="Arial" w:hAnsi="Arial" w:cs="Arial"/>
          <w:color w:val="000000"/>
        </w:rPr>
        <w:t>Entity Threshold is exceeded, the RTD/RTPD market will automatically come up in a block all mode and revert to the “Use Previous” solution for all</w:t>
      </w:r>
      <w:r w:rsidR="005F24C1">
        <w:rPr>
          <w:rFonts w:ascii="Arial" w:hAnsi="Arial" w:cs="Arial"/>
          <w:color w:val="000000"/>
        </w:rPr>
        <w:t xml:space="preserve"> WEIM </w:t>
      </w:r>
      <w:r w:rsidRPr="00500AFD">
        <w:rPr>
          <w:rFonts w:ascii="Arial" w:hAnsi="Arial" w:cs="Arial"/>
          <w:color w:val="000000"/>
        </w:rPr>
        <w:t xml:space="preserve">participants.  </w:t>
      </w:r>
    </w:p>
    <w:p w14:paraId="797A3EB1" w14:textId="52B03391" w:rsidR="00440572" w:rsidRPr="00440572" w:rsidRDefault="00440572" w:rsidP="00440572">
      <w:pPr>
        <w:pStyle w:val="Heading5"/>
        <w:rPr>
          <w:noProof/>
        </w:rPr>
      </w:pPr>
      <w:r w:rsidRPr="00440572">
        <w:rPr>
          <w:noProof/>
        </w:rPr>
        <w:t>Alarms/Notifications</w:t>
      </w:r>
    </w:p>
    <w:p w14:paraId="61C3FF17" w14:textId="0BF2B039" w:rsidR="00440572" w:rsidRPr="00500AFD" w:rsidRDefault="00440572" w:rsidP="00440572">
      <w:pPr>
        <w:rPr>
          <w:rFonts w:ascii="Arial" w:hAnsi="Arial" w:cs="Arial"/>
          <w:noProof/>
          <w:color w:val="FF0000"/>
        </w:rPr>
      </w:pPr>
      <w:r w:rsidRPr="00500AFD">
        <w:rPr>
          <w:rFonts w:ascii="Arial" w:hAnsi="Arial" w:cs="Arial"/>
          <w:noProof/>
        </w:rPr>
        <w:t>When any of the RTD/RTPD</w:t>
      </w:r>
      <w:r w:rsidR="005F24C1">
        <w:rPr>
          <w:rFonts w:ascii="Arial" w:hAnsi="Arial" w:cs="Arial"/>
          <w:noProof/>
        </w:rPr>
        <w:t xml:space="preserve"> WEIM </w:t>
      </w:r>
      <w:r w:rsidRPr="00500AFD">
        <w:rPr>
          <w:rFonts w:ascii="Arial" w:hAnsi="Arial" w:cs="Arial"/>
          <w:noProof/>
        </w:rPr>
        <w:t>Thresholds decribed above are exceeded, the cell in the</w:t>
      </w:r>
      <w:r w:rsidR="005F24C1">
        <w:rPr>
          <w:rFonts w:ascii="Arial" w:hAnsi="Arial" w:cs="Arial"/>
          <w:noProof/>
        </w:rPr>
        <w:t xml:space="preserve"> WEIM </w:t>
      </w:r>
      <w:r w:rsidRPr="00500AFD">
        <w:rPr>
          <w:rFonts w:ascii="Arial" w:hAnsi="Arial" w:cs="Arial"/>
          <w:noProof/>
        </w:rPr>
        <w:t>Thresholds table will highlight red and a message will appear above the blue box on the Dispatch Control indicating which</w:t>
      </w:r>
      <w:r w:rsidR="005F24C1">
        <w:rPr>
          <w:rFonts w:ascii="Arial" w:hAnsi="Arial" w:cs="Arial"/>
          <w:noProof/>
        </w:rPr>
        <w:t xml:space="preserve"> WEIM </w:t>
      </w:r>
      <w:r w:rsidRPr="00500AFD">
        <w:rPr>
          <w:rFonts w:ascii="Arial" w:hAnsi="Arial" w:cs="Arial"/>
          <w:noProof/>
        </w:rPr>
        <w:t>Threshold was exceeded, by which</w:t>
      </w:r>
      <w:r w:rsidR="005F24C1">
        <w:rPr>
          <w:rFonts w:ascii="Arial" w:hAnsi="Arial" w:cs="Arial"/>
          <w:noProof/>
        </w:rPr>
        <w:t xml:space="preserve"> WEIM </w:t>
      </w:r>
      <w:r w:rsidRPr="00500AFD">
        <w:rPr>
          <w:rFonts w:ascii="Arial" w:hAnsi="Arial" w:cs="Arial"/>
          <w:noProof/>
        </w:rPr>
        <w:t>Entity, and by how many MW the threshold was exceeded by.  If there is more than one threshold exceedence, then multiple cells will be highlighted red and multiple messages will appear.</w:t>
      </w:r>
      <w:r w:rsidRPr="00500AFD">
        <w:rPr>
          <w:rFonts w:ascii="Arial" w:hAnsi="Arial" w:cs="Arial"/>
          <w:noProof/>
          <w:color w:val="FF0000"/>
        </w:rPr>
        <w:t xml:space="preserve">   </w:t>
      </w:r>
    </w:p>
    <w:p w14:paraId="371DF9AF" w14:textId="1D4CCE07" w:rsidR="00440572" w:rsidRPr="00440572" w:rsidRDefault="00440572" w:rsidP="00440572">
      <w:pPr>
        <w:pStyle w:val="Heading5"/>
      </w:pPr>
      <w:r w:rsidRPr="00440572">
        <w:t>Safety Net</w:t>
      </w:r>
    </w:p>
    <w:p w14:paraId="140090BC" w14:textId="77777777" w:rsidR="00440572" w:rsidRPr="00500AFD" w:rsidRDefault="00440572" w:rsidP="00440572">
      <w:pPr>
        <w:rPr>
          <w:rFonts w:ascii="Arial" w:hAnsi="Arial" w:cs="Arial"/>
        </w:rPr>
      </w:pPr>
      <w:r w:rsidRPr="00500AFD">
        <w:rPr>
          <w:rFonts w:ascii="Arial" w:hAnsi="Arial" w:cs="Arial"/>
        </w:rPr>
        <w:t>To avoid entry of incorrect numbers, the following safety net has been added:</w:t>
      </w:r>
    </w:p>
    <w:p w14:paraId="74BD2DD2" w14:textId="77777777" w:rsidR="00440572" w:rsidRPr="00500AFD" w:rsidRDefault="00440572" w:rsidP="00E80005">
      <w:pPr>
        <w:pStyle w:val="ListParagraph"/>
        <w:numPr>
          <w:ilvl w:val="0"/>
          <w:numId w:val="84"/>
        </w:numPr>
        <w:contextualSpacing/>
        <w:rPr>
          <w:rFonts w:ascii="Arial" w:hAnsi="Arial" w:cs="Arial"/>
          <w:u w:val="single"/>
        </w:rPr>
      </w:pPr>
      <w:r w:rsidRPr="00500AFD">
        <w:rPr>
          <w:rFonts w:ascii="Arial" w:hAnsi="Arial" w:cs="Arial"/>
        </w:rPr>
        <w:t xml:space="preserve">The market UI will not accept any threshold values lower than 100. </w:t>
      </w:r>
    </w:p>
    <w:p w14:paraId="76FEF88F" w14:textId="77777777" w:rsidR="00EE2BF7" w:rsidRPr="008817D0" w:rsidRDefault="00EE2BF7">
      <w:pPr>
        <w:spacing w:after="240" w:line="300" w:lineRule="auto"/>
        <w:rPr>
          <w:rFonts w:eastAsia="Calibri"/>
        </w:rPr>
      </w:pPr>
    </w:p>
    <w:p w14:paraId="4C611869" w14:textId="77777777" w:rsidR="008817D0" w:rsidRPr="008817D0" w:rsidRDefault="008817D0" w:rsidP="00C33762">
      <w:pPr>
        <w:pStyle w:val="Heading2"/>
        <w:rPr>
          <w:rFonts w:eastAsia="Calibri"/>
        </w:rPr>
      </w:pPr>
      <w:bookmarkStart w:id="2000" w:name="_Toc390869287"/>
      <w:bookmarkStart w:id="2001" w:name="_Toc390946300"/>
      <w:bookmarkStart w:id="2002" w:name="_Toc391969861"/>
      <w:bookmarkStart w:id="2003" w:name="_Toc229054516"/>
      <w:r w:rsidRPr="008817D0">
        <w:rPr>
          <w:rFonts w:eastAsia="Calibri"/>
        </w:rPr>
        <w:t>Contingencies and Corrective Actions</w:t>
      </w:r>
      <w:bookmarkEnd w:id="2000"/>
      <w:bookmarkEnd w:id="2001"/>
      <w:bookmarkEnd w:id="2002"/>
      <w:bookmarkEnd w:id="2003"/>
    </w:p>
    <w:p w14:paraId="43F256AD" w14:textId="1055FEC3" w:rsidR="008817D0" w:rsidRPr="00B94F9D" w:rsidRDefault="008817D0">
      <w:pPr>
        <w:spacing w:after="240" w:line="300" w:lineRule="auto"/>
        <w:rPr>
          <w:rFonts w:eastAsia="Calibri"/>
          <w:iCs/>
        </w:rPr>
      </w:pPr>
      <w:r w:rsidRPr="00B94F9D">
        <w:rPr>
          <w:rFonts w:eastAsia="Calibri"/>
          <w:iCs/>
        </w:rPr>
        <w:t>With the implementation of the EIM, measures must be in place to ensure a smooth transition from the current CAISO markets to include the co-optimization with</w:t>
      </w:r>
      <w:r w:rsidR="005F24C1">
        <w:rPr>
          <w:rFonts w:eastAsia="Calibri"/>
          <w:iCs/>
        </w:rPr>
        <w:t xml:space="preserve"> WEIM </w:t>
      </w:r>
      <w:r w:rsidR="00AB2354" w:rsidRPr="00B94F9D">
        <w:rPr>
          <w:rFonts w:eastAsia="Calibri"/>
          <w:iCs/>
        </w:rPr>
        <w:t>Entities</w:t>
      </w:r>
      <w:r w:rsidRPr="00B94F9D">
        <w:rPr>
          <w:rFonts w:eastAsia="Calibri"/>
          <w:iCs/>
        </w:rPr>
        <w:t>.  These measures must consider grid reliability, market stability, and other system conditions for all mar</w:t>
      </w:r>
      <w:r w:rsidR="001B06BF" w:rsidRPr="00B94F9D">
        <w:rPr>
          <w:rFonts w:eastAsia="Calibri"/>
          <w:iCs/>
        </w:rPr>
        <w:t xml:space="preserve">ket participants.  Although </w:t>
      </w:r>
      <w:r w:rsidR="006276DD" w:rsidRPr="00B94F9D">
        <w:rPr>
          <w:rFonts w:eastAsia="Calibri"/>
          <w:iCs/>
        </w:rPr>
        <w:t>CA</w:t>
      </w:r>
      <w:r w:rsidRPr="00B94F9D">
        <w:rPr>
          <w:rFonts w:eastAsia="Calibri"/>
          <w:iCs/>
        </w:rPr>
        <w:t>ISO will do everything possible to assure a successful transition and operation of the EIM, problems may arise which would require the</w:t>
      </w:r>
      <w:r w:rsidR="005F24C1">
        <w:rPr>
          <w:rFonts w:eastAsia="Calibri"/>
          <w:iCs/>
        </w:rPr>
        <w:t xml:space="preserve"> WEIM </w:t>
      </w:r>
      <w:r w:rsidRPr="00B94F9D">
        <w:rPr>
          <w:rFonts w:eastAsia="Calibri"/>
          <w:iCs/>
        </w:rPr>
        <w:t>Entity to be suspended and potentially revert back to a previous state.</w:t>
      </w:r>
    </w:p>
    <w:p w14:paraId="42F3FF38" w14:textId="04E1B98A" w:rsidR="008817D0" w:rsidRPr="00B94F9D" w:rsidRDefault="008817D0">
      <w:pPr>
        <w:spacing w:after="240" w:line="300" w:lineRule="auto"/>
        <w:rPr>
          <w:rFonts w:eastAsia="Calibri"/>
          <w:iCs/>
        </w:rPr>
      </w:pPr>
      <w:r w:rsidRPr="00B94F9D">
        <w:rPr>
          <w:rFonts w:eastAsia="Calibri"/>
          <w:iCs/>
        </w:rPr>
        <w:t>A monitoring strategy is necessary to evaluate whether or not the</w:t>
      </w:r>
      <w:r w:rsidR="005F24C1">
        <w:rPr>
          <w:rFonts w:eastAsia="Calibri"/>
          <w:iCs/>
        </w:rPr>
        <w:t xml:space="preserve"> WEIM </w:t>
      </w:r>
      <w:r w:rsidRPr="00B94F9D">
        <w:rPr>
          <w:rFonts w:eastAsia="Calibri"/>
          <w:iCs/>
        </w:rPr>
        <w:t>is performing according to market design and system requirements.  In the event that either the market design or the software systems are not performing as expected, a series of pre-defined steps will need to be followed to address the situation and all resulting impacts.</w:t>
      </w:r>
    </w:p>
    <w:p w14:paraId="2592CF0D" w14:textId="6E98F7E6" w:rsidR="008817D0" w:rsidRPr="00B94F9D" w:rsidRDefault="008817D0">
      <w:pPr>
        <w:spacing w:after="240" w:line="300" w:lineRule="auto"/>
        <w:rPr>
          <w:rFonts w:eastAsia="Calibri"/>
        </w:rPr>
      </w:pPr>
      <w:r w:rsidRPr="00B94F9D">
        <w:rPr>
          <w:rFonts w:eastAsia="Calibri"/>
          <w:iCs/>
        </w:rPr>
        <w:lastRenderedPageBreak/>
        <w:t xml:space="preserve">This </w:t>
      </w:r>
      <w:r w:rsidR="00AB2354" w:rsidRPr="00B94F9D">
        <w:rPr>
          <w:rFonts w:eastAsia="Calibri"/>
          <w:iCs/>
        </w:rPr>
        <w:t>section of the</w:t>
      </w:r>
      <w:r w:rsidR="005F24C1">
        <w:rPr>
          <w:rFonts w:eastAsia="Calibri"/>
          <w:iCs/>
        </w:rPr>
        <w:t xml:space="preserve"> WEIM </w:t>
      </w:r>
      <w:r w:rsidR="00AB2354" w:rsidRPr="00B94F9D">
        <w:rPr>
          <w:rFonts w:eastAsia="Calibri"/>
          <w:iCs/>
        </w:rPr>
        <w:t>BPM</w:t>
      </w:r>
      <w:r w:rsidRPr="00B94F9D">
        <w:rPr>
          <w:rFonts w:eastAsia="Calibri"/>
          <w:iCs/>
        </w:rPr>
        <w:t xml:space="preserve"> covers the overview of the criteria used to arrive at the decision to revert back and to provide a high level plan to ensure a reliable and orderly termination.  </w:t>
      </w:r>
    </w:p>
    <w:p w14:paraId="0C1DF90C" w14:textId="77777777" w:rsidR="008817D0" w:rsidRPr="008817D0" w:rsidRDefault="008817D0" w:rsidP="00C33762">
      <w:pPr>
        <w:pStyle w:val="Heading3"/>
        <w:rPr>
          <w:rFonts w:eastAsia="Calibri"/>
        </w:rPr>
      </w:pPr>
      <w:bookmarkStart w:id="2004" w:name="_Toc390869288"/>
      <w:bookmarkStart w:id="2005" w:name="_Toc390946301"/>
      <w:bookmarkStart w:id="2006" w:name="_Toc391969862"/>
      <w:bookmarkStart w:id="2007" w:name="_Toc229054517"/>
      <w:r w:rsidRPr="008817D0">
        <w:rPr>
          <w:rFonts w:eastAsia="Calibri"/>
        </w:rPr>
        <w:t>Recovery Approach</w:t>
      </w:r>
      <w:bookmarkEnd w:id="2004"/>
      <w:bookmarkEnd w:id="2005"/>
      <w:bookmarkEnd w:id="2006"/>
      <w:bookmarkEnd w:id="2007"/>
    </w:p>
    <w:p w14:paraId="74E7F43C" w14:textId="12B8431F" w:rsidR="008817D0" w:rsidRPr="008817D0" w:rsidRDefault="008817D0" w:rsidP="008817D0">
      <w:pPr>
        <w:spacing w:after="240" w:line="300" w:lineRule="auto"/>
        <w:rPr>
          <w:rFonts w:eastAsia="Calibri"/>
        </w:rPr>
      </w:pPr>
      <w:r w:rsidRPr="008817D0">
        <w:rPr>
          <w:rFonts w:eastAsia="Calibri"/>
        </w:rPr>
        <w:t>In the event that data exchange a</w:t>
      </w:r>
      <w:r w:rsidR="001B06BF">
        <w:rPr>
          <w:rFonts w:eastAsia="Calibri"/>
        </w:rPr>
        <w:t xml:space="preserve">nd/or communication between </w:t>
      </w:r>
      <w:r w:rsidR="006276DD">
        <w:rPr>
          <w:rFonts w:eastAsia="Calibri"/>
        </w:rPr>
        <w:t>CA</w:t>
      </w:r>
      <w:r w:rsidRPr="008817D0">
        <w:rPr>
          <w:rFonts w:eastAsia="Calibri"/>
        </w:rPr>
        <w:t>ISO and the</w:t>
      </w:r>
      <w:r w:rsidR="005F24C1">
        <w:rPr>
          <w:rFonts w:eastAsia="Calibri"/>
        </w:rPr>
        <w:t xml:space="preserve"> WEIM </w:t>
      </w:r>
      <w:r w:rsidRPr="008817D0">
        <w:rPr>
          <w:rFonts w:eastAsia="Calibri"/>
        </w:rPr>
        <w:t>Entity BAA are disrupted, the following steps may be implemented to handle such disruptions:</w:t>
      </w:r>
    </w:p>
    <w:p w14:paraId="01918874" w14:textId="77777777" w:rsidR="008817D0" w:rsidRPr="008817D0" w:rsidRDefault="008817D0" w:rsidP="00E80005">
      <w:pPr>
        <w:numPr>
          <w:ilvl w:val="0"/>
          <w:numId w:val="34"/>
        </w:numPr>
        <w:rPr>
          <w:rFonts w:eastAsia="Calibri"/>
        </w:rPr>
      </w:pPr>
      <w:r w:rsidRPr="008817D0">
        <w:rPr>
          <w:rFonts w:eastAsia="Calibri"/>
        </w:rPr>
        <w:t xml:space="preserve">When certain input data becomes unavailable and there is a recent history that can be used by the market applications, the latter can continue to function producing approximate, acceptable market results. For example, if demand forecast becomes unavailable, the last available demand forecast for that period could be used for the market horizon and for several market runs. Similarly, if telemetry becomes unavailable, the last SE solution can be used in the next market run. This recovery approach can be used until the data is considered too old to produce reasonable market results. The time cutoff depends on the nature and importance of the data and </w:t>
      </w:r>
      <w:r w:rsidR="00BF3D50">
        <w:rPr>
          <w:rFonts w:eastAsia="Calibri"/>
        </w:rPr>
        <w:t>will</w:t>
      </w:r>
      <w:r w:rsidRPr="008817D0">
        <w:rPr>
          <w:rFonts w:eastAsia="Calibri"/>
        </w:rPr>
        <w:t xml:space="preserve"> be determined separately for each data stream.</w:t>
      </w:r>
    </w:p>
    <w:p w14:paraId="472C77EC" w14:textId="48A7E723" w:rsidR="008817D0" w:rsidRPr="008817D0" w:rsidRDefault="008817D0" w:rsidP="00E80005">
      <w:pPr>
        <w:numPr>
          <w:ilvl w:val="0"/>
          <w:numId w:val="34"/>
        </w:numPr>
        <w:rPr>
          <w:rFonts w:eastAsia="Calibri"/>
        </w:rPr>
      </w:pPr>
      <w:r w:rsidRPr="008817D0">
        <w:rPr>
          <w:rFonts w:eastAsia="Calibri"/>
        </w:rPr>
        <w:t>When a market run fails, advisory market results</w:t>
      </w:r>
      <w:r w:rsidR="0036517E">
        <w:rPr>
          <w:rFonts w:eastAsia="Calibri"/>
        </w:rPr>
        <w:t xml:space="preserve">, </w:t>
      </w:r>
      <w:r w:rsidR="0036517E" w:rsidRPr="0036517E">
        <w:rPr>
          <w:rFonts w:eastAsia="Calibri"/>
        </w:rPr>
        <w:t>including GHG allocations</w:t>
      </w:r>
      <w:r w:rsidR="0036517E">
        <w:rPr>
          <w:rFonts w:eastAsia="Calibri"/>
        </w:rPr>
        <w:t>,</w:t>
      </w:r>
      <w:r w:rsidRPr="008817D0">
        <w:rPr>
          <w:rFonts w:eastAsia="Calibri"/>
        </w:rPr>
        <w:t xml:space="preserve"> from the last successful market run can be used. This recovery approach can be used until all advisory intervals run out. </w:t>
      </w:r>
      <w:r w:rsidR="0036517E" w:rsidRPr="0036517E">
        <w:rPr>
          <w:rFonts w:eastAsia="Calibri"/>
        </w:rPr>
        <w:t>When a failed market run is the first interval of a trading hour and the market uses advisory market results, from the p</w:t>
      </w:r>
      <w:r w:rsidR="0036517E">
        <w:rPr>
          <w:rFonts w:eastAsia="Calibri"/>
        </w:rPr>
        <w:t xml:space="preserve">revious trading hour, </w:t>
      </w:r>
      <w:r w:rsidR="0036517E" w:rsidRPr="0036517E">
        <w:rPr>
          <w:rFonts w:eastAsia="Calibri"/>
        </w:rPr>
        <w:t>the market will also use any GHG allocation from the previous trading hour even when a resource in the current trading hour may not have GHG bids.</w:t>
      </w:r>
    </w:p>
    <w:p w14:paraId="100171E7" w14:textId="7CFA559B" w:rsidR="008817D0" w:rsidRPr="008817D0" w:rsidRDefault="008817D0" w:rsidP="00E80005">
      <w:pPr>
        <w:numPr>
          <w:ilvl w:val="0"/>
          <w:numId w:val="34"/>
        </w:numPr>
        <w:rPr>
          <w:rFonts w:eastAsia="Calibri"/>
        </w:rPr>
      </w:pPr>
      <w:r w:rsidRPr="008817D0">
        <w:rPr>
          <w:rFonts w:eastAsia="Calibri"/>
        </w:rPr>
        <w:t>When certain input data becomes unavailable, the affected BAA can be isolated from the</w:t>
      </w:r>
      <w:r w:rsidR="005F24C1">
        <w:rPr>
          <w:rFonts w:eastAsia="Calibri"/>
        </w:rPr>
        <w:t xml:space="preserve"> WEIM </w:t>
      </w:r>
      <w:r w:rsidRPr="008817D0">
        <w:rPr>
          <w:rFonts w:eastAsia="Calibri"/>
        </w:rPr>
        <w:t>by freezing the N</w:t>
      </w:r>
      <w:r w:rsidR="00BF3D50">
        <w:rPr>
          <w:rFonts w:eastAsia="Calibri"/>
        </w:rPr>
        <w:t>et Scheduled Interchange</w:t>
      </w:r>
      <w:r w:rsidRPr="008817D0">
        <w:rPr>
          <w:rFonts w:eastAsia="Calibri"/>
        </w:rPr>
        <w:t xml:space="preserve">, the demand, and the dispatch at the last market solution within the hour, and at the base for future hours, and also by ignoring bids in that BAA. The market applications </w:t>
      </w:r>
      <w:r w:rsidR="00BF3D50">
        <w:rPr>
          <w:rFonts w:eastAsia="Calibri"/>
        </w:rPr>
        <w:t>will</w:t>
      </w:r>
      <w:r w:rsidRPr="008817D0">
        <w:rPr>
          <w:rFonts w:eastAsia="Calibri"/>
        </w:rPr>
        <w:t xml:space="preserve"> still produce market results for the remaining BAAs in EIM. The affected BAA operator must balance the BAA outside</w:t>
      </w:r>
      <w:r w:rsidR="005F24C1">
        <w:rPr>
          <w:rFonts w:eastAsia="Calibri"/>
        </w:rPr>
        <w:t xml:space="preserve"> WEIM </w:t>
      </w:r>
      <w:r w:rsidRPr="008817D0">
        <w:rPr>
          <w:rFonts w:eastAsia="Calibri"/>
        </w:rPr>
        <w:t xml:space="preserve">through regulation and dispatch instructions issued directly to resources, following pre-EIM protocols. LMPs will be calculated for that BAA and will be used to settle Uninstructed Imbalance Energy. This disruption </w:t>
      </w:r>
      <w:r w:rsidR="00201C6B">
        <w:rPr>
          <w:rFonts w:eastAsia="Calibri"/>
        </w:rPr>
        <w:t>is not expected to last more than one trading day.</w:t>
      </w:r>
    </w:p>
    <w:p w14:paraId="227B6FB4" w14:textId="77777777" w:rsidR="008817D0" w:rsidRPr="008817D0" w:rsidRDefault="008817D0" w:rsidP="00E80005">
      <w:pPr>
        <w:numPr>
          <w:ilvl w:val="0"/>
          <w:numId w:val="34"/>
        </w:numPr>
        <w:rPr>
          <w:rFonts w:eastAsia="Calibri"/>
        </w:rPr>
      </w:pPr>
      <w:r w:rsidRPr="008817D0">
        <w:rPr>
          <w:rFonts w:eastAsia="Calibri"/>
        </w:rPr>
        <w:t>If disruption is prolonged, an additional option can be enabled to suppress settlement statements for the affected BAA.</w:t>
      </w:r>
    </w:p>
    <w:p w14:paraId="74791C7C" w14:textId="0A00612B" w:rsidR="008817D0" w:rsidRPr="008817D0" w:rsidRDefault="008817D0" w:rsidP="00E80005">
      <w:pPr>
        <w:numPr>
          <w:ilvl w:val="0"/>
          <w:numId w:val="34"/>
        </w:numPr>
        <w:rPr>
          <w:rFonts w:eastAsia="Calibri"/>
        </w:rPr>
      </w:pPr>
      <w:r w:rsidRPr="008817D0">
        <w:rPr>
          <w:rFonts w:eastAsia="Calibri"/>
        </w:rPr>
        <w:lastRenderedPageBreak/>
        <w:t>When market runs continuously fail and the above disruptions are no longer applicable because the advisory dispatches are exhausted and the market application c</w:t>
      </w:r>
      <w:r w:rsidR="00303EEF">
        <w:rPr>
          <w:rFonts w:eastAsia="Calibri"/>
        </w:rPr>
        <w:t>annot run, the fallback is the Day-A</w:t>
      </w:r>
      <w:r w:rsidRPr="008817D0">
        <w:rPr>
          <w:rFonts w:eastAsia="Calibri"/>
        </w:rPr>
        <w:t>head sched</w:t>
      </w:r>
      <w:r w:rsidR="000B6D3C">
        <w:rPr>
          <w:rFonts w:eastAsia="Calibri"/>
        </w:rPr>
        <w:t>ules for the CAISO BAA and the Base S</w:t>
      </w:r>
      <w:r w:rsidRPr="008817D0">
        <w:rPr>
          <w:rFonts w:eastAsia="Calibri"/>
        </w:rPr>
        <w:t>chedules for the</w:t>
      </w:r>
      <w:r w:rsidR="005F24C1">
        <w:rPr>
          <w:rFonts w:eastAsia="Calibri"/>
        </w:rPr>
        <w:t xml:space="preserve"> WEIM </w:t>
      </w:r>
      <w:r w:rsidRPr="008817D0">
        <w:rPr>
          <w:rFonts w:eastAsia="Calibri"/>
        </w:rPr>
        <w:t>Entity BAAs; each BAA operator will balance the BAA through regulation and dispatch instructions issued directly to resources. Administrative prices will be used to settle imbalance energy.</w:t>
      </w:r>
      <w:r w:rsidR="007D256F">
        <w:rPr>
          <w:rFonts w:eastAsia="Calibri"/>
        </w:rPr>
        <w:t xml:space="preserve"> </w:t>
      </w:r>
      <w:r w:rsidR="007D256F">
        <w:t xml:space="preserve">The </w:t>
      </w:r>
      <w:r w:rsidR="0058562B">
        <w:t>CA</w:t>
      </w:r>
      <w:r w:rsidR="007D256F">
        <w:t xml:space="preserve">ISO will use the </w:t>
      </w:r>
      <w:r w:rsidR="008F4700">
        <w:t>Open Access Transmission Tariff (</w:t>
      </w:r>
      <w:r w:rsidR="007D256F">
        <w:t>OATT</w:t>
      </w:r>
      <w:r w:rsidR="008F4700">
        <w:t>)</w:t>
      </w:r>
      <w:r w:rsidR="007D256F">
        <w:t xml:space="preserve"> approved price used by the</w:t>
      </w:r>
      <w:r w:rsidR="005F24C1">
        <w:t xml:space="preserve"> WEIM </w:t>
      </w:r>
      <w:r w:rsidR="007D256F">
        <w:t>Entity during a market suspension to settle imbalance within the</w:t>
      </w:r>
      <w:r w:rsidR="005F24C1">
        <w:t xml:space="preserve"> WEIM </w:t>
      </w:r>
      <w:r w:rsidR="007D256F">
        <w:t>Entity BAA</w:t>
      </w:r>
      <w:r w:rsidR="00A57C6B">
        <w:t>.</w:t>
      </w:r>
    </w:p>
    <w:p w14:paraId="6546C7EA" w14:textId="77777777" w:rsidR="008817D0" w:rsidRPr="00F446C9" w:rsidRDefault="008817D0" w:rsidP="00F446C9">
      <w:pPr>
        <w:rPr>
          <w:rFonts w:eastAsia="Calibri"/>
          <w:b/>
        </w:rPr>
      </w:pPr>
      <w:bookmarkStart w:id="2008" w:name="_Toc390869289"/>
      <w:r w:rsidRPr="00F446C9">
        <w:rPr>
          <w:rFonts w:eastAsia="Calibri"/>
          <w:b/>
        </w:rPr>
        <w:t>Corrective Actions</w:t>
      </w:r>
      <w:bookmarkEnd w:id="2008"/>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6877"/>
      </w:tblGrid>
      <w:tr w:rsidR="00F446C9" w:rsidRPr="008817D0" w14:paraId="5C495864" w14:textId="77777777" w:rsidTr="00F041A9">
        <w:trPr>
          <w:trHeight w:val="20"/>
          <w:tblHeader/>
        </w:trPr>
        <w:tc>
          <w:tcPr>
            <w:tcW w:w="8658" w:type="dxa"/>
            <w:gridSpan w:val="2"/>
            <w:tcBorders>
              <w:top w:val="single" w:sz="4" w:space="0" w:color="auto"/>
              <w:left w:val="single" w:sz="4" w:space="0" w:color="auto"/>
              <w:bottom w:val="single" w:sz="4" w:space="0" w:color="auto"/>
              <w:right w:val="single" w:sz="4" w:space="0" w:color="auto"/>
            </w:tcBorders>
            <w:shd w:val="clear" w:color="auto" w:fill="D9D9D9"/>
          </w:tcPr>
          <w:p w14:paraId="67705A69" w14:textId="77777777" w:rsidR="00F446C9" w:rsidRPr="008817D0" w:rsidRDefault="00F446C9" w:rsidP="00F446C9">
            <w:pPr>
              <w:spacing w:after="240" w:line="300" w:lineRule="auto"/>
              <w:jc w:val="center"/>
              <w:rPr>
                <w:rFonts w:eastAsia="Calibri"/>
              </w:rPr>
            </w:pPr>
            <w:r>
              <w:rPr>
                <w:rFonts w:eastAsia="Calibri"/>
              </w:rPr>
              <w:t>Summary of Authority to Address Contingencies</w:t>
            </w:r>
          </w:p>
        </w:tc>
      </w:tr>
      <w:tr w:rsidR="008817D0" w:rsidRPr="008817D0" w14:paraId="5AD51FED" w14:textId="77777777" w:rsidTr="00F041A9">
        <w:trPr>
          <w:trHeight w:val="20"/>
        </w:trPr>
        <w:tc>
          <w:tcPr>
            <w:tcW w:w="1721" w:type="dxa"/>
            <w:tcBorders>
              <w:top w:val="single" w:sz="4" w:space="0" w:color="auto"/>
              <w:left w:val="single" w:sz="4" w:space="0" w:color="auto"/>
              <w:bottom w:val="single" w:sz="4" w:space="0" w:color="auto"/>
              <w:right w:val="single" w:sz="4" w:space="0" w:color="auto"/>
            </w:tcBorders>
            <w:hideMark/>
          </w:tcPr>
          <w:p w14:paraId="04D0E3E6" w14:textId="77777777" w:rsidR="008817D0" w:rsidRPr="008817D0" w:rsidRDefault="008817D0" w:rsidP="008817D0">
            <w:pPr>
              <w:spacing w:after="240" w:line="300" w:lineRule="auto"/>
              <w:rPr>
                <w:rFonts w:eastAsia="Calibri"/>
              </w:rPr>
            </w:pPr>
            <w:r w:rsidRPr="008817D0">
              <w:rPr>
                <w:rFonts w:eastAsia="Calibri"/>
              </w:rPr>
              <w:t>Period</w:t>
            </w:r>
          </w:p>
        </w:tc>
        <w:tc>
          <w:tcPr>
            <w:tcW w:w="6937" w:type="dxa"/>
            <w:tcBorders>
              <w:top w:val="single" w:sz="4" w:space="0" w:color="auto"/>
              <w:left w:val="single" w:sz="4" w:space="0" w:color="auto"/>
              <w:bottom w:val="single" w:sz="4" w:space="0" w:color="auto"/>
              <w:right w:val="single" w:sz="4" w:space="0" w:color="auto"/>
            </w:tcBorders>
            <w:hideMark/>
          </w:tcPr>
          <w:p w14:paraId="5CC3B3C9" w14:textId="77777777" w:rsidR="008817D0" w:rsidRPr="008817D0" w:rsidRDefault="008817D0" w:rsidP="008817D0">
            <w:pPr>
              <w:spacing w:after="240" w:line="300" w:lineRule="auto"/>
              <w:rPr>
                <w:rFonts w:eastAsia="Calibri"/>
              </w:rPr>
            </w:pPr>
            <w:r w:rsidRPr="008817D0">
              <w:rPr>
                <w:rFonts w:eastAsia="Calibri"/>
              </w:rPr>
              <w:t>CAISO Corrective Action(s)</w:t>
            </w:r>
          </w:p>
        </w:tc>
      </w:tr>
      <w:tr w:rsidR="008817D0" w:rsidRPr="008817D0" w14:paraId="1E8006D7" w14:textId="77777777" w:rsidTr="00F041A9">
        <w:trPr>
          <w:trHeight w:val="585"/>
        </w:trPr>
        <w:tc>
          <w:tcPr>
            <w:tcW w:w="1721" w:type="dxa"/>
            <w:vMerge w:val="restart"/>
            <w:tcBorders>
              <w:top w:val="single" w:sz="4" w:space="0" w:color="auto"/>
              <w:left w:val="single" w:sz="4" w:space="0" w:color="auto"/>
              <w:bottom w:val="single" w:sz="4" w:space="0" w:color="auto"/>
              <w:right w:val="single" w:sz="4" w:space="0" w:color="auto"/>
            </w:tcBorders>
            <w:hideMark/>
          </w:tcPr>
          <w:p w14:paraId="3D36B53E" w14:textId="77777777" w:rsidR="008817D0" w:rsidRPr="008817D0" w:rsidRDefault="008817D0" w:rsidP="008817D0">
            <w:pPr>
              <w:spacing w:after="240" w:line="300" w:lineRule="auto"/>
              <w:rPr>
                <w:rFonts w:eastAsia="Calibri"/>
              </w:rPr>
            </w:pPr>
            <w:r w:rsidRPr="008817D0">
              <w:rPr>
                <w:rFonts w:eastAsia="Calibri"/>
              </w:rPr>
              <w:t>Initial 60 days from Implementation Date</w:t>
            </w:r>
          </w:p>
        </w:tc>
        <w:tc>
          <w:tcPr>
            <w:tcW w:w="6937" w:type="dxa"/>
            <w:vMerge w:val="restart"/>
            <w:tcBorders>
              <w:top w:val="single" w:sz="4" w:space="0" w:color="auto"/>
              <w:left w:val="single" w:sz="4" w:space="0" w:color="auto"/>
              <w:bottom w:val="single" w:sz="4" w:space="0" w:color="auto"/>
              <w:right w:val="single" w:sz="4" w:space="0" w:color="auto"/>
            </w:tcBorders>
            <w:hideMark/>
          </w:tcPr>
          <w:p w14:paraId="76D3E5CF" w14:textId="77777777" w:rsidR="008817D0" w:rsidRPr="008817D0" w:rsidRDefault="008817D0" w:rsidP="008817D0">
            <w:pPr>
              <w:spacing w:after="240" w:line="300" w:lineRule="auto"/>
              <w:rPr>
                <w:rFonts w:eastAsia="Calibri"/>
              </w:rPr>
            </w:pPr>
            <w:r w:rsidRPr="008817D0">
              <w:rPr>
                <w:rFonts w:eastAsia="Calibri"/>
              </w:rPr>
              <w:t>Discontinuation: pe</w:t>
            </w:r>
            <w:r w:rsidR="00A40D5F">
              <w:rPr>
                <w:rFonts w:eastAsia="Calibri"/>
              </w:rPr>
              <w:t>r Tariff S</w:t>
            </w:r>
            <w:r w:rsidRPr="008817D0">
              <w:rPr>
                <w:rFonts w:eastAsia="Calibri"/>
              </w:rPr>
              <w:t>ection 29.1(d)(1):</w:t>
            </w:r>
          </w:p>
          <w:p w14:paraId="3A2431AF" w14:textId="4C99A627" w:rsidR="008817D0" w:rsidRPr="008817D0" w:rsidRDefault="008817D0" w:rsidP="00E80005">
            <w:pPr>
              <w:numPr>
                <w:ilvl w:val="0"/>
                <w:numId w:val="29"/>
              </w:numPr>
              <w:spacing w:after="240" w:line="300" w:lineRule="auto"/>
              <w:rPr>
                <w:rFonts w:eastAsia="Calibri"/>
              </w:rPr>
            </w:pPr>
            <w:r w:rsidRPr="008817D0">
              <w:rPr>
                <w:rFonts w:eastAsia="Calibri"/>
              </w:rPr>
              <w:t>Prevent</w:t>
            </w:r>
            <w:r w:rsidR="005F24C1">
              <w:rPr>
                <w:rFonts w:eastAsia="Calibri"/>
              </w:rPr>
              <w:t xml:space="preserve"> WEIM </w:t>
            </w:r>
            <w:r w:rsidRPr="008817D0">
              <w:rPr>
                <w:rFonts w:eastAsia="Calibri"/>
              </w:rPr>
              <w:t xml:space="preserve">Transfers </w:t>
            </w:r>
          </w:p>
          <w:p w14:paraId="1992C73D" w14:textId="28D65779" w:rsidR="008817D0" w:rsidRPr="008817D0" w:rsidRDefault="008817D0" w:rsidP="00E80005">
            <w:pPr>
              <w:numPr>
                <w:ilvl w:val="0"/>
                <w:numId w:val="29"/>
              </w:numPr>
              <w:spacing w:after="240" w:line="300" w:lineRule="auto"/>
              <w:rPr>
                <w:rFonts w:eastAsia="Calibri"/>
              </w:rPr>
            </w:pPr>
            <w:r w:rsidRPr="008817D0">
              <w:rPr>
                <w:rFonts w:eastAsia="Calibri"/>
              </w:rPr>
              <w:t>Suspend</w:t>
            </w:r>
            <w:r w:rsidR="005F24C1">
              <w:rPr>
                <w:rFonts w:eastAsia="Calibri"/>
              </w:rPr>
              <w:t xml:space="preserve"> WEIM </w:t>
            </w:r>
            <w:r w:rsidRPr="008817D0">
              <w:rPr>
                <w:rFonts w:eastAsia="Calibri"/>
              </w:rPr>
              <w:t>settlements</w:t>
            </w:r>
          </w:p>
          <w:p w14:paraId="2EF23FA2" w14:textId="443718AC" w:rsidR="008817D0" w:rsidRPr="008817D0" w:rsidRDefault="008817D0" w:rsidP="00E80005">
            <w:pPr>
              <w:numPr>
                <w:ilvl w:val="0"/>
                <w:numId w:val="29"/>
              </w:numPr>
              <w:spacing w:after="240" w:line="300" w:lineRule="auto"/>
              <w:rPr>
                <w:rFonts w:eastAsia="Calibri"/>
              </w:rPr>
            </w:pPr>
            <w:r w:rsidRPr="008817D0">
              <w:rPr>
                <w:rFonts w:eastAsia="Calibri"/>
              </w:rPr>
              <w:t>Terminate participation of</w:t>
            </w:r>
            <w:r w:rsidR="005F24C1">
              <w:rPr>
                <w:rFonts w:eastAsia="Calibri"/>
              </w:rPr>
              <w:t xml:space="preserve"> WEIM </w:t>
            </w:r>
            <w:r w:rsidRPr="008817D0">
              <w:rPr>
                <w:rFonts w:eastAsia="Calibri"/>
              </w:rPr>
              <w:t>Entity (if res</w:t>
            </w:r>
            <w:r w:rsidR="00A40D5F">
              <w:rPr>
                <w:rFonts w:eastAsia="Calibri"/>
              </w:rPr>
              <w:t>olution is not achieved within T</w:t>
            </w:r>
            <w:r w:rsidRPr="008817D0">
              <w:rPr>
                <w:rFonts w:eastAsia="Calibri"/>
              </w:rPr>
              <w:t>ariff timeframes)</w:t>
            </w:r>
          </w:p>
        </w:tc>
      </w:tr>
      <w:tr w:rsidR="008817D0" w:rsidRPr="008817D0" w14:paraId="52F7BE93" w14:textId="77777777" w:rsidTr="00F041A9">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3298B" w14:textId="77777777" w:rsidR="008817D0" w:rsidRPr="008817D0" w:rsidRDefault="008817D0" w:rsidP="008817D0">
            <w:pPr>
              <w:spacing w:after="240" w:line="300" w:lineRule="auto"/>
              <w:rPr>
                <w:rFonts w:eastAsia="Calibri"/>
              </w:rPr>
            </w:pPr>
          </w:p>
        </w:tc>
        <w:tc>
          <w:tcPr>
            <w:tcW w:w="6937" w:type="dxa"/>
            <w:vMerge/>
            <w:tcBorders>
              <w:top w:val="single" w:sz="4" w:space="0" w:color="auto"/>
              <w:left w:val="single" w:sz="4" w:space="0" w:color="auto"/>
              <w:bottom w:val="single" w:sz="4" w:space="0" w:color="auto"/>
              <w:right w:val="single" w:sz="4" w:space="0" w:color="auto"/>
            </w:tcBorders>
            <w:vAlign w:val="center"/>
            <w:hideMark/>
          </w:tcPr>
          <w:p w14:paraId="18AD7F42" w14:textId="77777777" w:rsidR="008817D0" w:rsidRPr="008817D0" w:rsidRDefault="008817D0" w:rsidP="008817D0">
            <w:pPr>
              <w:spacing w:after="240" w:line="300" w:lineRule="auto"/>
              <w:rPr>
                <w:rFonts w:eastAsia="Calibri"/>
              </w:rPr>
            </w:pPr>
          </w:p>
        </w:tc>
      </w:tr>
      <w:tr w:rsidR="008817D0" w:rsidRPr="008817D0" w14:paraId="42131DA1" w14:textId="77777777" w:rsidTr="00F041A9">
        <w:trPr>
          <w:trHeight w:val="20"/>
        </w:trPr>
        <w:tc>
          <w:tcPr>
            <w:tcW w:w="1721" w:type="dxa"/>
            <w:tcBorders>
              <w:top w:val="single" w:sz="4" w:space="0" w:color="auto"/>
              <w:left w:val="single" w:sz="4" w:space="0" w:color="auto"/>
              <w:bottom w:val="single" w:sz="4" w:space="0" w:color="auto"/>
              <w:right w:val="single" w:sz="4" w:space="0" w:color="auto"/>
            </w:tcBorders>
            <w:hideMark/>
          </w:tcPr>
          <w:p w14:paraId="0556DEB4" w14:textId="77777777" w:rsidR="008817D0" w:rsidRPr="008817D0" w:rsidRDefault="008817D0" w:rsidP="008817D0">
            <w:pPr>
              <w:spacing w:after="240" w:line="300" w:lineRule="auto"/>
              <w:rPr>
                <w:rFonts w:eastAsia="Calibri"/>
              </w:rPr>
            </w:pPr>
            <w:r w:rsidRPr="008817D0">
              <w:rPr>
                <w:rFonts w:eastAsia="Calibri"/>
              </w:rPr>
              <w:t>After 60 days from Implementation Date (ongoing operations)</w:t>
            </w:r>
          </w:p>
        </w:tc>
        <w:tc>
          <w:tcPr>
            <w:tcW w:w="6937" w:type="dxa"/>
            <w:tcBorders>
              <w:top w:val="single" w:sz="4" w:space="0" w:color="auto"/>
              <w:left w:val="single" w:sz="4" w:space="0" w:color="auto"/>
              <w:bottom w:val="single" w:sz="4" w:space="0" w:color="auto"/>
              <w:right w:val="single" w:sz="4" w:space="0" w:color="auto"/>
            </w:tcBorders>
            <w:hideMark/>
          </w:tcPr>
          <w:p w14:paraId="70AA55F0" w14:textId="77777777" w:rsidR="008817D0" w:rsidRPr="008817D0" w:rsidRDefault="00A40D5F" w:rsidP="008817D0">
            <w:pPr>
              <w:spacing w:after="240" w:line="300" w:lineRule="auto"/>
              <w:rPr>
                <w:rFonts w:eastAsia="Calibri"/>
              </w:rPr>
            </w:pPr>
            <w:r>
              <w:rPr>
                <w:rFonts w:eastAsia="Calibri"/>
              </w:rPr>
              <w:t>EIM Disruption: per Tariff S</w:t>
            </w:r>
            <w:r w:rsidR="008817D0" w:rsidRPr="008817D0">
              <w:rPr>
                <w:rFonts w:eastAsia="Calibri"/>
              </w:rPr>
              <w:t>ection 29.7(j)</w:t>
            </w:r>
          </w:p>
          <w:p w14:paraId="51AFBB04" w14:textId="57DE19B2" w:rsidR="008817D0" w:rsidRPr="008817D0" w:rsidRDefault="008817D0" w:rsidP="00E80005">
            <w:pPr>
              <w:numPr>
                <w:ilvl w:val="0"/>
                <w:numId w:val="30"/>
              </w:numPr>
              <w:spacing w:after="240" w:line="300" w:lineRule="auto"/>
              <w:rPr>
                <w:rFonts w:eastAsia="Calibri"/>
              </w:rPr>
            </w:pPr>
            <w:r w:rsidRPr="008817D0">
              <w:rPr>
                <w:rFonts w:eastAsia="Calibri"/>
              </w:rPr>
              <w:t>Prevent</w:t>
            </w:r>
            <w:r w:rsidR="005F24C1">
              <w:rPr>
                <w:rFonts w:eastAsia="Calibri"/>
              </w:rPr>
              <w:t xml:space="preserve"> WEIM </w:t>
            </w:r>
            <w:r w:rsidRPr="008817D0">
              <w:rPr>
                <w:rFonts w:eastAsia="Calibri"/>
              </w:rPr>
              <w:t xml:space="preserve">Transfers </w:t>
            </w:r>
          </w:p>
          <w:p w14:paraId="5DA678C5" w14:textId="77777777" w:rsidR="008817D0" w:rsidRPr="008817D0" w:rsidRDefault="008817D0" w:rsidP="00E80005">
            <w:pPr>
              <w:numPr>
                <w:ilvl w:val="0"/>
                <w:numId w:val="30"/>
              </w:numPr>
              <w:spacing w:after="240" w:line="300" w:lineRule="auto"/>
              <w:rPr>
                <w:rFonts w:eastAsia="Calibri"/>
              </w:rPr>
            </w:pPr>
            <w:r w:rsidRPr="008817D0">
              <w:rPr>
                <w:rFonts w:eastAsia="Calibri"/>
              </w:rPr>
              <w:t>Communications failure measure</w:t>
            </w:r>
          </w:p>
          <w:p w14:paraId="5674021E" w14:textId="77777777" w:rsidR="008817D0" w:rsidRPr="008817D0" w:rsidRDefault="008817D0" w:rsidP="00E80005">
            <w:pPr>
              <w:numPr>
                <w:ilvl w:val="0"/>
                <w:numId w:val="30"/>
              </w:numPr>
              <w:spacing w:after="240" w:line="300" w:lineRule="auto"/>
              <w:rPr>
                <w:rFonts w:eastAsia="Calibri"/>
              </w:rPr>
            </w:pPr>
            <w:r w:rsidRPr="008817D0">
              <w:rPr>
                <w:rFonts w:eastAsia="Calibri"/>
              </w:rPr>
              <w:t xml:space="preserve">Market run failure measure </w:t>
            </w:r>
          </w:p>
          <w:p w14:paraId="3B822FF6" w14:textId="77777777" w:rsidR="008817D0" w:rsidRPr="008817D0" w:rsidRDefault="008817D0" w:rsidP="00E80005">
            <w:pPr>
              <w:numPr>
                <w:ilvl w:val="0"/>
                <w:numId w:val="30"/>
              </w:numPr>
              <w:spacing w:after="240" w:line="300" w:lineRule="auto"/>
              <w:rPr>
                <w:rFonts w:eastAsia="Calibri"/>
              </w:rPr>
            </w:pPr>
            <w:r w:rsidRPr="008817D0">
              <w:rPr>
                <w:rFonts w:eastAsia="Calibri"/>
              </w:rPr>
              <w:t xml:space="preserve">Establish administrative prices </w:t>
            </w:r>
          </w:p>
          <w:p w14:paraId="0C76BBE6" w14:textId="6B9D703B" w:rsidR="008817D0" w:rsidRPr="008817D0" w:rsidRDefault="008817D0" w:rsidP="00E80005">
            <w:pPr>
              <w:numPr>
                <w:ilvl w:val="0"/>
                <w:numId w:val="30"/>
              </w:numPr>
              <w:spacing w:after="240" w:line="300" w:lineRule="auto"/>
              <w:rPr>
                <w:rFonts w:eastAsia="Calibri"/>
              </w:rPr>
            </w:pPr>
            <w:r w:rsidRPr="008817D0">
              <w:rPr>
                <w:rFonts w:eastAsia="Calibri"/>
              </w:rPr>
              <w:t>Suspend</w:t>
            </w:r>
            <w:r w:rsidR="00E04726">
              <w:rPr>
                <w:rFonts w:eastAsia="Calibri"/>
              </w:rPr>
              <w:t>ing</w:t>
            </w:r>
            <w:r w:rsidR="005F24C1">
              <w:rPr>
                <w:rFonts w:eastAsia="Calibri"/>
              </w:rPr>
              <w:t xml:space="preserve"> WEIM </w:t>
            </w:r>
            <w:r w:rsidRPr="008817D0">
              <w:rPr>
                <w:rFonts w:eastAsia="Calibri"/>
              </w:rPr>
              <w:t xml:space="preserve">settlements </w:t>
            </w:r>
            <w:r w:rsidR="00E04726">
              <w:rPr>
                <w:rFonts w:eastAsia="Calibri"/>
              </w:rPr>
              <w:t xml:space="preserve">is </w:t>
            </w:r>
            <w:r w:rsidRPr="008817D0">
              <w:rPr>
                <w:rFonts w:eastAsia="Calibri"/>
              </w:rPr>
              <w:t>not available CAISO</w:t>
            </w:r>
            <w:r w:rsidR="00E04726">
              <w:rPr>
                <w:rFonts w:eastAsia="Calibri"/>
              </w:rPr>
              <w:t xml:space="preserve"> option</w:t>
            </w:r>
            <w:r w:rsidRPr="008817D0">
              <w:rPr>
                <w:rFonts w:eastAsia="Calibri"/>
              </w:rPr>
              <w:t>, but CAISO will respond to request from</w:t>
            </w:r>
            <w:r w:rsidR="005F24C1">
              <w:rPr>
                <w:rFonts w:eastAsia="Calibri"/>
              </w:rPr>
              <w:t xml:space="preserve"> WEIM </w:t>
            </w:r>
            <w:r w:rsidRPr="008817D0">
              <w:rPr>
                <w:rFonts w:eastAsia="Calibri"/>
              </w:rPr>
              <w:t>Entity</w:t>
            </w:r>
            <w:r w:rsidR="00E04726">
              <w:rPr>
                <w:rFonts w:eastAsia="Calibri"/>
              </w:rPr>
              <w:t xml:space="preserve"> for termination of</w:t>
            </w:r>
            <w:r w:rsidR="005F24C1">
              <w:rPr>
                <w:rFonts w:eastAsia="Calibri"/>
              </w:rPr>
              <w:t xml:space="preserve"> WEIM </w:t>
            </w:r>
            <w:r w:rsidR="00E04726">
              <w:rPr>
                <w:rFonts w:eastAsia="Calibri"/>
              </w:rPr>
              <w:t>participation</w:t>
            </w:r>
          </w:p>
        </w:tc>
      </w:tr>
      <w:tr w:rsidR="008817D0" w:rsidRPr="008817D0" w14:paraId="4B0BE3CF" w14:textId="77777777" w:rsidTr="00F041A9">
        <w:trPr>
          <w:trHeight w:val="2735"/>
        </w:trPr>
        <w:tc>
          <w:tcPr>
            <w:tcW w:w="1721" w:type="dxa"/>
            <w:tcBorders>
              <w:top w:val="single" w:sz="4" w:space="0" w:color="auto"/>
              <w:left w:val="single" w:sz="4" w:space="0" w:color="auto"/>
              <w:bottom w:val="single" w:sz="4" w:space="0" w:color="auto"/>
              <w:right w:val="single" w:sz="4" w:space="0" w:color="auto"/>
            </w:tcBorders>
            <w:hideMark/>
          </w:tcPr>
          <w:p w14:paraId="7264705E" w14:textId="7540A41A" w:rsidR="008817D0" w:rsidRPr="008817D0" w:rsidRDefault="008817D0" w:rsidP="008817D0">
            <w:pPr>
              <w:spacing w:after="240" w:line="300" w:lineRule="auto"/>
              <w:rPr>
                <w:rFonts w:eastAsia="Calibri"/>
              </w:rPr>
            </w:pPr>
            <w:r w:rsidRPr="008817D0">
              <w:rPr>
                <w:rFonts w:eastAsia="Calibri"/>
              </w:rPr>
              <w:lastRenderedPageBreak/>
              <w:t>After</w:t>
            </w:r>
            <w:r w:rsidR="005F24C1">
              <w:rPr>
                <w:rFonts w:eastAsia="Calibri"/>
              </w:rPr>
              <w:t xml:space="preserve"> WEIM </w:t>
            </w:r>
            <w:r w:rsidRPr="008817D0">
              <w:rPr>
                <w:rFonts w:eastAsia="Calibri"/>
              </w:rPr>
              <w:t>Entity Notice of Termination (180 day notice period)</w:t>
            </w:r>
          </w:p>
        </w:tc>
        <w:tc>
          <w:tcPr>
            <w:tcW w:w="6937" w:type="dxa"/>
            <w:tcBorders>
              <w:top w:val="single" w:sz="4" w:space="0" w:color="auto"/>
              <w:left w:val="single" w:sz="4" w:space="0" w:color="auto"/>
              <w:bottom w:val="single" w:sz="4" w:space="0" w:color="auto"/>
              <w:right w:val="single" w:sz="4" w:space="0" w:color="auto"/>
            </w:tcBorders>
          </w:tcPr>
          <w:p w14:paraId="1237BFE9" w14:textId="14B762AD" w:rsidR="008817D0" w:rsidRPr="008817D0" w:rsidRDefault="008817D0" w:rsidP="008817D0">
            <w:pPr>
              <w:spacing w:after="240" w:line="300" w:lineRule="auto"/>
              <w:rPr>
                <w:rFonts w:eastAsia="Calibri"/>
              </w:rPr>
            </w:pPr>
            <w:r w:rsidRPr="008817D0">
              <w:rPr>
                <w:rFonts w:eastAsia="Calibri"/>
              </w:rPr>
              <w:t xml:space="preserve">Termination for this time period </w:t>
            </w:r>
            <w:r w:rsidRPr="008817D0">
              <w:rPr>
                <w:rFonts w:eastAsia="Calibri"/>
                <w:u w:val="single"/>
              </w:rPr>
              <w:t>not</w:t>
            </w:r>
            <w:r w:rsidRPr="008817D0">
              <w:rPr>
                <w:rFonts w:eastAsia="Calibri"/>
              </w:rPr>
              <w:t xml:space="preserve"> at election of CAISO. CAISO would respond to Termination of</w:t>
            </w:r>
            <w:r w:rsidR="005F24C1">
              <w:rPr>
                <w:rFonts w:eastAsia="Calibri"/>
              </w:rPr>
              <w:t xml:space="preserve"> WEIM </w:t>
            </w:r>
            <w:r w:rsidRPr="008817D0">
              <w:rPr>
                <w:rFonts w:eastAsia="Calibri"/>
              </w:rPr>
              <w:t>Entity with the following measures:</w:t>
            </w:r>
          </w:p>
          <w:p w14:paraId="7FCA078F" w14:textId="7A8D646E" w:rsidR="008817D0" w:rsidRPr="008817D0" w:rsidRDefault="008817D0" w:rsidP="00E80005">
            <w:pPr>
              <w:numPr>
                <w:ilvl w:val="0"/>
                <w:numId w:val="31"/>
              </w:numPr>
              <w:spacing w:after="240" w:line="300" w:lineRule="auto"/>
              <w:rPr>
                <w:rFonts w:eastAsia="Calibri"/>
              </w:rPr>
            </w:pPr>
            <w:r w:rsidRPr="008817D0">
              <w:rPr>
                <w:rFonts w:eastAsia="Calibri"/>
              </w:rPr>
              <w:t>Prevent</w:t>
            </w:r>
            <w:r w:rsidR="005F24C1">
              <w:rPr>
                <w:rFonts w:eastAsia="Calibri"/>
              </w:rPr>
              <w:t xml:space="preserve"> WEIM </w:t>
            </w:r>
            <w:r w:rsidRPr="008817D0">
              <w:rPr>
                <w:rFonts w:eastAsia="Calibri"/>
              </w:rPr>
              <w:t>Transfers (day 1 of 180 day period)</w:t>
            </w:r>
          </w:p>
          <w:p w14:paraId="049108D1" w14:textId="77777777" w:rsidR="008817D0" w:rsidRPr="00B406F1" w:rsidRDefault="008817D0" w:rsidP="00E80005">
            <w:pPr>
              <w:numPr>
                <w:ilvl w:val="0"/>
                <w:numId w:val="29"/>
              </w:numPr>
              <w:spacing w:after="240" w:line="300" w:lineRule="auto"/>
              <w:rPr>
                <w:rFonts w:eastAsia="Calibri"/>
              </w:rPr>
            </w:pPr>
            <w:r w:rsidRPr="008817D0">
              <w:rPr>
                <w:rFonts w:eastAsia="Calibri"/>
              </w:rPr>
              <w:t>EIM Entity is switched to “non-EIM Entity” (day 2 of 180 day period)</w:t>
            </w:r>
          </w:p>
        </w:tc>
      </w:tr>
    </w:tbl>
    <w:p w14:paraId="222F6AA5" w14:textId="77777777" w:rsidR="008817D0" w:rsidRPr="008817D0" w:rsidRDefault="008817D0" w:rsidP="008817D0">
      <w:pPr>
        <w:spacing w:after="240" w:line="300" w:lineRule="auto"/>
        <w:rPr>
          <w:rFonts w:eastAsia="Calibri"/>
          <w:b/>
        </w:rPr>
      </w:pPr>
    </w:p>
    <w:p w14:paraId="101B0BBE" w14:textId="0E367F5B" w:rsidR="008817D0" w:rsidRPr="008817D0" w:rsidRDefault="008817D0" w:rsidP="00C33762">
      <w:pPr>
        <w:pStyle w:val="Heading2"/>
        <w:rPr>
          <w:rFonts w:eastAsia="Calibri"/>
        </w:rPr>
      </w:pPr>
      <w:bookmarkStart w:id="2009" w:name="_Toc390869290"/>
      <w:bookmarkStart w:id="2010" w:name="_Toc390946302"/>
      <w:bookmarkStart w:id="2011" w:name="_Toc391969863"/>
      <w:bookmarkStart w:id="2012" w:name="_Toc229054518"/>
      <w:r w:rsidRPr="008817D0">
        <w:rPr>
          <w:rFonts w:eastAsia="Calibri"/>
        </w:rPr>
        <w:t>Separation of the</w:t>
      </w:r>
      <w:r w:rsidR="005F24C1">
        <w:rPr>
          <w:rFonts w:eastAsia="Calibri"/>
        </w:rPr>
        <w:t xml:space="preserve"> WEIM </w:t>
      </w:r>
      <w:r w:rsidRPr="008817D0">
        <w:rPr>
          <w:rFonts w:eastAsia="Calibri"/>
        </w:rPr>
        <w:t>Entity</w:t>
      </w:r>
      <w:bookmarkEnd w:id="2009"/>
      <w:bookmarkEnd w:id="2010"/>
      <w:bookmarkEnd w:id="2011"/>
      <w:bookmarkEnd w:id="2012"/>
    </w:p>
    <w:p w14:paraId="789E3CA8" w14:textId="3ACA38D8" w:rsidR="008817D0" w:rsidRPr="008817D0" w:rsidRDefault="00545056" w:rsidP="00877DDB">
      <w:pPr>
        <w:pStyle w:val="BPM"/>
      </w:pPr>
      <w:r>
        <w:t>I</w:t>
      </w:r>
      <w:r w:rsidR="004A54C4">
        <w:t>n the event the</w:t>
      </w:r>
      <w:r w:rsidR="005F24C1">
        <w:t xml:space="preserve"> WEIM </w:t>
      </w:r>
      <w:r w:rsidR="004A54C4">
        <w:t>E</w:t>
      </w:r>
      <w:r w:rsidR="008817D0" w:rsidRPr="008817D0">
        <w:t>ntity needs to separate from the EIM</w:t>
      </w:r>
      <w:r w:rsidR="001B06BF">
        <w:t xml:space="preserve">, </w:t>
      </w:r>
      <w:r>
        <w:t>CAISO will take appropriate steps to restrict operations</w:t>
      </w:r>
      <w:r w:rsidR="008817D0" w:rsidRPr="008817D0">
        <w:t xml:space="preserve"> and suspend settlements within the market.  </w:t>
      </w:r>
    </w:p>
    <w:p w14:paraId="6989E18E" w14:textId="77777777" w:rsidR="008817D0" w:rsidRPr="008817D0" w:rsidRDefault="008817D0" w:rsidP="00C33762">
      <w:pPr>
        <w:pStyle w:val="Heading3"/>
        <w:rPr>
          <w:rFonts w:eastAsia="Calibri"/>
        </w:rPr>
      </w:pPr>
      <w:bookmarkStart w:id="2013" w:name="_Toc390946303"/>
      <w:bookmarkStart w:id="2014" w:name="_Toc391969864"/>
      <w:bookmarkStart w:id="2015" w:name="_Toc229054519"/>
      <w:r w:rsidRPr="008817D0">
        <w:rPr>
          <w:rFonts w:eastAsia="Calibri"/>
        </w:rPr>
        <w:t>EIM Entity Separation from Market</w:t>
      </w:r>
      <w:bookmarkEnd w:id="2013"/>
      <w:bookmarkEnd w:id="2014"/>
      <w:bookmarkEnd w:id="2015"/>
    </w:p>
    <w:p w14:paraId="699EED69" w14:textId="77777777" w:rsidR="008817D0" w:rsidRPr="008817D0" w:rsidRDefault="008817D0" w:rsidP="00705653">
      <w:pPr>
        <w:rPr>
          <w:rFonts w:eastAsia="Calibri"/>
        </w:rPr>
      </w:pPr>
      <w:r w:rsidRPr="008817D0">
        <w:rPr>
          <w:rFonts w:eastAsia="Calibri"/>
        </w:rPr>
        <w:t>When a separation is activated</w:t>
      </w:r>
      <w:r w:rsidR="001B06BF">
        <w:rPr>
          <w:rFonts w:eastAsia="Calibri"/>
        </w:rPr>
        <w:t xml:space="preserve"> by </w:t>
      </w:r>
      <w:r w:rsidR="00545056">
        <w:rPr>
          <w:rFonts w:eastAsia="Calibri"/>
        </w:rPr>
        <w:t>CAISO</w:t>
      </w:r>
      <w:r w:rsidR="00944E25">
        <w:rPr>
          <w:rFonts w:eastAsia="Calibri"/>
        </w:rPr>
        <w:t>, the followings will apply</w:t>
      </w:r>
      <w:r w:rsidRPr="008817D0">
        <w:rPr>
          <w:rFonts w:eastAsia="Calibri"/>
        </w:rPr>
        <w:t>:</w:t>
      </w:r>
    </w:p>
    <w:p w14:paraId="491D6397" w14:textId="012D0246" w:rsidR="00A57C6B" w:rsidRPr="008817D0" w:rsidRDefault="008817D0" w:rsidP="00E80005">
      <w:pPr>
        <w:pStyle w:val="ListParagraph"/>
        <w:numPr>
          <w:ilvl w:val="0"/>
          <w:numId w:val="29"/>
        </w:numPr>
        <w:rPr>
          <w:rFonts w:eastAsia="Calibri"/>
        </w:rPr>
      </w:pPr>
      <w:r w:rsidRPr="008817D0">
        <w:rPr>
          <w:rFonts w:eastAsia="Calibri"/>
        </w:rPr>
        <w:t>SIBR</w:t>
      </w:r>
      <w:r w:rsidRPr="00944E25">
        <w:rPr>
          <w:rFonts w:eastAsia="Calibri"/>
        </w:rPr>
        <w:t xml:space="preserve"> </w:t>
      </w:r>
      <w:r w:rsidR="00944E25" w:rsidRPr="00944E25">
        <w:rPr>
          <w:rFonts w:eastAsia="Calibri"/>
        </w:rPr>
        <w:t>will</w:t>
      </w:r>
      <w:r w:rsidRPr="008817D0">
        <w:rPr>
          <w:rFonts w:eastAsia="Calibri"/>
        </w:rPr>
        <w:t xml:space="preserve"> reject any energy bids from the re</w:t>
      </w:r>
      <w:r w:rsidR="004A54C4">
        <w:rPr>
          <w:rFonts w:eastAsia="Calibri"/>
        </w:rPr>
        <w:t>sources that belong to the</w:t>
      </w:r>
      <w:r w:rsidR="005F24C1">
        <w:rPr>
          <w:rFonts w:eastAsia="Calibri"/>
        </w:rPr>
        <w:t xml:space="preserve"> WEIM </w:t>
      </w:r>
      <w:r w:rsidR="004A54C4">
        <w:rPr>
          <w:rFonts w:eastAsia="Calibri"/>
        </w:rPr>
        <w:t>E</w:t>
      </w:r>
      <w:r w:rsidRPr="008817D0">
        <w:rPr>
          <w:rFonts w:eastAsia="Calibri"/>
        </w:rPr>
        <w:t xml:space="preserve">ntity BAAs. </w:t>
      </w:r>
      <w:r w:rsidR="00944E25" w:rsidRPr="00944E25">
        <w:rPr>
          <w:rFonts w:eastAsia="Calibri"/>
        </w:rPr>
        <w:t>As a result, there will be no unit commitment or economic dispatch for</w:t>
      </w:r>
      <w:r w:rsidR="005F24C1">
        <w:rPr>
          <w:rFonts w:eastAsia="Calibri"/>
        </w:rPr>
        <w:t xml:space="preserve"> WEIM </w:t>
      </w:r>
      <w:r w:rsidR="00944E25" w:rsidRPr="00944E25">
        <w:rPr>
          <w:rFonts w:eastAsia="Calibri"/>
        </w:rPr>
        <w:t xml:space="preserve">resources in </w:t>
      </w:r>
      <w:r w:rsidR="00D52168">
        <w:rPr>
          <w:rFonts w:eastAsia="Calibri"/>
        </w:rPr>
        <w:t xml:space="preserve">the </w:t>
      </w:r>
      <w:r w:rsidR="00944E25" w:rsidRPr="00944E25">
        <w:rPr>
          <w:rFonts w:eastAsia="Calibri"/>
        </w:rPr>
        <w:t>rea</w:t>
      </w:r>
      <w:r w:rsidR="00D52168">
        <w:rPr>
          <w:rFonts w:eastAsia="Calibri"/>
        </w:rPr>
        <w:t>l-</w:t>
      </w:r>
      <w:r w:rsidR="00944E25" w:rsidRPr="00944E25">
        <w:rPr>
          <w:rFonts w:eastAsia="Calibri"/>
        </w:rPr>
        <w:t>time market.</w:t>
      </w:r>
      <w:r w:rsidRPr="00944E25">
        <w:rPr>
          <w:rFonts w:eastAsia="Calibri"/>
        </w:rPr>
        <w:t xml:space="preserve"> </w:t>
      </w:r>
    </w:p>
    <w:p w14:paraId="304E027D" w14:textId="47AD3360" w:rsidR="00A57C6B" w:rsidRPr="00877DDB" w:rsidRDefault="00F06452" w:rsidP="00E80005">
      <w:pPr>
        <w:pStyle w:val="ListParagraph"/>
        <w:numPr>
          <w:ilvl w:val="0"/>
          <w:numId w:val="29"/>
        </w:numPr>
        <w:rPr>
          <w:rFonts w:eastAsia="Calibri"/>
        </w:rPr>
      </w:pPr>
      <w:r w:rsidRPr="00877DDB">
        <w:rPr>
          <w:rFonts w:eastAsia="Calibri"/>
        </w:rPr>
        <w:t>The f</w:t>
      </w:r>
      <w:r w:rsidR="008817D0" w:rsidRPr="00877DDB">
        <w:rPr>
          <w:rFonts w:eastAsia="Calibri"/>
        </w:rPr>
        <w:t xml:space="preserve">lexible ramping requirement </w:t>
      </w:r>
      <w:r w:rsidR="00944E25" w:rsidRPr="00877DDB">
        <w:rPr>
          <w:rFonts w:eastAsia="Calibri"/>
        </w:rPr>
        <w:t xml:space="preserve">will be set </w:t>
      </w:r>
      <w:r w:rsidR="008817D0" w:rsidRPr="00877DDB">
        <w:rPr>
          <w:rFonts w:eastAsia="Calibri"/>
        </w:rPr>
        <w:t>equal</w:t>
      </w:r>
      <w:r w:rsidR="00944E25" w:rsidRPr="00877DDB">
        <w:rPr>
          <w:rFonts w:eastAsia="Calibri"/>
        </w:rPr>
        <w:t xml:space="preserve"> to</w:t>
      </w:r>
      <w:r w:rsidR="008817D0" w:rsidRPr="00877DDB">
        <w:rPr>
          <w:rFonts w:eastAsia="Calibri"/>
        </w:rPr>
        <w:t xml:space="preserve"> zero for the</w:t>
      </w:r>
      <w:r w:rsidR="005F24C1">
        <w:rPr>
          <w:rFonts w:eastAsia="Calibri"/>
        </w:rPr>
        <w:t xml:space="preserve"> WEIM </w:t>
      </w:r>
      <w:r w:rsidR="008817D0" w:rsidRPr="00877DDB">
        <w:rPr>
          <w:rFonts w:eastAsia="Calibri"/>
        </w:rPr>
        <w:t>Entity BAA</w:t>
      </w:r>
      <w:r w:rsidR="00944E25" w:rsidRPr="00877DDB">
        <w:rPr>
          <w:rFonts w:eastAsia="Calibri"/>
        </w:rPr>
        <w:t>. Also, the flexible ramping requirement will be set to fail for</w:t>
      </w:r>
      <w:r w:rsidR="005F24C1">
        <w:rPr>
          <w:rFonts w:eastAsia="Calibri"/>
        </w:rPr>
        <w:t xml:space="preserve"> WEIM </w:t>
      </w:r>
      <w:r w:rsidR="00944E25" w:rsidRPr="00877DDB">
        <w:rPr>
          <w:rFonts w:eastAsia="Calibri"/>
        </w:rPr>
        <w:t>Entity BAA</w:t>
      </w:r>
      <w:r w:rsidR="00A57C6B">
        <w:rPr>
          <w:rFonts w:eastAsia="Calibri"/>
        </w:rPr>
        <w:t>.</w:t>
      </w:r>
    </w:p>
    <w:p w14:paraId="23E66FC9" w14:textId="33EEFA41" w:rsidR="00A57C6B" w:rsidRPr="00877DDB" w:rsidRDefault="00944E25" w:rsidP="00E80005">
      <w:pPr>
        <w:pStyle w:val="ListParagraph"/>
        <w:numPr>
          <w:ilvl w:val="0"/>
          <w:numId w:val="29"/>
        </w:numPr>
        <w:rPr>
          <w:rFonts w:eastAsia="Calibri"/>
        </w:rPr>
      </w:pPr>
      <w:r w:rsidRPr="00877DDB">
        <w:rPr>
          <w:rFonts w:eastAsia="Calibri"/>
        </w:rPr>
        <w:t>To avoid imbalance energy settlement under separation,</w:t>
      </w:r>
      <w:r w:rsidR="005F24C1">
        <w:rPr>
          <w:rFonts w:eastAsia="Calibri"/>
        </w:rPr>
        <w:t xml:space="preserve"> WEIM </w:t>
      </w:r>
      <w:r w:rsidRPr="00877DDB">
        <w:rPr>
          <w:rFonts w:eastAsia="Calibri"/>
        </w:rPr>
        <w:t>Entity is responsible to submit base schedules and meter data.</w:t>
      </w:r>
    </w:p>
    <w:p w14:paraId="7619268A" w14:textId="3CFBE5F6" w:rsidR="00A57C6B" w:rsidRPr="00877DDB" w:rsidRDefault="0036517E" w:rsidP="00E80005">
      <w:pPr>
        <w:pStyle w:val="ListParagraph"/>
        <w:numPr>
          <w:ilvl w:val="0"/>
          <w:numId w:val="29"/>
        </w:numPr>
        <w:rPr>
          <w:rFonts w:eastAsia="Calibri"/>
        </w:rPr>
      </w:pPr>
      <w:r w:rsidRPr="0036517E">
        <w:rPr>
          <w:rFonts w:eastAsia="Calibri"/>
        </w:rPr>
        <w:t>The Energy Transfer System Resources (ETSR) at the</w:t>
      </w:r>
      <w:r w:rsidR="005F24C1">
        <w:rPr>
          <w:rFonts w:eastAsia="Calibri"/>
        </w:rPr>
        <w:t xml:space="preserve"> WEIM </w:t>
      </w:r>
      <w:r w:rsidRPr="0036517E">
        <w:rPr>
          <w:rFonts w:eastAsia="Calibri"/>
        </w:rPr>
        <w:t>Entity BAA will be locked and there will be no incremental transfer between</w:t>
      </w:r>
      <w:r w:rsidR="005F24C1">
        <w:rPr>
          <w:rFonts w:eastAsia="Calibri"/>
        </w:rPr>
        <w:t xml:space="preserve"> WEIM </w:t>
      </w:r>
      <w:r w:rsidRPr="0036517E">
        <w:rPr>
          <w:rFonts w:eastAsia="Calibri"/>
        </w:rPr>
        <w:t>Entity BAA and the CAISO BAA. The locked ETSR will not be included in the congestion revenue calculation.</w:t>
      </w:r>
    </w:p>
    <w:p w14:paraId="17C385ED" w14:textId="141FF42B" w:rsidR="00A57C6B" w:rsidRPr="00877DDB" w:rsidRDefault="00944E25" w:rsidP="00E80005">
      <w:pPr>
        <w:pStyle w:val="ListParagraph"/>
        <w:numPr>
          <w:ilvl w:val="0"/>
          <w:numId w:val="29"/>
        </w:numPr>
        <w:rPr>
          <w:rFonts w:eastAsia="Calibri"/>
        </w:rPr>
      </w:pPr>
      <w:r w:rsidRPr="00877DDB">
        <w:rPr>
          <w:rFonts w:eastAsia="Calibri"/>
        </w:rPr>
        <w:t>There will be n</w:t>
      </w:r>
      <w:r w:rsidR="008817D0" w:rsidRPr="00877DDB">
        <w:rPr>
          <w:rFonts w:eastAsia="Calibri"/>
        </w:rPr>
        <w:t xml:space="preserve">o congestion management </w:t>
      </w:r>
      <w:r w:rsidR="0084748A" w:rsidRPr="00877DDB">
        <w:rPr>
          <w:rFonts w:eastAsia="Calibri"/>
        </w:rPr>
        <w:t>and no transmission constraint enforcement</w:t>
      </w:r>
      <w:r w:rsidR="008817D0" w:rsidRPr="00877DDB">
        <w:rPr>
          <w:rFonts w:eastAsia="Calibri"/>
        </w:rPr>
        <w:t xml:space="preserve"> for the</w:t>
      </w:r>
      <w:r w:rsidR="005F24C1">
        <w:rPr>
          <w:rFonts w:eastAsia="Calibri"/>
        </w:rPr>
        <w:t xml:space="preserve"> WEIM </w:t>
      </w:r>
      <w:r w:rsidR="008817D0" w:rsidRPr="00877DDB">
        <w:rPr>
          <w:rFonts w:eastAsia="Calibri"/>
        </w:rPr>
        <w:t>Entity BAA</w:t>
      </w:r>
      <w:r w:rsidR="0084748A" w:rsidRPr="00877DDB">
        <w:rPr>
          <w:rFonts w:eastAsia="Calibri"/>
        </w:rPr>
        <w:t>.</w:t>
      </w:r>
    </w:p>
    <w:p w14:paraId="60546345" w14:textId="39365053" w:rsidR="00A57C6B" w:rsidRPr="00877DDB" w:rsidRDefault="008817D0" w:rsidP="00E80005">
      <w:pPr>
        <w:pStyle w:val="ListParagraph"/>
        <w:numPr>
          <w:ilvl w:val="0"/>
          <w:numId w:val="29"/>
        </w:numPr>
        <w:rPr>
          <w:rFonts w:eastAsia="Calibri"/>
        </w:rPr>
      </w:pPr>
      <w:r w:rsidRPr="00877DDB">
        <w:rPr>
          <w:rFonts w:eastAsia="Calibri"/>
        </w:rPr>
        <w:lastRenderedPageBreak/>
        <w:t>The</w:t>
      </w:r>
      <w:r w:rsidR="005F24C1">
        <w:rPr>
          <w:rFonts w:eastAsia="Calibri"/>
        </w:rPr>
        <w:t xml:space="preserve"> WEIM </w:t>
      </w:r>
      <w:r w:rsidRPr="00877DDB">
        <w:rPr>
          <w:rFonts w:eastAsia="Calibri"/>
        </w:rPr>
        <w:t xml:space="preserve">Entity SC shall submit meter in alignment with T+55B </w:t>
      </w:r>
      <w:r w:rsidR="00D63FD9" w:rsidRPr="00D63FD9">
        <w:rPr>
          <w:rFonts w:eastAsia="Calibri"/>
        </w:rPr>
        <w:t xml:space="preserve">(retired trade date 12/31/2020) </w:t>
      </w:r>
      <w:r w:rsidRPr="00877DDB">
        <w:rPr>
          <w:rFonts w:eastAsia="Calibri"/>
        </w:rPr>
        <w:t>Recalculation Statement (Final Meter Submittal T+48B)</w:t>
      </w:r>
      <w:r w:rsidR="00D63FD9" w:rsidRPr="00D63FD9">
        <w:t xml:space="preserve"> </w:t>
      </w:r>
      <w:r w:rsidR="00D63FD9" w:rsidRPr="00D63FD9">
        <w:rPr>
          <w:rFonts w:eastAsia="Calibri"/>
        </w:rPr>
        <w:t>or T+70B (effective trade date 1/1/2021) Recalculation Statement (Final Meter Submittal T+52B).</w:t>
      </w:r>
    </w:p>
    <w:p w14:paraId="34C36B06" w14:textId="65EAD99A" w:rsidR="00A57C6B" w:rsidRPr="00877DDB" w:rsidRDefault="004A54C4" w:rsidP="00E80005">
      <w:pPr>
        <w:pStyle w:val="ListParagraph"/>
        <w:numPr>
          <w:ilvl w:val="0"/>
          <w:numId w:val="29"/>
        </w:numPr>
        <w:rPr>
          <w:rFonts w:eastAsia="Calibri"/>
        </w:rPr>
      </w:pPr>
      <w:r w:rsidRPr="00877DDB">
        <w:rPr>
          <w:rFonts w:eastAsia="Calibri"/>
        </w:rPr>
        <w:t>EIM E</w:t>
      </w:r>
      <w:r w:rsidR="008817D0" w:rsidRPr="00877DDB">
        <w:rPr>
          <w:rFonts w:eastAsia="Calibri"/>
        </w:rPr>
        <w:t>ntity SC shall submit the meter equal to the total expected energy for all the</w:t>
      </w:r>
      <w:r w:rsidR="005F24C1">
        <w:rPr>
          <w:rFonts w:eastAsia="Calibri"/>
        </w:rPr>
        <w:t xml:space="preserve"> WEIM </w:t>
      </w:r>
      <w:r w:rsidR="008817D0" w:rsidRPr="00877DDB">
        <w:rPr>
          <w:rFonts w:eastAsia="Calibri"/>
        </w:rPr>
        <w:t>Entity BAA resources.</w:t>
      </w:r>
    </w:p>
    <w:p w14:paraId="47EDA670" w14:textId="61FC90FA" w:rsidR="008817D0" w:rsidRPr="00877DDB" w:rsidRDefault="008817D0" w:rsidP="00E80005">
      <w:pPr>
        <w:pStyle w:val="ListParagraph"/>
        <w:numPr>
          <w:ilvl w:val="0"/>
          <w:numId w:val="29"/>
        </w:numPr>
        <w:rPr>
          <w:rFonts w:eastAsia="Calibri"/>
        </w:rPr>
      </w:pPr>
      <w:r w:rsidRPr="00877DDB">
        <w:rPr>
          <w:rFonts w:eastAsia="Calibri"/>
        </w:rPr>
        <w:t>As normal process, the settlement produces statements at T+3B</w:t>
      </w:r>
      <w:r w:rsidR="00D63FD9">
        <w:rPr>
          <w:rFonts w:eastAsia="Calibri"/>
        </w:rPr>
        <w:t xml:space="preserve"> </w:t>
      </w:r>
      <w:r w:rsidR="00D63FD9" w:rsidRPr="00D63FD9">
        <w:rPr>
          <w:rFonts w:eastAsia="Calibri"/>
        </w:rPr>
        <w:t>(retired trade date 12/31/2020)</w:t>
      </w:r>
      <w:r w:rsidRPr="00877DDB">
        <w:rPr>
          <w:rFonts w:eastAsia="Calibri"/>
        </w:rPr>
        <w:t xml:space="preserve"> and T+12B</w:t>
      </w:r>
      <w:r w:rsidR="00D63FD9">
        <w:rPr>
          <w:rFonts w:eastAsia="Calibri"/>
        </w:rPr>
        <w:t xml:space="preserve"> </w:t>
      </w:r>
      <w:r w:rsidR="00D63FD9" w:rsidRPr="00D63FD9">
        <w:rPr>
          <w:rFonts w:eastAsia="Calibri"/>
        </w:rPr>
        <w:t>(retired trade date 12/31/2020)</w:t>
      </w:r>
      <w:r w:rsidRPr="00877DDB">
        <w:rPr>
          <w:rFonts w:eastAsia="Calibri"/>
        </w:rPr>
        <w:t xml:space="preserve"> </w:t>
      </w:r>
      <w:r w:rsidR="00D63FD9" w:rsidRPr="00D63FD9">
        <w:rPr>
          <w:rFonts w:eastAsia="Calibri"/>
        </w:rPr>
        <w:t>or T+9B (effective trade date 1/1/2021</w:t>
      </w:r>
      <w:r w:rsidR="00D63FD9">
        <w:rPr>
          <w:rFonts w:eastAsia="Calibri"/>
        </w:rPr>
        <w:t xml:space="preserve"> </w:t>
      </w:r>
      <w:r w:rsidRPr="00877DDB">
        <w:rPr>
          <w:rFonts w:eastAsia="Calibri"/>
        </w:rPr>
        <w:t xml:space="preserve">using estimation of meter, which is the total expected energy from the market. If </w:t>
      </w:r>
      <w:r w:rsidR="00153940">
        <w:rPr>
          <w:rFonts w:eastAsia="Calibri"/>
        </w:rPr>
        <w:t>a WEIM</w:t>
      </w:r>
      <w:r w:rsidR="005F24C1">
        <w:rPr>
          <w:rFonts w:eastAsia="Calibri"/>
        </w:rPr>
        <w:t xml:space="preserve"> </w:t>
      </w:r>
      <w:r w:rsidRPr="00877DDB">
        <w:rPr>
          <w:rFonts w:eastAsia="Calibri"/>
        </w:rPr>
        <w:t>Entity BAA activates the separation flag, the expected energy calculated fro</w:t>
      </w:r>
      <w:r w:rsidR="000B6D3C" w:rsidRPr="00877DDB">
        <w:rPr>
          <w:rFonts w:eastAsia="Calibri"/>
        </w:rPr>
        <w:t>m the market will equal to the Base S</w:t>
      </w:r>
      <w:r w:rsidRPr="00877DDB">
        <w:rPr>
          <w:rFonts w:eastAsia="Calibri"/>
        </w:rPr>
        <w:t>chedule for all t</w:t>
      </w:r>
      <w:r w:rsidR="00A30AD7" w:rsidRPr="00877DDB">
        <w:rPr>
          <w:rFonts w:eastAsia="Calibri"/>
        </w:rPr>
        <w:t xml:space="preserve">he resources/loads/interties that </w:t>
      </w:r>
      <w:r w:rsidRPr="00877DDB">
        <w:rPr>
          <w:rFonts w:eastAsia="Calibri"/>
        </w:rPr>
        <w:t>belong to this BAA. Therefore, the est</w:t>
      </w:r>
      <w:r w:rsidR="000B6D3C" w:rsidRPr="00877DDB">
        <w:rPr>
          <w:rFonts w:eastAsia="Calibri"/>
        </w:rPr>
        <w:t>imation of meter will equal to Base S</w:t>
      </w:r>
      <w:r w:rsidRPr="00877DDB">
        <w:rPr>
          <w:rFonts w:eastAsia="Calibri"/>
        </w:rPr>
        <w:t>chedule. The</w:t>
      </w:r>
      <w:r w:rsidR="005F24C1">
        <w:rPr>
          <w:rFonts w:eastAsia="Calibri"/>
        </w:rPr>
        <w:t xml:space="preserve"> WEIM </w:t>
      </w:r>
      <w:r w:rsidRPr="00877DDB">
        <w:rPr>
          <w:rFonts w:eastAsia="Calibri"/>
        </w:rPr>
        <w:t xml:space="preserve">imbalance energy will equal to zero. </w:t>
      </w:r>
    </w:p>
    <w:p w14:paraId="0316E7B0" w14:textId="2F7D1012" w:rsidR="008817D0" w:rsidRPr="008817D0" w:rsidRDefault="008817D0" w:rsidP="008817D0">
      <w:pPr>
        <w:spacing w:after="240" w:line="300" w:lineRule="auto"/>
        <w:rPr>
          <w:rFonts w:eastAsia="Calibri"/>
        </w:rPr>
      </w:pPr>
      <w:r w:rsidRPr="008817D0">
        <w:rPr>
          <w:rFonts w:eastAsia="Calibri"/>
          <w:b/>
        </w:rPr>
        <w:t>Note:</w:t>
      </w:r>
      <w:r w:rsidR="004A54C4">
        <w:rPr>
          <w:rFonts w:eastAsia="Calibri"/>
        </w:rPr>
        <w:t xml:space="preserve"> </w:t>
      </w:r>
      <w:r w:rsidR="00705653">
        <w:rPr>
          <w:rFonts w:eastAsia="Calibri"/>
        </w:rPr>
        <w:t>The</w:t>
      </w:r>
      <w:r w:rsidR="005F24C1">
        <w:rPr>
          <w:rFonts w:eastAsia="Calibri"/>
        </w:rPr>
        <w:t xml:space="preserve"> WEIM </w:t>
      </w:r>
      <w:r w:rsidR="004A54C4">
        <w:rPr>
          <w:rFonts w:eastAsia="Calibri"/>
        </w:rPr>
        <w:t>E</w:t>
      </w:r>
      <w:r w:rsidR="000B6D3C">
        <w:rPr>
          <w:rFonts w:eastAsia="Calibri"/>
        </w:rPr>
        <w:t xml:space="preserve">ntity </w:t>
      </w:r>
      <w:r w:rsidR="0084748A">
        <w:rPr>
          <w:rFonts w:eastAsia="Calibri"/>
        </w:rPr>
        <w:t xml:space="preserve">will be </w:t>
      </w:r>
      <w:r w:rsidR="000B6D3C">
        <w:rPr>
          <w:rFonts w:eastAsia="Calibri"/>
        </w:rPr>
        <w:t>responsible for Base S</w:t>
      </w:r>
      <w:r w:rsidRPr="008817D0">
        <w:rPr>
          <w:rFonts w:eastAsia="Calibri"/>
        </w:rPr>
        <w:t>chedule, meter submission, and imbalance energy settlement if the meter is not e</w:t>
      </w:r>
      <w:r w:rsidR="000B6D3C">
        <w:rPr>
          <w:rFonts w:eastAsia="Calibri"/>
        </w:rPr>
        <w:t>qual to the Base S</w:t>
      </w:r>
      <w:r w:rsidR="009879C4">
        <w:rPr>
          <w:rFonts w:eastAsia="Calibri"/>
        </w:rPr>
        <w:t>chedule.</w:t>
      </w:r>
    </w:p>
    <w:p w14:paraId="20C30BFA" w14:textId="77777777" w:rsidR="008817D0" w:rsidRPr="008817D0" w:rsidRDefault="008817D0" w:rsidP="00C33762">
      <w:pPr>
        <w:pStyle w:val="Heading2"/>
        <w:rPr>
          <w:rFonts w:eastAsia="Calibri"/>
        </w:rPr>
      </w:pPr>
      <w:bookmarkStart w:id="2016" w:name="_Toc390869291"/>
      <w:bookmarkStart w:id="2017" w:name="_Toc390946304"/>
      <w:bookmarkStart w:id="2018" w:name="_Toc391969865"/>
      <w:bookmarkStart w:id="2019" w:name="_Toc229054520"/>
      <w:r w:rsidRPr="008817D0">
        <w:rPr>
          <w:rFonts w:eastAsia="Calibri"/>
        </w:rPr>
        <w:t>Advanced Load Forecasting System (</w:t>
      </w:r>
      <w:bookmarkStart w:id="2020" w:name="_Toc390868431"/>
      <w:bookmarkStart w:id="2021" w:name="_Toc390869292"/>
      <w:bookmarkStart w:id="2022" w:name="_Toc390868432"/>
      <w:bookmarkStart w:id="2023" w:name="_Toc390869293"/>
      <w:bookmarkStart w:id="2024" w:name="_Toc390868435"/>
      <w:bookmarkStart w:id="2025" w:name="_Toc390869296"/>
      <w:bookmarkStart w:id="2026" w:name="_Toc390868437"/>
      <w:bookmarkStart w:id="2027" w:name="_Toc390869298"/>
      <w:bookmarkStart w:id="2028" w:name="_Toc390868438"/>
      <w:bookmarkStart w:id="2029" w:name="_Toc390869299"/>
      <w:bookmarkStart w:id="2030" w:name="_Toc390868439"/>
      <w:bookmarkStart w:id="2031" w:name="_Toc390869300"/>
      <w:bookmarkStart w:id="2032" w:name="_Toc390868441"/>
      <w:bookmarkStart w:id="2033" w:name="_Toc390869302"/>
      <w:bookmarkStart w:id="2034" w:name="_Toc390868442"/>
      <w:bookmarkStart w:id="2035" w:name="_Toc390869303"/>
      <w:bookmarkStart w:id="2036" w:name="_Toc390868443"/>
      <w:bookmarkStart w:id="2037" w:name="_Toc390869304"/>
      <w:bookmarkStart w:id="2038" w:name="_Toc390868444"/>
      <w:bookmarkStart w:id="2039" w:name="_Toc390869305"/>
      <w:bookmarkStart w:id="2040" w:name="_Toc390868445"/>
      <w:bookmarkStart w:id="2041" w:name="_Toc390869306"/>
      <w:bookmarkStart w:id="2042" w:name="_Toc390868446"/>
      <w:bookmarkStart w:id="2043" w:name="_Toc390869307"/>
      <w:bookmarkStart w:id="2044" w:name="_Toc390868448"/>
      <w:bookmarkStart w:id="2045" w:name="_Toc390869309"/>
      <w:bookmarkStart w:id="2046" w:name="_Toc390868453"/>
      <w:bookmarkStart w:id="2047" w:name="_Toc390869314"/>
      <w:bookmarkStart w:id="2048" w:name="_Toc390868454"/>
      <w:bookmarkStart w:id="2049" w:name="_Toc390869315"/>
      <w:bookmarkStart w:id="2050" w:name="_Toc390868455"/>
      <w:bookmarkStart w:id="2051" w:name="_Toc390869316"/>
      <w:bookmarkStart w:id="2052" w:name="_Toc390868456"/>
      <w:bookmarkStart w:id="2053" w:name="_Toc390869317"/>
      <w:bookmarkStart w:id="2054" w:name="_Toc390868457"/>
      <w:bookmarkStart w:id="2055" w:name="_Toc390869318"/>
      <w:bookmarkStart w:id="2056" w:name="_Toc390868458"/>
      <w:bookmarkStart w:id="2057" w:name="_Toc390869319"/>
      <w:bookmarkStart w:id="2058" w:name="_Toc390868459"/>
      <w:bookmarkStart w:id="2059" w:name="_Toc390869320"/>
      <w:bookmarkStart w:id="2060" w:name="_Toc390868460"/>
      <w:bookmarkStart w:id="2061" w:name="_Toc390869321"/>
      <w:bookmarkStart w:id="2062" w:name="_Toc390868464"/>
      <w:bookmarkStart w:id="2063" w:name="_Toc390869325"/>
      <w:bookmarkStart w:id="2064" w:name="_Toc390868468"/>
      <w:bookmarkStart w:id="2065" w:name="_Toc390869329"/>
      <w:bookmarkStart w:id="2066" w:name="_Toc390868469"/>
      <w:bookmarkStart w:id="2067" w:name="_Toc390869330"/>
      <w:bookmarkStart w:id="2068" w:name="_Toc390868470"/>
      <w:bookmarkStart w:id="2069" w:name="_Toc390869331"/>
      <w:bookmarkStart w:id="2070" w:name="_Toc390868471"/>
      <w:bookmarkStart w:id="2071" w:name="_Toc390869332"/>
      <w:bookmarkStart w:id="2072" w:name="_Toc390868475"/>
      <w:bookmarkStart w:id="2073" w:name="_Toc390869336"/>
      <w:bookmarkStart w:id="2074" w:name="_Toc390868478"/>
      <w:bookmarkStart w:id="2075" w:name="_Toc390869339"/>
      <w:bookmarkStart w:id="2076" w:name="_Toc390868479"/>
      <w:bookmarkStart w:id="2077" w:name="_Toc390869340"/>
      <w:bookmarkStart w:id="2078" w:name="_Toc390868481"/>
      <w:bookmarkStart w:id="2079" w:name="_Toc390869342"/>
      <w:bookmarkStart w:id="2080" w:name="_Toc390869344"/>
      <w:bookmarkEnd w:id="2016"/>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r w:rsidRPr="008817D0">
        <w:rPr>
          <w:rFonts w:eastAsia="Calibri"/>
        </w:rPr>
        <w:t>ALFS)</w:t>
      </w:r>
      <w:bookmarkEnd w:id="2017"/>
      <w:bookmarkEnd w:id="2018"/>
      <w:bookmarkEnd w:id="2080"/>
      <w:bookmarkEnd w:id="2019"/>
      <w:r w:rsidRPr="008817D0">
        <w:rPr>
          <w:rFonts w:eastAsia="Calibri"/>
        </w:rPr>
        <w:t xml:space="preserve"> </w:t>
      </w:r>
    </w:p>
    <w:p w14:paraId="75AF42C5" w14:textId="7408B811" w:rsidR="00560AD6" w:rsidRPr="00E42D61" w:rsidRDefault="008817D0" w:rsidP="00C33762">
      <w:pPr>
        <w:pStyle w:val="Heading3"/>
        <w:rPr>
          <w:rFonts w:eastAsia="Calibri"/>
        </w:rPr>
      </w:pPr>
      <w:bookmarkStart w:id="2081" w:name="_Toc390869345"/>
      <w:bookmarkStart w:id="2082" w:name="_Toc390946305"/>
      <w:bookmarkStart w:id="2083" w:name="_Toc391969866"/>
      <w:bookmarkStart w:id="2084" w:name="_Toc229054521"/>
      <w:r w:rsidRPr="008817D0">
        <w:rPr>
          <w:rFonts w:eastAsia="Calibri"/>
        </w:rPr>
        <w:t xml:space="preserve">Requirements </w:t>
      </w:r>
      <w:r w:rsidR="00560AD6">
        <w:rPr>
          <w:rFonts w:eastAsia="Calibri"/>
        </w:rPr>
        <w:t>for Load</w:t>
      </w:r>
      <w:r w:rsidRPr="008817D0">
        <w:rPr>
          <w:rFonts w:eastAsia="Calibri"/>
        </w:rPr>
        <w:t xml:space="preserve"> Forecasting</w:t>
      </w:r>
      <w:bookmarkEnd w:id="2081"/>
      <w:bookmarkEnd w:id="2082"/>
      <w:bookmarkEnd w:id="2083"/>
      <w:bookmarkEnd w:id="2084"/>
    </w:p>
    <w:p w14:paraId="5FA18550" w14:textId="77777777" w:rsidR="00560AD6" w:rsidRDefault="006276DD" w:rsidP="00BA2E6E">
      <w:pPr>
        <w:pStyle w:val="ParaText"/>
        <w:rPr>
          <w:rFonts w:cs="Arial"/>
        </w:rPr>
      </w:pPr>
      <w:r>
        <w:rPr>
          <w:rFonts w:cs="Arial"/>
        </w:rPr>
        <w:t>CA</w:t>
      </w:r>
      <w:r w:rsidR="00560AD6">
        <w:rPr>
          <w:rFonts w:cs="Arial"/>
        </w:rPr>
        <w:t>ISO forecasts load d</w:t>
      </w:r>
      <w:r w:rsidR="00560AD6" w:rsidRPr="00DD04FE">
        <w:rPr>
          <w:rFonts w:cs="Arial"/>
        </w:rPr>
        <w:t xml:space="preserve">emand for each hour of the next </w:t>
      </w:r>
      <w:r w:rsidR="00E047D3">
        <w:rPr>
          <w:rFonts w:cs="Arial"/>
        </w:rPr>
        <w:t>nine</w:t>
      </w:r>
      <w:r w:rsidR="008475B8">
        <w:rPr>
          <w:rFonts w:cs="Arial"/>
        </w:rPr>
        <w:t xml:space="preserve"> Operating D</w:t>
      </w:r>
      <w:r w:rsidR="00560AD6" w:rsidRPr="00DD04FE">
        <w:rPr>
          <w:rFonts w:cs="Arial"/>
        </w:rPr>
        <w:t>ay</w:t>
      </w:r>
      <w:r w:rsidR="00560AD6">
        <w:rPr>
          <w:rFonts w:cs="Arial"/>
        </w:rPr>
        <w:t>s</w:t>
      </w:r>
      <w:r w:rsidR="00560AD6" w:rsidRPr="00DD04FE">
        <w:rPr>
          <w:rFonts w:cs="Arial"/>
        </w:rPr>
        <w:t xml:space="preserve"> utilizing </w:t>
      </w:r>
      <w:r w:rsidR="00560AD6">
        <w:rPr>
          <w:rFonts w:cs="Arial"/>
        </w:rPr>
        <w:t xml:space="preserve">advanced utility industry accepted </w:t>
      </w:r>
      <w:r w:rsidR="00560AD6" w:rsidRPr="00DD04FE">
        <w:rPr>
          <w:rFonts w:cs="Arial"/>
        </w:rPr>
        <w:t>neural-network forecasting soft</w:t>
      </w:r>
      <w:r w:rsidR="00560AD6">
        <w:rPr>
          <w:rFonts w:cs="Arial"/>
        </w:rPr>
        <w:t>ware</w:t>
      </w:r>
      <w:r w:rsidR="00560AD6" w:rsidRPr="00EF5310">
        <w:rPr>
          <w:rFonts w:cs="Arial"/>
        </w:rPr>
        <w:t xml:space="preserve"> </w:t>
      </w:r>
      <w:r w:rsidR="00560AD6">
        <w:rPr>
          <w:rFonts w:cs="Arial"/>
        </w:rPr>
        <w:t>f</w:t>
      </w:r>
      <w:r w:rsidR="00560AD6" w:rsidRPr="00DD04FE">
        <w:rPr>
          <w:rFonts w:cs="Arial"/>
        </w:rPr>
        <w:t>or each</w:t>
      </w:r>
      <w:r w:rsidR="00560AD6">
        <w:rPr>
          <w:rFonts w:cs="Arial"/>
        </w:rPr>
        <w:t xml:space="preserve"> </w:t>
      </w:r>
      <w:r w:rsidR="00560AD6" w:rsidRPr="00DD04FE">
        <w:rPr>
          <w:rFonts w:cs="Arial"/>
        </w:rPr>
        <w:t xml:space="preserve">load forecast zone. </w:t>
      </w:r>
      <w:r w:rsidR="00560AD6">
        <w:rPr>
          <w:rFonts w:cs="Arial"/>
        </w:rPr>
        <w:t>In order to accurately forecast the load zone, the software requires historical load profiles and utilizes an ensemble of</w:t>
      </w:r>
      <w:r w:rsidR="00560AD6" w:rsidRPr="00DD04FE">
        <w:rPr>
          <w:rFonts w:cs="Arial"/>
        </w:rPr>
        <w:t xml:space="preserve"> weather forecasting data sources </w:t>
      </w:r>
      <w:r w:rsidR="00560AD6">
        <w:rPr>
          <w:rFonts w:cs="Arial"/>
        </w:rPr>
        <w:t>for each zone</w:t>
      </w:r>
      <w:r w:rsidR="00560AD6" w:rsidRPr="00DD04FE">
        <w:rPr>
          <w:rFonts w:cs="Arial"/>
        </w:rPr>
        <w:t>.</w:t>
      </w:r>
    </w:p>
    <w:p w14:paraId="528430BE" w14:textId="77777777" w:rsidR="00560AD6" w:rsidRPr="00560AD6" w:rsidRDefault="006276DD" w:rsidP="00560AD6">
      <w:pPr>
        <w:pStyle w:val="ParaText"/>
        <w:rPr>
          <w:rFonts w:eastAsia="Calibri"/>
        </w:rPr>
      </w:pPr>
      <w:r>
        <w:rPr>
          <w:rFonts w:cs="Arial"/>
        </w:rPr>
        <w:t>CA</w:t>
      </w:r>
      <w:r w:rsidR="00E047D3">
        <w:rPr>
          <w:rFonts w:cs="Arial"/>
        </w:rPr>
        <w:t xml:space="preserve">ISO’s forecasting software </w:t>
      </w:r>
      <w:r w:rsidR="00560AD6">
        <w:rPr>
          <w:rFonts w:cs="Arial"/>
        </w:rPr>
        <w:t>requires the following:</w:t>
      </w:r>
    </w:p>
    <w:p w14:paraId="344ECB55" w14:textId="49D8E5F3" w:rsidR="008817D0" w:rsidRPr="008817D0" w:rsidRDefault="008817D0" w:rsidP="00E80005">
      <w:pPr>
        <w:numPr>
          <w:ilvl w:val="0"/>
          <w:numId w:val="24"/>
        </w:numPr>
        <w:ind w:left="1080"/>
        <w:rPr>
          <w:rFonts w:eastAsia="Calibri"/>
        </w:rPr>
      </w:pPr>
      <w:r w:rsidRPr="008817D0">
        <w:rPr>
          <w:rFonts w:eastAsia="Calibri"/>
        </w:rPr>
        <w:t>Define</w:t>
      </w:r>
      <w:r w:rsidR="00560AD6">
        <w:rPr>
          <w:rFonts w:eastAsia="Calibri"/>
        </w:rPr>
        <w:t>d</w:t>
      </w:r>
      <w:r w:rsidR="005F24C1">
        <w:rPr>
          <w:rFonts w:eastAsia="Calibri"/>
        </w:rPr>
        <w:t xml:space="preserve"> WEIM </w:t>
      </w:r>
      <w:r w:rsidRPr="008817D0">
        <w:rPr>
          <w:rFonts w:eastAsia="Calibri"/>
        </w:rPr>
        <w:t>Entity Balancing Authority Areas</w:t>
      </w:r>
      <w:r w:rsidR="00417DC8">
        <w:rPr>
          <w:rFonts w:eastAsia="Calibri"/>
        </w:rPr>
        <w:t xml:space="preserve"> </w:t>
      </w:r>
      <w:r w:rsidR="00560AD6">
        <w:rPr>
          <w:rFonts w:eastAsia="Calibri"/>
        </w:rPr>
        <w:t>to fo</w:t>
      </w:r>
      <w:r w:rsidRPr="008817D0">
        <w:rPr>
          <w:rFonts w:eastAsia="Calibri"/>
        </w:rPr>
        <w:t>recast.</w:t>
      </w:r>
    </w:p>
    <w:p w14:paraId="4DDB3B58" w14:textId="421E6093" w:rsidR="008817D0" w:rsidRPr="008817D0" w:rsidRDefault="00560AD6" w:rsidP="00E80005">
      <w:pPr>
        <w:numPr>
          <w:ilvl w:val="0"/>
          <w:numId w:val="24"/>
        </w:numPr>
        <w:ind w:left="1080"/>
        <w:rPr>
          <w:rFonts w:eastAsia="Calibri"/>
        </w:rPr>
      </w:pPr>
      <w:r>
        <w:rPr>
          <w:rFonts w:eastAsia="Calibri"/>
        </w:rPr>
        <w:t xml:space="preserve">Defined  national </w:t>
      </w:r>
      <w:r w:rsidR="008817D0" w:rsidRPr="008817D0">
        <w:rPr>
          <w:rFonts w:eastAsia="Calibri"/>
        </w:rPr>
        <w:t xml:space="preserve"> weather stations within</w:t>
      </w:r>
      <w:r w:rsidR="005F24C1">
        <w:rPr>
          <w:rFonts w:eastAsia="Calibri"/>
        </w:rPr>
        <w:t xml:space="preserve"> WEIM </w:t>
      </w:r>
      <w:r w:rsidR="008817D0" w:rsidRPr="008817D0">
        <w:rPr>
          <w:rFonts w:eastAsia="Calibri"/>
        </w:rPr>
        <w:t>Entity Balancing Authority Areas</w:t>
      </w:r>
    </w:p>
    <w:p w14:paraId="6E807309" w14:textId="17B69DAB" w:rsidR="008817D0" w:rsidRPr="008817D0" w:rsidRDefault="008817D0" w:rsidP="00E80005">
      <w:pPr>
        <w:numPr>
          <w:ilvl w:val="0"/>
          <w:numId w:val="25"/>
        </w:numPr>
        <w:ind w:left="1800"/>
        <w:rPr>
          <w:rFonts w:eastAsia="Calibri"/>
        </w:rPr>
      </w:pPr>
      <w:r w:rsidRPr="008817D0">
        <w:rPr>
          <w:rFonts w:eastAsia="Calibri"/>
        </w:rPr>
        <w:t xml:space="preserve">CAISO will </w:t>
      </w:r>
      <w:r w:rsidR="00E047D3">
        <w:rPr>
          <w:rFonts w:eastAsia="Calibri"/>
        </w:rPr>
        <w:t xml:space="preserve">contract to </w:t>
      </w:r>
      <w:r w:rsidRPr="008817D0">
        <w:rPr>
          <w:rFonts w:eastAsia="Calibri"/>
        </w:rPr>
        <w:t>r</w:t>
      </w:r>
      <w:r w:rsidR="00E047D3">
        <w:rPr>
          <w:rFonts w:eastAsia="Calibri"/>
        </w:rPr>
        <w:t xml:space="preserve">eceive hourly weather data from </w:t>
      </w:r>
      <w:r w:rsidRPr="008817D0">
        <w:rPr>
          <w:rFonts w:eastAsia="Calibri"/>
        </w:rPr>
        <w:t>weather forecast vendor</w:t>
      </w:r>
      <w:r w:rsidR="00E047D3">
        <w:rPr>
          <w:rFonts w:eastAsia="Calibri"/>
        </w:rPr>
        <w:t xml:space="preserve"> (s) for</w:t>
      </w:r>
      <w:r w:rsidRPr="008817D0">
        <w:rPr>
          <w:rFonts w:eastAsia="Calibri"/>
        </w:rPr>
        <w:t xml:space="preserve"> stations</w:t>
      </w:r>
      <w:r w:rsidR="00E047D3">
        <w:rPr>
          <w:rFonts w:eastAsia="Calibri"/>
        </w:rPr>
        <w:t xml:space="preserve"> and historical weather data</w:t>
      </w:r>
      <w:r w:rsidRPr="008817D0">
        <w:rPr>
          <w:rFonts w:eastAsia="Calibri"/>
        </w:rPr>
        <w:t>, to use as an input for</w:t>
      </w:r>
      <w:r w:rsidR="005F24C1">
        <w:rPr>
          <w:rFonts w:eastAsia="Calibri"/>
        </w:rPr>
        <w:t xml:space="preserve"> WEIM </w:t>
      </w:r>
      <w:r w:rsidRPr="008817D0">
        <w:rPr>
          <w:rFonts w:eastAsia="Calibri"/>
        </w:rPr>
        <w:t>load forecast.</w:t>
      </w:r>
    </w:p>
    <w:p w14:paraId="50CA18D4" w14:textId="77777777" w:rsidR="008817D0" w:rsidRPr="008817D0" w:rsidRDefault="00560AD6" w:rsidP="00E80005">
      <w:pPr>
        <w:numPr>
          <w:ilvl w:val="0"/>
          <w:numId w:val="26"/>
        </w:numPr>
        <w:rPr>
          <w:rFonts w:eastAsia="Calibri"/>
        </w:rPr>
      </w:pPr>
      <w:r>
        <w:rPr>
          <w:rFonts w:eastAsia="Calibri"/>
        </w:rPr>
        <w:lastRenderedPageBreak/>
        <w:t>T</w:t>
      </w:r>
      <w:r w:rsidR="008817D0" w:rsidRPr="008817D0">
        <w:rPr>
          <w:rFonts w:eastAsia="Calibri"/>
        </w:rPr>
        <w:t xml:space="preserve">he five-minute average historical load data (at least two years) to train the forecast </w:t>
      </w:r>
      <w:r w:rsidR="00E047D3">
        <w:rPr>
          <w:rFonts w:eastAsia="Calibri"/>
        </w:rPr>
        <w:t>software</w:t>
      </w:r>
      <w:r w:rsidR="008817D0" w:rsidRPr="008817D0">
        <w:rPr>
          <w:rFonts w:eastAsia="Calibri"/>
        </w:rPr>
        <w:t>.</w:t>
      </w:r>
    </w:p>
    <w:p w14:paraId="742760E4" w14:textId="144FBA1A" w:rsidR="008817D0" w:rsidRDefault="008817D0" w:rsidP="00E80005">
      <w:pPr>
        <w:numPr>
          <w:ilvl w:val="0"/>
          <w:numId w:val="26"/>
        </w:numPr>
        <w:rPr>
          <w:rFonts w:eastAsia="Calibri"/>
        </w:rPr>
      </w:pPr>
      <w:r w:rsidRPr="008817D0">
        <w:rPr>
          <w:rFonts w:eastAsia="Calibri"/>
        </w:rPr>
        <w:t>PI tag</w:t>
      </w:r>
      <w:r w:rsidR="00E047D3">
        <w:rPr>
          <w:rFonts w:eastAsia="Calibri"/>
        </w:rPr>
        <w:t>s</w:t>
      </w:r>
      <w:r w:rsidRPr="008817D0">
        <w:rPr>
          <w:rFonts w:eastAsia="Calibri"/>
        </w:rPr>
        <w:t xml:space="preserve"> for</w:t>
      </w:r>
      <w:r w:rsidR="005F24C1">
        <w:rPr>
          <w:rFonts w:eastAsia="Calibri"/>
        </w:rPr>
        <w:t xml:space="preserve"> WEIM </w:t>
      </w:r>
      <w:r w:rsidRPr="008817D0">
        <w:rPr>
          <w:rFonts w:eastAsia="Calibri"/>
        </w:rPr>
        <w:t xml:space="preserve">load data </w:t>
      </w:r>
      <w:r w:rsidR="00E047D3">
        <w:rPr>
          <w:rFonts w:eastAsia="Calibri"/>
        </w:rPr>
        <w:t xml:space="preserve">points </w:t>
      </w:r>
      <w:r w:rsidRPr="008817D0">
        <w:rPr>
          <w:rFonts w:eastAsia="Calibri"/>
        </w:rPr>
        <w:t xml:space="preserve">as input to </w:t>
      </w:r>
      <w:r w:rsidR="00E047D3">
        <w:rPr>
          <w:rFonts w:eastAsia="Calibri"/>
        </w:rPr>
        <w:t>collect</w:t>
      </w:r>
      <w:r w:rsidRPr="008817D0">
        <w:rPr>
          <w:rFonts w:eastAsia="Calibri"/>
        </w:rPr>
        <w:t xml:space="preserve"> five-minute a</w:t>
      </w:r>
      <w:r w:rsidR="00E047D3">
        <w:rPr>
          <w:rFonts w:eastAsia="Calibri"/>
        </w:rPr>
        <w:t>verage data that feeds into software</w:t>
      </w:r>
      <w:r w:rsidRPr="008817D0">
        <w:rPr>
          <w:rFonts w:eastAsia="Calibri"/>
        </w:rPr>
        <w:t>.</w:t>
      </w:r>
    </w:p>
    <w:p w14:paraId="67770C2A" w14:textId="4CE122ED" w:rsidR="007172ED" w:rsidRDefault="007172ED" w:rsidP="007172ED">
      <w:pPr>
        <w:numPr>
          <w:ilvl w:val="0"/>
          <w:numId w:val="26"/>
        </w:numPr>
        <w:spacing w:line="256" w:lineRule="auto"/>
        <w:rPr>
          <w:rFonts w:eastAsia="Calibri"/>
          <w:i/>
        </w:rPr>
      </w:pPr>
      <w:r>
        <w:rPr>
          <w:iCs/>
        </w:rPr>
        <w:t>Non-participating Demand Response (DR) (</w:t>
      </w:r>
      <w:r>
        <w:rPr>
          <w:i/>
          <w:iCs/>
        </w:rPr>
        <w:t>e.g</w:t>
      </w:r>
      <w:r>
        <w:rPr>
          <w:iCs/>
        </w:rPr>
        <w:t xml:space="preserve">., Demand Response in </w:t>
      </w:r>
      <w:r w:rsidR="00153940">
        <w:rPr>
          <w:iCs/>
        </w:rPr>
        <w:t>a WEIM</w:t>
      </w:r>
      <w:r>
        <w:rPr>
          <w:iCs/>
        </w:rPr>
        <w:t xml:space="preserve"> Entity BAA that are not represented by PDR or RDRR models) shall be accounted for in the formation of the CAISO forecast of WEIM Demand, if determined by the Short Term Forecasting team to enhance the accuracy of the CAISO forecast of WEIM Demand.   For more information on the function and process, refer Section 11.3.2 and the </w:t>
      </w:r>
      <w:r>
        <w:rPr>
          <w:i/>
          <w:iCs/>
        </w:rPr>
        <w:t>Demand Response BPM Section 18.</w:t>
      </w:r>
    </w:p>
    <w:p w14:paraId="51A3278C" w14:textId="77777777" w:rsidR="007172ED" w:rsidRPr="00E047D3" w:rsidRDefault="007172ED" w:rsidP="007172ED">
      <w:pPr>
        <w:rPr>
          <w:rFonts w:eastAsia="Calibri"/>
        </w:rPr>
      </w:pPr>
    </w:p>
    <w:p w14:paraId="25BD0FE7" w14:textId="77777777" w:rsidR="008817D0" w:rsidRPr="00E42D61" w:rsidRDefault="00E047D3" w:rsidP="00E42D61">
      <w:pPr>
        <w:pStyle w:val="ParaText"/>
        <w:rPr>
          <w:rFonts w:cs="Arial"/>
        </w:rPr>
      </w:pPr>
      <w:r>
        <w:rPr>
          <w:rFonts w:eastAsia="Calibri"/>
        </w:rPr>
        <w:t xml:space="preserve">Using the </w:t>
      </w:r>
      <w:r w:rsidR="008E2A30">
        <w:rPr>
          <w:rFonts w:eastAsia="Calibri"/>
        </w:rPr>
        <w:t xml:space="preserve">above data for </w:t>
      </w:r>
      <w:r w:rsidR="006B2722">
        <w:rPr>
          <w:rFonts w:eastAsia="Calibri"/>
        </w:rPr>
        <w:t>input into</w:t>
      </w:r>
      <w:r w:rsidR="008E2A30">
        <w:rPr>
          <w:rFonts w:eastAsia="Calibri"/>
        </w:rPr>
        <w:t xml:space="preserve"> the </w:t>
      </w:r>
      <w:r w:rsidR="008E2A30" w:rsidRPr="00DD04FE">
        <w:rPr>
          <w:rFonts w:cs="Arial"/>
        </w:rPr>
        <w:t>neural-network forecasting soft</w:t>
      </w:r>
      <w:r w:rsidR="001B06BF">
        <w:rPr>
          <w:rFonts w:cs="Arial"/>
        </w:rPr>
        <w:t xml:space="preserve">ware, </w:t>
      </w:r>
      <w:r w:rsidR="006276DD">
        <w:rPr>
          <w:rFonts w:cs="Arial"/>
        </w:rPr>
        <w:t>CA</w:t>
      </w:r>
      <w:r w:rsidR="008E2A30">
        <w:rPr>
          <w:rFonts w:cs="Arial"/>
        </w:rPr>
        <w:t>ISO will create and continually monitor</w:t>
      </w:r>
      <w:r w:rsidR="008E2A30" w:rsidRPr="00DD04FE">
        <w:rPr>
          <w:rFonts w:cs="Arial"/>
        </w:rPr>
        <w:t xml:space="preserve"> its </w:t>
      </w:r>
      <w:r w:rsidR="008E2A30">
        <w:rPr>
          <w:rFonts w:cs="Arial"/>
        </w:rPr>
        <w:t xml:space="preserve">load and weather forecasting </w:t>
      </w:r>
      <w:r w:rsidR="008E2A30" w:rsidRPr="00DD04FE">
        <w:rPr>
          <w:rFonts w:cs="Arial"/>
        </w:rPr>
        <w:t>results to ensure the average forecast error is minimized.</w:t>
      </w:r>
    </w:p>
    <w:p w14:paraId="6117DB2C" w14:textId="77777777" w:rsidR="008817D0" w:rsidRPr="008817D0" w:rsidRDefault="008817D0" w:rsidP="00C33762">
      <w:pPr>
        <w:pStyle w:val="Heading2"/>
        <w:rPr>
          <w:rFonts w:eastAsia="Calibri"/>
        </w:rPr>
      </w:pPr>
      <w:bookmarkStart w:id="2085" w:name="_Toc390869347"/>
      <w:bookmarkStart w:id="2086" w:name="_Toc390946306"/>
      <w:r w:rsidRPr="008817D0">
        <w:rPr>
          <w:rFonts w:eastAsia="Calibri"/>
        </w:rPr>
        <w:t xml:space="preserve"> </w:t>
      </w:r>
      <w:bookmarkStart w:id="2087" w:name="_Toc391969867"/>
      <w:bookmarkStart w:id="2088" w:name="_Toc229054522"/>
      <w:r w:rsidRPr="008817D0">
        <w:rPr>
          <w:rFonts w:eastAsia="Calibri"/>
        </w:rPr>
        <w:t>Variable Energy Resource (VERs)</w:t>
      </w:r>
      <w:bookmarkEnd w:id="2085"/>
      <w:bookmarkEnd w:id="2086"/>
      <w:bookmarkEnd w:id="2087"/>
      <w:bookmarkEnd w:id="2088"/>
    </w:p>
    <w:p w14:paraId="6B40010C" w14:textId="77777777" w:rsidR="008817D0" w:rsidRPr="008817D0" w:rsidRDefault="008817D0" w:rsidP="008817D0">
      <w:pPr>
        <w:spacing w:after="240" w:line="300" w:lineRule="auto"/>
        <w:rPr>
          <w:rFonts w:eastAsia="Calibri"/>
        </w:rPr>
      </w:pPr>
      <w:r w:rsidRPr="008817D0">
        <w:rPr>
          <w:rFonts w:eastAsia="Calibri"/>
        </w:rPr>
        <w:t>This section is based on CAISO Tariff Sections 4.6.1.1, 4.8, 9.3.10</w:t>
      </w:r>
      <w:r w:rsidR="00524213">
        <w:rPr>
          <w:rFonts w:eastAsia="Calibri"/>
        </w:rPr>
        <w:t>;</w:t>
      </w:r>
      <w:r w:rsidRPr="008817D0">
        <w:rPr>
          <w:rFonts w:eastAsia="Calibri"/>
        </w:rPr>
        <w:t xml:space="preserve"> Appendix F</w:t>
      </w:r>
      <w:r w:rsidR="00524213">
        <w:rPr>
          <w:rFonts w:eastAsia="Calibri"/>
        </w:rPr>
        <w:t xml:space="preserve">, </w:t>
      </w:r>
      <w:r w:rsidRPr="00FA595A">
        <w:rPr>
          <w:rFonts w:eastAsia="Calibri"/>
          <w:i/>
        </w:rPr>
        <w:t>Rate Schedules</w:t>
      </w:r>
      <w:r w:rsidR="00524213">
        <w:rPr>
          <w:rFonts w:eastAsia="Calibri"/>
        </w:rPr>
        <w:t>;</w:t>
      </w:r>
      <w:r w:rsidRPr="008817D0">
        <w:rPr>
          <w:rFonts w:eastAsia="Calibri"/>
        </w:rPr>
        <w:t xml:space="preserve"> and Appendix Q</w:t>
      </w:r>
      <w:r w:rsidR="00524213">
        <w:rPr>
          <w:rFonts w:eastAsia="Calibri"/>
        </w:rPr>
        <w:t xml:space="preserve">, </w:t>
      </w:r>
      <w:r w:rsidRPr="00FA595A">
        <w:rPr>
          <w:rFonts w:eastAsia="Calibri"/>
          <w:i/>
        </w:rPr>
        <w:t>Eligible Intermittent Resources Protocol (EIRP</w:t>
      </w:r>
      <w:r w:rsidRPr="008817D0">
        <w:rPr>
          <w:rFonts w:eastAsia="Calibri"/>
        </w:rPr>
        <w:t>).</w:t>
      </w:r>
    </w:p>
    <w:p w14:paraId="11750FF0" w14:textId="77777777" w:rsidR="008817D0" w:rsidRPr="008817D0" w:rsidRDefault="008817D0" w:rsidP="00C33762">
      <w:pPr>
        <w:pStyle w:val="Heading3"/>
        <w:rPr>
          <w:rFonts w:eastAsia="Calibri"/>
        </w:rPr>
      </w:pPr>
      <w:bookmarkStart w:id="2089" w:name="_Toc390868495"/>
      <w:bookmarkStart w:id="2090" w:name="_Toc390869356"/>
      <w:bookmarkStart w:id="2091" w:name="_Toc390868497"/>
      <w:bookmarkStart w:id="2092" w:name="_Toc390869358"/>
      <w:bookmarkStart w:id="2093" w:name="_Toc390868498"/>
      <w:bookmarkStart w:id="2094" w:name="_Toc390869359"/>
      <w:bookmarkStart w:id="2095" w:name="_Toc390868501"/>
      <w:bookmarkStart w:id="2096" w:name="_Toc390869362"/>
      <w:bookmarkStart w:id="2097" w:name="_Toc390868506"/>
      <w:bookmarkStart w:id="2098" w:name="_Toc390869367"/>
      <w:bookmarkStart w:id="2099" w:name="_Toc390868508"/>
      <w:bookmarkStart w:id="2100" w:name="_Toc390869369"/>
      <w:bookmarkStart w:id="2101" w:name="_Toc390868510"/>
      <w:bookmarkStart w:id="2102" w:name="_Toc390869371"/>
      <w:bookmarkStart w:id="2103" w:name="_Toc390868512"/>
      <w:bookmarkStart w:id="2104" w:name="_Toc390869373"/>
      <w:bookmarkStart w:id="2105" w:name="_Toc390868513"/>
      <w:bookmarkStart w:id="2106" w:name="_Toc390869374"/>
      <w:bookmarkStart w:id="2107" w:name="_Toc390868516"/>
      <w:bookmarkStart w:id="2108" w:name="_Toc390869377"/>
      <w:bookmarkStart w:id="2109" w:name="_Toc390868518"/>
      <w:bookmarkStart w:id="2110" w:name="_Toc390869379"/>
      <w:bookmarkStart w:id="2111" w:name="_Toc390868522"/>
      <w:bookmarkStart w:id="2112" w:name="_Toc390869383"/>
      <w:bookmarkStart w:id="2113" w:name="_Toc390868523"/>
      <w:bookmarkStart w:id="2114" w:name="_Toc390869384"/>
      <w:bookmarkStart w:id="2115" w:name="_Toc390868528"/>
      <w:bookmarkStart w:id="2116" w:name="_Toc390869389"/>
      <w:bookmarkStart w:id="2117" w:name="_Toc390868531"/>
      <w:bookmarkStart w:id="2118" w:name="_Toc390869392"/>
      <w:bookmarkStart w:id="2119" w:name="_Toc390868533"/>
      <w:bookmarkStart w:id="2120" w:name="_Toc390869394"/>
      <w:bookmarkStart w:id="2121" w:name="_Toc390868560"/>
      <w:bookmarkStart w:id="2122" w:name="_Toc390869421"/>
      <w:bookmarkStart w:id="2123" w:name="_Toc390868563"/>
      <w:bookmarkStart w:id="2124" w:name="_Toc390869424"/>
      <w:bookmarkStart w:id="2125" w:name="_Toc390868569"/>
      <w:bookmarkStart w:id="2126" w:name="_Toc390869430"/>
      <w:bookmarkStart w:id="2127" w:name="_Toc390868570"/>
      <w:bookmarkStart w:id="2128" w:name="_Toc390869431"/>
      <w:bookmarkStart w:id="2129" w:name="_Toc390868596"/>
      <w:bookmarkStart w:id="2130" w:name="_Toc390869457"/>
      <w:bookmarkStart w:id="2131" w:name="_Toc390868626"/>
      <w:bookmarkStart w:id="2132" w:name="_Toc390869487"/>
      <w:bookmarkStart w:id="2133" w:name="_Toc390868717"/>
      <w:bookmarkStart w:id="2134" w:name="_Toc390869578"/>
      <w:bookmarkStart w:id="2135" w:name="_Toc390868718"/>
      <w:bookmarkStart w:id="2136" w:name="_Toc390869579"/>
      <w:bookmarkStart w:id="2137" w:name="_Toc390868722"/>
      <w:bookmarkStart w:id="2138" w:name="_Toc390869583"/>
      <w:bookmarkStart w:id="2139" w:name="_Toc390868724"/>
      <w:bookmarkStart w:id="2140" w:name="_Toc390869585"/>
      <w:bookmarkStart w:id="2141" w:name="_Toc390868726"/>
      <w:bookmarkStart w:id="2142" w:name="_Toc390869587"/>
      <w:bookmarkStart w:id="2143" w:name="_Toc390868728"/>
      <w:bookmarkStart w:id="2144" w:name="_Toc390869589"/>
      <w:bookmarkStart w:id="2145" w:name="_Toc390868732"/>
      <w:bookmarkStart w:id="2146" w:name="_Toc390869593"/>
      <w:bookmarkStart w:id="2147" w:name="_Toc390868733"/>
      <w:bookmarkStart w:id="2148" w:name="_Toc390869594"/>
      <w:bookmarkStart w:id="2149" w:name="_Toc390868734"/>
      <w:bookmarkStart w:id="2150" w:name="_Toc390869595"/>
      <w:bookmarkStart w:id="2151" w:name="_Toc390868735"/>
      <w:bookmarkStart w:id="2152" w:name="_Toc390869596"/>
      <w:bookmarkStart w:id="2153" w:name="_Toc390868737"/>
      <w:bookmarkStart w:id="2154" w:name="_Toc390869598"/>
      <w:bookmarkStart w:id="2155" w:name="_Toc390868739"/>
      <w:bookmarkStart w:id="2156" w:name="_Toc390869600"/>
      <w:bookmarkStart w:id="2157" w:name="_Toc390868786"/>
      <w:bookmarkStart w:id="2158" w:name="_Toc390869647"/>
      <w:bookmarkStart w:id="2159" w:name="_Toc390868787"/>
      <w:bookmarkStart w:id="2160" w:name="_Toc390869648"/>
      <w:bookmarkStart w:id="2161" w:name="_Toc390868788"/>
      <w:bookmarkStart w:id="2162" w:name="_Toc390869649"/>
      <w:bookmarkStart w:id="2163" w:name="_Toc390868789"/>
      <w:bookmarkStart w:id="2164" w:name="_Toc390869650"/>
      <w:bookmarkStart w:id="2165" w:name="_Toc390868790"/>
      <w:bookmarkStart w:id="2166" w:name="_Toc390869651"/>
      <w:bookmarkStart w:id="2167" w:name="_Toc390868792"/>
      <w:bookmarkStart w:id="2168" w:name="_Toc390869653"/>
      <w:bookmarkStart w:id="2169" w:name="_Toc390868864"/>
      <w:bookmarkStart w:id="2170" w:name="_Toc390869725"/>
      <w:bookmarkStart w:id="2171" w:name="_Toc390868865"/>
      <w:bookmarkStart w:id="2172" w:name="_Toc390869726"/>
      <w:bookmarkStart w:id="2173" w:name="_Toc390868869"/>
      <w:bookmarkStart w:id="2174" w:name="_Toc390869730"/>
      <w:bookmarkStart w:id="2175" w:name="_Toc390868888"/>
      <w:bookmarkStart w:id="2176" w:name="_Toc390869749"/>
      <w:bookmarkStart w:id="2177" w:name="_Toc390868928"/>
      <w:bookmarkStart w:id="2178" w:name="_Toc390869789"/>
      <w:bookmarkStart w:id="2179" w:name="_Toc390869040"/>
      <w:bookmarkStart w:id="2180" w:name="_Toc390869901"/>
      <w:bookmarkStart w:id="2181" w:name="_Toc390869041"/>
      <w:bookmarkStart w:id="2182" w:name="_Toc390869902"/>
      <w:bookmarkStart w:id="2183" w:name="_Toc390869043"/>
      <w:bookmarkStart w:id="2184" w:name="_Toc390869904"/>
      <w:bookmarkStart w:id="2185" w:name="_Toc390869044"/>
      <w:bookmarkStart w:id="2186" w:name="_Toc390869905"/>
      <w:bookmarkStart w:id="2187" w:name="_Toc390869047"/>
      <w:bookmarkStart w:id="2188" w:name="_Toc390869908"/>
      <w:bookmarkStart w:id="2189" w:name="_Toc390869912"/>
      <w:bookmarkStart w:id="2190" w:name="_Toc390946307"/>
      <w:bookmarkStart w:id="2191" w:name="_Toc391969868"/>
      <w:bookmarkStart w:id="2192" w:name="_Toc229054523"/>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r w:rsidRPr="008817D0">
        <w:rPr>
          <w:rFonts w:eastAsia="Calibri"/>
        </w:rPr>
        <w:t>Forecast Fee</w:t>
      </w:r>
      <w:bookmarkEnd w:id="2189"/>
      <w:bookmarkEnd w:id="2190"/>
      <w:bookmarkEnd w:id="2191"/>
      <w:bookmarkEnd w:id="2192"/>
    </w:p>
    <w:p w14:paraId="52F1374A" w14:textId="77777777" w:rsidR="008817D0" w:rsidRPr="008817D0" w:rsidRDefault="008817D0" w:rsidP="00C33762">
      <w:pPr>
        <w:pStyle w:val="Heading4"/>
        <w:rPr>
          <w:rFonts w:eastAsia="Calibri"/>
        </w:rPr>
      </w:pPr>
      <w:r w:rsidRPr="008817D0">
        <w:rPr>
          <w:rFonts w:eastAsia="Calibri"/>
        </w:rPr>
        <w:t>Variable Energy Resource Forecast Charge</w:t>
      </w:r>
    </w:p>
    <w:p w14:paraId="0AE2E834" w14:textId="4B24AD2D" w:rsidR="008817D0" w:rsidRPr="008817D0" w:rsidRDefault="008817D0" w:rsidP="00877DDB">
      <w:pPr>
        <w:spacing w:after="240" w:line="300" w:lineRule="auto"/>
        <w:rPr>
          <w:rFonts w:eastAsia="Calibri"/>
        </w:rPr>
      </w:pPr>
      <w:r w:rsidRPr="00877DDB">
        <w:rPr>
          <w:rFonts w:eastAsia="Calibri"/>
        </w:rPr>
        <w:t xml:space="preserve">In </w:t>
      </w:r>
      <w:r w:rsidR="00A57C6B">
        <w:rPr>
          <w:rFonts w:eastAsia="Calibri"/>
        </w:rPr>
        <w:t>g</w:t>
      </w:r>
      <w:r w:rsidRPr="00877DDB">
        <w:rPr>
          <w:rFonts w:eastAsia="Calibri"/>
        </w:rPr>
        <w:t>eneral</w:t>
      </w:r>
      <w:r w:rsidR="00A57C6B">
        <w:rPr>
          <w:rFonts w:eastAsia="Calibri"/>
          <w:b/>
        </w:rPr>
        <w:t xml:space="preserve"> </w:t>
      </w:r>
      <w:r w:rsidRPr="008817D0">
        <w:rPr>
          <w:rFonts w:eastAsia="Calibri"/>
        </w:rPr>
        <w:t>CAISO will charge</w:t>
      </w:r>
      <w:r w:rsidR="005F24C1">
        <w:rPr>
          <w:rFonts w:eastAsia="Calibri"/>
        </w:rPr>
        <w:t xml:space="preserve"> WEIM </w:t>
      </w:r>
      <w:r w:rsidRPr="008817D0">
        <w:rPr>
          <w:rFonts w:eastAsia="Calibri"/>
        </w:rPr>
        <w:t>Entity Scheduling Coordinators and</w:t>
      </w:r>
      <w:r w:rsidR="005F24C1">
        <w:rPr>
          <w:rFonts w:eastAsia="Calibri"/>
        </w:rPr>
        <w:t xml:space="preserve"> WEIM </w:t>
      </w:r>
      <w:r w:rsidRPr="008817D0">
        <w:rPr>
          <w:rFonts w:eastAsia="Calibri"/>
        </w:rPr>
        <w:t>Participating Resource Scheduling Coordinators a fee for the Variable Energy Resource forecasting services in accordance with Appendix F, Schedule 4.</w:t>
      </w:r>
    </w:p>
    <w:p w14:paraId="3DF2CFF5" w14:textId="184C1C6F" w:rsidR="008817D0" w:rsidRPr="008817D0" w:rsidRDefault="008817D0" w:rsidP="00877DDB">
      <w:pPr>
        <w:spacing w:after="240" w:line="300" w:lineRule="auto"/>
        <w:rPr>
          <w:rFonts w:eastAsia="Calibri"/>
        </w:rPr>
      </w:pPr>
      <w:r w:rsidRPr="008817D0">
        <w:rPr>
          <w:rFonts w:eastAsia="Calibri"/>
        </w:rPr>
        <w:t xml:space="preserve">CAISO will waive the Variable Energy Resource forecast charge if </w:t>
      </w:r>
      <w:r w:rsidR="00153940">
        <w:rPr>
          <w:rFonts w:eastAsia="Calibri"/>
        </w:rPr>
        <w:t>a WEIM</w:t>
      </w:r>
      <w:r w:rsidR="005F24C1">
        <w:rPr>
          <w:rFonts w:eastAsia="Calibri"/>
        </w:rPr>
        <w:t xml:space="preserve"> </w:t>
      </w:r>
      <w:r w:rsidRPr="008817D0">
        <w:rPr>
          <w:rFonts w:eastAsia="Calibri"/>
        </w:rPr>
        <w:t xml:space="preserve">Entity has an independent forecast for its Variable Energy Resources and provides </w:t>
      </w:r>
      <w:r w:rsidR="001B06BF">
        <w:rPr>
          <w:rFonts w:eastAsia="Calibri"/>
        </w:rPr>
        <w:t xml:space="preserve">the independent forecast to </w:t>
      </w:r>
      <w:r w:rsidRPr="008817D0">
        <w:rPr>
          <w:rFonts w:eastAsia="Calibri"/>
        </w:rPr>
        <w:t>CAISO.</w:t>
      </w:r>
    </w:p>
    <w:p w14:paraId="2720C545" w14:textId="77777777" w:rsidR="00BB3052" w:rsidRPr="008817D0" w:rsidRDefault="00BB3052" w:rsidP="00C33762">
      <w:pPr>
        <w:pStyle w:val="Heading3"/>
        <w:rPr>
          <w:rFonts w:eastAsia="Calibri"/>
        </w:rPr>
      </w:pPr>
      <w:bookmarkStart w:id="2193" w:name="_Toc391969869"/>
      <w:bookmarkStart w:id="2194" w:name="_Toc229054524"/>
      <w:r>
        <w:rPr>
          <w:rFonts w:eastAsia="Calibri"/>
        </w:rPr>
        <w:lastRenderedPageBreak/>
        <w:t xml:space="preserve">EIM Variable </w:t>
      </w:r>
      <w:r w:rsidR="00B26B6D">
        <w:rPr>
          <w:rFonts w:eastAsia="Calibri"/>
        </w:rPr>
        <w:t>Energy</w:t>
      </w:r>
      <w:r>
        <w:rPr>
          <w:rFonts w:eastAsia="Calibri"/>
        </w:rPr>
        <w:t xml:space="preserve"> </w:t>
      </w:r>
      <w:r w:rsidR="00B26B6D">
        <w:rPr>
          <w:rFonts w:eastAsia="Calibri"/>
        </w:rPr>
        <w:t>Resource</w:t>
      </w:r>
      <w:r>
        <w:rPr>
          <w:rFonts w:eastAsia="Calibri"/>
        </w:rPr>
        <w:t xml:space="preserve"> Forecasting</w:t>
      </w:r>
      <w:bookmarkEnd w:id="2193"/>
      <w:bookmarkEnd w:id="2194"/>
    </w:p>
    <w:p w14:paraId="0CE894F3" w14:textId="32F5D60B" w:rsidR="008E6DC4" w:rsidRDefault="008E6DC4">
      <w:r w:rsidRPr="00BB3052">
        <w:t>EIM Variable Energy Resource</w:t>
      </w:r>
      <w:r>
        <w:t>s, both participating and non-participating,</w:t>
      </w:r>
      <w:r w:rsidRPr="00BB3052">
        <w:t xml:space="preserve"> </w:t>
      </w:r>
      <w:r>
        <w:t>may</w:t>
      </w:r>
      <w:r w:rsidRPr="00BB3052">
        <w:t xml:space="preserve"> </w:t>
      </w:r>
      <w:r>
        <w:t>provide</w:t>
      </w:r>
      <w:r w:rsidRPr="00BB3052">
        <w:t xml:space="preserve"> </w:t>
      </w:r>
      <w:r>
        <w:t xml:space="preserve">the CAISO with </w:t>
      </w:r>
      <w:r w:rsidRPr="00BB3052">
        <w:t>a</w:t>
      </w:r>
      <w:r>
        <w:t>n</w:t>
      </w:r>
      <w:r w:rsidRPr="00BB3052">
        <w:t xml:space="preserve"> </w:t>
      </w:r>
      <w:r>
        <w:t xml:space="preserve">independent third party </w:t>
      </w:r>
      <w:r w:rsidRPr="00BB3052">
        <w:t>forecast</w:t>
      </w:r>
      <w:r>
        <w:t xml:space="preserve"> of energy output   or through the CAISO forecasting service. </w:t>
      </w:r>
      <w:r w:rsidRPr="005C1804">
        <w:t>.  </w:t>
      </w:r>
      <w:r w:rsidRPr="005F7ABA">
        <w:t xml:space="preserve">In addition, if </w:t>
      </w:r>
      <w:r w:rsidR="00153940">
        <w:t>a WEIM</w:t>
      </w:r>
      <w:r w:rsidR="005F24C1">
        <w:t xml:space="preserve"> </w:t>
      </w:r>
      <w:r w:rsidRPr="005F7ABA">
        <w:t>Entity certifies to the CAISO that it produces its own Variable Energy Resource forecast to operate its</w:t>
      </w:r>
      <w:r w:rsidR="005F24C1">
        <w:t xml:space="preserve"> WEIM </w:t>
      </w:r>
      <w:r w:rsidRPr="005F7ABA">
        <w:t>Entity Balancing Authority Area and the CAISO is able to verify the accuracy of the forecast initially and on an ongoing basis, this forecast will be accepted by the CAISO as independent.</w:t>
      </w:r>
      <w:r>
        <w:t xml:space="preserve"> The forecast granularity produced by </w:t>
      </w:r>
      <w:r w:rsidR="00153940">
        <w:t>a WEIM</w:t>
      </w:r>
      <w:r w:rsidR="005F24C1">
        <w:t xml:space="preserve"> </w:t>
      </w:r>
      <w:r>
        <w:t>Entity approved forecast service provider must be p</w:t>
      </w:r>
      <w:r w:rsidRPr="00BB3052">
        <w:t xml:space="preserve">roduced </w:t>
      </w:r>
      <w:r>
        <w:t>in</w:t>
      </w:r>
      <w:r w:rsidRPr="00BB3052">
        <w:t xml:space="preserve"> five-minute </w:t>
      </w:r>
      <w:r>
        <w:t>intervals</w:t>
      </w:r>
      <w:r w:rsidRPr="00BB3052">
        <w:t xml:space="preserve"> and updated every five minutes</w:t>
      </w:r>
      <w:r>
        <w:t>.</w:t>
      </w:r>
      <w:r w:rsidRPr="00A33565">
        <w:t xml:space="preserve"> </w:t>
      </w:r>
      <w:r>
        <w:t>T</w:t>
      </w:r>
      <w:r w:rsidRPr="00BB3052">
        <w:t>he forecast of</w:t>
      </w:r>
      <w:r w:rsidR="005F24C1">
        <w:t xml:space="preserve"> WEIM </w:t>
      </w:r>
      <w:r w:rsidRPr="00BB3052">
        <w:t>Variable Energy Resource</w:t>
      </w:r>
      <w:r>
        <w:t>s</w:t>
      </w:r>
      <w:r w:rsidRPr="00BB3052">
        <w:t xml:space="preserve"> must be </w:t>
      </w:r>
      <w:r>
        <w:t xml:space="preserve">automatically </w:t>
      </w:r>
      <w:r w:rsidRPr="00BB3052">
        <w:t xml:space="preserve">submitted to </w:t>
      </w:r>
      <w:r>
        <w:t>the CAISO forecast system</w:t>
      </w:r>
      <w:r w:rsidRPr="00BB3052">
        <w:t>.</w:t>
      </w:r>
    </w:p>
    <w:p w14:paraId="4486A564" w14:textId="77777777" w:rsidR="003E4C54" w:rsidRPr="00F57961" w:rsidRDefault="003E4C54" w:rsidP="00831D03">
      <w:r w:rsidRPr="00E62C48">
        <w:t xml:space="preserve">EIM VER resources shall submit base schedules and/or bids to the markets. The forecasts will be used to adjust the base schedule (if no bid) or the bid curve to reflect the forecast. The dispatch from </w:t>
      </w:r>
      <w:r w:rsidR="0058562B">
        <w:t>CA</w:t>
      </w:r>
      <w:r w:rsidRPr="00E62C48">
        <w:t>ISO real-time application will be the financial binding schedules.</w:t>
      </w:r>
    </w:p>
    <w:p w14:paraId="7C83C2AB" w14:textId="5FBB5A0B" w:rsidR="004C23BF" w:rsidRDefault="004C23BF" w:rsidP="00B72C3A">
      <w:pPr>
        <w:autoSpaceDE w:val="0"/>
        <w:autoSpaceDN w:val="0"/>
        <w:spacing w:after="80" w:line="300" w:lineRule="auto"/>
      </w:pPr>
      <w:r w:rsidRPr="00BB3052">
        <w:t xml:space="preserve">If </w:t>
      </w:r>
      <w:r>
        <w:t>the</w:t>
      </w:r>
      <w:r w:rsidR="005F24C1">
        <w:t xml:space="preserve"> WEIM </w:t>
      </w:r>
      <w:r>
        <w:t>Variable Energy Resource</w:t>
      </w:r>
      <w:r w:rsidRPr="00BB3052">
        <w:t xml:space="preserve"> elec</w:t>
      </w:r>
      <w:r>
        <w:t>ts</w:t>
      </w:r>
      <w:r w:rsidRPr="00BB3052">
        <w:t xml:space="preserve"> the </w:t>
      </w:r>
      <w:r>
        <w:t>CA</w:t>
      </w:r>
      <w:r w:rsidRPr="00BB3052">
        <w:t xml:space="preserve">ISO forecast, </w:t>
      </w:r>
      <w:r>
        <w:t>the</w:t>
      </w:r>
      <w:r w:rsidR="005F24C1">
        <w:t xml:space="preserve"> WEIM </w:t>
      </w:r>
      <w:r>
        <w:t>Variable Energy Resource</w:t>
      </w:r>
      <w:r w:rsidRPr="00BB3052">
        <w:t xml:space="preserve"> must make metrological data available at minimum 30 days in </w:t>
      </w:r>
      <w:r w:rsidR="00D52168" w:rsidRPr="00BB3052">
        <w:t xml:space="preserve">advance </w:t>
      </w:r>
      <w:r w:rsidR="00D52168">
        <w:t>of</w:t>
      </w:r>
      <w:r>
        <w:t xml:space="preserve"> a forecast being produced </w:t>
      </w:r>
      <w:r w:rsidRPr="00BB3052">
        <w:t xml:space="preserve">the </w:t>
      </w:r>
      <w:r>
        <w:t>CA</w:t>
      </w:r>
      <w:r w:rsidRPr="00BB3052">
        <w:t>ISO system can do the forecast for</w:t>
      </w:r>
      <w:r w:rsidR="005F24C1">
        <w:t xml:space="preserve"> WEIM </w:t>
      </w:r>
      <w:r w:rsidRPr="00BB3052">
        <w:t>Variable Energy Resource</w:t>
      </w:r>
      <w:r>
        <w:t>s</w:t>
      </w:r>
      <w:r w:rsidRPr="00BB3052">
        <w:t>.</w:t>
      </w:r>
      <w:bookmarkStart w:id="2195" w:name="_Toc390268073"/>
      <w:bookmarkStart w:id="2196" w:name="_Toc390268204"/>
      <w:bookmarkStart w:id="2197" w:name="_Toc390330952"/>
      <w:bookmarkStart w:id="2198" w:name="_Toc390353408"/>
      <w:bookmarkStart w:id="2199" w:name="_Toc390354385"/>
      <w:bookmarkStart w:id="2200" w:name="_Toc390356335"/>
      <w:bookmarkStart w:id="2201" w:name="_Toc390436999"/>
      <w:bookmarkStart w:id="2202" w:name="_Toc390674290"/>
      <w:bookmarkStart w:id="2203" w:name="_Toc390690564"/>
      <w:bookmarkStart w:id="2204" w:name="_Toc390697569"/>
      <w:bookmarkStart w:id="2205" w:name="_Toc390760582"/>
      <w:bookmarkStart w:id="2206" w:name="_Toc390765338"/>
      <w:bookmarkStart w:id="2207" w:name="_Toc390766867"/>
      <w:bookmarkStart w:id="2208" w:name="_Toc390779336"/>
      <w:bookmarkStart w:id="2209" w:name="_Toc390780314"/>
      <w:bookmarkStart w:id="2210" w:name="_Toc390783127"/>
      <w:bookmarkStart w:id="2211" w:name="_Toc390268075"/>
      <w:bookmarkStart w:id="2212" w:name="_Toc390268206"/>
      <w:bookmarkStart w:id="2213" w:name="_Toc390353410"/>
      <w:bookmarkStart w:id="2214" w:name="_Toc390354387"/>
      <w:bookmarkStart w:id="2215" w:name="_Toc390356337"/>
      <w:bookmarkStart w:id="2216" w:name="_Toc390437001"/>
      <w:bookmarkStart w:id="2217" w:name="_Toc390674292"/>
      <w:bookmarkStart w:id="2218" w:name="_Toc390690566"/>
      <w:bookmarkStart w:id="2219" w:name="_Toc390697571"/>
      <w:bookmarkStart w:id="2220" w:name="_Toc390760584"/>
      <w:bookmarkStart w:id="2221" w:name="_Toc390765340"/>
      <w:bookmarkStart w:id="2222" w:name="_Toc390766869"/>
      <w:bookmarkStart w:id="2223" w:name="_Toc390779338"/>
      <w:bookmarkStart w:id="2224" w:name="_Toc390780316"/>
      <w:bookmarkStart w:id="2225" w:name="_Toc390783129"/>
      <w:bookmarkStart w:id="2226" w:name="_Toc390268076"/>
      <w:bookmarkStart w:id="2227" w:name="_Toc390268207"/>
      <w:bookmarkStart w:id="2228" w:name="_Toc390330955"/>
      <w:bookmarkStart w:id="2229" w:name="_Toc390353411"/>
      <w:bookmarkStart w:id="2230" w:name="_Toc390354388"/>
      <w:bookmarkStart w:id="2231" w:name="_Toc390356338"/>
      <w:bookmarkStart w:id="2232" w:name="_Toc390437002"/>
      <w:bookmarkStart w:id="2233" w:name="_Toc390674293"/>
      <w:bookmarkStart w:id="2234" w:name="_Toc390690567"/>
      <w:bookmarkStart w:id="2235" w:name="_Toc390697572"/>
      <w:bookmarkStart w:id="2236" w:name="_Toc390760585"/>
      <w:bookmarkStart w:id="2237" w:name="_Toc390765341"/>
      <w:bookmarkStart w:id="2238" w:name="_Toc390766870"/>
      <w:bookmarkStart w:id="2239" w:name="_Toc390779339"/>
      <w:bookmarkStart w:id="2240" w:name="_Toc390780317"/>
      <w:bookmarkStart w:id="2241" w:name="_Toc390783130"/>
      <w:bookmarkStart w:id="2242" w:name="_Toc390268079"/>
      <w:bookmarkStart w:id="2243" w:name="_Toc390268210"/>
      <w:bookmarkStart w:id="2244" w:name="_Toc390353414"/>
      <w:bookmarkStart w:id="2245" w:name="_Toc390354391"/>
      <w:bookmarkStart w:id="2246" w:name="_Toc390356341"/>
      <w:bookmarkStart w:id="2247" w:name="_Toc390437005"/>
      <w:bookmarkStart w:id="2248" w:name="_Toc390674296"/>
      <w:bookmarkStart w:id="2249" w:name="_Toc390690570"/>
      <w:bookmarkStart w:id="2250" w:name="_Toc390697575"/>
      <w:bookmarkStart w:id="2251" w:name="_Toc390760588"/>
      <w:bookmarkStart w:id="2252" w:name="_Toc390765344"/>
      <w:bookmarkStart w:id="2253" w:name="_Toc390766873"/>
      <w:bookmarkStart w:id="2254" w:name="_Toc390779342"/>
      <w:bookmarkStart w:id="2255" w:name="_Toc390780320"/>
      <w:bookmarkStart w:id="2256" w:name="_Toc390783133"/>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2E50540C" w14:textId="66AB65C3" w:rsidR="005F7ABA" w:rsidRPr="005F7ABA" w:rsidRDefault="005F7ABA" w:rsidP="005F7ABA">
      <w:pPr>
        <w:autoSpaceDE w:val="0"/>
        <w:autoSpaceDN w:val="0"/>
        <w:spacing w:after="80" w:line="300" w:lineRule="auto"/>
        <w:rPr>
          <w:rFonts w:eastAsia="Calibri"/>
        </w:rPr>
      </w:pPr>
      <w:r w:rsidRPr="005F7ABA">
        <w:rPr>
          <w:rFonts w:eastAsia="Calibri"/>
        </w:rPr>
        <w:t>If the</w:t>
      </w:r>
      <w:r w:rsidR="005F24C1">
        <w:rPr>
          <w:rFonts w:eastAsia="Calibri"/>
        </w:rPr>
        <w:t xml:space="preserve"> WEIM </w:t>
      </w:r>
      <w:r w:rsidRPr="005F7ABA">
        <w:rPr>
          <w:rFonts w:eastAsia="Calibri"/>
        </w:rPr>
        <w:t>Entity elects the VER Persistence Market Model Forecast within the RTD market for solar resources, the</w:t>
      </w:r>
      <w:r w:rsidR="005F24C1">
        <w:rPr>
          <w:rFonts w:eastAsia="Calibri"/>
        </w:rPr>
        <w:t xml:space="preserve"> WEIM </w:t>
      </w:r>
      <w:r w:rsidRPr="005F7ABA">
        <w:rPr>
          <w:rFonts w:eastAsia="Calibri"/>
        </w:rPr>
        <w:t>Variable Energy Resource must provide 1 year of metrological/production data. This data is to compute reference curves used in creating the forecast. If the</w:t>
      </w:r>
      <w:r w:rsidR="005F24C1">
        <w:rPr>
          <w:rFonts w:eastAsia="Calibri"/>
        </w:rPr>
        <w:t xml:space="preserve"> WEIM </w:t>
      </w:r>
      <w:r w:rsidRPr="005F7ABA">
        <w:rPr>
          <w:rFonts w:eastAsia="Calibri"/>
        </w:rPr>
        <w:t xml:space="preserve">Entity elects the VER Persistence Market Model Forecast within the RTD market for wind resources, the 30-day minimum of metrological/production data is adequate. </w:t>
      </w:r>
    </w:p>
    <w:p w14:paraId="20A26929" w14:textId="5AB52E2B" w:rsidR="005F7ABA" w:rsidRDefault="005F7ABA" w:rsidP="005F7ABA">
      <w:pPr>
        <w:autoSpaceDE w:val="0"/>
        <w:autoSpaceDN w:val="0"/>
        <w:spacing w:after="80" w:line="300" w:lineRule="auto"/>
        <w:rPr>
          <w:rFonts w:eastAsia="Calibri"/>
        </w:rPr>
      </w:pPr>
      <w:r w:rsidRPr="005F7ABA">
        <w:rPr>
          <w:rFonts w:eastAsia="Calibri"/>
        </w:rPr>
        <w:t>The VER Persistence Market Model Forecast cannot be elected for fuel types outside of wind/solar, and is only available to resources that have similar response to weather conditions or other variables relevant to forecasting renewable energy. For example, if a solar resource has a Pmax of 300 MW and 50 MW can be moved with gas support, it is not eligible.</w:t>
      </w:r>
    </w:p>
    <w:p w14:paraId="5A235453" w14:textId="7B01C5EE" w:rsidR="002E60A6" w:rsidRDefault="004C23BF" w:rsidP="002E60A6">
      <w:pPr>
        <w:autoSpaceDE w:val="0"/>
        <w:autoSpaceDN w:val="0"/>
        <w:spacing w:after="80" w:line="300" w:lineRule="auto"/>
        <w:rPr>
          <w:rFonts w:eastAsia="Calibri"/>
        </w:rPr>
      </w:pPr>
      <w:r>
        <w:rPr>
          <w:rFonts w:eastAsia="Calibri"/>
        </w:rPr>
        <w:t>In addition, the</w:t>
      </w:r>
      <w:r w:rsidR="005F24C1">
        <w:rPr>
          <w:rFonts w:eastAsia="Calibri"/>
        </w:rPr>
        <w:t xml:space="preserve"> WEIM </w:t>
      </w:r>
      <w:r>
        <w:rPr>
          <w:rFonts w:eastAsia="Calibri"/>
        </w:rPr>
        <w:t>participating resource, similar to VER resources located in the CAISO BAA, may elect to use SC forecast option that will allow it to submit its five-minute output forecast to CAISO SIBR system. The SC forecast will be used as the financially binding forecast</w:t>
      </w:r>
      <w:r w:rsidR="003E4C54">
        <w:rPr>
          <w:rFonts w:eastAsia="Calibri"/>
        </w:rPr>
        <w:t xml:space="preserve"> under this election</w:t>
      </w:r>
      <w:r>
        <w:rPr>
          <w:rFonts w:eastAsia="Calibri"/>
        </w:rPr>
        <w:t>.</w:t>
      </w:r>
    </w:p>
    <w:p w14:paraId="4AEFF5B3" w14:textId="77777777" w:rsidR="002E60A6" w:rsidRPr="002E60A6" w:rsidRDefault="002E60A6" w:rsidP="002E60A6">
      <w:pPr>
        <w:autoSpaceDE w:val="0"/>
        <w:autoSpaceDN w:val="0"/>
        <w:spacing w:after="80" w:line="300" w:lineRule="auto"/>
      </w:pPr>
    </w:p>
    <w:p w14:paraId="72B1C385" w14:textId="77777777" w:rsidR="002E60A6" w:rsidRPr="002E60A6" w:rsidRDefault="002E60A6" w:rsidP="002E60A6">
      <w:pPr>
        <w:pStyle w:val="Heading4"/>
      </w:pPr>
      <w:r w:rsidRPr="002E60A6">
        <w:lastRenderedPageBreak/>
        <w:t>VER Persistence Forecasting</w:t>
      </w:r>
    </w:p>
    <w:p w14:paraId="28A6A9F2" w14:textId="77777777" w:rsidR="002E60A6" w:rsidRPr="00AC671E" w:rsidRDefault="002E60A6" w:rsidP="002E60A6">
      <w:r w:rsidRPr="00AC671E">
        <w:t xml:space="preserve">Persistence is an internally generated forecast designed to reduce time lag in forecast creation and improve RTD optimization accuracy for eligible wind and solar resources within CAISO and WEIM BAAs. For wind resources, persistence is elected at the EIM/BAA level. For solar resources, persistence is elected at the resource-level based on eligibility.  </w:t>
      </w:r>
    </w:p>
    <w:p w14:paraId="1CD280A8" w14:textId="77777777" w:rsidR="002E60A6" w:rsidRPr="00AC671E" w:rsidRDefault="002E60A6" w:rsidP="002E60A6">
      <w:r w:rsidRPr="00AC671E">
        <w:t xml:space="preserve">The ISO monitors accuracy of the RTD persistence forecast by comparing it to the external forecast provider’s forecast to ensure persistence achieves better performance in terms of accuracy. If the ISO identifies the persistence forecasting performing worse than the external forecast providers forecast in relation to accuracy, the ISO reaches out to the entity.  In addition, a scheduling coordinator for a renewable resource can reach out to the ISO when they are observing accuracy concerns via a CIDI ticket. </w:t>
      </w:r>
    </w:p>
    <w:p w14:paraId="529E7B68" w14:textId="77777777" w:rsidR="002E60A6" w:rsidRPr="00AC671E" w:rsidRDefault="002E60A6" w:rsidP="002E60A6">
      <w:r w:rsidRPr="00AC671E">
        <w:t xml:space="preserve">EIM BAAs interested in electing the ISO’s persistence may submit a formal request through CIDI. The ISO will then provide an attestation template. EIM participants are required to submit this attestation to elect persistence. For standalone or co-located solar resources, reference curves are generated using one year of settlement-quality meter and meteorological/production data to determine the maximum generation capability. These reference curves are used to create the solar forecast. </w:t>
      </w:r>
    </w:p>
    <w:p w14:paraId="24F11E79" w14:textId="77777777" w:rsidR="002E60A6" w:rsidRPr="00AC671E" w:rsidRDefault="002E60A6" w:rsidP="002E60A6">
      <w:r w:rsidRPr="00AC671E">
        <w:t>If a VER has less than one year of meteorological and production data, EIM entities may elect the ISO’s “rayborhood” methodology, which uses a nearby resource within 50 miles that has a similar generation pattern. After one year of actual data is collected for a rayborhood resource, the ISO evaluates reference curve accuracy and updates the reference curves as needed using the resource’s actual data.</w:t>
      </w:r>
    </w:p>
    <w:tbl>
      <w:tblPr>
        <w:tblStyle w:val="TableGrid"/>
        <w:tblW w:w="9350" w:type="dxa"/>
        <w:tblLook w:val="04A0" w:firstRow="1" w:lastRow="0" w:firstColumn="1" w:lastColumn="0" w:noHBand="0" w:noVBand="1"/>
      </w:tblPr>
      <w:tblGrid>
        <w:gridCol w:w="4945"/>
        <w:gridCol w:w="4405"/>
      </w:tblGrid>
      <w:tr w:rsidR="002E60A6" w:rsidRPr="00AC671E" w14:paraId="19436C4E" w14:textId="77777777" w:rsidTr="00CB14EA">
        <w:tc>
          <w:tcPr>
            <w:tcW w:w="4945" w:type="dxa"/>
          </w:tcPr>
          <w:p w14:paraId="512ACBB1" w14:textId="77777777" w:rsidR="002E60A6" w:rsidRPr="00AC671E" w:rsidRDefault="002E60A6" w:rsidP="00CB14EA">
            <w:pPr>
              <w:rPr>
                <w:b/>
                <w:bCs/>
              </w:rPr>
            </w:pPr>
            <w:r w:rsidRPr="00AC671E">
              <w:rPr>
                <w:b/>
                <w:bCs/>
              </w:rPr>
              <w:t>For Resources Electing rayborhood</w:t>
            </w:r>
          </w:p>
        </w:tc>
        <w:tc>
          <w:tcPr>
            <w:tcW w:w="4405" w:type="dxa"/>
          </w:tcPr>
          <w:p w14:paraId="71D526EE" w14:textId="77777777" w:rsidR="002E60A6" w:rsidRPr="00AC671E" w:rsidRDefault="002E60A6" w:rsidP="00CB14EA">
            <w:pPr>
              <w:jc w:val="center"/>
            </w:pPr>
            <w:r w:rsidRPr="00AC671E">
              <w:rPr>
                <w:b/>
                <w:bCs/>
              </w:rPr>
              <w:t>For Surrogate Solar Resource</w:t>
            </w:r>
          </w:p>
        </w:tc>
      </w:tr>
      <w:tr w:rsidR="002E60A6" w:rsidRPr="00AC671E" w14:paraId="333E893F" w14:textId="77777777" w:rsidTr="00CB14EA">
        <w:tc>
          <w:tcPr>
            <w:tcW w:w="4945" w:type="dxa"/>
          </w:tcPr>
          <w:p w14:paraId="4A9E98EB" w14:textId="77777777" w:rsidR="002E60A6" w:rsidRPr="00AC671E" w:rsidRDefault="002E60A6" w:rsidP="00CB14EA">
            <w:r w:rsidRPr="00AC671E">
              <w:t>External Forecast available</w:t>
            </w:r>
          </w:p>
        </w:tc>
        <w:tc>
          <w:tcPr>
            <w:tcW w:w="4405" w:type="dxa"/>
          </w:tcPr>
          <w:p w14:paraId="415D4C22" w14:textId="77777777" w:rsidR="002E60A6" w:rsidRPr="00AC671E" w:rsidRDefault="002E60A6" w:rsidP="00CB14EA">
            <w:r w:rsidRPr="00AC671E">
              <w:t>Pmax &gt;=10</w:t>
            </w:r>
          </w:p>
        </w:tc>
      </w:tr>
      <w:tr w:rsidR="002E60A6" w:rsidRPr="00AC671E" w14:paraId="5A329D2D" w14:textId="77777777" w:rsidTr="00CB14EA">
        <w:tc>
          <w:tcPr>
            <w:tcW w:w="4945" w:type="dxa"/>
          </w:tcPr>
          <w:p w14:paraId="01240803" w14:textId="77777777" w:rsidR="002E60A6" w:rsidRPr="00AC671E" w:rsidRDefault="002E60A6" w:rsidP="00CB14EA">
            <w:r w:rsidRPr="00AC671E">
              <w:t>Not a hybrid resource</w:t>
            </w:r>
          </w:p>
        </w:tc>
        <w:tc>
          <w:tcPr>
            <w:tcW w:w="4405" w:type="dxa"/>
          </w:tcPr>
          <w:p w14:paraId="5E541190" w14:textId="77777777" w:rsidR="002E60A6" w:rsidRPr="00AC671E" w:rsidRDefault="002E60A6" w:rsidP="00CB14EA">
            <w:r w:rsidRPr="00AC671E">
              <w:t>Located within 50 miles</w:t>
            </w:r>
          </w:p>
        </w:tc>
      </w:tr>
      <w:tr w:rsidR="002E60A6" w:rsidRPr="00AC671E" w14:paraId="18A77A1C" w14:textId="77777777" w:rsidTr="00CB14EA">
        <w:tc>
          <w:tcPr>
            <w:tcW w:w="4945" w:type="dxa"/>
          </w:tcPr>
          <w:p w14:paraId="62C4A0CF" w14:textId="77777777" w:rsidR="002E60A6" w:rsidRPr="00AC671E" w:rsidRDefault="002E60A6" w:rsidP="00CB14EA">
            <w:r w:rsidRPr="00AC671E">
              <w:t>N/A</w:t>
            </w:r>
          </w:p>
        </w:tc>
        <w:tc>
          <w:tcPr>
            <w:tcW w:w="4405" w:type="dxa"/>
          </w:tcPr>
          <w:p w14:paraId="2C5A20C2" w14:textId="77777777" w:rsidR="002E60A6" w:rsidRPr="00AC671E" w:rsidRDefault="002E60A6" w:rsidP="00CB14EA">
            <w:r w:rsidRPr="00AC671E">
              <w:t>Existing reference curves: Yes</w:t>
            </w:r>
          </w:p>
        </w:tc>
      </w:tr>
    </w:tbl>
    <w:p w14:paraId="6C045085" w14:textId="77777777" w:rsidR="002E60A6" w:rsidRPr="00AC671E" w:rsidRDefault="002E60A6" w:rsidP="002E60A6"/>
    <w:p w14:paraId="7C920209" w14:textId="77777777" w:rsidR="002E60A6" w:rsidRPr="00AC671E" w:rsidRDefault="002E60A6" w:rsidP="002E60A6">
      <w:pPr>
        <w:rPr>
          <w:strike/>
        </w:rPr>
      </w:pPr>
      <w:r w:rsidRPr="00AC671E">
        <w:t xml:space="preserve">If a resource’s MW telemetry (used to create forecast used in RTD) is impacted by data quality or a market dispatch (such as supplemental dispatch, AS, or Operating Instruction), then the External Forecast Service Provider (FSP) forecast may be used for those intervals instead.  Once </w:t>
      </w:r>
      <w:r w:rsidRPr="00AC671E">
        <w:lastRenderedPageBreak/>
        <w:t>telemetry data quality issues are resolved,</w:t>
      </w:r>
      <w:r w:rsidRPr="00AC671E" w:rsidDel="00DD5C74">
        <w:t xml:space="preserve"> </w:t>
      </w:r>
      <w:r w:rsidRPr="00AC671E">
        <w:t xml:space="preserve">the market dispatch ends, or the reference curve value for a solar resource is &gt; = 1 MW, the persistence forecast automatically resumes. </w:t>
      </w:r>
    </w:p>
    <w:p w14:paraId="08652010" w14:textId="77777777" w:rsidR="002E60A6" w:rsidRPr="00AC671E" w:rsidRDefault="002E60A6" w:rsidP="002E60A6">
      <w:r w:rsidRPr="00AC671E">
        <w:t>The VER persistence market model forecast is only available for wind and solar resources and cannot be elected for other fuel types. Resources must exhibit generation behavior driven primarily by weather or other renewable forecasting variables. For example, a solar resource with a Pmax of 300 MW that can shift 50 MW using gas support is not eligible.</w:t>
      </w:r>
    </w:p>
    <w:p w14:paraId="2A8BC4FB" w14:textId="77777777" w:rsidR="002E60A6" w:rsidRPr="00AC671E" w:rsidRDefault="002E60A6" w:rsidP="002E60A6">
      <w:pPr>
        <w:autoSpaceDE w:val="0"/>
        <w:autoSpaceDN w:val="0"/>
        <w:spacing w:after="80" w:line="300" w:lineRule="auto"/>
        <w:rPr>
          <w:rFonts w:eastAsia="Calibri"/>
        </w:rPr>
      </w:pPr>
      <w:r w:rsidRPr="00AC671E">
        <w:rPr>
          <w:rFonts w:eastAsia="Calibri"/>
        </w:rPr>
        <w:t>In addition, a WEIM participating resource, similar to VER resources located in the CAISO BAA, may elect to use SC forecast option that will allow it to submit its five-minute output forecast to CAISO ALFS system. The SC forecast will be used as the financially binding forecast under this election.</w:t>
      </w:r>
    </w:p>
    <w:p w14:paraId="4FBF085B" w14:textId="77777777" w:rsidR="002E60A6" w:rsidRDefault="002E60A6" w:rsidP="00B72C3A">
      <w:pPr>
        <w:autoSpaceDE w:val="0"/>
        <w:autoSpaceDN w:val="0"/>
        <w:spacing w:after="80" w:line="300" w:lineRule="auto"/>
        <w:rPr>
          <w:rFonts w:eastAsia="Calibri"/>
        </w:rPr>
      </w:pPr>
    </w:p>
    <w:p w14:paraId="01F7B033" w14:textId="77777777" w:rsidR="00B31EDD" w:rsidRPr="008006B2" w:rsidRDefault="00B31EDD" w:rsidP="00B31EDD">
      <w:pPr>
        <w:keepNext/>
        <w:keepLines/>
        <w:spacing w:before="240" w:after="0"/>
        <w:outlineLvl w:val="0"/>
        <w:rPr>
          <w:rFonts w:ascii="Arial" w:eastAsiaTheme="majorEastAsia" w:hAnsi="Arial" w:cs="Arial"/>
          <w:b/>
          <w:sz w:val="26"/>
          <w:szCs w:val="26"/>
        </w:rPr>
      </w:pPr>
      <w:bookmarkStart w:id="2257" w:name="_Toc229054525"/>
      <w:r w:rsidRPr="008006B2">
        <w:rPr>
          <w:rFonts w:ascii="Arial" w:eastAsiaTheme="majorEastAsia" w:hAnsi="Arial" w:cs="Arial"/>
          <w:b/>
          <w:sz w:val="26"/>
          <w:szCs w:val="26"/>
        </w:rPr>
        <w:t>11.8</w:t>
      </w:r>
      <w:r w:rsidRPr="008006B2">
        <w:rPr>
          <w:rFonts w:ascii="Arial" w:eastAsiaTheme="majorEastAsia" w:hAnsi="Arial" w:cs="Arial"/>
          <w:b/>
          <w:sz w:val="26"/>
          <w:szCs w:val="26"/>
        </w:rPr>
        <w:tab/>
        <w:t>Intertie Multi-Stage Generator (TMSG)</w:t>
      </w:r>
      <w:bookmarkEnd w:id="2257"/>
    </w:p>
    <w:p w14:paraId="162F4934" w14:textId="77777777" w:rsidR="00B31EDD" w:rsidRPr="008006B2" w:rsidRDefault="00B31EDD" w:rsidP="00B31EDD">
      <w:pPr>
        <w:rPr>
          <w:rFonts w:ascii="Arial" w:hAnsi="Arial" w:cs="Arial"/>
        </w:rPr>
      </w:pPr>
    </w:p>
    <w:p w14:paraId="2F181DF8" w14:textId="42CF6698" w:rsidR="00B31EDD" w:rsidRPr="002E60A6" w:rsidRDefault="00B31EDD" w:rsidP="00B31EDD">
      <w:pPr>
        <w:spacing w:after="240" w:line="300" w:lineRule="auto"/>
        <w:rPr>
          <w:rFonts w:cstheme="minorHAnsi"/>
        </w:rPr>
      </w:pPr>
      <w:r w:rsidRPr="002E60A6">
        <w:rPr>
          <w:rFonts w:cstheme="minorHAnsi"/>
        </w:rPr>
        <w:t xml:space="preserve">Real Time Market applications will support dynamic imports as Intertie Multi-Stage Generators (TMSG) on interties between </w:t>
      </w:r>
      <w:r w:rsidR="00153940" w:rsidRPr="002E60A6">
        <w:rPr>
          <w:rFonts w:cstheme="minorHAnsi"/>
        </w:rPr>
        <w:t>a WEIM</w:t>
      </w:r>
      <w:r w:rsidR="005F24C1" w:rsidRPr="002E60A6">
        <w:rPr>
          <w:rFonts w:cstheme="minorHAnsi"/>
        </w:rPr>
        <w:t xml:space="preserve"> </w:t>
      </w:r>
      <w:r w:rsidRPr="002E60A6">
        <w:rPr>
          <w:rFonts w:cstheme="minorHAnsi"/>
        </w:rPr>
        <w:t>Entity BAA and a non-EIM BAA. The TMSG is a resource-specific dynamic import from a physical resource in the non-EIM BAA with a dynamic scheduling agreement with the</w:t>
      </w:r>
      <w:r w:rsidR="005F24C1" w:rsidRPr="002E60A6">
        <w:rPr>
          <w:rFonts w:cstheme="minorHAnsi"/>
        </w:rPr>
        <w:t xml:space="preserve"> WEIM </w:t>
      </w:r>
      <w:r w:rsidRPr="002E60A6">
        <w:rPr>
          <w:rFonts w:cstheme="minorHAnsi"/>
        </w:rPr>
        <w:t xml:space="preserve">Entity BAA. To qualify, the physical resource must meet the Multi-Stage Generator (MSG) model requirements as provided in Market Operations BPM section 2.1.5. Since the intertie shall not have intertie constraints or intertie scheduling limits, CAISO interties cannot support TMSGs. </w:t>
      </w:r>
    </w:p>
    <w:p w14:paraId="4B4287EA" w14:textId="63E13B2D" w:rsidR="00B31EDD" w:rsidRPr="002E60A6" w:rsidRDefault="00B31EDD" w:rsidP="00B31EDD">
      <w:pPr>
        <w:spacing w:after="240" w:line="300" w:lineRule="auto"/>
        <w:rPr>
          <w:rFonts w:cstheme="minorHAnsi"/>
        </w:rPr>
      </w:pPr>
      <w:r w:rsidRPr="002E60A6">
        <w:rPr>
          <w:rFonts w:cstheme="minorHAnsi"/>
        </w:rPr>
        <w:t>The</w:t>
      </w:r>
      <w:r w:rsidR="005F24C1" w:rsidRPr="002E60A6">
        <w:rPr>
          <w:rFonts w:cstheme="minorHAnsi"/>
        </w:rPr>
        <w:t xml:space="preserve"> WEIM </w:t>
      </w:r>
      <w:r w:rsidRPr="002E60A6">
        <w:rPr>
          <w:rFonts w:cstheme="minorHAnsi"/>
        </w:rPr>
        <w:t>Entity BAA dynamic scheduling agreement for TMSGs must have provisions for dedicated long-term transmission capacity through the associated intertie and into the</w:t>
      </w:r>
      <w:r w:rsidR="005F24C1" w:rsidRPr="002E60A6">
        <w:rPr>
          <w:rFonts w:cstheme="minorHAnsi"/>
        </w:rPr>
        <w:t xml:space="preserve"> WEIM </w:t>
      </w:r>
      <w:r w:rsidRPr="002E60A6">
        <w:rPr>
          <w:rFonts w:cstheme="minorHAnsi"/>
        </w:rPr>
        <w:t>Entity BAA. The long-term transmission capacity must accommodate the highest maximum capacity among all registered MSG configurations. If the dynamic scheduling agreement has no such provisions, the intertie must have only one TMSG (i.e., no other TMSGs on the relevant intertie), Tie Generators (TG), ETSRs, other intertie resources that can participate in the market with a bid, or intertie resources with a self-schedule or base schedule).</w:t>
      </w:r>
    </w:p>
    <w:p w14:paraId="0DC68ABD" w14:textId="77777777" w:rsidR="00B31EDD" w:rsidRDefault="00B31EDD" w:rsidP="00B72C3A">
      <w:pPr>
        <w:autoSpaceDE w:val="0"/>
        <w:autoSpaceDN w:val="0"/>
        <w:spacing w:after="80" w:line="300" w:lineRule="auto"/>
        <w:rPr>
          <w:rFonts w:eastAsia="Calibri"/>
        </w:rPr>
      </w:pPr>
    </w:p>
    <w:p w14:paraId="7AEADB58" w14:textId="77777777" w:rsidR="004C23BF" w:rsidRDefault="004C23BF"/>
    <w:p w14:paraId="1EEDAB05" w14:textId="77777777" w:rsidR="00A30AD7" w:rsidRPr="00A30AD7" w:rsidRDefault="00A30AD7" w:rsidP="00FA595A">
      <w:pPr>
        <w:autoSpaceDE w:val="0"/>
        <w:autoSpaceDN w:val="0"/>
        <w:spacing w:after="80" w:line="300" w:lineRule="auto"/>
        <w:rPr>
          <w:rFonts w:eastAsia="Calibri"/>
        </w:rPr>
      </w:pPr>
    </w:p>
    <w:p w14:paraId="1EC68F99" w14:textId="77777777" w:rsidR="00C07657" w:rsidRPr="00793130" w:rsidRDefault="00C07657" w:rsidP="00225179">
      <w:pPr>
        <w:pStyle w:val="Heading1"/>
      </w:pPr>
      <w:bookmarkStart w:id="2258" w:name="_Toc389662614"/>
      <w:bookmarkStart w:id="2259" w:name="_Toc390946308"/>
      <w:bookmarkStart w:id="2260" w:name="_Toc391969870"/>
      <w:bookmarkStart w:id="2261" w:name="_Toc229054526"/>
      <w:r w:rsidRPr="00225179">
        <w:lastRenderedPageBreak/>
        <w:t>SETTLEMENTS</w:t>
      </w:r>
      <w:r w:rsidRPr="00793130">
        <w:t xml:space="preserve"> AND BILLING</w:t>
      </w:r>
      <w:bookmarkEnd w:id="2258"/>
      <w:bookmarkEnd w:id="2259"/>
      <w:bookmarkEnd w:id="2260"/>
      <w:bookmarkEnd w:id="2261"/>
    </w:p>
    <w:p w14:paraId="427F9D93" w14:textId="5BC0F35D" w:rsidR="007B2BF0" w:rsidRDefault="007B2BF0" w:rsidP="006F6DD6">
      <w:pPr>
        <w:spacing w:after="240" w:line="300" w:lineRule="auto"/>
        <w:rPr>
          <w:rFonts w:cs="Arial"/>
          <w:iCs/>
        </w:rPr>
      </w:pPr>
      <w:r>
        <w:rPr>
          <w:rFonts w:cs="Arial"/>
          <w:iCs/>
        </w:rPr>
        <w:t xml:space="preserve">Welcome to the </w:t>
      </w:r>
      <w:r w:rsidRPr="004C3C5F">
        <w:rPr>
          <w:rFonts w:cs="Arial"/>
          <w:i/>
          <w:iCs/>
        </w:rPr>
        <w:t>Settlements and Billing</w:t>
      </w:r>
      <w:r>
        <w:rPr>
          <w:rFonts w:cs="Arial"/>
          <w:iCs/>
        </w:rPr>
        <w:t xml:space="preserve"> section of the CAISO </w:t>
      </w:r>
      <w:r w:rsidRPr="004C3C5F">
        <w:rPr>
          <w:rFonts w:cs="Arial"/>
          <w:i/>
          <w:iCs/>
        </w:rPr>
        <w:t xml:space="preserve">BPM for the </w:t>
      </w:r>
      <w:r w:rsidR="005F24C1">
        <w:rPr>
          <w:rFonts w:cs="Arial"/>
          <w:i/>
          <w:iCs/>
        </w:rPr>
        <w:t>Western Energy Imbalance Market</w:t>
      </w:r>
      <w:r>
        <w:rPr>
          <w:rFonts w:cs="Arial"/>
          <w:iCs/>
        </w:rPr>
        <w:t xml:space="preserve">.   </w:t>
      </w:r>
      <w:r w:rsidR="00880F4E">
        <w:rPr>
          <w:rFonts w:cs="Arial"/>
          <w:iCs/>
        </w:rPr>
        <w:t>In this section</w:t>
      </w:r>
      <w:r w:rsidR="00775CF7">
        <w:rPr>
          <w:rFonts w:cs="Arial"/>
          <w:iCs/>
        </w:rPr>
        <w:t xml:space="preserve"> </w:t>
      </w:r>
      <w:r w:rsidR="00880F4E">
        <w:rPr>
          <w:rFonts w:cs="Arial"/>
          <w:iCs/>
        </w:rPr>
        <w:t>you will find</w:t>
      </w:r>
      <w:r w:rsidR="00A82EF7">
        <w:rPr>
          <w:rFonts w:cs="Arial"/>
          <w:iCs/>
        </w:rPr>
        <w:t xml:space="preserve"> </w:t>
      </w:r>
      <w:r>
        <w:rPr>
          <w:rFonts w:cs="Arial"/>
          <w:iCs/>
        </w:rPr>
        <w:t xml:space="preserve">the following </w:t>
      </w:r>
      <w:r w:rsidR="00A82EF7">
        <w:rPr>
          <w:rFonts w:cs="Arial"/>
          <w:iCs/>
        </w:rPr>
        <w:t>information</w:t>
      </w:r>
      <w:r>
        <w:rPr>
          <w:rFonts w:cs="Arial"/>
          <w:iCs/>
        </w:rPr>
        <w:t>:</w:t>
      </w:r>
    </w:p>
    <w:p w14:paraId="34CCE4B3" w14:textId="3945342B" w:rsidR="00A82EF7" w:rsidRPr="007B2BF0" w:rsidRDefault="007B2BF0" w:rsidP="00E80005">
      <w:pPr>
        <w:pStyle w:val="ListParagraph"/>
        <w:numPr>
          <w:ilvl w:val="0"/>
          <w:numId w:val="40"/>
        </w:numPr>
        <w:spacing w:after="240" w:line="300" w:lineRule="auto"/>
        <w:rPr>
          <w:rFonts w:cs="Arial"/>
          <w:iCs/>
        </w:rPr>
      </w:pPr>
      <w:r>
        <w:rPr>
          <w:rFonts w:cs="Arial"/>
          <w:iCs/>
        </w:rPr>
        <w:t>T</w:t>
      </w:r>
      <w:r w:rsidR="00A82EF7" w:rsidRPr="007B2BF0">
        <w:rPr>
          <w:rFonts w:cs="Arial"/>
          <w:iCs/>
        </w:rPr>
        <w:t>he processes</w:t>
      </w:r>
      <w:r>
        <w:rPr>
          <w:rFonts w:cs="Arial"/>
          <w:iCs/>
        </w:rPr>
        <w:t xml:space="preserve"> of Settlements and Billing</w:t>
      </w:r>
      <w:r w:rsidR="00A82EF7" w:rsidRPr="007B2BF0">
        <w:rPr>
          <w:rFonts w:cs="Arial"/>
          <w:iCs/>
        </w:rPr>
        <w:t xml:space="preserve"> within </w:t>
      </w:r>
      <w:r w:rsidR="0092123E" w:rsidRPr="007B2BF0">
        <w:rPr>
          <w:rFonts w:cs="Arial"/>
          <w:iCs/>
        </w:rPr>
        <w:t xml:space="preserve">the </w:t>
      </w:r>
      <w:r w:rsidR="00A82EF7" w:rsidRPr="007B2BF0">
        <w:rPr>
          <w:rFonts w:cs="Arial"/>
          <w:iCs/>
        </w:rPr>
        <w:t xml:space="preserve">context of the </w:t>
      </w:r>
      <w:r w:rsidR="005F24C1">
        <w:rPr>
          <w:rFonts w:cs="Arial"/>
          <w:iCs/>
        </w:rPr>
        <w:t>Western Energy Imbalance Market</w:t>
      </w:r>
      <w:r w:rsidR="00A82EF7" w:rsidRPr="007B2BF0">
        <w:rPr>
          <w:rFonts w:cs="Arial"/>
          <w:iCs/>
        </w:rPr>
        <w:t xml:space="preserve">.  </w:t>
      </w:r>
      <w:r w:rsidR="00880F4E" w:rsidRPr="007B2BF0">
        <w:rPr>
          <w:rFonts w:cs="Arial"/>
          <w:iCs/>
        </w:rPr>
        <w:t xml:space="preserve"> </w:t>
      </w:r>
    </w:p>
    <w:p w14:paraId="336E67C4" w14:textId="1647AA29" w:rsidR="0084443E" w:rsidRPr="00793130" w:rsidRDefault="00880F4E" w:rsidP="006F6DD6">
      <w:pPr>
        <w:spacing w:after="240" w:line="300" w:lineRule="auto"/>
        <w:rPr>
          <w:rFonts w:cs="Arial"/>
          <w:iCs/>
        </w:rPr>
      </w:pPr>
      <w:r>
        <w:rPr>
          <w:rFonts w:cs="Arial"/>
          <w:iCs/>
        </w:rPr>
        <w:t xml:space="preserve">  </w:t>
      </w:r>
      <w:r w:rsidR="0084443E" w:rsidRPr="00793130">
        <w:rPr>
          <w:rFonts w:cs="Arial"/>
          <w:iCs/>
        </w:rPr>
        <w:t>The business process for settlement of the fiscal results of participation in the</w:t>
      </w:r>
      <w:r w:rsidR="005F24C1">
        <w:rPr>
          <w:rFonts w:cs="Arial"/>
          <w:iCs/>
        </w:rPr>
        <w:t xml:space="preserve"> WEIM </w:t>
      </w:r>
      <w:r w:rsidR="0084443E" w:rsidRPr="00793130">
        <w:rPr>
          <w:rFonts w:cs="Arial"/>
          <w:iCs/>
        </w:rPr>
        <w:t xml:space="preserve">is outlined in the </w:t>
      </w:r>
      <w:hyperlink r:id="rId94" w:history="1">
        <w:r w:rsidR="0084443E" w:rsidRPr="003E0BEF">
          <w:rPr>
            <w:rStyle w:val="Hyperlink"/>
            <w:rFonts w:cs="Arial"/>
            <w:b/>
            <w:iCs/>
          </w:rPr>
          <w:t xml:space="preserve">BPM for Settlements </w:t>
        </w:r>
        <w:r w:rsidR="00D727DA">
          <w:rPr>
            <w:rStyle w:val="Hyperlink"/>
            <w:rFonts w:cs="Arial"/>
            <w:b/>
            <w:iCs/>
          </w:rPr>
          <w:t>and</w:t>
        </w:r>
        <w:r w:rsidR="0084443E" w:rsidRPr="003E0BEF">
          <w:rPr>
            <w:rStyle w:val="Hyperlink"/>
            <w:rFonts w:cs="Arial"/>
            <w:b/>
            <w:iCs/>
          </w:rPr>
          <w:t xml:space="preserve"> Billing</w:t>
        </w:r>
      </w:hyperlink>
      <w:r w:rsidR="0084443E" w:rsidRPr="00793130">
        <w:rPr>
          <w:rFonts w:cs="Arial"/>
          <w:iCs/>
        </w:rPr>
        <w:t>.  That BPM provides an overview of the settlement, billing, invoicing</w:t>
      </w:r>
      <w:r w:rsidR="008C6B50" w:rsidRPr="00793130">
        <w:rPr>
          <w:rFonts w:cs="Arial"/>
          <w:iCs/>
        </w:rPr>
        <w:t>,</w:t>
      </w:r>
      <w:r w:rsidR="0084443E" w:rsidRPr="00793130">
        <w:rPr>
          <w:rFonts w:cs="Arial"/>
          <w:iCs/>
        </w:rPr>
        <w:t xml:space="preserve"> and financial clearing business functions, an overview of key settlement and billing principles</w:t>
      </w:r>
      <w:r w:rsidR="00A82EF7">
        <w:rPr>
          <w:rFonts w:cs="Arial"/>
          <w:iCs/>
        </w:rPr>
        <w:t>,</w:t>
      </w:r>
      <w:r w:rsidR="0084443E" w:rsidRPr="00793130">
        <w:rPr>
          <w:rFonts w:cs="Arial"/>
          <w:iCs/>
        </w:rPr>
        <w:t xml:space="preserve"> and an overview of the settlement and invoicing cycles.  </w:t>
      </w:r>
    </w:p>
    <w:p w14:paraId="2D8FA1A5" w14:textId="77777777" w:rsidR="00172436" w:rsidRDefault="00172436" w:rsidP="00C33762">
      <w:pPr>
        <w:pStyle w:val="Heading2"/>
      </w:pPr>
      <w:bookmarkStart w:id="2262" w:name="_Toc391969871"/>
      <w:bookmarkStart w:id="2263" w:name="_Toc229054527"/>
      <w:r>
        <w:t>Charge Codes</w:t>
      </w:r>
      <w:bookmarkEnd w:id="2262"/>
      <w:bookmarkEnd w:id="2263"/>
    </w:p>
    <w:p w14:paraId="7A390FCE" w14:textId="77777777" w:rsidR="000E7D7E" w:rsidRDefault="0084443E">
      <w:pPr>
        <w:spacing w:after="240" w:line="300" w:lineRule="auto"/>
        <w:rPr>
          <w:rFonts w:cs="Arial"/>
          <w:iCs/>
        </w:rPr>
      </w:pPr>
      <w:r w:rsidRPr="00793130">
        <w:rPr>
          <w:rFonts w:cs="Arial"/>
          <w:iCs/>
        </w:rPr>
        <w:t xml:space="preserve">CAISO maintains the </w:t>
      </w:r>
      <w:r w:rsidR="0058562B">
        <w:rPr>
          <w:rFonts w:cs="Arial"/>
          <w:iCs/>
        </w:rPr>
        <w:t>CA</w:t>
      </w:r>
      <w:r w:rsidRPr="00793130">
        <w:rPr>
          <w:rFonts w:cs="Arial"/>
          <w:i/>
          <w:iCs/>
        </w:rPr>
        <w:t>ISO Market Charge Code</w:t>
      </w:r>
      <w:r w:rsidR="00AC3493" w:rsidRPr="00793130">
        <w:rPr>
          <w:rFonts w:cs="Arial"/>
          <w:i/>
          <w:iCs/>
        </w:rPr>
        <w:t>s</w:t>
      </w:r>
      <w:r w:rsidRPr="00793130">
        <w:rPr>
          <w:rFonts w:cs="Arial"/>
          <w:i/>
          <w:iCs/>
        </w:rPr>
        <w:t xml:space="preserve"> Matrix</w:t>
      </w:r>
      <w:r w:rsidRPr="00793130">
        <w:rPr>
          <w:rFonts w:cs="Arial"/>
          <w:iCs/>
        </w:rPr>
        <w:t xml:space="preserve"> </w:t>
      </w:r>
      <w:r w:rsidR="000F52BB">
        <w:rPr>
          <w:rFonts w:cs="Arial"/>
          <w:iCs/>
        </w:rPr>
        <w:t>which</w:t>
      </w:r>
      <w:r w:rsidRPr="00793130">
        <w:rPr>
          <w:rFonts w:cs="Arial"/>
          <w:iCs/>
        </w:rPr>
        <w:t xml:space="preserve"> can be found by navigating to </w:t>
      </w:r>
      <w:r w:rsidR="00D727DA">
        <w:rPr>
          <w:rFonts w:cs="Arial"/>
          <w:iCs/>
        </w:rPr>
        <w:t xml:space="preserve">the </w:t>
      </w:r>
      <w:r w:rsidRPr="00793130">
        <w:rPr>
          <w:rFonts w:cs="Arial"/>
          <w:iCs/>
        </w:rPr>
        <w:t xml:space="preserve">Settlements subheading under the Market &amp; Operations portion of the CAISO website.  </w:t>
      </w:r>
      <w:r w:rsidR="00F73DA7" w:rsidRPr="00793130">
        <w:rPr>
          <w:rFonts w:cs="Arial"/>
          <w:iCs/>
        </w:rPr>
        <w:t xml:space="preserve">This </w:t>
      </w:r>
      <w:r w:rsidR="00F73DA7">
        <w:rPr>
          <w:rFonts w:cs="Arial"/>
          <w:iCs/>
        </w:rPr>
        <w:t>matrix</w:t>
      </w:r>
      <w:r w:rsidR="00F73DA7" w:rsidRPr="00793130">
        <w:rPr>
          <w:rFonts w:cs="Arial"/>
          <w:iCs/>
        </w:rPr>
        <w:t xml:space="preserve"> highlights which </w:t>
      </w:r>
      <w:r w:rsidR="000E7D7E">
        <w:rPr>
          <w:rFonts w:cs="Arial"/>
          <w:iCs/>
        </w:rPr>
        <w:t>C</w:t>
      </w:r>
      <w:r w:rsidR="000E7D7E" w:rsidRPr="00793130">
        <w:rPr>
          <w:rFonts w:cs="Arial"/>
          <w:iCs/>
        </w:rPr>
        <w:t xml:space="preserve">harge </w:t>
      </w:r>
      <w:r w:rsidR="000E7D7E">
        <w:rPr>
          <w:rFonts w:cs="Arial"/>
          <w:iCs/>
        </w:rPr>
        <w:t>C</w:t>
      </w:r>
      <w:r w:rsidR="000E7D7E" w:rsidRPr="00793130">
        <w:rPr>
          <w:rFonts w:cs="Arial"/>
          <w:iCs/>
        </w:rPr>
        <w:t xml:space="preserve">odes </w:t>
      </w:r>
      <w:r w:rsidR="00F73DA7" w:rsidRPr="00793130">
        <w:rPr>
          <w:rFonts w:cs="Arial"/>
          <w:iCs/>
        </w:rPr>
        <w:t>are applicable to the various forms of resources participating in the markets operat</w:t>
      </w:r>
      <w:r w:rsidR="00F73DA7">
        <w:rPr>
          <w:rFonts w:cs="Arial"/>
          <w:iCs/>
        </w:rPr>
        <w:t>ed</w:t>
      </w:r>
      <w:r w:rsidR="001B06BF">
        <w:rPr>
          <w:rFonts w:cs="Arial"/>
          <w:iCs/>
        </w:rPr>
        <w:t xml:space="preserve"> by </w:t>
      </w:r>
      <w:r w:rsidR="00F73DA7" w:rsidRPr="00793130">
        <w:rPr>
          <w:rFonts w:cs="Arial"/>
          <w:iCs/>
        </w:rPr>
        <w:t xml:space="preserve">CAISO.  </w:t>
      </w:r>
      <w:r w:rsidR="000E7D7E">
        <w:rPr>
          <w:rFonts w:cs="Arial"/>
          <w:iCs/>
        </w:rPr>
        <w:t>A detailed description of</w:t>
      </w:r>
      <w:r w:rsidR="000E7D7E" w:rsidRPr="00793130">
        <w:rPr>
          <w:rFonts w:cs="Arial"/>
          <w:iCs/>
        </w:rPr>
        <w:t xml:space="preserve"> each settlement </w:t>
      </w:r>
      <w:r w:rsidR="000E7D7E">
        <w:rPr>
          <w:rFonts w:cs="Arial"/>
          <w:iCs/>
        </w:rPr>
        <w:t>C</w:t>
      </w:r>
      <w:r w:rsidR="000E7D7E" w:rsidRPr="00793130">
        <w:rPr>
          <w:rFonts w:cs="Arial"/>
          <w:iCs/>
        </w:rPr>
        <w:t xml:space="preserve">harge </w:t>
      </w:r>
      <w:r w:rsidR="000E7D7E">
        <w:rPr>
          <w:rFonts w:cs="Arial"/>
          <w:iCs/>
        </w:rPr>
        <w:t>C</w:t>
      </w:r>
      <w:r w:rsidR="000E7D7E" w:rsidRPr="00793130">
        <w:rPr>
          <w:rFonts w:cs="Arial"/>
          <w:iCs/>
        </w:rPr>
        <w:t xml:space="preserve">ode </w:t>
      </w:r>
      <w:r w:rsidR="000E7D7E">
        <w:rPr>
          <w:rFonts w:cs="Arial"/>
          <w:iCs/>
        </w:rPr>
        <w:t xml:space="preserve">or predecessor Pre-Calculation, including business rules and </w:t>
      </w:r>
      <w:r w:rsidR="000E7D7E" w:rsidRPr="00793130">
        <w:rPr>
          <w:rFonts w:cs="Arial"/>
          <w:iCs/>
        </w:rPr>
        <w:t xml:space="preserve">specific </w:t>
      </w:r>
      <w:r w:rsidR="000E7D7E">
        <w:rPr>
          <w:rFonts w:cs="Arial"/>
          <w:iCs/>
        </w:rPr>
        <w:t xml:space="preserve">data calculation </w:t>
      </w:r>
      <w:r w:rsidR="000E7D7E" w:rsidRPr="00793130">
        <w:rPr>
          <w:rFonts w:cs="Arial"/>
          <w:iCs/>
        </w:rPr>
        <w:t>formulas</w:t>
      </w:r>
      <w:r w:rsidR="000E7D7E">
        <w:rPr>
          <w:rFonts w:cs="Arial"/>
          <w:iCs/>
        </w:rPr>
        <w:t>,</w:t>
      </w:r>
      <w:r w:rsidR="000E7D7E" w:rsidRPr="00793130">
        <w:rPr>
          <w:rFonts w:cs="Arial"/>
          <w:iCs/>
        </w:rPr>
        <w:t xml:space="preserve"> can be found in the </w:t>
      </w:r>
      <w:r w:rsidR="000E7D7E" w:rsidRPr="00390D5C">
        <w:rPr>
          <w:rFonts w:cs="Arial"/>
          <w:i/>
          <w:iCs/>
        </w:rPr>
        <w:t xml:space="preserve">BPM </w:t>
      </w:r>
      <w:r w:rsidR="000E7D7E" w:rsidRPr="00793130">
        <w:rPr>
          <w:rFonts w:cs="Arial"/>
          <w:i/>
          <w:iCs/>
        </w:rPr>
        <w:t>Configuration Guide</w:t>
      </w:r>
      <w:r w:rsidR="000E7D7E" w:rsidRPr="00793130">
        <w:rPr>
          <w:rFonts w:cs="Arial"/>
          <w:iCs/>
        </w:rPr>
        <w:t xml:space="preserve"> documents posted </w:t>
      </w:r>
      <w:r w:rsidR="000E7D7E">
        <w:rPr>
          <w:rFonts w:cs="Arial"/>
          <w:iCs/>
        </w:rPr>
        <w:t xml:space="preserve">under the Settlements and Billing section of the BPM Document Library </w:t>
      </w:r>
      <w:r w:rsidR="000E7D7E" w:rsidRPr="00793130">
        <w:rPr>
          <w:rFonts w:cs="Arial"/>
          <w:iCs/>
        </w:rPr>
        <w:t>on the CAISO website.</w:t>
      </w:r>
      <w:r w:rsidR="000E7D7E">
        <w:rPr>
          <w:rFonts w:cs="Arial"/>
          <w:iCs/>
        </w:rPr>
        <w:t xml:space="preserve">  </w:t>
      </w:r>
      <w:r w:rsidR="000E7D7E" w:rsidRPr="00D13F01">
        <w:rPr>
          <w:rFonts w:cs="Arial"/>
          <w:iCs/>
        </w:rPr>
        <w:t xml:space="preserve">Section 8 of the </w:t>
      </w:r>
      <w:hyperlink r:id="rId95" w:history="1">
        <w:r w:rsidR="000E7D7E" w:rsidRPr="003E0BEF">
          <w:rPr>
            <w:rStyle w:val="Hyperlink"/>
            <w:rFonts w:cs="Arial"/>
            <w:b/>
            <w:iCs/>
          </w:rPr>
          <w:t xml:space="preserve">BPM for Settlements </w:t>
        </w:r>
        <w:r w:rsidR="000E7D7E">
          <w:rPr>
            <w:rStyle w:val="Hyperlink"/>
            <w:rFonts w:cs="Arial"/>
            <w:b/>
            <w:iCs/>
          </w:rPr>
          <w:t>and</w:t>
        </w:r>
        <w:r w:rsidR="000E7D7E" w:rsidRPr="003E0BEF">
          <w:rPr>
            <w:rStyle w:val="Hyperlink"/>
            <w:rFonts w:cs="Arial"/>
            <w:b/>
            <w:iCs/>
          </w:rPr>
          <w:t xml:space="preserve"> Billing</w:t>
        </w:r>
      </w:hyperlink>
      <w:r w:rsidR="000E7D7E" w:rsidRPr="00D13F01">
        <w:rPr>
          <w:rFonts w:cs="Arial"/>
          <w:iCs/>
        </w:rPr>
        <w:t xml:space="preserve"> provides details on how to use and read a </w:t>
      </w:r>
      <w:r w:rsidR="000E7D7E" w:rsidRPr="0092123E">
        <w:rPr>
          <w:rFonts w:cs="Arial"/>
          <w:i/>
          <w:iCs/>
        </w:rPr>
        <w:t>BPM Configuration Guide</w:t>
      </w:r>
      <w:r w:rsidR="000E7D7E" w:rsidRPr="00D13F01">
        <w:rPr>
          <w:rFonts w:cs="Arial"/>
          <w:iCs/>
        </w:rPr>
        <w:t>.</w:t>
      </w:r>
    </w:p>
    <w:p w14:paraId="7A203C02" w14:textId="64CAC54E" w:rsidR="001D6A50" w:rsidRDefault="0084443E" w:rsidP="00A812DF">
      <w:pPr>
        <w:spacing w:after="80" w:line="300" w:lineRule="auto"/>
        <w:rPr>
          <w:rFonts w:eastAsia="Calibri"/>
        </w:rPr>
      </w:pPr>
      <w:r w:rsidRPr="00793130">
        <w:rPr>
          <w:rFonts w:cs="Arial"/>
          <w:iCs/>
        </w:rPr>
        <w:t xml:space="preserve">Settlements </w:t>
      </w:r>
      <w:r w:rsidR="00D727DA">
        <w:rPr>
          <w:rFonts w:cs="Arial"/>
          <w:iCs/>
        </w:rPr>
        <w:t xml:space="preserve">concepts </w:t>
      </w:r>
      <w:r w:rsidRPr="00793130">
        <w:rPr>
          <w:rFonts w:cs="Arial"/>
          <w:iCs/>
        </w:rPr>
        <w:t>unique to participation in the</w:t>
      </w:r>
      <w:r w:rsidR="005F24C1">
        <w:rPr>
          <w:rFonts w:cs="Arial"/>
          <w:iCs/>
        </w:rPr>
        <w:t xml:space="preserve"> WEIM </w:t>
      </w:r>
      <w:r w:rsidRPr="00793130">
        <w:rPr>
          <w:rFonts w:cs="Arial"/>
          <w:iCs/>
        </w:rPr>
        <w:t>include settlements related to Over- and Under-Scheduling of</w:t>
      </w:r>
      <w:r w:rsidR="005F24C1">
        <w:rPr>
          <w:rFonts w:cs="Arial"/>
          <w:iCs/>
        </w:rPr>
        <w:t xml:space="preserve"> WEIM </w:t>
      </w:r>
      <w:r w:rsidRPr="00793130">
        <w:rPr>
          <w:rFonts w:cs="Arial"/>
          <w:iCs/>
        </w:rPr>
        <w:t>Base Schedules, the</w:t>
      </w:r>
      <w:r w:rsidR="005F24C1">
        <w:rPr>
          <w:rFonts w:cs="Arial"/>
          <w:iCs/>
        </w:rPr>
        <w:t xml:space="preserve"> WEIM </w:t>
      </w:r>
      <w:r w:rsidRPr="00793130">
        <w:rPr>
          <w:rFonts w:cs="Arial"/>
          <w:iCs/>
        </w:rPr>
        <w:t>Initial Fee</w:t>
      </w:r>
      <w:r w:rsidR="0092123E">
        <w:rPr>
          <w:rFonts w:cs="Arial"/>
          <w:iCs/>
        </w:rPr>
        <w:t>,</w:t>
      </w:r>
      <w:r w:rsidRPr="00793130">
        <w:rPr>
          <w:rFonts w:cs="Arial"/>
          <w:iCs/>
        </w:rPr>
        <w:t xml:space="preserve"> and</w:t>
      </w:r>
      <w:r w:rsidR="005F24C1">
        <w:rPr>
          <w:rFonts w:cs="Arial"/>
          <w:iCs/>
        </w:rPr>
        <w:t xml:space="preserve"> WEIM </w:t>
      </w:r>
      <w:r w:rsidRPr="00793130">
        <w:rPr>
          <w:rFonts w:cs="Arial"/>
          <w:iCs/>
        </w:rPr>
        <w:t xml:space="preserve">Administrative Charges.  </w:t>
      </w:r>
      <w:r w:rsidR="00DE6ED8">
        <w:rPr>
          <w:rFonts w:cs="Arial"/>
          <w:iCs/>
        </w:rPr>
        <w:t>As</w:t>
      </w:r>
      <w:r w:rsidRPr="00793130">
        <w:rPr>
          <w:rFonts w:cs="Arial"/>
          <w:iCs/>
        </w:rPr>
        <w:t xml:space="preserve"> documented in Section</w:t>
      </w:r>
      <w:r w:rsidR="000D3F1B" w:rsidRPr="00793130">
        <w:rPr>
          <w:rFonts w:cs="Arial"/>
          <w:iCs/>
        </w:rPr>
        <w:t>s</w:t>
      </w:r>
      <w:r w:rsidRPr="00793130">
        <w:rPr>
          <w:rFonts w:cs="Arial"/>
          <w:iCs/>
        </w:rPr>
        <w:t xml:space="preserve"> 29.11, 29.26</w:t>
      </w:r>
      <w:r w:rsidR="000D3F1B" w:rsidRPr="00793130">
        <w:rPr>
          <w:rFonts w:cs="Arial"/>
          <w:iCs/>
        </w:rPr>
        <w:t>,</w:t>
      </w:r>
      <w:r w:rsidRPr="00793130">
        <w:rPr>
          <w:rFonts w:cs="Arial"/>
          <w:iCs/>
        </w:rPr>
        <w:t xml:space="preserve"> and 29.32 of the CAISO Tariff, calculations of some s</w:t>
      </w:r>
      <w:r w:rsidR="000D3F1B" w:rsidRPr="00793130">
        <w:rPr>
          <w:rFonts w:cs="Arial"/>
          <w:iCs/>
        </w:rPr>
        <w:t>ettlement Charge Codes have EIM-</w:t>
      </w:r>
      <w:r w:rsidRPr="00793130">
        <w:rPr>
          <w:rFonts w:cs="Arial"/>
          <w:iCs/>
        </w:rPr>
        <w:t xml:space="preserve">specific implications </w:t>
      </w:r>
      <w:r w:rsidRPr="00D13F01">
        <w:rPr>
          <w:rFonts w:cs="Arial"/>
          <w:iCs/>
        </w:rPr>
        <w:t>referenc</w:t>
      </w:r>
      <w:r w:rsidR="00D13F01" w:rsidRPr="00D13F01">
        <w:rPr>
          <w:rFonts w:cs="Arial"/>
          <w:iCs/>
        </w:rPr>
        <w:t>ing</w:t>
      </w:r>
      <w:r w:rsidRPr="00D13F01">
        <w:rPr>
          <w:rFonts w:cs="Arial"/>
          <w:iCs/>
        </w:rPr>
        <w:t xml:space="preserve"> the submitted</w:t>
      </w:r>
      <w:r w:rsidR="005F24C1">
        <w:rPr>
          <w:rFonts w:cs="Arial"/>
          <w:iCs/>
        </w:rPr>
        <w:t xml:space="preserve"> WEIM </w:t>
      </w:r>
      <w:r w:rsidRPr="00D13F01">
        <w:rPr>
          <w:rFonts w:cs="Arial"/>
          <w:iCs/>
        </w:rPr>
        <w:t xml:space="preserve">Base Schedules or </w:t>
      </w:r>
      <w:r w:rsidR="00CD0B47" w:rsidRPr="00D13F01">
        <w:rPr>
          <w:rFonts w:cs="Arial"/>
          <w:iCs/>
        </w:rPr>
        <w:t>the transfer of</w:t>
      </w:r>
      <w:r w:rsidRPr="00D13F01">
        <w:rPr>
          <w:rFonts w:cs="Arial"/>
          <w:iCs/>
        </w:rPr>
        <w:t xml:space="preserve"> energy </w:t>
      </w:r>
      <w:r w:rsidR="00CD0B47" w:rsidRPr="00D13F01">
        <w:rPr>
          <w:rFonts w:cs="Arial"/>
          <w:iCs/>
        </w:rPr>
        <w:t xml:space="preserve">between </w:t>
      </w:r>
      <w:r w:rsidRPr="00D13F01">
        <w:rPr>
          <w:rFonts w:cs="Arial"/>
          <w:iCs/>
        </w:rPr>
        <w:t>BAA</w:t>
      </w:r>
      <w:r w:rsidR="00CD0B47" w:rsidRPr="00D13F01">
        <w:rPr>
          <w:rFonts w:cs="Arial"/>
          <w:iCs/>
        </w:rPr>
        <w:t>s participating in the EIM</w:t>
      </w:r>
      <w:r w:rsidRPr="00095C4F">
        <w:rPr>
          <w:rFonts w:cs="Arial"/>
          <w:iCs/>
        </w:rPr>
        <w:t>.</w:t>
      </w:r>
      <w:r w:rsidRPr="00793130">
        <w:rPr>
          <w:rFonts w:cs="Arial"/>
          <w:iCs/>
        </w:rPr>
        <w:t xml:space="preserve">  </w:t>
      </w:r>
      <w:r w:rsidR="00DE6ED8">
        <w:rPr>
          <w:rFonts w:cs="Arial"/>
          <w:iCs/>
        </w:rPr>
        <w:t xml:space="preserve">In addition, </w:t>
      </w:r>
      <w:r w:rsidR="00DE6ED8" w:rsidRPr="00DE6ED8">
        <w:rPr>
          <w:rFonts w:cs="Arial"/>
          <w:iCs/>
        </w:rPr>
        <w:t xml:space="preserve">the calculation of the settlement of the </w:t>
      </w:r>
      <w:r w:rsidR="00FC30E3">
        <w:rPr>
          <w:rFonts w:cs="Arial"/>
          <w:iCs/>
        </w:rPr>
        <w:t>Real-Time</w:t>
      </w:r>
      <w:r w:rsidR="00DE6ED8" w:rsidRPr="00DE6ED8">
        <w:rPr>
          <w:rFonts w:cs="Arial"/>
          <w:iCs/>
        </w:rPr>
        <w:t xml:space="preserve"> Congestion Offset will incorporate the respective pieces of the congestion component of the LMP for PNode in each</w:t>
      </w:r>
      <w:r w:rsidR="005F24C1">
        <w:rPr>
          <w:rFonts w:cs="Arial"/>
          <w:iCs/>
        </w:rPr>
        <w:t xml:space="preserve"> WEIM </w:t>
      </w:r>
      <w:r w:rsidR="00DE6ED8" w:rsidRPr="00DE6ED8">
        <w:rPr>
          <w:rFonts w:cs="Arial"/>
          <w:iCs/>
        </w:rPr>
        <w:t xml:space="preserve">BAA as noted in the formulas contained in the Configuration Guide for the </w:t>
      </w:r>
      <w:r w:rsidR="00FC30E3">
        <w:rPr>
          <w:rFonts w:cs="Arial"/>
          <w:iCs/>
        </w:rPr>
        <w:t>Real-Time</w:t>
      </w:r>
      <w:r w:rsidR="00DE6ED8" w:rsidRPr="00DE6ED8">
        <w:rPr>
          <w:rFonts w:cs="Arial"/>
          <w:iCs/>
        </w:rPr>
        <w:t xml:space="preserve"> Price Pre-Calc.</w:t>
      </w:r>
      <w:r w:rsidR="00DE6ED8">
        <w:rPr>
          <w:rFonts w:cs="Arial"/>
          <w:iCs/>
        </w:rPr>
        <w:t xml:space="preserve">  However</w:t>
      </w:r>
      <w:r w:rsidR="001B06BF">
        <w:rPr>
          <w:rFonts w:cs="Arial"/>
          <w:iCs/>
        </w:rPr>
        <w:t xml:space="preserve">, </w:t>
      </w:r>
      <w:r w:rsidR="00D727DA" w:rsidRPr="00D727DA">
        <w:rPr>
          <w:rFonts w:cs="Arial"/>
          <w:iCs/>
        </w:rPr>
        <w:t>CAISO will not calculate and invoice charges related to FERC fees or NERC/WECC fees</w:t>
      </w:r>
      <w:r w:rsidR="00DE6ED8">
        <w:rPr>
          <w:rFonts w:cs="Arial"/>
          <w:iCs/>
        </w:rPr>
        <w:t xml:space="preserve"> for</w:t>
      </w:r>
      <w:r w:rsidR="005F24C1">
        <w:rPr>
          <w:rFonts w:cs="Arial"/>
          <w:iCs/>
        </w:rPr>
        <w:t xml:space="preserve"> WEIM </w:t>
      </w:r>
      <w:r w:rsidR="00DE6ED8">
        <w:rPr>
          <w:rFonts w:cs="Arial"/>
          <w:iCs/>
        </w:rPr>
        <w:t>participants</w:t>
      </w:r>
      <w:r w:rsidR="00D727DA" w:rsidRPr="00D727DA">
        <w:rPr>
          <w:rFonts w:cs="Arial"/>
          <w:iCs/>
        </w:rPr>
        <w:t>.</w:t>
      </w:r>
      <w:r w:rsidR="00D727DA">
        <w:rPr>
          <w:rFonts w:cs="Arial"/>
          <w:iCs/>
        </w:rPr>
        <w:t xml:space="preserve">  </w:t>
      </w:r>
      <w:r w:rsidR="000E7D7E">
        <w:rPr>
          <w:rFonts w:cs="Arial"/>
          <w:iCs/>
        </w:rPr>
        <w:t>In addition, t</w:t>
      </w:r>
      <w:r w:rsidR="000E7D7E" w:rsidRPr="008817D0">
        <w:rPr>
          <w:rFonts w:eastAsia="Calibri"/>
        </w:rPr>
        <w:t xml:space="preserve">here </w:t>
      </w:r>
      <w:r w:rsidR="000E7D7E">
        <w:rPr>
          <w:rFonts w:eastAsia="Calibri"/>
        </w:rPr>
        <w:t xml:space="preserve">will </w:t>
      </w:r>
      <w:r w:rsidR="001B06BF">
        <w:rPr>
          <w:rFonts w:eastAsia="Calibri"/>
        </w:rPr>
        <w:t xml:space="preserve">be no charge between </w:t>
      </w:r>
      <w:r w:rsidR="00365B85">
        <w:rPr>
          <w:rFonts w:eastAsia="Calibri"/>
        </w:rPr>
        <w:t>CA</w:t>
      </w:r>
      <w:r w:rsidR="000E7D7E" w:rsidRPr="008817D0">
        <w:rPr>
          <w:rFonts w:eastAsia="Calibri"/>
        </w:rPr>
        <w:t>ISO and</w:t>
      </w:r>
      <w:r w:rsidR="005F24C1">
        <w:rPr>
          <w:rFonts w:eastAsia="Calibri"/>
        </w:rPr>
        <w:t xml:space="preserve"> WEIM </w:t>
      </w:r>
      <w:r w:rsidR="000E7D7E" w:rsidRPr="008817D0">
        <w:rPr>
          <w:rFonts w:eastAsia="Calibri"/>
        </w:rPr>
        <w:t xml:space="preserve">balancing </w:t>
      </w:r>
      <w:r w:rsidR="000E7D7E" w:rsidRPr="008817D0">
        <w:rPr>
          <w:rFonts w:eastAsia="Calibri"/>
        </w:rPr>
        <w:lastRenderedPageBreak/>
        <w:t xml:space="preserve">authorities for use </w:t>
      </w:r>
      <w:r w:rsidR="00373419">
        <w:rPr>
          <w:rFonts w:eastAsia="Calibri"/>
        </w:rPr>
        <w:t>of transmission to support</w:t>
      </w:r>
      <w:r w:rsidR="005F24C1">
        <w:rPr>
          <w:rFonts w:eastAsia="Calibri"/>
        </w:rPr>
        <w:t xml:space="preserve"> WEIM </w:t>
      </w:r>
      <w:r w:rsidR="00373419">
        <w:rPr>
          <w:rFonts w:eastAsia="Calibri"/>
        </w:rPr>
        <w:t>T</w:t>
      </w:r>
      <w:r w:rsidR="000E7D7E" w:rsidRPr="008817D0">
        <w:rPr>
          <w:rFonts w:eastAsia="Calibri"/>
        </w:rPr>
        <w:t>ransfers for the first year of</w:t>
      </w:r>
      <w:r w:rsidR="005F24C1">
        <w:rPr>
          <w:rFonts w:eastAsia="Calibri"/>
        </w:rPr>
        <w:t xml:space="preserve"> WEIM </w:t>
      </w:r>
      <w:r w:rsidR="000E7D7E" w:rsidRPr="008817D0">
        <w:rPr>
          <w:rFonts w:eastAsia="Calibri"/>
        </w:rPr>
        <w:t>operation</w:t>
      </w:r>
      <w:r w:rsidR="000E7D7E">
        <w:rPr>
          <w:rFonts w:eastAsia="Calibri"/>
        </w:rPr>
        <w:t xml:space="preserve">. </w:t>
      </w:r>
      <w:r w:rsidR="000E7D7E" w:rsidRPr="008817D0">
        <w:rPr>
          <w:rFonts w:eastAsia="Calibri"/>
        </w:rPr>
        <w:t xml:space="preserve"> During this time, as stakeholders gain operational experience and additional balancing authoritie</w:t>
      </w:r>
      <w:r w:rsidR="001B06BF">
        <w:rPr>
          <w:rFonts w:eastAsia="Calibri"/>
        </w:rPr>
        <w:t xml:space="preserve">s consider joining the EIM, </w:t>
      </w:r>
      <w:r w:rsidR="00365B85">
        <w:rPr>
          <w:rFonts w:eastAsia="Calibri"/>
        </w:rPr>
        <w:t>CA</w:t>
      </w:r>
      <w:r w:rsidR="000E7D7E" w:rsidRPr="008817D0">
        <w:rPr>
          <w:rFonts w:eastAsia="Calibri"/>
        </w:rPr>
        <w:t>ISO will coordinate with stakeholders to consider various alternatives for a long</w:t>
      </w:r>
      <w:r w:rsidR="000E7D7E">
        <w:rPr>
          <w:rFonts w:eastAsia="Calibri"/>
        </w:rPr>
        <w:t xml:space="preserve">-term transmission rate design.   </w:t>
      </w:r>
    </w:p>
    <w:p w14:paraId="41AB0167" w14:textId="77777777" w:rsidR="00172436" w:rsidRPr="00793130" w:rsidRDefault="00172436" w:rsidP="00C33762">
      <w:pPr>
        <w:pStyle w:val="Heading2"/>
      </w:pPr>
      <w:bookmarkStart w:id="2264" w:name="_Toc391969872"/>
      <w:bookmarkStart w:id="2265" w:name="_Toc229054528"/>
      <w:r>
        <w:t>Disagreements</w:t>
      </w:r>
      <w:bookmarkEnd w:id="2264"/>
      <w:bookmarkEnd w:id="2265"/>
    </w:p>
    <w:p w14:paraId="58619CD1" w14:textId="68F91EE9" w:rsidR="0084443E" w:rsidRDefault="0084443E" w:rsidP="006F6DD6">
      <w:pPr>
        <w:spacing w:after="240" w:line="300" w:lineRule="auto"/>
        <w:rPr>
          <w:rFonts w:cs="Arial"/>
          <w:iCs/>
        </w:rPr>
      </w:pPr>
      <w:r w:rsidRPr="00793130">
        <w:rPr>
          <w:rFonts w:cs="Arial"/>
          <w:iCs/>
        </w:rPr>
        <w:t>Any disagreements wi</w:t>
      </w:r>
      <w:r w:rsidR="001B06BF">
        <w:rPr>
          <w:rFonts w:cs="Arial"/>
          <w:iCs/>
        </w:rPr>
        <w:t xml:space="preserve">th the published results of </w:t>
      </w:r>
      <w:r w:rsidRPr="00793130">
        <w:rPr>
          <w:rFonts w:cs="Arial"/>
          <w:iCs/>
        </w:rPr>
        <w:t>CAISO’s settlement process for the</w:t>
      </w:r>
      <w:r w:rsidR="005F24C1">
        <w:rPr>
          <w:rFonts w:cs="Arial"/>
          <w:iCs/>
        </w:rPr>
        <w:t xml:space="preserve"> WEIM </w:t>
      </w:r>
      <w:r w:rsidRPr="00793130">
        <w:rPr>
          <w:rFonts w:cs="Arial"/>
          <w:iCs/>
        </w:rPr>
        <w:t>must be submitted</w:t>
      </w:r>
      <w:r w:rsidR="00563036">
        <w:rPr>
          <w:rFonts w:cs="Arial"/>
          <w:iCs/>
        </w:rPr>
        <w:t xml:space="preserve"> </w:t>
      </w:r>
      <w:r w:rsidR="001B06BF">
        <w:rPr>
          <w:rFonts w:cs="Arial"/>
          <w:iCs/>
        </w:rPr>
        <w:t xml:space="preserve">to </w:t>
      </w:r>
      <w:r w:rsidR="00074C0D">
        <w:rPr>
          <w:rFonts w:cs="Arial"/>
          <w:iCs/>
        </w:rPr>
        <w:t xml:space="preserve">CAISO </w:t>
      </w:r>
      <w:r w:rsidR="00563036">
        <w:rPr>
          <w:rFonts w:cs="Arial"/>
          <w:iCs/>
        </w:rPr>
        <w:t xml:space="preserve">by the Scheduling Coordinator </w:t>
      </w:r>
      <w:r w:rsidR="001B06BF">
        <w:rPr>
          <w:rFonts w:cs="Arial"/>
          <w:iCs/>
        </w:rPr>
        <w:t xml:space="preserve">with which </w:t>
      </w:r>
      <w:r w:rsidRPr="00793130">
        <w:rPr>
          <w:rFonts w:cs="Arial"/>
          <w:iCs/>
        </w:rPr>
        <w:t xml:space="preserve">CAISO settled and are governed by the </w:t>
      </w:r>
      <w:r w:rsidR="00D13F01">
        <w:rPr>
          <w:rFonts w:cs="Arial"/>
          <w:iCs/>
        </w:rPr>
        <w:t xml:space="preserve">dispute </w:t>
      </w:r>
      <w:r w:rsidRPr="00793130">
        <w:rPr>
          <w:rFonts w:cs="Arial"/>
          <w:iCs/>
        </w:rPr>
        <w:t xml:space="preserve">process outlined in Section 2.3.5 and Section 5 of the </w:t>
      </w:r>
      <w:hyperlink r:id="rId96" w:history="1">
        <w:r w:rsidR="00D13F01" w:rsidRPr="003E0BEF">
          <w:rPr>
            <w:rStyle w:val="Hyperlink"/>
            <w:rFonts w:cs="Arial"/>
            <w:b/>
            <w:iCs/>
          </w:rPr>
          <w:t xml:space="preserve">BPM for Settlements </w:t>
        </w:r>
        <w:r w:rsidR="00D13F01">
          <w:rPr>
            <w:rStyle w:val="Hyperlink"/>
            <w:rFonts w:cs="Arial"/>
            <w:b/>
            <w:iCs/>
          </w:rPr>
          <w:t>and</w:t>
        </w:r>
        <w:r w:rsidR="00D13F01" w:rsidRPr="003E0BEF">
          <w:rPr>
            <w:rStyle w:val="Hyperlink"/>
            <w:rFonts w:cs="Arial"/>
            <w:b/>
            <w:iCs/>
          </w:rPr>
          <w:t xml:space="preserve"> Billing</w:t>
        </w:r>
      </w:hyperlink>
      <w:r w:rsidRPr="00793130">
        <w:rPr>
          <w:rFonts w:cs="Arial"/>
          <w:iCs/>
        </w:rPr>
        <w:t xml:space="preserve">.  Disputes by a non-participating resource of amounts calculated by CAISO </w:t>
      </w:r>
      <w:r w:rsidR="00D13F01">
        <w:rPr>
          <w:rFonts w:cs="Arial"/>
          <w:iCs/>
        </w:rPr>
        <w:t xml:space="preserve">and distributed to it by </w:t>
      </w:r>
      <w:r w:rsidR="00153940">
        <w:rPr>
          <w:rFonts w:cs="Arial"/>
          <w:iCs/>
        </w:rPr>
        <w:t>a WEIM</w:t>
      </w:r>
      <w:r w:rsidR="005F24C1">
        <w:rPr>
          <w:rFonts w:cs="Arial"/>
          <w:iCs/>
        </w:rPr>
        <w:t xml:space="preserve"> </w:t>
      </w:r>
      <w:r w:rsidR="00D13F01">
        <w:rPr>
          <w:rFonts w:cs="Arial"/>
          <w:iCs/>
        </w:rPr>
        <w:t xml:space="preserve">Entity Scheduling Coordinator </w:t>
      </w:r>
      <w:r w:rsidRPr="00793130">
        <w:rPr>
          <w:rFonts w:cs="Arial"/>
          <w:iCs/>
        </w:rPr>
        <w:t>are between the non-participating resource and the</w:t>
      </w:r>
      <w:r w:rsidR="005F24C1">
        <w:rPr>
          <w:rFonts w:cs="Arial"/>
          <w:iCs/>
        </w:rPr>
        <w:t xml:space="preserve"> WEIM </w:t>
      </w:r>
      <w:r w:rsidRPr="00793130">
        <w:rPr>
          <w:rFonts w:cs="Arial"/>
          <w:iCs/>
        </w:rPr>
        <w:t>En</w:t>
      </w:r>
      <w:r w:rsidR="004D5D76">
        <w:rPr>
          <w:rFonts w:cs="Arial"/>
          <w:iCs/>
        </w:rPr>
        <w:t xml:space="preserve">tity Scheduling Coordinator, </w:t>
      </w:r>
      <w:r w:rsidR="001B06BF">
        <w:rPr>
          <w:rFonts w:cs="Arial"/>
          <w:iCs/>
        </w:rPr>
        <w:t xml:space="preserve">not with </w:t>
      </w:r>
      <w:r w:rsidRPr="00793130">
        <w:rPr>
          <w:rFonts w:cs="Arial"/>
          <w:iCs/>
        </w:rPr>
        <w:t xml:space="preserve">CAISO.  If </w:t>
      </w:r>
      <w:r w:rsidR="00153940">
        <w:rPr>
          <w:rFonts w:cs="Arial"/>
          <w:iCs/>
        </w:rPr>
        <w:t>a WEIM</w:t>
      </w:r>
      <w:r w:rsidR="005F24C1">
        <w:rPr>
          <w:rFonts w:cs="Arial"/>
          <w:iCs/>
        </w:rPr>
        <w:t xml:space="preserve"> </w:t>
      </w:r>
      <w:r w:rsidRPr="00793130">
        <w:rPr>
          <w:rFonts w:cs="Arial"/>
          <w:iCs/>
        </w:rPr>
        <w:t>Entity Scheduling Coordinator disagrees with the amounts calculated by</w:t>
      </w:r>
      <w:r w:rsidR="001B06BF">
        <w:rPr>
          <w:rFonts w:cs="Arial"/>
          <w:iCs/>
        </w:rPr>
        <w:t xml:space="preserve"> </w:t>
      </w:r>
      <w:r w:rsidRPr="00793130">
        <w:rPr>
          <w:rFonts w:cs="Arial"/>
          <w:iCs/>
        </w:rPr>
        <w:t>CAISO for</w:t>
      </w:r>
      <w:r w:rsidR="005F24C1">
        <w:rPr>
          <w:rFonts w:cs="Arial"/>
          <w:iCs/>
        </w:rPr>
        <w:t xml:space="preserve"> WEIM </w:t>
      </w:r>
      <w:r w:rsidRPr="00793130">
        <w:rPr>
          <w:rFonts w:cs="Arial"/>
          <w:iCs/>
        </w:rPr>
        <w:t>non-participating resources, the</w:t>
      </w:r>
      <w:r w:rsidR="005F24C1">
        <w:rPr>
          <w:rFonts w:cs="Arial"/>
          <w:iCs/>
        </w:rPr>
        <w:t xml:space="preserve"> WEIM </w:t>
      </w:r>
      <w:r w:rsidRPr="00793130">
        <w:rPr>
          <w:rFonts w:cs="Arial"/>
          <w:iCs/>
        </w:rPr>
        <w:t xml:space="preserve">Entity Scheduling Coordinator is responsible for submitting a </w:t>
      </w:r>
      <w:r w:rsidR="00D13F01">
        <w:rPr>
          <w:rFonts w:cs="Arial"/>
          <w:iCs/>
        </w:rPr>
        <w:t xml:space="preserve">settlement </w:t>
      </w:r>
      <w:r w:rsidRPr="00793130">
        <w:rPr>
          <w:rFonts w:cs="Arial"/>
          <w:iCs/>
        </w:rPr>
        <w:t xml:space="preserve">dispute through the process outlined in Section 2.3.5 and Section 5 of the </w:t>
      </w:r>
      <w:hyperlink r:id="rId97" w:history="1">
        <w:r w:rsidR="00D13F01" w:rsidRPr="003E0BEF">
          <w:rPr>
            <w:rStyle w:val="Hyperlink"/>
            <w:rFonts w:cs="Arial"/>
            <w:b/>
            <w:iCs/>
          </w:rPr>
          <w:t xml:space="preserve">BPM for Settlements </w:t>
        </w:r>
        <w:r w:rsidR="00D13F01">
          <w:rPr>
            <w:rStyle w:val="Hyperlink"/>
            <w:rFonts w:cs="Arial"/>
            <w:b/>
            <w:iCs/>
          </w:rPr>
          <w:t>and</w:t>
        </w:r>
        <w:r w:rsidR="00D13F01" w:rsidRPr="003E0BEF">
          <w:rPr>
            <w:rStyle w:val="Hyperlink"/>
            <w:rFonts w:cs="Arial"/>
            <w:b/>
            <w:iCs/>
          </w:rPr>
          <w:t xml:space="preserve"> Billing</w:t>
        </w:r>
      </w:hyperlink>
      <w:r w:rsidRPr="00793130">
        <w:rPr>
          <w:rFonts w:cs="Arial"/>
          <w:iCs/>
        </w:rPr>
        <w:t>.</w:t>
      </w:r>
      <w:r w:rsidR="00042C07">
        <w:rPr>
          <w:rFonts w:cs="Arial"/>
          <w:iCs/>
        </w:rPr>
        <w:t xml:space="preserve">  </w:t>
      </w:r>
    </w:p>
    <w:p w14:paraId="33C9D3F2" w14:textId="77777777" w:rsidR="00172436" w:rsidRDefault="00172436" w:rsidP="00C33762">
      <w:pPr>
        <w:pStyle w:val="Heading2"/>
      </w:pPr>
      <w:bookmarkStart w:id="2266" w:name="_Toc391969873"/>
      <w:bookmarkStart w:id="2267" w:name="_Toc229054529"/>
      <w:r>
        <w:t>Suspension</w:t>
      </w:r>
      <w:bookmarkEnd w:id="2266"/>
      <w:bookmarkEnd w:id="2267"/>
    </w:p>
    <w:p w14:paraId="60D4B278" w14:textId="4D80AF80" w:rsidR="00842CCC" w:rsidRDefault="00842CCC" w:rsidP="00842CCC">
      <w:pPr>
        <w:spacing w:after="240" w:line="300" w:lineRule="auto"/>
        <w:rPr>
          <w:iCs/>
        </w:rPr>
      </w:pPr>
      <w:r>
        <w:rPr>
          <w:iCs/>
        </w:rPr>
        <w:t>In the case where there is a suspension of</w:t>
      </w:r>
      <w:r w:rsidR="005F24C1">
        <w:rPr>
          <w:iCs/>
        </w:rPr>
        <w:t xml:space="preserve"> WEIM </w:t>
      </w:r>
      <w:r>
        <w:rPr>
          <w:iCs/>
        </w:rPr>
        <w:t xml:space="preserve">participation by </w:t>
      </w:r>
      <w:r w:rsidR="00153940">
        <w:rPr>
          <w:iCs/>
        </w:rPr>
        <w:t>a WEIM</w:t>
      </w:r>
      <w:r w:rsidR="005F24C1">
        <w:rPr>
          <w:iCs/>
        </w:rPr>
        <w:t xml:space="preserve"> </w:t>
      </w:r>
      <w:r>
        <w:rPr>
          <w:iCs/>
        </w:rPr>
        <w:t>Entity</w:t>
      </w:r>
      <w:r w:rsidR="007970DF">
        <w:rPr>
          <w:iCs/>
        </w:rPr>
        <w:t>, as described in S</w:t>
      </w:r>
      <w:r w:rsidR="00156CA6">
        <w:rPr>
          <w:iCs/>
        </w:rPr>
        <w:t>ection 10.</w:t>
      </w:r>
      <w:r w:rsidR="00C30887">
        <w:rPr>
          <w:iCs/>
        </w:rPr>
        <w:t>5</w:t>
      </w:r>
      <w:r w:rsidR="00156CA6">
        <w:rPr>
          <w:iCs/>
        </w:rPr>
        <w:t>.1 of this BPM</w:t>
      </w:r>
      <w:r>
        <w:rPr>
          <w:iCs/>
        </w:rPr>
        <w:t>, a Mark</w:t>
      </w:r>
      <w:r w:rsidR="001B06BF">
        <w:rPr>
          <w:iCs/>
        </w:rPr>
        <w:t xml:space="preserve">et Notice will be issued by </w:t>
      </w:r>
      <w:r>
        <w:rPr>
          <w:iCs/>
        </w:rPr>
        <w:t>CAISO to alert all market participants.  The</w:t>
      </w:r>
      <w:r w:rsidR="005F24C1">
        <w:rPr>
          <w:iCs/>
        </w:rPr>
        <w:t xml:space="preserve"> WEIM </w:t>
      </w:r>
      <w:r>
        <w:rPr>
          <w:iCs/>
        </w:rPr>
        <w:t>Entity wi</w:t>
      </w:r>
      <w:r w:rsidR="000B6D3C">
        <w:rPr>
          <w:iCs/>
        </w:rPr>
        <w:t>ll still be required to submit Base S</w:t>
      </w:r>
      <w:r>
        <w:rPr>
          <w:iCs/>
        </w:rPr>
        <w:t>chedules during the period of the suspension along with meter d</w:t>
      </w:r>
      <w:r w:rsidR="001B06BF">
        <w:rPr>
          <w:iCs/>
        </w:rPr>
        <w:t xml:space="preserve">ata matching those values.  </w:t>
      </w:r>
      <w:r>
        <w:rPr>
          <w:iCs/>
        </w:rPr>
        <w:t>CAISO will manually suspend the calculation of U</w:t>
      </w:r>
      <w:r w:rsidR="000E7D7E">
        <w:rPr>
          <w:iCs/>
        </w:rPr>
        <w:t xml:space="preserve">naccounted </w:t>
      </w:r>
      <w:r>
        <w:rPr>
          <w:iCs/>
        </w:rPr>
        <w:t>F</w:t>
      </w:r>
      <w:r w:rsidR="000E7D7E">
        <w:rPr>
          <w:iCs/>
        </w:rPr>
        <w:t xml:space="preserve">or </w:t>
      </w:r>
      <w:r>
        <w:rPr>
          <w:iCs/>
        </w:rPr>
        <w:t>E</w:t>
      </w:r>
      <w:r w:rsidR="000E7D7E">
        <w:rPr>
          <w:iCs/>
        </w:rPr>
        <w:t>nergy (UFE)</w:t>
      </w:r>
      <w:r>
        <w:rPr>
          <w:iCs/>
        </w:rPr>
        <w:t xml:space="preserve"> for the</w:t>
      </w:r>
      <w:r w:rsidR="005F24C1">
        <w:rPr>
          <w:iCs/>
        </w:rPr>
        <w:t xml:space="preserve"> WEIM </w:t>
      </w:r>
      <w:r>
        <w:rPr>
          <w:iCs/>
        </w:rPr>
        <w:t>Entity BAA, but will continue to generate and publish settl</w:t>
      </w:r>
      <w:r w:rsidR="000B6D3C">
        <w:rPr>
          <w:iCs/>
        </w:rPr>
        <w:t>ement statements utilizing the Base S</w:t>
      </w:r>
      <w:r>
        <w:rPr>
          <w:iCs/>
        </w:rPr>
        <w:t>chedule and meter data informati</w:t>
      </w:r>
      <w:r w:rsidR="004A54C4">
        <w:rPr>
          <w:iCs/>
        </w:rPr>
        <w:t>on submitted by the</w:t>
      </w:r>
      <w:r w:rsidR="005F24C1">
        <w:rPr>
          <w:iCs/>
        </w:rPr>
        <w:t xml:space="preserve"> WEIM </w:t>
      </w:r>
      <w:r w:rsidR="004A54C4">
        <w:rPr>
          <w:iCs/>
        </w:rPr>
        <w:t>Entity.</w:t>
      </w:r>
    </w:p>
    <w:p w14:paraId="3192C7FD" w14:textId="2BCDDC1F" w:rsidR="008A06D9" w:rsidRDefault="008A06D9" w:rsidP="008A06D9">
      <w:pPr>
        <w:pStyle w:val="Heading2"/>
      </w:pPr>
      <w:bookmarkStart w:id="2268" w:name="_Toc229054530"/>
      <w:r w:rsidRPr="008A06D9">
        <w:t>Real-Time Unaccounted For Energy (UFE) Election Process</w:t>
      </w:r>
      <w:bookmarkEnd w:id="2268"/>
    </w:p>
    <w:p w14:paraId="60C05850" w14:textId="7B2F7857" w:rsidR="008A06D9" w:rsidRPr="008A06D9" w:rsidRDefault="008A06D9" w:rsidP="008A06D9">
      <w:pPr>
        <w:rPr>
          <w:rFonts w:eastAsiaTheme="majorEastAsia"/>
          <w:color w:val="000000" w:themeColor="text1"/>
          <w:kern w:val="24"/>
        </w:rPr>
      </w:pPr>
      <w:r w:rsidRPr="008A06D9">
        <w:rPr>
          <w:rFonts w:eastAsiaTheme="majorEastAsia"/>
          <w:color w:val="000000" w:themeColor="text1"/>
          <w:kern w:val="24"/>
        </w:rPr>
        <w:t>Following are the steps for the</w:t>
      </w:r>
      <w:r w:rsidR="005F24C1">
        <w:rPr>
          <w:rFonts w:eastAsiaTheme="majorEastAsia"/>
          <w:color w:val="000000" w:themeColor="text1"/>
          <w:kern w:val="24"/>
        </w:rPr>
        <w:t xml:space="preserve"> WEIM </w:t>
      </w:r>
      <w:r w:rsidRPr="008A06D9">
        <w:rPr>
          <w:rFonts w:eastAsiaTheme="majorEastAsia"/>
          <w:color w:val="000000" w:themeColor="text1"/>
          <w:kern w:val="24"/>
        </w:rPr>
        <w:t>BAA to elect the settlement of the UFE;</w:t>
      </w:r>
    </w:p>
    <w:p w14:paraId="6CEB136E" w14:textId="4E85DF53" w:rsidR="003B1E6A" w:rsidRDefault="003B1E6A" w:rsidP="003B1E6A">
      <w:pPr>
        <w:pStyle w:val="Heading4"/>
      </w:pPr>
      <w:r w:rsidRPr="006A75F8">
        <w:rPr>
          <w:rFonts w:cs="Arial"/>
          <w:noProof/>
        </w:rPr>
        <mc:AlternateContent>
          <mc:Choice Requires="wps">
            <w:drawing>
              <wp:anchor distT="0" distB="0" distL="114300" distR="114300" simplePos="0" relativeHeight="251662342" behindDoc="0" locked="0" layoutInCell="1" allowOverlap="1" wp14:anchorId="39FA4FDD" wp14:editId="3588CAAC">
                <wp:simplePos x="0" y="0"/>
                <wp:positionH relativeFrom="margin">
                  <wp:align>left</wp:align>
                </wp:positionH>
                <wp:positionV relativeFrom="paragraph">
                  <wp:posOffset>3810</wp:posOffset>
                </wp:positionV>
                <wp:extent cx="6124575" cy="827405"/>
                <wp:effectExtent l="0" t="0" r="28575" b="152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27405"/>
                        </a:xfrm>
                        <a:prstGeom prst="rect">
                          <a:avLst/>
                        </a:prstGeom>
                        <a:solidFill>
                          <a:srgbClr val="FFFFFF"/>
                        </a:solidFill>
                        <a:ln w="22225">
                          <a:solidFill>
                            <a:srgbClr val="0033CC"/>
                          </a:solidFill>
                          <a:miter lim="800000"/>
                          <a:headEnd/>
                          <a:tailEnd/>
                        </a:ln>
                      </wps:spPr>
                      <wps:txbx>
                        <w:txbxContent>
                          <w:p w14:paraId="52D6964B" w14:textId="77777777" w:rsidR="002A2768" w:rsidRPr="00AF0A22" w:rsidRDefault="002A2768" w:rsidP="00E854DA">
                            <w:pPr>
                              <w:rPr>
                                <w:b/>
                                <w:color w:val="FF0000"/>
                              </w:rPr>
                            </w:pPr>
                            <w:r w:rsidRPr="00AF0A22">
                              <w:rPr>
                                <w:b/>
                                <w:color w:val="FF0000"/>
                              </w:rPr>
                              <w:t>WEIM UFE Election Letter Process</w:t>
                            </w:r>
                          </w:p>
                          <w:p w14:paraId="0D50A041" w14:textId="77777777" w:rsidR="002A2768" w:rsidRPr="00906772"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906772">
                              <w:rPr>
                                <w:rFonts w:ascii="Arial" w:hAnsi="Arial" w:cs="Arial"/>
                                <w:sz w:val="18"/>
                                <w:szCs w:val="18"/>
                              </w:rPr>
                              <w:t>Entity submits an Inquiry Ticket in CIDI and attaches the completed Annual UFE election letter described below. The annual elections span from Trade Dates January 1</w:t>
                            </w:r>
                            <w:r w:rsidRPr="00906772">
                              <w:rPr>
                                <w:rFonts w:ascii="Arial" w:hAnsi="Arial" w:cs="Arial"/>
                                <w:sz w:val="18"/>
                                <w:szCs w:val="18"/>
                                <w:vertAlign w:val="superscript"/>
                              </w:rPr>
                              <w:t>st</w:t>
                            </w:r>
                            <w:r w:rsidRPr="00906772">
                              <w:rPr>
                                <w:rFonts w:ascii="Arial" w:hAnsi="Arial" w:cs="Arial"/>
                                <w:sz w:val="18"/>
                                <w:szCs w:val="18"/>
                              </w:rPr>
                              <w:t xml:space="preserve"> through Dec 31</w:t>
                            </w:r>
                            <w:r w:rsidRPr="00906772">
                              <w:rPr>
                                <w:rFonts w:ascii="Arial" w:hAnsi="Arial" w:cs="Arial"/>
                                <w:sz w:val="18"/>
                                <w:szCs w:val="18"/>
                                <w:vertAlign w:val="superscript"/>
                              </w:rPr>
                              <w:t>st</w:t>
                            </w:r>
                            <w:r w:rsidRPr="00906772">
                              <w:rPr>
                                <w:rFonts w:ascii="Arial" w:hAnsi="Arial" w:cs="Arial"/>
                                <w:sz w:val="18"/>
                                <w:szCs w:val="18"/>
                              </w:rPr>
                              <w:t>. Each WEIM Entity shall provide their annual UFE election letter by October 31 for the following calendar year.</w:t>
                            </w:r>
                          </w:p>
                          <w:p w14:paraId="69208B64" w14:textId="77777777" w:rsidR="002A2768" w:rsidRPr="00181669"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181669">
                              <w:rPr>
                                <w:rFonts w:ascii="Arial" w:hAnsi="Arial" w:cs="Arial"/>
                                <w:sz w:val="18"/>
                                <w:szCs w:val="18"/>
                              </w:rPr>
                              <w:t>To submit documentation, please review</w:t>
                            </w:r>
                            <w:r w:rsidRPr="00181669">
                              <w:rPr>
                                <w:rFonts w:ascii="Arial" w:hAnsi="Arial" w:cs="Arial"/>
                                <w:color w:val="0000FF"/>
                                <w:sz w:val="18"/>
                                <w:szCs w:val="18"/>
                              </w:rPr>
                              <w:t xml:space="preserve"> </w:t>
                            </w:r>
                            <w:hyperlink r:id="rId98" w:history="1">
                              <w:r w:rsidRPr="00181669">
                                <w:rPr>
                                  <w:rStyle w:val="Hyperlink"/>
                                  <w:rFonts w:ascii="Arial" w:hAnsi="Arial" w:cs="Arial"/>
                                  <w:sz w:val="18"/>
                                  <w:szCs w:val="18"/>
                                </w:rPr>
                                <w:t>http://www.caiso.com/Documents/How-to-Submit-Documentation-for-Applications-and-Ongoing-Obligations.pdf</w:t>
                              </w:r>
                            </w:hyperlink>
                            <w:r w:rsidRPr="00181669">
                              <w:rPr>
                                <w:rFonts w:ascii="Arial" w:hAnsi="Arial" w:cs="Arial"/>
                                <w:color w:val="0000FF"/>
                                <w:sz w:val="18"/>
                                <w:szCs w:val="18"/>
                              </w:rPr>
                              <w:t xml:space="preserve"> </w:t>
                            </w:r>
                            <w:r w:rsidRPr="00181669">
                              <w:rPr>
                                <w:rFonts w:ascii="Arial" w:hAnsi="Arial" w:cs="Arial"/>
                                <w:sz w:val="18"/>
                                <w:szCs w:val="18"/>
                              </w:rPr>
                              <w:t>for proper steps</w:t>
                            </w:r>
                          </w:p>
                          <w:p w14:paraId="20907ADC" w14:textId="77777777" w:rsidR="002A2768" w:rsidRPr="00AF0A22" w:rsidRDefault="002A2768" w:rsidP="00AF0A22">
                            <w:pPr>
                              <w:ind w:left="720"/>
                              <w:rPr>
                                <w:rFonts w:ascii="Arial" w:hAnsi="Arial" w:cs="Arial"/>
                                <w:sz w:val="18"/>
                                <w:szCs w:val="18"/>
                              </w:rPr>
                            </w:pPr>
                            <w:r w:rsidRPr="00AF0A22">
                              <w:rPr>
                                <w:rFonts w:ascii="Arial" w:hAnsi="Arial" w:cs="Arial"/>
                                <w:sz w:val="18"/>
                                <w:szCs w:val="18"/>
                              </w:rPr>
                              <w:t>Letter templates must be printed on applicable company letterhead, signed, scan as a pdf.</w:t>
                            </w:r>
                          </w:p>
                          <w:p w14:paraId="61C6033E" w14:textId="77777777" w:rsidR="002A2768" w:rsidRPr="00AF0A22" w:rsidRDefault="002A2768" w:rsidP="00AF0A22">
                            <w:pPr>
                              <w:ind w:left="720"/>
                              <w:rPr>
                                <w:rFonts w:ascii="Arial" w:hAnsi="Arial" w:cs="Arial"/>
                                <w:color w:val="FF0000"/>
                                <w:sz w:val="18"/>
                                <w:szCs w:val="18"/>
                              </w:rPr>
                            </w:pPr>
                            <w:r w:rsidRPr="00AF0A22">
                              <w:rPr>
                                <w:rFonts w:ascii="Arial" w:hAnsi="Arial" w:cs="Arial"/>
                                <w:color w:val="FF0000"/>
                                <w:sz w:val="18"/>
                                <w:szCs w:val="18"/>
                              </w:rPr>
                              <w:t>Remove this text box when copying to resource owner letterhead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FA4FDD" id="Text Box 86" o:spid="_x0000_s1055" type="#_x0000_t202" style="position:absolute;left:0;text-align:left;margin-left:0;margin-top:.3pt;width:482.25pt;height:65.15pt;z-index:2516623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" strokecolor="#03c" strokeweight="1.75pt">
                <v:textbox style="mso-fit-shape-to-text:t">
                  <w:txbxContent>
                    <w:p w14:paraId="52D6964B" w14:textId="77777777" w:rsidR="002A2768" w:rsidRPr="00AF0A22" w:rsidRDefault="002A2768" w:rsidP="00E854DA">
                      <w:pPr>
                        <w:rPr>
                          <w:b/>
                          <w:color w:val="FF0000"/>
                        </w:rPr>
                      </w:pPr>
                      <w:r w:rsidRPr="00AF0A22">
                        <w:rPr>
                          <w:b/>
                          <w:color w:val="FF0000"/>
                        </w:rPr>
                        <w:t>WEIM UFE Election Letter Process</w:t>
                      </w:r>
                    </w:p>
                    <w:p w14:paraId="0D50A041" w14:textId="77777777" w:rsidR="002A2768" w:rsidRPr="00906772"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906772">
                        <w:rPr>
                          <w:rFonts w:ascii="Arial" w:hAnsi="Arial" w:cs="Arial"/>
                          <w:sz w:val="18"/>
                          <w:szCs w:val="18"/>
                        </w:rPr>
                        <w:t>Entity submits an Inquiry Ticket in CIDI and attaches the completed Annual UFE election letter described below. The annual elections span from Trade Dates January 1</w:t>
                      </w:r>
                      <w:r w:rsidRPr="00906772">
                        <w:rPr>
                          <w:rFonts w:ascii="Arial" w:hAnsi="Arial" w:cs="Arial"/>
                          <w:sz w:val="18"/>
                          <w:szCs w:val="18"/>
                          <w:vertAlign w:val="superscript"/>
                        </w:rPr>
                        <w:t>st</w:t>
                      </w:r>
                      <w:r w:rsidRPr="00906772">
                        <w:rPr>
                          <w:rFonts w:ascii="Arial" w:hAnsi="Arial" w:cs="Arial"/>
                          <w:sz w:val="18"/>
                          <w:szCs w:val="18"/>
                        </w:rPr>
                        <w:t xml:space="preserve"> through Dec 31</w:t>
                      </w:r>
                      <w:r w:rsidRPr="00906772">
                        <w:rPr>
                          <w:rFonts w:ascii="Arial" w:hAnsi="Arial" w:cs="Arial"/>
                          <w:sz w:val="18"/>
                          <w:szCs w:val="18"/>
                          <w:vertAlign w:val="superscript"/>
                        </w:rPr>
                        <w:t>st</w:t>
                      </w:r>
                      <w:r w:rsidRPr="00906772">
                        <w:rPr>
                          <w:rFonts w:ascii="Arial" w:hAnsi="Arial" w:cs="Arial"/>
                          <w:sz w:val="18"/>
                          <w:szCs w:val="18"/>
                        </w:rPr>
                        <w:t>. Each WEIM Entity shall provide their annual UFE election letter by October 31 for the following calendar year.</w:t>
                      </w:r>
                    </w:p>
                    <w:p w14:paraId="69208B64" w14:textId="77777777" w:rsidR="002A2768" w:rsidRPr="00181669" w:rsidRDefault="002A2768" w:rsidP="003B1E6A">
                      <w:pPr>
                        <w:pStyle w:val="Header"/>
                        <w:numPr>
                          <w:ilvl w:val="0"/>
                          <w:numId w:val="109"/>
                        </w:numPr>
                        <w:tabs>
                          <w:tab w:val="clear" w:pos="4320"/>
                          <w:tab w:val="clear" w:pos="8640"/>
                        </w:tabs>
                        <w:spacing w:after="0" w:line="240" w:lineRule="auto"/>
                        <w:rPr>
                          <w:rFonts w:ascii="Arial" w:hAnsi="Arial" w:cs="Arial"/>
                          <w:sz w:val="18"/>
                          <w:szCs w:val="18"/>
                        </w:rPr>
                      </w:pPr>
                      <w:r w:rsidRPr="00181669">
                        <w:rPr>
                          <w:rFonts w:ascii="Arial" w:hAnsi="Arial" w:cs="Arial"/>
                          <w:sz w:val="18"/>
                          <w:szCs w:val="18"/>
                        </w:rPr>
                        <w:t>To submit documentation, please review</w:t>
                      </w:r>
                      <w:r w:rsidRPr="00181669">
                        <w:rPr>
                          <w:rFonts w:ascii="Arial" w:hAnsi="Arial" w:cs="Arial"/>
                          <w:color w:val="0000FF"/>
                          <w:sz w:val="18"/>
                          <w:szCs w:val="18"/>
                        </w:rPr>
                        <w:t xml:space="preserve"> </w:t>
                      </w:r>
                      <w:hyperlink r:id="rId99" w:history="1">
                        <w:r w:rsidRPr="00181669">
                          <w:rPr>
                            <w:rStyle w:val="Hyperlink"/>
                            <w:rFonts w:ascii="Arial" w:hAnsi="Arial" w:cs="Arial"/>
                            <w:sz w:val="18"/>
                            <w:szCs w:val="18"/>
                          </w:rPr>
                          <w:t>http://www.caiso.com/Documents/How-to-Submit-Documentation-for-Applications-and-Ongoing-Obligations.pdf</w:t>
                        </w:r>
                      </w:hyperlink>
                      <w:r w:rsidRPr="00181669">
                        <w:rPr>
                          <w:rFonts w:ascii="Arial" w:hAnsi="Arial" w:cs="Arial"/>
                          <w:color w:val="0000FF"/>
                          <w:sz w:val="18"/>
                          <w:szCs w:val="18"/>
                        </w:rPr>
                        <w:t xml:space="preserve"> </w:t>
                      </w:r>
                      <w:r w:rsidRPr="00181669">
                        <w:rPr>
                          <w:rFonts w:ascii="Arial" w:hAnsi="Arial" w:cs="Arial"/>
                          <w:sz w:val="18"/>
                          <w:szCs w:val="18"/>
                        </w:rPr>
                        <w:t>for proper steps</w:t>
                      </w:r>
                    </w:p>
                    <w:p w14:paraId="20907ADC" w14:textId="77777777" w:rsidR="002A2768" w:rsidRPr="00AF0A22" w:rsidRDefault="002A2768" w:rsidP="00AF0A22">
                      <w:pPr>
                        <w:ind w:left="720"/>
                        <w:rPr>
                          <w:rFonts w:ascii="Arial" w:hAnsi="Arial" w:cs="Arial"/>
                          <w:sz w:val="18"/>
                          <w:szCs w:val="18"/>
                        </w:rPr>
                      </w:pPr>
                      <w:r w:rsidRPr="00AF0A22">
                        <w:rPr>
                          <w:rFonts w:ascii="Arial" w:hAnsi="Arial" w:cs="Arial"/>
                          <w:sz w:val="18"/>
                          <w:szCs w:val="18"/>
                        </w:rPr>
                        <w:t>Letter templates must be printed on applicable company letterhead, signed, scan as a pdf.</w:t>
                      </w:r>
                    </w:p>
                    <w:p w14:paraId="61C6033E" w14:textId="77777777" w:rsidR="002A2768" w:rsidRPr="00AF0A22" w:rsidRDefault="002A2768" w:rsidP="00AF0A22">
                      <w:pPr>
                        <w:ind w:left="720"/>
                        <w:rPr>
                          <w:rFonts w:ascii="Arial" w:hAnsi="Arial" w:cs="Arial"/>
                          <w:color w:val="FF0000"/>
                          <w:sz w:val="18"/>
                          <w:szCs w:val="18"/>
                        </w:rPr>
                      </w:pPr>
                      <w:r w:rsidRPr="00AF0A22">
                        <w:rPr>
                          <w:rFonts w:ascii="Arial" w:hAnsi="Arial" w:cs="Arial"/>
                          <w:color w:val="FF0000"/>
                          <w:sz w:val="18"/>
                          <w:szCs w:val="18"/>
                        </w:rPr>
                        <w:t>Remove this text box when copying to resource owner letterhead</w:t>
                      </w:r>
                    </w:p>
                  </w:txbxContent>
                </v:textbox>
                <w10:wrap anchorx="margin"/>
              </v:shape>
            </w:pict>
          </mc:Fallback>
        </mc:AlternateContent>
      </w:r>
    </w:p>
    <w:p w14:paraId="11554E69" w14:textId="77777777" w:rsidR="003B1E6A" w:rsidRDefault="003B1E6A" w:rsidP="003B1E6A"/>
    <w:p w14:paraId="10ADD7E8" w14:textId="77777777" w:rsidR="003B1E6A" w:rsidRPr="006A75F8" w:rsidRDefault="003B1E6A" w:rsidP="003B1E6A"/>
    <w:p w14:paraId="784096E0" w14:textId="77777777" w:rsidR="003B1E6A" w:rsidRPr="006A75F8" w:rsidRDefault="003B1E6A" w:rsidP="003B1E6A">
      <w:pPr>
        <w:pStyle w:val="Header"/>
        <w:tabs>
          <w:tab w:val="clear" w:pos="4320"/>
          <w:tab w:val="clear" w:pos="8640"/>
        </w:tabs>
        <w:spacing w:before="160" w:after="40"/>
        <w:rPr>
          <w:rFonts w:ascii="Arial" w:hAnsi="Arial" w:cs="Arial"/>
          <w:b w:val="0"/>
          <w:i/>
          <w:color w:val="0000FF"/>
        </w:rPr>
      </w:pPr>
      <w:r w:rsidRPr="006A75F8">
        <w:rPr>
          <w:rFonts w:ascii="Arial" w:hAnsi="Arial" w:cs="Arial"/>
          <w:b w:val="0"/>
          <w:i/>
          <w:color w:val="0000FF"/>
        </w:rPr>
        <w:lastRenderedPageBreak/>
        <w:t xml:space="preserve"> </w:t>
      </w:r>
    </w:p>
    <w:p w14:paraId="60E90709" w14:textId="77777777" w:rsidR="003B1E6A" w:rsidRDefault="003B1E6A" w:rsidP="003B1E6A">
      <w:pPr>
        <w:pStyle w:val="Header"/>
        <w:tabs>
          <w:tab w:val="clear" w:pos="4320"/>
          <w:tab w:val="clear" w:pos="8640"/>
        </w:tabs>
        <w:spacing w:before="160" w:after="40"/>
        <w:rPr>
          <w:rFonts w:ascii="Arial" w:hAnsi="Arial" w:cs="Arial"/>
          <w:b w:val="0"/>
          <w:i/>
          <w:color w:val="0000FF"/>
        </w:rPr>
      </w:pPr>
    </w:p>
    <w:p w14:paraId="11FF21DB" w14:textId="77777777" w:rsidR="003B1E6A" w:rsidRDefault="003B1E6A" w:rsidP="003B1E6A">
      <w:pPr>
        <w:pStyle w:val="Header"/>
        <w:tabs>
          <w:tab w:val="clear" w:pos="4320"/>
          <w:tab w:val="clear" w:pos="8640"/>
        </w:tabs>
        <w:spacing w:before="160" w:after="40"/>
        <w:rPr>
          <w:rFonts w:ascii="Arial" w:hAnsi="Arial" w:cs="Arial"/>
          <w:b w:val="0"/>
          <w:i/>
          <w:color w:val="0000FF"/>
        </w:rPr>
      </w:pPr>
    </w:p>
    <w:p w14:paraId="66BFC141" w14:textId="758F355D" w:rsidR="003B1E6A" w:rsidRPr="00906772" w:rsidRDefault="003B1E6A" w:rsidP="003B1E6A">
      <w:pPr>
        <w:pStyle w:val="Header"/>
        <w:tabs>
          <w:tab w:val="clear" w:pos="4320"/>
          <w:tab w:val="clear" w:pos="8640"/>
        </w:tabs>
        <w:spacing w:before="160" w:after="40"/>
        <w:rPr>
          <w:rFonts w:ascii="Arial" w:hAnsi="Arial" w:cs="Arial"/>
        </w:rPr>
      </w:pPr>
      <w:r w:rsidRPr="00906772">
        <w:rPr>
          <w:rFonts w:ascii="Arial" w:hAnsi="Arial" w:cs="Arial"/>
          <w:b w:val="0"/>
          <w:i/>
          <w:color w:val="0000FF"/>
        </w:rPr>
        <w:t>[Current Date]</w:t>
      </w:r>
    </w:p>
    <w:p w14:paraId="6565C469" w14:textId="77777777" w:rsidR="003B1E6A" w:rsidRPr="00906772" w:rsidRDefault="003B1E6A" w:rsidP="003B1E6A">
      <w:pPr>
        <w:pStyle w:val="Header"/>
        <w:tabs>
          <w:tab w:val="clear" w:pos="4320"/>
          <w:tab w:val="clear" w:pos="8640"/>
        </w:tabs>
        <w:spacing w:before="160"/>
        <w:rPr>
          <w:rFonts w:ascii="Arial" w:hAnsi="Arial" w:cs="Arial"/>
        </w:rPr>
      </w:pPr>
      <w:r w:rsidRPr="00906772">
        <w:rPr>
          <w:rFonts w:ascii="Arial" w:hAnsi="Arial" w:cs="Arial"/>
        </w:rPr>
        <w:t>California Independent System Operator</w:t>
      </w:r>
    </w:p>
    <w:p w14:paraId="0C2CDC45" w14:textId="77777777" w:rsidR="003B1E6A" w:rsidRPr="00906772" w:rsidRDefault="003B1E6A" w:rsidP="003B1E6A">
      <w:pPr>
        <w:pStyle w:val="Header"/>
        <w:tabs>
          <w:tab w:val="clear" w:pos="4320"/>
          <w:tab w:val="clear" w:pos="8640"/>
        </w:tabs>
        <w:rPr>
          <w:rFonts w:ascii="Arial" w:hAnsi="Arial" w:cs="Arial"/>
        </w:rPr>
      </w:pPr>
      <w:r w:rsidRPr="00906772">
        <w:rPr>
          <w:rFonts w:ascii="Arial" w:hAnsi="Arial" w:cs="Arial"/>
        </w:rPr>
        <w:t>250 Outcropping Way</w:t>
      </w:r>
    </w:p>
    <w:p w14:paraId="300AFAAA" w14:textId="77777777" w:rsidR="003B1E6A" w:rsidRPr="00906772" w:rsidRDefault="003B1E6A" w:rsidP="003B1E6A">
      <w:pPr>
        <w:pStyle w:val="Header"/>
        <w:tabs>
          <w:tab w:val="clear" w:pos="4320"/>
          <w:tab w:val="clear" w:pos="8640"/>
        </w:tabs>
        <w:rPr>
          <w:rFonts w:ascii="Arial" w:hAnsi="Arial" w:cs="Arial"/>
        </w:rPr>
      </w:pPr>
      <w:r w:rsidRPr="00906772">
        <w:rPr>
          <w:rFonts w:ascii="Arial" w:hAnsi="Arial" w:cs="Arial"/>
        </w:rPr>
        <w:t>Folsom, CA 95630</w:t>
      </w:r>
    </w:p>
    <w:p w14:paraId="303F1D0E" w14:textId="77777777" w:rsidR="003B1E6A" w:rsidRPr="00906772" w:rsidRDefault="003B1E6A" w:rsidP="003B1E6A">
      <w:pPr>
        <w:pStyle w:val="Header"/>
        <w:tabs>
          <w:tab w:val="clear" w:pos="4320"/>
          <w:tab w:val="clear" w:pos="8640"/>
        </w:tabs>
        <w:spacing w:before="240" w:after="40"/>
        <w:rPr>
          <w:rFonts w:ascii="Arial" w:hAnsi="Arial" w:cs="Arial"/>
        </w:rPr>
      </w:pPr>
      <w:r w:rsidRPr="00906772">
        <w:rPr>
          <w:rFonts w:ascii="Arial" w:hAnsi="Arial" w:cs="Arial"/>
        </w:rPr>
        <w:t xml:space="preserve">Dear </w:t>
      </w:r>
      <w:r w:rsidRPr="00906772">
        <w:rPr>
          <w:rFonts w:ascii="Arial" w:hAnsi="Arial" w:cs="Arial"/>
          <w:b w:val="0"/>
          <w:i/>
          <w:color w:val="0000FF"/>
        </w:rPr>
        <w:t>[SC Requests]</w:t>
      </w:r>
      <w:r w:rsidRPr="00906772">
        <w:rPr>
          <w:rFonts w:ascii="Arial" w:hAnsi="Arial" w:cs="Arial"/>
        </w:rPr>
        <w:t>:</w:t>
      </w:r>
    </w:p>
    <w:p w14:paraId="004A7F00" w14:textId="77777777" w:rsidR="003B1E6A" w:rsidRPr="00906772" w:rsidRDefault="003B1E6A" w:rsidP="003B1E6A">
      <w:pPr>
        <w:pStyle w:val="ListParagraph"/>
        <w:tabs>
          <w:tab w:val="num" w:pos="720"/>
        </w:tabs>
        <w:ind w:left="570"/>
        <w:contextualSpacing/>
        <w:rPr>
          <w:rFonts w:ascii="Arial" w:hAnsi="Arial" w:cs="Arial"/>
        </w:rPr>
      </w:pPr>
    </w:p>
    <w:p w14:paraId="44F6DF78" w14:textId="0CB024D8" w:rsidR="003B1E6A" w:rsidRPr="00906772" w:rsidRDefault="003B1E6A" w:rsidP="003B1E6A">
      <w:pPr>
        <w:pStyle w:val="ListParagraph"/>
        <w:tabs>
          <w:tab w:val="num" w:pos="720"/>
        </w:tabs>
        <w:ind w:left="0"/>
        <w:contextualSpacing/>
        <w:rPr>
          <w:rFonts w:ascii="Arial" w:hAnsi="Arial" w:cs="Arial"/>
        </w:rPr>
      </w:pPr>
      <w:r w:rsidRPr="00906772">
        <w:rPr>
          <w:rFonts w:ascii="Arial" w:hAnsi="Arial" w:cs="Arial"/>
        </w:rPr>
        <w:t xml:space="preserve">Please find the information below to complete the requirements for Unaccounted for Energy (UFE) Election Process as stated in the Energy Imbalance Market (EIM) Business Practice Manual, Section 12.4. </w:t>
      </w:r>
    </w:p>
    <w:p w14:paraId="4DE7C879" w14:textId="77777777" w:rsidR="003B1E6A" w:rsidRPr="00906772" w:rsidRDefault="003B1E6A" w:rsidP="003B1E6A">
      <w:pPr>
        <w:pStyle w:val="ListParagraph"/>
        <w:tabs>
          <w:tab w:val="num" w:pos="720"/>
        </w:tabs>
        <w:ind w:left="570"/>
        <w:contextualSpacing/>
        <w:rPr>
          <w:rFonts w:ascii="Arial" w:hAnsi="Arial" w:cs="Arial"/>
        </w:rPr>
      </w:pPr>
    </w:p>
    <w:p w14:paraId="5002B5EE" w14:textId="704A64BE" w:rsidR="003B1E6A" w:rsidRPr="00906772" w:rsidRDefault="00AF0A22" w:rsidP="003B1E6A">
      <w:pPr>
        <w:pStyle w:val="ListParagraph"/>
        <w:contextualSpacing/>
        <w:rPr>
          <w:rFonts w:ascii="Arial" w:hAnsi="Arial" w:cs="Arial"/>
        </w:rPr>
      </w:pPr>
      <w:r>
        <w:rPr>
          <w:rFonts w:ascii="Arial" w:hAnsi="Arial" w:cs="Arial"/>
        </w:rPr>
        <w:t>W</w:t>
      </w:r>
      <w:r w:rsidR="003B1E6A" w:rsidRPr="00906772">
        <w:rPr>
          <w:rFonts w:ascii="Arial" w:hAnsi="Arial" w:cs="Arial"/>
        </w:rPr>
        <w:t>EIM Entity Name:</w:t>
      </w:r>
    </w:p>
    <w:p w14:paraId="130A3B7D" w14:textId="69CCED58" w:rsidR="003B1E6A" w:rsidRPr="00906772" w:rsidRDefault="00AF0A22" w:rsidP="003B1E6A">
      <w:pPr>
        <w:pStyle w:val="ListParagraph"/>
        <w:contextualSpacing/>
        <w:rPr>
          <w:rFonts w:ascii="Arial" w:hAnsi="Arial" w:cs="Arial"/>
        </w:rPr>
      </w:pPr>
      <w:r>
        <w:rPr>
          <w:rFonts w:ascii="Arial" w:hAnsi="Arial" w:cs="Arial"/>
        </w:rPr>
        <w:t>W</w:t>
      </w:r>
      <w:r w:rsidR="003B1E6A" w:rsidRPr="00906772">
        <w:rPr>
          <w:rFonts w:ascii="Arial" w:hAnsi="Arial" w:cs="Arial"/>
        </w:rPr>
        <w:t xml:space="preserve">EIM Entity Address: </w:t>
      </w:r>
    </w:p>
    <w:p w14:paraId="0A98DD97" w14:textId="77777777" w:rsidR="003B1E6A" w:rsidRPr="000721B1" w:rsidRDefault="003B1E6A" w:rsidP="003B1E6A">
      <w:pPr>
        <w:pStyle w:val="ListParagraph"/>
        <w:contextualSpacing/>
        <w:rPr>
          <w:rFonts w:ascii="Arial" w:hAnsi="Arial" w:cs="Arial"/>
        </w:rPr>
      </w:pPr>
      <w:r w:rsidRPr="00906772">
        <w:rPr>
          <w:rFonts w:ascii="Arial" w:hAnsi="Arial" w:cs="Arial"/>
        </w:rPr>
        <w:t>Pursuant to CAISO Tariff Section 29.11(c) (</w:t>
      </w:r>
      <w:r w:rsidRPr="000721B1">
        <w:rPr>
          <w:rFonts w:ascii="Arial" w:hAnsi="Arial" w:cs="Arial"/>
        </w:rPr>
        <w:t xml:space="preserve">2) (B), </w:t>
      </w:r>
      <w:r w:rsidRPr="00E854DA">
        <w:rPr>
          <w:rFonts w:ascii="Arial" w:hAnsi="Arial" w:cs="Arial"/>
        </w:rPr>
        <w:t>[insert WEIM Entity Name]</w:t>
      </w:r>
      <w:r w:rsidRPr="000721B1">
        <w:rPr>
          <w:rFonts w:ascii="Arial" w:hAnsi="Arial" w:cs="Arial"/>
        </w:rPr>
        <w:t xml:space="preserve"> makes the following UFE Elections for Trade Dates 1/1/</w:t>
      </w:r>
      <w:r w:rsidRPr="00E854DA">
        <w:rPr>
          <w:rFonts w:ascii="Arial" w:hAnsi="Arial" w:cs="Arial"/>
        </w:rPr>
        <w:t>[Year]</w:t>
      </w:r>
      <w:r w:rsidRPr="000721B1">
        <w:rPr>
          <w:rFonts w:ascii="Arial" w:hAnsi="Arial" w:cs="Arial"/>
        </w:rPr>
        <w:t xml:space="preserve"> - 12/31/</w:t>
      </w:r>
      <w:r w:rsidRPr="00E854DA">
        <w:rPr>
          <w:rFonts w:ascii="Arial" w:hAnsi="Arial" w:cs="Arial"/>
        </w:rPr>
        <w:t>[Year]</w:t>
      </w:r>
    </w:p>
    <w:p w14:paraId="25799FA8" w14:textId="77777777" w:rsidR="003B1E6A" w:rsidRPr="000721B1" w:rsidRDefault="003B1E6A" w:rsidP="003B1E6A">
      <w:pPr>
        <w:pStyle w:val="ListParagraph"/>
        <w:contextualSpacing/>
        <w:rPr>
          <w:rFonts w:ascii="Arial" w:hAnsi="Arial" w:cs="Arial"/>
        </w:rPr>
      </w:pPr>
      <w:r w:rsidRPr="000721B1">
        <w:rPr>
          <w:rFonts w:ascii="Arial" w:hAnsi="Arial" w:cs="Arial"/>
        </w:rPr>
        <w:t>UFE Settlement Election:</w:t>
      </w:r>
      <w:r w:rsidRPr="00E854DA">
        <w:rPr>
          <w:rFonts w:ascii="Arial" w:hAnsi="Arial" w:cs="Arial"/>
        </w:rPr>
        <w:fldChar w:fldCharType="begin">
          <w:ffData>
            <w:name w:val="Check1"/>
            <w:enabled/>
            <w:calcOnExit w:val="0"/>
            <w:checkBox>
              <w:sizeAuto/>
              <w:default w:val="0"/>
            </w:checkBox>
          </w:ffData>
        </w:fldChar>
      </w:r>
      <w:bookmarkStart w:id="2269" w:name="Check1"/>
      <w:r w:rsidRPr="00E854DA">
        <w:rPr>
          <w:rFonts w:ascii="Arial" w:hAnsi="Arial" w:cs="Arial"/>
        </w:rPr>
        <w:instrText xml:space="preserve"> FORMCHECKBOX </w:instrText>
      </w:r>
      <w:r w:rsidRPr="00E854DA">
        <w:rPr>
          <w:rFonts w:ascii="Arial" w:hAnsi="Arial" w:cs="Arial"/>
        </w:rPr>
      </w:r>
      <w:r w:rsidRPr="00E854DA">
        <w:rPr>
          <w:rFonts w:ascii="Arial" w:hAnsi="Arial" w:cs="Arial"/>
        </w:rPr>
        <w:fldChar w:fldCharType="separate"/>
      </w:r>
      <w:r w:rsidRPr="00E854DA">
        <w:rPr>
          <w:rFonts w:ascii="Arial" w:hAnsi="Arial" w:cs="Arial"/>
        </w:rPr>
        <w:fldChar w:fldCharType="end"/>
      </w:r>
      <w:bookmarkEnd w:id="2269"/>
      <w:r w:rsidRPr="000721B1">
        <w:rPr>
          <w:rFonts w:ascii="Arial" w:hAnsi="Arial" w:cs="Arial"/>
        </w:rPr>
        <w:t xml:space="preserve"> Yes (settle) or </w:t>
      </w:r>
      <w:r w:rsidRPr="00E854DA">
        <w:rPr>
          <w:rFonts w:ascii="Arial" w:hAnsi="Arial" w:cs="Arial"/>
        </w:rPr>
        <w:fldChar w:fldCharType="begin">
          <w:ffData>
            <w:name w:val="Check2"/>
            <w:enabled/>
            <w:calcOnExit w:val="0"/>
            <w:checkBox>
              <w:sizeAuto/>
              <w:default w:val="0"/>
            </w:checkBox>
          </w:ffData>
        </w:fldChar>
      </w:r>
      <w:bookmarkStart w:id="2270" w:name="Check2"/>
      <w:r w:rsidRPr="00E854DA">
        <w:rPr>
          <w:rFonts w:ascii="Arial" w:hAnsi="Arial" w:cs="Arial"/>
        </w:rPr>
        <w:instrText xml:space="preserve"> FORMCHECKBOX </w:instrText>
      </w:r>
      <w:r w:rsidRPr="00E854DA">
        <w:rPr>
          <w:rFonts w:ascii="Arial" w:hAnsi="Arial" w:cs="Arial"/>
        </w:rPr>
      </w:r>
      <w:r w:rsidRPr="00E854DA">
        <w:rPr>
          <w:rFonts w:ascii="Arial" w:hAnsi="Arial" w:cs="Arial"/>
        </w:rPr>
        <w:fldChar w:fldCharType="separate"/>
      </w:r>
      <w:r w:rsidRPr="00E854DA">
        <w:rPr>
          <w:rFonts w:ascii="Arial" w:hAnsi="Arial" w:cs="Arial"/>
        </w:rPr>
        <w:fldChar w:fldCharType="end"/>
      </w:r>
      <w:bookmarkEnd w:id="2270"/>
      <w:r w:rsidRPr="000721B1">
        <w:rPr>
          <w:rFonts w:ascii="Arial" w:hAnsi="Arial" w:cs="Arial"/>
        </w:rPr>
        <w:t>No (do not settle).</w:t>
      </w:r>
    </w:p>
    <w:p w14:paraId="45EEB38B" w14:textId="77777777" w:rsidR="003B1E6A" w:rsidRPr="000721B1" w:rsidRDefault="003B1E6A" w:rsidP="003B1E6A">
      <w:pPr>
        <w:pStyle w:val="ListParagraph"/>
        <w:ind w:left="1080"/>
        <w:contextualSpacing/>
        <w:rPr>
          <w:rFonts w:ascii="Arial" w:hAnsi="Arial" w:cs="Arial"/>
        </w:rPr>
      </w:pPr>
      <w:r w:rsidRPr="000721B1">
        <w:rPr>
          <w:rFonts w:ascii="Arial" w:hAnsi="Arial" w:cs="Arial"/>
        </w:rPr>
        <w:t xml:space="preserve">Loss Factor: </w:t>
      </w:r>
      <w:r w:rsidRPr="00E854DA">
        <w:rPr>
          <w:rFonts w:ascii="Arial" w:hAnsi="Arial" w:cs="Arial"/>
        </w:rPr>
        <w:fldChar w:fldCharType="begin">
          <w:ffData>
            <w:name w:val="Text1"/>
            <w:enabled/>
            <w:calcOnExit w:val="0"/>
            <w:textInput/>
          </w:ffData>
        </w:fldChar>
      </w:r>
      <w:bookmarkStart w:id="2271" w:name="Text1"/>
      <w:r w:rsidRPr="00E854DA">
        <w:rPr>
          <w:rFonts w:ascii="Arial" w:hAnsi="Arial" w:cs="Arial"/>
        </w:rPr>
        <w:instrText xml:space="preserve"> FORMTEXT </w:instrText>
      </w:r>
      <w:r w:rsidRPr="00E854DA">
        <w:rPr>
          <w:rFonts w:ascii="Arial" w:hAnsi="Arial" w:cs="Arial"/>
        </w:rPr>
      </w:r>
      <w:r w:rsidRPr="00E854DA">
        <w:rPr>
          <w:rFonts w:ascii="Arial" w:hAnsi="Arial" w:cs="Arial"/>
        </w:rPr>
        <w:fldChar w:fldCharType="separate"/>
      </w:r>
      <w:r w:rsidRPr="00E854DA">
        <w:rPr>
          <w:rFonts w:ascii="Arial" w:hAnsi="Arial" w:cs="Arial"/>
          <w:noProof/>
        </w:rPr>
        <w:t> </w:t>
      </w:r>
      <w:r w:rsidRPr="00E854DA">
        <w:rPr>
          <w:rFonts w:ascii="Arial" w:hAnsi="Arial" w:cs="Arial"/>
          <w:noProof/>
        </w:rPr>
        <w:t> </w:t>
      </w:r>
      <w:r w:rsidRPr="00E854DA">
        <w:rPr>
          <w:rFonts w:ascii="Arial" w:hAnsi="Arial" w:cs="Arial"/>
          <w:noProof/>
        </w:rPr>
        <w:t> </w:t>
      </w:r>
      <w:r w:rsidRPr="00E854DA">
        <w:rPr>
          <w:rFonts w:ascii="Arial" w:hAnsi="Arial" w:cs="Arial"/>
          <w:noProof/>
        </w:rPr>
        <w:t> </w:t>
      </w:r>
      <w:r w:rsidRPr="00E854DA">
        <w:rPr>
          <w:rFonts w:ascii="Arial" w:hAnsi="Arial" w:cs="Arial"/>
          <w:noProof/>
        </w:rPr>
        <w:t> </w:t>
      </w:r>
      <w:r w:rsidRPr="00E854DA">
        <w:rPr>
          <w:rFonts w:ascii="Arial" w:hAnsi="Arial" w:cs="Arial"/>
        </w:rPr>
        <w:fldChar w:fldCharType="end"/>
      </w:r>
      <w:bookmarkEnd w:id="2271"/>
    </w:p>
    <w:p w14:paraId="716AA838" w14:textId="77777777" w:rsidR="003B1E6A" w:rsidRPr="006E09BA" w:rsidRDefault="003B1E6A" w:rsidP="003B1E6A">
      <w:pPr>
        <w:pStyle w:val="ListParagraph"/>
        <w:numPr>
          <w:ilvl w:val="0"/>
          <w:numId w:val="110"/>
        </w:numPr>
        <w:contextualSpacing/>
        <w:rPr>
          <w:rFonts w:ascii="Arial" w:hAnsi="Arial" w:cs="Arial"/>
        </w:rPr>
      </w:pPr>
      <w:r w:rsidRPr="006E09BA">
        <w:rPr>
          <w:rFonts w:ascii="Arial" w:hAnsi="Arial" w:cs="Arial"/>
        </w:rPr>
        <w:t xml:space="preserve">If UFE Settlement Election is “Yes”, please provide the OATT Loss factor or agreed upon loss factor percentage. If UFE Settlement Election is “No”, enter 0%. </w:t>
      </w:r>
    </w:p>
    <w:p w14:paraId="23C46C8C" w14:textId="77777777" w:rsidR="003B1E6A" w:rsidRPr="00C42DC8" w:rsidRDefault="003B1E6A" w:rsidP="003B1E6A">
      <w:pPr>
        <w:pStyle w:val="ListParagraph"/>
        <w:contextualSpacing/>
        <w:rPr>
          <w:rFonts w:ascii="Arial" w:hAnsi="Arial" w:cs="Arial"/>
        </w:rPr>
      </w:pPr>
    </w:p>
    <w:p w14:paraId="4185089B" w14:textId="77777777" w:rsidR="003B1E6A" w:rsidRPr="00906772" w:rsidRDefault="003B1E6A" w:rsidP="003B1E6A">
      <w:pPr>
        <w:pStyle w:val="ListParagraph"/>
        <w:ind w:left="0"/>
        <w:contextualSpacing/>
        <w:rPr>
          <w:rFonts w:ascii="Arial" w:hAnsi="Arial" w:cs="Arial"/>
        </w:rPr>
      </w:pPr>
      <w:r w:rsidRPr="00C42DC8">
        <w:rPr>
          <w:rFonts w:ascii="Arial" w:hAnsi="Arial" w:cs="Arial"/>
        </w:rPr>
        <w:t xml:space="preserve">Please contact </w:t>
      </w:r>
      <w:r w:rsidRPr="00E854DA">
        <w:rPr>
          <w:rFonts w:ascii="Arial" w:hAnsi="Arial" w:cs="Arial"/>
        </w:rPr>
        <w:t>[insert contact name and info]</w:t>
      </w:r>
      <w:r w:rsidRPr="000721B1">
        <w:rPr>
          <w:rFonts w:ascii="Arial" w:hAnsi="Arial" w:cs="Arial"/>
        </w:rPr>
        <w:t xml:space="preserve"> with any</w:t>
      </w:r>
      <w:r w:rsidRPr="00906772">
        <w:rPr>
          <w:rFonts w:ascii="Arial" w:hAnsi="Arial" w:cs="Arial"/>
        </w:rPr>
        <w:t xml:space="preserve"> questions.</w:t>
      </w:r>
    </w:p>
    <w:p w14:paraId="27A802AB" w14:textId="77777777" w:rsidR="003B1E6A" w:rsidRDefault="003B1E6A" w:rsidP="003B1E6A">
      <w:pPr>
        <w:rPr>
          <w:rFonts w:ascii="Arial" w:hAnsi="Arial" w:cs="Arial"/>
          <w:sz w:val="18"/>
          <w:szCs w:val="18"/>
        </w:rPr>
      </w:pPr>
    </w:p>
    <w:p w14:paraId="737B2439" w14:textId="77777777" w:rsidR="003B1E6A" w:rsidRPr="00DA65E4" w:rsidRDefault="003B1E6A" w:rsidP="003B1E6A">
      <w:pPr>
        <w:spacing w:line="276" w:lineRule="auto"/>
        <w:rPr>
          <w:rFonts w:ascii="Arial" w:hAnsi="Arial" w:cs="Arial"/>
          <w:sz w:val="18"/>
          <w:szCs w:val="18"/>
        </w:rPr>
      </w:pPr>
      <w:r>
        <w:rPr>
          <w:rFonts w:ascii="Arial" w:hAnsi="Arial" w:cs="Arial"/>
          <w:sz w:val="18"/>
          <w:szCs w:val="18"/>
        </w:rPr>
        <w:t>Signature</w:t>
      </w:r>
      <w:r w:rsidRPr="00DA65E4">
        <w:rPr>
          <w:rFonts w:ascii="Arial" w:hAnsi="Arial" w:cs="Arial"/>
          <w:sz w:val="18"/>
          <w:szCs w:val="18"/>
        </w:rPr>
        <w:t xml:space="preserve">: _______________________________________________ </w:t>
      </w:r>
    </w:p>
    <w:p w14:paraId="56299132" w14:textId="77777777" w:rsidR="003B1E6A" w:rsidRDefault="003B1E6A" w:rsidP="003B1E6A">
      <w:pPr>
        <w:spacing w:line="276" w:lineRule="auto"/>
        <w:rPr>
          <w:rFonts w:ascii="Arial" w:hAnsi="Arial" w:cs="Arial"/>
          <w:sz w:val="18"/>
          <w:szCs w:val="18"/>
        </w:rPr>
      </w:pPr>
      <w:r w:rsidRPr="00DA65E4">
        <w:rPr>
          <w:rFonts w:ascii="Arial" w:hAnsi="Arial" w:cs="Arial"/>
          <w:sz w:val="18"/>
          <w:szCs w:val="18"/>
        </w:rPr>
        <w:t>Name</w:t>
      </w:r>
      <w:r>
        <w:rPr>
          <w:rFonts w:ascii="Arial" w:hAnsi="Arial" w:cs="Arial"/>
          <w:sz w:val="18"/>
          <w:szCs w:val="18"/>
        </w:rPr>
        <w:t>:</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3B419FC" w14:textId="77777777" w:rsidR="003B1E6A" w:rsidRDefault="003B1E6A" w:rsidP="003B1E6A">
      <w:pPr>
        <w:spacing w:line="276" w:lineRule="auto"/>
        <w:rPr>
          <w:rFonts w:ascii="Arial" w:hAnsi="Arial" w:cs="Arial"/>
          <w:sz w:val="18"/>
          <w:szCs w:val="18"/>
        </w:rPr>
      </w:pPr>
      <w:r w:rsidRPr="00DA65E4">
        <w:rPr>
          <w:rFonts w:ascii="Arial" w:hAnsi="Arial" w:cs="Arial"/>
          <w:sz w:val="18"/>
          <w:szCs w:val="18"/>
        </w:rPr>
        <w:t>Title</w:t>
      </w:r>
      <w:r>
        <w:rPr>
          <w:rFonts w:ascii="Arial" w:hAnsi="Arial" w:cs="Arial"/>
          <w:sz w:val="18"/>
          <w:szCs w:val="18"/>
        </w:rPr>
        <w:t>:</w:t>
      </w:r>
      <w:r w:rsidRPr="00DA65E4">
        <w:rPr>
          <w:rFonts w:ascii="Arial" w:hAnsi="Arial" w:cs="Arial"/>
          <w:sz w:val="18"/>
          <w:szCs w:val="18"/>
        </w:rPr>
        <w:t xml:space="preserv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F55A4D2" w14:textId="77777777" w:rsidR="003B1E6A" w:rsidRDefault="003B1E6A" w:rsidP="003B1E6A">
      <w:pPr>
        <w:spacing w:line="276" w:lineRule="auto"/>
        <w:rPr>
          <w:rFonts w:ascii="Arial" w:hAnsi="Arial" w:cs="Arial"/>
          <w:sz w:val="18"/>
          <w:szCs w:val="18"/>
        </w:rPr>
      </w:pPr>
      <w:r>
        <w:rPr>
          <w:rFonts w:ascii="Arial" w:hAnsi="Arial" w:cs="Arial"/>
          <w:sz w:val="18"/>
          <w:szCs w:val="18"/>
        </w:rPr>
        <w:t>Phone:</w:t>
      </w:r>
      <w:r w:rsidRPr="00DA65E4">
        <w:rPr>
          <w:rFonts w:ascii="Arial" w:hAnsi="Arial" w:cs="Arial"/>
          <w:sz w:val="18"/>
          <w:szCs w:val="18"/>
        </w:rPr>
        <w:t xml:space="preserv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3A1090C" w14:textId="77777777" w:rsidR="003B1E6A" w:rsidRPr="00DA65E4" w:rsidRDefault="003B1E6A" w:rsidP="003B1E6A">
      <w:pPr>
        <w:spacing w:line="276" w:lineRule="auto"/>
        <w:rPr>
          <w:rFonts w:ascii="Arial" w:hAnsi="Arial" w:cs="Arial"/>
          <w:sz w:val="18"/>
          <w:szCs w:val="18"/>
        </w:rPr>
      </w:pPr>
      <w:r>
        <w:rPr>
          <w:rFonts w:ascii="Arial" w:hAnsi="Arial" w:cs="Arial"/>
          <w:sz w:val="18"/>
          <w:szCs w:val="18"/>
        </w:rPr>
        <w:t>Email Address:</w:t>
      </w:r>
      <w:r w:rsidRPr="00DA65E4">
        <w:rPr>
          <w:rFonts w:ascii="Arial" w:hAnsi="Arial" w:cs="Arial"/>
          <w:sz w:val="18"/>
          <w:szCs w:val="18"/>
        </w:rPr>
        <w:t xml:space="preserv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8DE5632" w14:textId="77777777" w:rsidR="008A06D9" w:rsidRPr="00215AF2" w:rsidRDefault="008A06D9" w:rsidP="008A06D9">
      <w:pPr>
        <w:pStyle w:val="ListParagraph"/>
        <w:ind w:left="570"/>
      </w:pPr>
    </w:p>
    <w:p w14:paraId="049DAF08" w14:textId="77777777" w:rsidR="008A06D9" w:rsidRPr="00215AF2" w:rsidRDefault="008A06D9" w:rsidP="008A06D9">
      <w:pPr>
        <w:pStyle w:val="ListParagraph"/>
        <w:numPr>
          <w:ilvl w:val="0"/>
          <w:numId w:val="90"/>
        </w:numPr>
        <w:contextualSpacing/>
      </w:pPr>
      <w:r w:rsidRPr="00215AF2">
        <w:lastRenderedPageBreak/>
        <w:t>Once the CIDI ticket is received, it will be routed by Customer Services to Regulatory Contracts. [Incoming CIDI tickets will go directly to Regulatory Contracts based on key words from the CIDI ticket Subject field.]</w:t>
      </w:r>
    </w:p>
    <w:p w14:paraId="30508AEB" w14:textId="77777777" w:rsidR="008A06D9" w:rsidRPr="00215AF2" w:rsidRDefault="008A06D9" w:rsidP="008A06D9">
      <w:pPr>
        <w:pStyle w:val="ListParagraph"/>
        <w:numPr>
          <w:ilvl w:val="0"/>
          <w:numId w:val="90"/>
        </w:numPr>
        <w:contextualSpacing/>
      </w:pPr>
      <w:r w:rsidRPr="00215AF2">
        <w:t>Regulatory Contracts will review and process the UFE elections, then route the CIDI ticket to the Masterfile Team.</w:t>
      </w:r>
    </w:p>
    <w:p w14:paraId="1CEE1803" w14:textId="77777777" w:rsidR="008A06D9" w:rsidRPr="00215AF2" w:rsidRDefault="008A06D9" w:rsidP="008A06D9">
      <w:pPr>
        <w:pStyle w:val="ListParagraph"/>
        <w:numPr>
          <w:ilvl w:val="0"/>
          <w:numId w:val="90"/>
        </w:numPr>
        <w:contextualSpacing/>
      </w:pPr>
      <w:r w:rsidRPr="00215AF2">
        <w:t>The Masterfile Team will set the election flag and loss percentage, then route the CIDI ticket to the Market Settlement Design configuration (MSDC) team.</w:t>
      </w:r>
    </w:p>
    <w:p w14:paraId="751BFF3B" w14:textId="77777777" w:rsidR="008A06D9" w:rsidRPr="00215AF2" w:rsidRDefault="008A06D9" w:rsidP="008A06D9">
      <w:pPr>
        <w:pStyle w:val="ListParagraph"/>
        <w:numPr>
          <w:ilvl w:val="0"/>
          <w:numId w:val="90"/>
        </w:numPr>
        <w:contextualSpacing/>
      </w:pPr>
      <w:r w:rsidRPr="00215AF2">
        <w:t>MSDC will verify the information, then route the CIDI ticket to Customer Services for closure.</w:t>
      </w:r>
    </w:p>
    <w:p w14:paraId="4E1B79F6" w14:textId="7F3BFB76" w:rsidR="008A06D9" w:rsidRDefault="008A06D9" w:rsidP="008A06D9">
      <w:pPr>
        <w:pStyle w:val="ListParagraph"/>
        <w:numPr>
          <w:ilvl w:val="0"/>
          <w:numId w:val="90"/>
        </w:numPr>
        <w:contextualSpacing/>
      </w:pPr>
      <w:r w:rsidRPr="00215AF2">
        <w:t>The recorded elections for each</w:t>
      </w:r>
      <w:r w:rsidR="005F24C1">
        <w:t xml:space="preserve"> WEIM </w:t>
      </w:r>
      <w:r w:rsidRPr="00215AF2">
        <w:t>Entity will remain in effect until a subsequent UFE Election Letter requesting changes to the</w:t>
      </w:r>
      <w:r w:rsidR="005F24C1">
        <w:t xml:space="preserve"> WEIM </w:t>
      </w:r>
      <w:r w:rsidRPr="00215AF2">
        <w:t>Entity’s elections has been received and processed.</w:t>
      </w:r>
      <w:r>
        <w:t xml:space="preserve"> </w:t>
      </w:r>
    </w:p>
    <w:p w14:paraId="5ACF9157" w14:textId="77777777" w:rsidR="00770B86" w:rsidRPr="00770B86" w:rsidRDefault="00770B86" w:rsidP="006F6DD6">
      <w:pPr>
        <w:spacing w:after="240" w:line="300" w:lineRule="auto"/>
        <w:rPr>
          <w:iCs/>
        </w:rPr>
      </w:pPr>
    </w:p>
    <w:p w14:paraId="68079816" w14:textId="77777777" w:rsidR="009540DF" w:rsidRDefault="009540DF" w:rsidP="00FF6F1D">
      <w:pPr>
        <w:pStyle w:val="Heading1"/>
      </w:pPr>
      <w:bookmarkStart w:id="2272" w:name="_Toc229054531"/>
      <w:bookmarkStart w:id="2273" w:name="_Toc389662615"/>
      <w:bookmarkStart w:id="2274" w:name="_Toc390946309"/>
      <w:bookmarkStart w:id="2275" w:name="_Toc391969874"/>
      <w:r w:rsidRPr="00225179">
        <w:t>READINESS</w:t>
      </w:r>
      <w:bookmarkEnd w:id="2272"/>
      <w:r w:rsidRPr="00225179">
        <w:t xml:space="preserve"> </w:t>
      </w:r>
    </w:p>
    <w:p w14:paraId="066269E6" w14:textId="26FA0AB1" w:rsidR="00DF5618" w:rsidRDefault="00DF5618" w:rsidP="00DF5618">
      <w:pPr>
        <w:spacing w:after="240" w:line="300" w:lineRule="auto"/>
      </w:pPr>
      <w:r>
        <w:t xml:space="preserve">Welcome to the </w:t>
      </w:r>
      <w:r>
        <w:rPr>
          <w:i/>
        </w:rPr>
        <w:t xml:space="preserve">Readiness </w:t>
      </w:r>
      <w:r>
        <w:t xml:space="preserve">section of the CAISO </w:t>
      </w:r>
      <w:r w:rsidRPr="00A812DF">
        <w:rPr>
          <w:i/>
        </w:rPr>
        <w:t xml:space="preserve">BPM for the </w:t>
      </w:r>
      <w:r w:rsidR="005F24C1">
        <w:rPr>
          <w:i/>
        </w:rPr>
        <w:t>Western Energy Imbalance Market</w:t>
      </w:r>
      <w:r>
        <w:t xml:space="preserve">.  In this section </w:t>
      </w:r>
      <w:r w:rsidR="00276804">
        <w:t>you will find</w:t>
      </w:r>
      <w:r>
        <w:t>:</w:t>
      </w:r>
    </w:p>
    <w:p w14:paraId="0885513C" w14:textId="77777777" w:rsidR="00276804" w:rsidRDefault="00276804" w:rsidP="00E80005">
      <w:pPr>
        <w:pStyle w:val="ListParagraph"/>
        <w:numPr>
          <w:ilvl w:val="0"/>
          <w:numId w:val="62"/>
        </w:numPr>
        <w:spacing w:after="240" w:line="300" w:lineRule="auto"/>
      </w:pPr>
      <w:r>
        <w:t>Descriptions of the established readiness criteria categories</w:t>
      </w:r>
    </w:p>
    <w:p w14:paraId="7D8A1281" w14:textId="77777777" w:rsidR="00276804" w:rsidRDefault="00276804" w:rsidP="00E80005">
      <w:pPr>
        <w:pStyle w:val="ListParagraph"/>
        <w:numPr>
          <w:ilvl w:val="0"/>
          <w:numId w:val="62"/>
        </w:numPr>
        <w:spacing w:after="240" w:line="300" w:lineRule="auto"/>
      </w:pPr>
      <w:r>
        <w:t>A listing of readiness criteria, metrics and thresholds</w:t>
      </w:r>
    </w:p>
    <w:p w14:paraId="34F4E968" w14:textId="77777777" w:rsidR="00276804" w:rsidRDefault="00276804" w:rsidP="00E80005">
      <w:pPr>
        <w:pStyle w:val="ListParagraph"/>
        <w:numPr>
          <w:ilvl w:val="0"/>
          <w:numId w:val="62"/>
        </w:numPr>
        <w:spacing w:after="240" w:line="300" w:lineRule="auto"/>
      </w:pPr>
      <w:r>
        <w:t>Information on the process for readiness determination, reporting and certification.</w:t>
      </w:r>
    </w:p>
    <w:p w14:paraId="32AB0F14" w14:textId="77777777" w:rsidR="009540DF" w:rsidRDefault="00DB75A7" w:rsidP="0040008D">
      <w:pPr>
        <w:pStyle w:val="Heading2"/>
      </w:pPr>
      <w:bookmarkStart w:id="2276" w:name="_Toc229054532"/>
      <w:r>
        <w:t>Readiness Criteria Categories</w:t>
      </w:r>
      <w:bookmarkEnd w:id="2276"/>
    </w:p>
    <w:p w14:paraId="676E3300" w14:textId="781FF87D" w:rsidR="009A3F9F" w:rsidRPr="005730EC" w:rsidRDefault="009A3F9F" w:rsidP="009A3F9F">
      <w:pPr>
        <w:pStyle w:val="ParaText"/>
        <w:rPr>
          <w:rFonts w:cs="Arial"/>
        </w:rPr>
      </w:pPr>
      <w:r w:rsidRPr="005730EC">
        <w:rPr>
          <w:rFonts w:cs="Arial"/>
        </w:rPr>
        <w:t>The readiness criteria are intended to support readiness certification prior to implementation. Leading to certification, the</w:t>
      </w:r>
      <w:r w:rsidR="005F24C1">
        <w:rPr>
          <w:rFonts w:cs="Arial"/>
        </w:rPr>
        <w:t xml:space="preserve"> WEIM </w:t>
      </w:r>
      <w:r w:rsidRPr="005730EC">
        <w:rPr>
          <w:rFonts w:cs="Arial"/>
        </w:rPr>
        <w:t xml:space="preserve">Entity and CAISO will conduct appropriate steps to ensure that each criteria is evaluated compared with the metric and threshold. </w:t>
      </w:r>
    </w:p>
    <w:p w14:paraId="09A784CF" w14:textId="3CA64581" w:rsidR="009A3F9F" w:rsidRPr="005730EC" w:rsidRDefault="009A3F9F" w:rsidP="00E80005">
      <w:pPr>
        <w:numPr>
          <w:ilvl w:val="0"/>
          <w:numId w:val="66"/>
        </w:numPr>
        <w:spacing w:after="200" w:line="276" w:lineRule="auto"/>
        <w:rPr>
          <w:rFonts w:cs="Arial"/>
        </w:rPr>
      </w:pPr>
      <w:r w:rsidRPr="005730EC">
        <w:rPr>
          <w:rFonts w:cs="Arial"/>
        </w:rPr>
        <w:t xml:space="preserve">EIM Entity Full Network Model Integration – in order to participate in EIM, the </w:t>
      </w:r>
      <w:r>
        <w:rPr>
          <w:rFonts w:cs="Arial"/>
        </w:rPr>
        <w:t>prospective</w:t>
      </w:r>
      <w:r w:rsidR="005F24C1">
        <w:rPr>
          <w:rFonts w:cs="Arial"/>
        </w:rPr>
        <w:t xml:space="preserve"> WEIM </w:t>
      </w:r>
      <w:r w:rsidRPr="005730EC">
        <w:rPr>
          <w:rFonts w:cs="Arial"/>
        </w:rPr>
        <w:t>Entity</w:t>
      </w:r>
      <w:r>
        <w:rPr>
          <w:rFonts w:cs="Arial"/>
        </w:rPr>
        <w:t>’s full</w:t>
      </w:r>
      <w:r w:rsidRPr="005730EC">
        <w:rPr>
          <w:rFonts w:cs="Arial"/>
        </w:rPr>
        <w:t xml:space="preserve"> network model is integrated into CAISO full network model.  This activity precedes testing and is demonstrated during market simulation.  The incorporation of the</w:t>
      </w:r>
      <w:r w:rsidR="005F24C1">
        <w:rPr>
          <w:rFonts w:cs="Arial"/>
        </w:rPr>
        <w:t xml:space="preserve"> WEIM </w:t>
      </w:r>
      <w:r w:rsidRPr="005730EC">
        <w:rPr>
          <w:rFonts w:cs="Arial"/>
        </w:rPr>
        <w:t>Entity’s network model into CAISO’s production full network model follows the standard promotion process and timing.</w:t>
      </w:r>
    </w:p>
    <w:p w14:paraId="7A9EABB3" w14:textId="0F5DA3D1" w:rsidR="009A3F9F" w:rsidRPr="005730EC" w:rsidRDefault="009A3F9F" w:rsidP="00E80005">
      <w:pPr>
        <w:numPr>
          <w:ilvl w:val="0"/>
          <w:numId w:val="66"/>
        </w:numPr>
        <w:spacing w:after="200" w:line="276" w:lineRule="auto"/>
        <w:rPr>
          <w:rFonts w:cs="Arial"/>
        </w:rPr>
      </w:pPr>
      <w:r w:rsidRPr="005730EC">
        <w:rPr>
          <w:rFonts w:cs="Arial"/>
        </w:rPr>
        <w:lastRenderedPageBreak/>
        <w:t xml:space="preserve">Agreements – prior to the established implementation date, the </w:t>
      </w:r>
      <w:r>
        <w:rPr>
          <w:rFonts w:cs="Arial"/>
        </w:rPr>
        <w:t>prospective</w:t>
      </w:r>
      <w:r w:rsidR="005F24C1">
        <w:rPr>
          <w:rFonts w:cs="Arial"/>
        </w:rPr>
        <w:t xml:space="preserve"> WEIM </w:t>
      </w:r>
      <w:r w:rsidRPr="005730EC">
        <w:rPr>
          <w:rFonts w:cs="Arial"/>
        </w:rPr>
        <w:t>Entity must execute all necessary agreements in accordance with the timelines described in section 5 of the</w:t>
      </w:r>
      <w:r w:rsidR="005F24C1">
        <w:rPr>
          <w:rFonts w:cs="Arial"/>
        </w:rPr>
        <w:t xml:space="preserve"> WEIM </w:t>
      </w:r>
      <w:r w:rsidRPr="005730EC">
        <w:rPr>
          <w:rFonts w:cs="Arial"/>
        </w:rPr>
        <w:t xml:space="preserve">Business Practice Manual. </w:t>
      </w:r>
    </w:p>
    <w:p w14:paraId="342DDC34" w14:textId="50275EF0" w:rsidR="009A3F9F" w:rsidRPr="005730EC" w:rsidRDefault="009A3F9F" w:rsidP="00E80005">
      <w:pPr>
        <w:numPr>
          <w:ilvl w:val="0"/>
          <w:numId w:val="66"/>
        </w:numPr>
        <w:spacing w:after="200" w:line="276" w:lineRule="auto"/>
        <w:rPr>
          <w:rFonts w:cs="Arial"/>
        </w:rPr>
      </w:pPr>
      <w:r w:rsidRPr="005730EC">
        <w:rPr>
          <w:rFonts w:cs="Arial"/>
        </w:rPr>
        <w:t xml:space="preserve">Training –CAISO provides training for </w:t>
      </w:r>
      <w:r>
        <w:rPr>
          <w:rFonts w:cs="Arial"/>
        </w:rPr>
        <w:t>prospective</w:t>
      </w:r>
      <w:r w:rsidR="005F24C1">
        <w:rPr>
          <w:rFonts w:cs="Arial"/>
        </w:rPr>
        <w:t xml:space="preserve"> WEIM </w:t>
      </w:r>
      <w:r w:rsidRPr="005730EC">
        <w:rPr>
          <w:rFonts w:cs="Arial"/>
        </w:rPr>
        <w:t xml:space="preserve">Entity </w:t>
      </w:r>
      <w:r>
        <w:rPr>
          <w:rFonts w:cs="Arial"/>
        </w:rPr>
        <w:t>o</w:t>
      </w:r>
      <w:r w:rsidRPr="005730EC">
        <w:rPr>
          <w:rFonts w:cs="Arial"/>
        </w:rPr>
        <w:t xml:space="preserve">perators before and during market simulation. All training is to be completed prior to the start of parallel </w:t>
      </w:r>
      <w:r>
        <w:rPr>
          <w:rFonts w:cs="Arial"/>
        </w:rPr>
        <w:t>operations</w:t>
      </w:r>
      <w:r w:rsidRPr="005730EC">
        <w:rPr>
          <w:rFonts w:cs="Arial"/>
        </w:rPr>
        <w:t xml:space="preserve">.   </w:t>
      </w:r>
    </w:p>
    <w:p w14:paraId="5E657933" w14:textId="77777777" w:rsidR="009A3F9F" w:rsidRPr="005730EC" w:rsidRDefault="009A3F9F" w:rsidP="00E80005">
      <w:pPr>
        <w:numPr>
          <w:ilvl w:val="0"/>
          <w:numId w:val="66"/>
        </w:numPr>
        <w:spacing w:after="200" w:line="276" w:lineRule="auto"/>
        <w:rPr>
          <w:rFonts w:cs="Arial"/>
        </w:rPr>
      </w:pPr>
      <w:r w:rsidRPr="005730EC">
        <w:rPr>
          <w:rFonts w:cs="Arial"/>
        </w:rPr>
        <w:t>Forecasts – forecasting capabilities are established and measured during the market simulation.</w:t>
      </w:r>
    </w:p>
    <w:p w14:paraId="75E79036" w14:textId="77777777" w:rsidR="009A3F9F" w:rsidRPr="005730EC" w:rsidRDefault="009A3F9F" w:rsidP="00E80005">
      <w:pPr>
        <w:numPr>
          <w:ilvl w:val="0"/>
          <w:numId w:val="66"/>
        </w:numPr>
        <w:spacing w:after="200" w:line="276" w:lineRule="auto"/>
        <w:rPr>
          <w:rFonts w:cs="Arial"/>
        </w:rPr>
      </w:pPr>
      <w:r w:rsidRPr="005730EC">
        <w:rPr>
          <w:rFonts w:cs="Arial"/>
        </w:rPr>
        <w:t>Balanced Schedules– balanced schedule capabilities are measured during the market simulation.</w:t>
      </w:r>
    </w:p>
    <w:p w14:paraId="4F945D07" w14:textId="5B0AA5A1" w:rsidR="009A3F9F" w:rsidRPr="005730EC" w:rsidRDefault="009A3F9F" w:rsidP="00E80005">
      <w:pPr>
        <w:numPr>
          <w:ilvl w:val="0"/>
          <w:numId w:val="66"/>
        </w:numPr>
        <w:spacing w:after="200" w:line="276" w:lineRule="auto"/>
        <w:rPr>
          <w:rFonts w:cs="Arial"/>
        </w:rPr>
      </w:pPr>
      <w:r w:rsidRPr="005730EC">
        <w:rPr>
          <w:rFonts w:cs="Arial"/>
        </w:rPr>
        <w:t xml:space="preserve">Operating Procedures - the </w:t>
      </w:r>
      <w:r w:rsidRPr="004A6F2D">
        <w:rPr>
          <w:rFonts w:cs="Arial"/>
        </w:rPr>
        <w:t>prospective</w:t>
      </w:r>
      <w:r w:rsidR="005F24C1">
        <w:rPr>
          <w:rFonts w:cs="Arial"/>
        </w:rPr>
        <w:t xml:space="preserve"> WEIM </w:t>
      </w:r>
      <w:r w:rsidRPr="005730EC">
        <w:rPr>
          <w:rFonts w:cs="Arial"/>
        </w:rPr>
        <w:t xml:space="preserve">Entity and CAISO will review and test applicable operating procedures prior to the start of parallel </w:t>
      </w:r>
      <w:r>
        <w:rPr>
          <w:rFonts w:cs="Arial"/>
        </w:rPr>
        <w:t>operations</w:t>
      </w:r>
      <w:r w:rsidRPr="005730EC">
        <w:rPr>
          <w:rFonts w:cs="Arial"/>
        </w:rPr>
        <w:t xml:space="preserve">.   </w:t>
      </w:r>
    </w:p>
    <w:p w14:paraId="09C1C7AA" w14:textId="688B7345" w:rsidR="009A3F9F" w:rsidRPr="005730EC" w:rsidRDefault="009A3F9F" w:rsidP="00E80005">
      <w:pPr>
        <w:numPr>
          <w:ilvl w:val="0"/>
          <w:numId w:val="66"/>
        </w:numPr>
        <w:spacing w:after="200" w:line="276" w:lineRule="auto"/>
        <w:rPr>
          <w:rFonts w:cs="Arial"/>
        </w:rPr>
      </w:pPr>
      <w:r w:rsidRPr="005730EC">
        <w:rPr>
          <w:rFonts w:cs="Arial"/>
        </w:rPr>
        <w:t>System Readiness &amp; Integration - the</w:t>
      </w:r>
      <w:r>
        <w:rPr>
          <w:rFonts w:cs="Arial"/>
        </w:rPr>
        <w:t xml:space="preserve"> </w:t>
      </w:r>
      <w:r w:rsidRPr="00200458">
        <w:rPr>
          <w:rFonts w:cs="Arial"/>
        </w:rPr>
        <w:t>prospective</w:t>
      </w:r>
      <w:r w:rsidR="005F24C1">
        <w:rPr>
          <w:rFonts w:cs="Arial"/>
        </w:rPr>
        <w:t xml:space="preserve"> WEIM </w:t>
      </w:r>
      <w:r w:rsidRPr="005730EC">
        <w:rPr>
          <w:rFonts w:cs="Arial"/>
        </w:rPr>
        <w:t xml:space="preserve">Entity and CAISO will perform functional and system testing and system integration testing.      </w:t>
      </w:r>
    </w:p>
    <w:p w14:paraId="6A156A5F" w14:textId="5C906D87" w:rsidR="009A3F9F" w:rsidRPr="005730EC" w:rsidRDefault="009A3F9F" w:rsidP="00E80005">
      <w:pPr>
        <w:numPr>
          <w:ilvl w:val="0"/>
          <w:numId w:val="66"/>
        </w:numPr>
        <w:spacing w:after="200" w:line="276" w:lineRule="auto"/>
        <w:rPr>
          <w:rFonts w:cs="Arial"/>
        </w:rPr>
      </w:pPr>
      <w:r w:rsidRPr="005730EC">
        <w:rPr>
          <w:rFonts w:cs="Arial"/>
        </w:rPr>
        <w:t xml:space="preserve">Market Simulation - the CAISO will conduct a market simulation for the </w:t>
      </w:r>
      <w:r w:rsidRPr="00200458">
        <w:rPr>
          <w:rFonts w:cs="Arial"/>
        </w:rPr>
        <w:t>prospective</w:t>
      </w:r>
      <w:r w:rsidR="005F24C1">
        <w:rPr>
          <w:rFonts w:cs="Arial"/>
        </w:rPr>
        <w:t xml:space="preserve"> WEIM </w:t>
      </w:r>
      <w:r w:rsidRPr="005730EC">
        <w:rPr>
          <w:rFonts w:cs="Arial"/>
        </w:rPr>
        <w:t xml:space="preserve">Entity and any participating resource scheduling coordinators registered with the </w:t>
      </w:r>
      <w:r w:rsidRPr="00200458">
        <w:rPr>
          <w:rFonts w:cs="Arial"/>
        </w:rPr>
        <w:t>prospective</w:t>
      </w:r>
      <w:r w:rsidR="005F24C1">
        <w:rPr>
          <w:rFonts w:cs="Arial"/>
        </w:rPr>
        <w:t xml:space="preserve"> WEIM </w:t>
      </w:r>
      <w:r w:rsidRPr="005730EC">
        <w:rPr>
          <w:rFonts w:cs="Arial"/>
        </w:rPr>
        <w:t xml:space="preserve">Entity prior to that new </w:t>
      </w:r>
      <w:r w:rsidRPr="00200458">
        <w:rPr>
          <w:rFonts w:cs="Arial"/>
        </w:rPr>
        <w:t>prospective</w:t>
      </w:r>
      <w:r w:rsidR="005F24C1">
        <w:rPr>
          <w:rFonts w:cs="Arial"/>
        </w:rPr>
        <w:t xml:space="preserve"> WEIM </w:t>
      </w:r>
      <w:r w:rsidRPr="005730EC">
        <w:rPr>
          <w:rFonts w:cs="Arial"/>
        </w:rPr>
        <w:t xml:space="preserve">Entity entering EIM.  </w:t>
      </w:r>
    </w:p>
    <w:p w14:paraId="529E9F65" w14:textId="326EBF6D" w:rsidR="009A3F9F" w:rsidRPr="005730EC" w:rsidRDefault="009A3F9F" w:rsidP="00E80005">
      <w:pPr>
        <w:numPr>
          <w:ilvl w:val="0"/>
          <w:numId w:val="66"/>
        </w:numPr>
        <w:spacing w:after="200" w:line="276" w:lineRule="auto"/>
        <w:rPr>
          <w:rFonts w:cs="Arial"/>
        </w:rPr>
      </w:pPr>
      <w:r w:rsidRPr="005730EC">
        <w:rPr>
          <w:rFonts w:cs="Arial"/>
        </w:rPr>
        <w:t xml:space="preserve">Settlements – the CAISO submits a settlement statement to the </w:t>
      </w:r>
      <w:r>
        <w:rPr>
          <w:rFonts w:cs="Arial"/>
        </w:rPr>
        <w:t>prospective</w:t>
      </w:r>
      <w:r w:rsidR="005F24C1">
        <w:rPr>
          <w:rFonts w:cs="Arial"/>
        </w:rPr>
        <w:t xml:space="preserve"> WEIM </w:t>
      </w:r>
      <w:r w:rsidRPr="005730EC">
        <w:rPr>
          <w:rFonts w:cs="Arial"/>
        </w:rPr>
        <w:t>Entity including</w:t>
      </w:r>
      <w:r w:rsidR="005F24C1">
        <w:rPr>
          <w:rFonts w:cs="Arial"/>
        </w:rPr>
        <w:t xml:space="preserve"> WEIM </w:t>
      </w:r>
      <w:r w:rsidRPr="005730EC">
        <w:rPr>
          <w:rFonts w:cs="Arial"/>
        </w:rPr>
        <w:t xml:space="preserve">participating and non-participating resources and load.  The </w:t>
      </w:r>
      <w:r w:rsidRPr="00200458">
        <w:rPr>
          <w:rFonts w:cs="Arial"/>
        </w:rPr>
        <w:t>prospective</w:t>
      </w:r>
      <w:r w:rsidR="005F24C1">
        <w:rPr>
          <w:rFonts w:cs="Arial"/>
        </w:rPr>
        <w:t xml:space="preserve"> WEIM </w:t>
      </w:r>
      <w:r w:rsidRPr="005730EC">
        <w:rPr>
          <w:rFonts w:cs="Arial"/>
        </w:rPr>
        <w:t>Entity will verify the accuracy of the CAISO settlement statement to the</w:t>
      </w:r>
      <w:r>
        <w:rPr>
          <w:rFonts w:cs="Arial"/>
        </w:rPr>
        <w:t xml:space="preserve"> </w:t>
      </w:r>
      <w:r w:rsidRPr="00200458">
        <w:rPr>
          <w:rFonts w:cs="Arial"/>
        </w:rPr>
        <w:t>prospective</w:t>
      </w:r>
      <w:r w:rsidR="005F24C1">
        <w:rPr>
          <w:rFonts w:cs="Arial"/>
        </w:rPr>
        <w:t xml:space="preserve"> WEIM </w:t>
      </w:r>
      <w:r w:rsidRPr="005730EC">
        <w:rPr>
          <w:rFonts w:cs="Arial"/>
        </w:rPr>
        <w:t xml:space="preserve">Entity.  Prior to financially binding operations, the </w:t>
      </w:r>
      <w:r w:rsidRPr="00200458">
        <w:rPr>
          <w:rFonts w:cs="Arial"/>
        </w:rPr>
        <w:t>prospective</w:t>
      </w:r>
      <w:r w:rsidR="005F24C1">
        <w:rPr>
          <w:rFonts w:cs="Arial"/>
        </w:rPr>
        <w:t xml:space="preserve"> WEIM </w:t>
      </w:r>
      <w:r w:rsidRPr="005730EC">
        <w:rPr>
          <w:rFonts w:cs="Arial"/>
        </w:rPr>
        <w:t xml:space="preserve">Entity </w:t>
      </w:r>
      <w:r w:rsidRPr="005730EC">
        <w:rPr>
          <w:rFonts w:cs="Arial"/>
          <w:color w:val="000000"/>
        </w:rPr>
        <w:t xml:space="preserve">will demonstrate it can produce allocations of the </w:t>
      </w:r>
      <w:r w:rsidRPr="005730EC">
        <w:rPr>
          <w:rFonts w:cs="Arial"/>
        </w:rPr>
        <w:t xml:space="preserve">CAISO </w:t>
      </w:r>
      <w:r w:rsidRPr="005730EC">
        <w:rPr>
          <w:rFonts w:cs="Arial"/>
          <w:color w:val="000000"/>
        </w:rPr>
        <w:t xml:space="preserve">settlement to its customers that are verifiably accurate against available data.  </w:t>
      </w:r>
    </w:p>
    <w:p w14:paraId="2A55BA36" w14:textId="77777777" w:rsidR="009A3F9F" w:rsidRPr="005730EC" w:rsidRDefault="009A3F9F" w:rsidP="00E80005">
      <w:pPr>
        <w:numPr>
          <w:ilvl w:val="0"/>
          <w:numId w:val="66"/>
        </w:numPr>
        <w:spacing w:after="200" w:line="276" w:lineRule="auto"/>
        <w:rPr>
          <w:rFonts w:cs="Arial"/>
        </w:rPr>
      </w:pPr>
      <w:r w:rsidRPr="005730EC">
        <w:rPr>
          <w:rFonts w:cs="Arial"/>
        </w:rPr>
        <w:t>Monitoring – the CAISO ensures that the CAISO Market Analysis Team and the Department of Market Monitoring have the data that is required to adequately monitor market performance.</w:t>
      </w:r>
    </w:p>
    <w:p w14:paraId="35D57F43" w14:textId="258091AF" w:rsidR="009A3F9F" w:rsidRPr="005730EC" w:rsidRDefault="009A3F9F" w:rsidP="00E80005">
      <w:pPr>
        <w:numPr>
          <w:ilvl w:val="0"/>
          <w:numId w:val="66"/>
        </w:numPr>
        <w:spacing w:after="200" w:line="276" w:lineRule="auto"/>
        <w:rPr>
          <w:rFonts w:cs="Arial"/>
        </w:rPr>
      </w:pPr>
      <w:r w:rsidRPr="005730EC">
        <w:rPr>
          <w:rFonts w:cs="Arial"/>
        </w:rPr>
        <w:t xml:space="preserve">Parallel Operations Planning – the CAISO and </w:t>
      </w:r>
      <w:r w:rsidRPr="00200458">
        <w:rPr>
          <w:rFonts w:cs="Arial"/>
        </w:rPr>
        <w:t>prospective</w:t>
      </w:r>
      <w:r w:rsidR="005F24C1">
        <w:rPr>
          <w:rFonts w:cs="Arial"/>
        </w:rPr>
        <w:t xml:space="preserve"> WEIM </w:t>
      </w:r>
      <w:r w:rsidRPr="005730EC">
        <w:rPr>
          <w:rFonts w:cs="Arial"/>
        </w:rPr>
        <w:t xml:space="preserve">Entity ensure that systems, processes and staff are prepared for deployment of systems, parallel </w:t>
      </w:r>
      <w:r>
        <w:rPr>
          <w:rFonts w:cs="Arial"/>
        </w:rPr>
        <w:t>operations</w:t>
      </w:r>
      <w:r w:rsidRPr="005730EC">
        <w:rPr>
          <w:rFonts w:cs="Arial"/>
        </w:rPr>
        <w:t>, and support beyond parallel operations for issues that may arise.</w:t>
      </w:r>
    </w:p>
    <w:p w14:paraId="5A7FF86B" w14:textId="1632DB55" w:rsidR="009A3F9F" w:rsidRDefault="009A3F9F" w:rsidP="00E80005">
      <w:pPr>
        <w:numPr>
          <w:ilvl w:val="0"/>
          <w:numId w:val="66"/>
        </w:numPr>
        <w:spacing w:after="200" w:line="276" w:lineRule="auto"/>
        <w:rPr>
          <w:rFonts w:cs="Arial"/>
        </w:rPr>
      </w:pPr>
      <w:r w:rsidRPr="005730EC">
        <w:rPr>
          <w:rFonts w:cs="Arial"/>
        </w:rPr>
        <w:lastRenderedPageBreak/>
        <w:t xml:space="preserve">Communication - the CAISO and </w:t>
      </w:r>
      <w:r w:rsidRPr="00200458">
        <w:rPr>
          <w:rFonts w:cs="Arial"/>
        </w:rPr>
        <w:t>prospective</w:t>
      </w:r>
      <w:r w:rsidR="005F24C1">
        <w:rPr>
          <w:rFonts w:cs="Arial"/>
        </w:rPr>
        <w:t xml:space="preserve"> WEIM </w:t>
      </w:r>
      <w:r w:rsidRPr="005730EC">
        <w:rPr>
          <w:rFonts w:cs="Arial"/>
        </w:rPr>
        <w:t xml:space="preserve">Entity ensure all tools and procedures used for communication between the CAISO and </w:t>
      </w:r>
      <w:r w:rsidRPr="00200458">
        <w:rPr>
          <w:rFonts w:cs="Arial"/>
        </w:rPr>
        <w:t>prospective</w:t>
      </w:r>
      <w:r w:rsidR="005F24C1">
        <w:rPr>
          <w:rFonts w:cs="Arial"/>
        </w:rPr>
        <w:t xml:space="preserve"> WEIM </w:t>
      </w:r>
      <w:r w:rsidRPr="005730EC">
        <w:rPr>
          <w:rFonts w:cs="Arial"/>
        </w:rPr>
        <w:t>Entity are in place and tested before the implementation date</w:t>
      </w:r>
    </w:p>
    <w:p w14:paraId="7A69FADB" w14:textId="58CC91CB" w:rsidR="009A3F9F" w:rsidRPr="009A3F9F" w:rsidRDefault="009A3F9F" w:rsidP="00E80005">
      <w:pPr>
        <w:numPr>
          <w:ilvl w:val="0"/>
          <w:numId w:val="66"/>
        </w:numPr>
        <w:spacing w:after="200" w:line="276" w:lineRule="auto"/>
        <w:rPr>
          <w:rFonts w:cs="Arial"/>
        </w:rPr>
      </w:pPr>
      <w:r w:rsidRPr="009A3F9F">
        <w:rPr>
          <w:rFonts w:cs="Arial"/>
          <w:color w:val="000000"/>
        </w:rPr>
        <w:t>EIM Available Balancing Capacity – the CAISO and the prospective</w:t>
      </w:r>
      <w:r w:rsidR="005F24C1">
        <w:rPr>
          <w:rFonts w:cs="Arial"/>
          <w:color w:val="000000"/>
        </w:rPr>
        <w:t xml:space="preserve"> WEIM </w:t>
      </w:r>
      <w:r w:rsidRPr="009A3F9F">
        <w:rPr>
          <w:rFonts w:cs="Arial"/>
          <w:color w:val="000000"/>
        </w:rPr>
        <w:t>Entity register resources that the prospective</w:t>
      </w:r>
      <w:r w:rsidR="005F24C1">
        <w:rPr>
          <w:rFonts w:cs="Arial"/>
          <w:color w:val="000000"/>
        </w:rPr>
        <w:t xml:space="preserve"> WEIM </w:t>
      </w:r>
      <w:r w:rsidRPr="009A3F9F">
        <w:rPr>
          <w:rFonts w:cs="Arial"/>
          <w:color w:val="000000"/>
        </w:rPr>
        <w:t>Entity intends to identify as</w:t>
      </w:r>
      <w:r w:rsidR="005F24C1">
        <w:rPr>
          <w:rFonts w:cs="Arial"/>
          <w:color w:val="000000"/>
        </w:rPr>
        <w:t xml:space="preserve"> WEIM </w:t>
      </w:r>
      <w:r w:rsidRPr="009A3F9F">
        <w:rPr>
          <w:rFonts w:cs="Arial"/>
          <w:color w:val="000000"/>
        </w:rPr>
        <w:t>Available Balancing Capacity in the</w:t>
      </w:r>
      <w:r w:rsidR="005F24C1">
        <w:rPr>
          <w:rFonts w:cs="Arial"/>
          <w:color w:val="000000"/>
        </w:rPr>
        <w:t xml:space="preserve"> WEIM </w:t>
      </w:r>
      <w:r w:rsidRPr="009A3F9F">
        <w:rPr>
          <w:rFonts w:cs="Arial"/>
          <w:color w:val="000000"/>
        </w:rPr>
        <w:t>Resource Plan.</w:t>
      </w:r>
    </w:p>
    <w:p w14:paraId="4EC9A988" w14:textId="77777777" w:rsidR="0046473E" w:rsidRPr="00276804" w:rsidRDefault="0046473E" w:rsidP="00276804">
      <w:pPr>
        <w:pStyle w:val="ParaText"/>
      </w:pPr>
    </w:p>
    <w:p w14:paraId="2979978E" w14:textId="77777777" w:rsidR="0040008D" w:rsidRDefault="0040008D" w:rsidP="0040008D">
      <w:pPr>
        <w:pStyle w:val="Heading2"/>
      </w:pPr>
      <w:bookmarkStart w:id="2277" w:name="_Toc229054533"/>
      <w:r>
        <w:t>Readiness Metrics, Criteria, and Thresholds</w:t>
      </w:r>
      <w:bookmarkEnd w:id="2277"/>
    </w:p>
    <w:tbl>
      <w:tblPr>
        <w:tblW w:w="10242" w:type="dxa"/>
        <w:tblLayout w:type="fixed"/>
        <w:tblLook w:val="04A0" w:firstRow="1" w:lastRow="0" w:firstColumn="1" w:lastColumn="0" w:noHBand="0" w:noVBand="1"/>
      </w:tblPr>
      <w:tblGrid>
        <w:gridCol w:w="1260"/>
        <w:gridCol w:w="1440"/>
        <w:gridCol w:w="2142"/>
        <w:gridCol w:w="2538"/>
        <w:gridCol w:w="2862"/>
      </w:tblGrid>
      <w:tr w:rsidR="001028EC" w:rsidRPr="005730EC" w14:paraId="3A3ACCA2" w14:textId="77777777" w:rsidTr="009E26DA">
        <w:trPr>
          <w:trHeight w:val="780"/>
          <w:tblHeader/>
        </w:trPr>
        <w:tc>
          <w:tcPr>
            <w:tcW w:w="1260" w:type="dxa"/>
            <w:tcBorders>
              <w:top w:val="single" w:sz="4" w:space="0" w:color="auto"/>
              <w:left w:val="single" w:sz="4" w:space="0" w:color="auto"/>
              <w:bottom w:val="single" w:sz="4" w:space="0" w:color="auto"/>
              <w:right w:val="single" w:sz="4" w:space="0" w:color="auto"/>
            </w:tcBorders>
            <w:shd w:val="clear" w:color="auto" w:fill="8EAADB"/>
            <w:hideMark/>
          </w:tcPr>
          <w:p w14:paraId="38B7F190" w14:textId="77777777" w:rsidR="001028EC" w:rsidRPr="005730EC" w:rsidRDefault="001028EC" w:rsidP="00701AB3">
            <w:pPr>
              <w:jc w:val="center"/>
              <w:rPr>
                <w:rFonts w:cs="Arial"/>
                <w:b/>
                <w:sz w:val="20"/>
              </w:rPr>
            </w:pPr>
            <w:r w:rsidRPr="005730EC">
              <w:rPr>
                <w:rFonts w:cs="Arial"/>
                <w:b/>
                <w:sz w:val="20"/>
              </w:rPr>
              <w:t>Readiness Criterion Identifier</w:t>
            </w:r>
          </w:p>
        </w:tc>
        <w:tc>
          <w:tcPr>
            <w:tcW w:w="1440" w:type="dxa"/>
            <w:tcBorders>
              <w:top w:val="single" w:sz="4" w:space="0" w:color="auto"/>
              <w:left w:val="nil"/>
              <w:bottom w:val="single" w:sz="4" w:space="0" w:color="auto"/>
              <w:right w:val="single" w:sz="4" w:space="0" w:color="auto"/>
            </w:tcBorders>
            <w:shd w:val="clear" w:color="auto" w:fill="8EAADB"/>
            <w:hideMark/>
          </w:tcPr>
          <w:p w14:paraId="03BAE607" w14:textId="77777777" w:rsidR="001028EC" w:rsidRPr="005730EC" w:rsidRDefault="001028EC" w:rsidP="00701AB3">
            <w:pPr>
              <w:jc w:val="center"/>
              <w:rPr>
                <w:rFonts w:cs="Arial"/>
                <w:b/>
                <w:sz w:val="20"/>
              </w:rPr>
            </w:pPr>
            <w:r w:rsidRPr="005730EC">
              <w:rPr>
                <w:rFonts w:cs="Arial"/>
                <w:b/>
                <w:sz w:val="20"/>
              </w:rPr>
              <w:t>Readiness Category</w:t>
            </w:r>
          </w:p>
        </w:tc>
        <w:tc>
          <w:tcPr>
            <w:tcW w:w="2142" w:type="dxa"/>
            <w:tcBorders>
              <w:top w:val="single" w:sz="4" w:space="0" w:color="auto"/>
              <w:left w:val="nil"/>
              <w:bottom w:val="single" w:sz="4" w:space="0" w:color="auto"/>
              <w:right w:val="single" w:sz="4" w:space="0" w:color="auto"/>
            </w:tcBorders>
            <w:shd w:val="clear" w:color="auto" w:fill="8EAADB"/>
            <w:hideMark/>
          </w:tcPr>
          <w:p w14:paraId="34173D50" w14:textId="77777777" w:rsidR="001028EC" w:rsidRPr="005730EC" w:rsidRDefault="001028EC" w:rsidP="00701AB3">
            <w:pPr>
              <w:jc w:val="center"/>
              <w:rPr>
                <w:rFonts w:cs="Arial"/>
                <w:b/>
                <w:sz w:val="20"/>
              </w:rPr>
            </w:pPr>
            <w:r w:rsidRPr="005730EC">
              <w:rPr>
                <w:rFonts w:cs="Arial"/>
                <w:b/>
                <w:sz w:val="20"/>
              </w:rPr>
              <w:t>Criteria</w:t>
            </w:r>
          </w:p>
        </w:tc>
        <w:tc>
          <w:tcPr>
            <w:tcW w:w="2538" w:type="dxa"/>
            <w:tcBorders>
              <w:top w:val="single" w:sz="4" w:space="0" w:color="auto"/>
              <w:left w:val="nil"/>
              <w:bottom w:val="single" w:sz="4" w:space="0" w:color="auto"/>
              <w:right w:val="single" w:sz="4" w:space="0" w:color="auto"/>
            </w:tcBorders>
            <w:shd w:val="clear" w:color="auto" w:fill="8EAADB"/>
            <w:hideMark/>
          </w:tcPr>
          <w:p w14:paraId="7A97E453" w14:textId="77777777" w:rsidR="001028EC" w:rsidRPr="005730EC" w:rsidRDefault="001028EC" w:rsidP="00701AB3">
            <w:pPr>
              <w:jc w:val="center"/>
              <w:rPr>
                <w:rFonts w:cs="Arial"/>
                <w:b/>
                <w:sz w:val="20"/>
              </w:rPr>
            </w:pPr>
            <w:r>
              <w:rPr>
                <w:rFonts w:cs="Arial"/>
                <w:b/>
                <w:sz w:val="20"/>
              </w:rPr>
              <w:t>Measurable Elements</w:t>
            </w:r>
          </w:p>
        </w:tc>
        <w:tc>
          <w:tcPr>
            <w:tcW w:w="2862" w:type="dxa"/>
            <w:tcBorders>
              <w:top w:val="single" w:sz="4" w:space="0" w:color="auto"/>
              <w:left w:val="nil"/>
              <w:bottom w:val="single" w:sz="4" w:space="0" w:color="auto"/>
              <w:right w:val="single" w:sz="4" w:space="0" w:color="auto"/>
            </w:tcBorders>
            <w:shd w:val="clear" w:color="auto" w:fill="8EAADB"/>
            <w:hideMark/>
          </w:tcPr>
          <w:p w14:paraId="301F422F" w14:textId="77777777" w:rsidR="001028EC" w:rsidRPr="005730EC" w:rsidRDefault="001028EC" w:rsidP="00701AB3">
            <w:pPr>
              <w:jc w:val="center"/>
              <w:rPr>
                <w:rFonts w:cs="Arial"/>
                <w:b/>
                <w:sz w:val="20"/>
              </w:rPr>
            </w:pPr>
            <w:r w:rsidRPr="005730EC">
              <w:rPr>
                <w:rFonts w:cs="Arial"/>
                <w:b/>
                <w:sz w:val="20"/>
              </w:rPr>
              <w:t>Threshold*</w:t>
            </w:r>
          </w:p>
        </w:tc>
      </w:tr>
      <w:tr w:rsidR="001028EC" w:rsidRPr="005730EC" w14:paraId="2BC8179D" w14:textId="77777777" w:rsidTr="009E26DA">
        <w:trPr>
          <w:trHeight w:val="1530"/>
        </w:trPr>
        <w:tc>
          <w:tcPr>
            <w:tcW w:w="1260" w:type="dxa"/>
            <w:tcBorders>
              <w:top w:val="nil"/>
              <w:left w:val="single" w:sz="4" w:space="0" w:color="auto"/>
              <w:bottom w:val="single" w:sz="4" w:space="0" w:color="auto"/>
              <w:right w:val="single" w:sz="4" w:space="0" w:color="auto"/>
            </w:tcBorders>
            <w:noWrap/>
            <w:hideMark/>
          </w:tcPr>
          <w:p w14:paraId="7CC9283B" w14:textId="77777777" w:rsidR="001028EC" w:rsidRPr="005730EC" w:rsidRDefault="001028EC" w:rsidP="00701AB3">
            <w:pPr>
              <w:jc w:val="center"/>
              <w:rPr>
                <w:rFonts w:cs="Arial"/>
                <w:color w:val="000000"/>
                <w:sz w:val="20"/>
              </w:rPr>
            </w:pPr>
            <w:r w:rsidRPr="005730EC">
              <w:rPr>
                <w:rFonts w:cs="Arial"/>
                <w:color w:val="000000"/>
                <w:sz w:val="20"/>
              </w:rPr>
              <w:t>1</w:t>
            </w:r>
          </w:p>
        </w:tc>
        <w:tc>
          <w:tcPr>
            <w:tcW w:w="1440" w:type="dxa"/>
            <w:tcBorders>
              <w:top w:val="nil"/>
              <w:left w:val="nil"/>
              <w:bottom w:val="single" w:sz="4" w:space="0" w:color="auto"/>
              <w:right w:val="single" w:sz="4" w:space="0" w:color="auto"/>
            </w:tcBorders>
            <w:hideMark/>
          </w:tcPr>
          <w:p w14:paraId="4C196747" w14:textId="58FA25AA" w:rsidR="001028EC" w:rsidRPr="005730EC" w:rsidRDefault="001028EC" w:rsidP="00701AB3">
            <w:pPr>
              <w:rPr>
                <w:rFonts w:cs="Arial"/>
                <w:color w:val="000000"/>
                <w:sz w:val="20"/>
              </w:rPr>
            </w:pPr>
            <w:r>
              <w:rPr>
                <w:rFonts w:cs="Arial"/>
                <w:color w:val="000000"/>
                <w:sz w:val="20"/>
              </w:rPr>
              <w:t>Prospective</w:t>
            </w:r>
            <w:r w:rsidR="005F24C1">
              <w:rPr>
                <w:rFonts w:cs="Arial"/>
                <w:color w:val="000000"/>
                <w:sz w:val="20"/>
              </w:rPr>
              <w:t xml:space="preserve"> WEIM </w:t>
            </w:r>
            <w:r w:rsidRPr="005730EC">
              <w:rPr>
                <w:rFonts w:cs="Arial"/>
                <w:color w:val="000000"/>
                <w:sz w:val="20"/>
              </w:rPr>
              <w:t>Entity Full Network Model Integration</w:t>
            </w:r>
          </w:p>
        </w:tc>
        <w:tc>
          <w:tcPr>
            <w:tcW w:w="2142" w:type="dxa"/>
            <w:tcBorders>
              <w:top w:val="nil"/>
              <w:left w:val="nil"/>
              <w:bottom w:val="single" w:sz="4" w:space="0" w:color="auto"/>
              <w:right w:val="single" w:sz="4" w:space="0" w:color="auto"/>
            </w:tcBorders>
            <w:hideMark/>
          </w:tcPr>
          <w:p w14:paraId="059BF4C6" w14:textId="77777777" w:rsidR="001028EC" w:rsidRPr="005730EC" w:rsidRDefault="001028EC" w:rsidP="00701AB3">
            <w:pPr>
              <w:rPr>
                <w:rFonts w:cs="Arial"/>
                <w:color w:val="000000"/>
                <w:sz w:val="20"/>
              </w:rPr>
            </w:pPr>
            <w:r w:rsidRPr="005730EC">
              <w:rPr>
                <w:rFonts w:cs="Arial"/>
                <w:color w:val="000000"/>
                <w:sz w:val="20"/>
              </w:rPr>
              <w:t>Generation, Interchange and Load comparison</w:t>
            </w:r>
          </w:p>
        </w:tc>
        <w:tc>
          <w:tcPr>
            <w:tcW w:w="2538" w:type="dxa"/>
            <w:tcBorders>
              <w:top w:val="nil"/>
              <w:left w:val="nil"/>
              <w:bottom w:val="single" w:sz="4" w:space="0" w:color="auto"/>
              <w:right w:val="single" w:sz="4" w:space="0" w:color="auto"/>
            </w:tcBorders>
            <w:hideMark/>
          </w:tcPr>
          <w:p w14:paraId="4B0A0B92" w14:textId="547D9D48" w:rsidR="001028EC" w:rsidRPr="005730EC" w:rsidRDefault="001028EC" w:rsidP="00701AB3">
            <w:pPr>
              <w:rPr>
                <w:rFonts w:cs="Arial"/>
                <w:color w:val="000000"/>
                <w:sz w:val="20"/>
              </w:rPr>
            </w:pPr>
            <w:r w:rsidRPr="005730EC">
              <w:rPr>
                <w:rFonts w:cs="Arial"/>
                <w:sz w:val="20"/>
              </w:rPr>
              <w:t>Load,</w:t>
            </w:r>
            <w:r w:rsidR="005F24C1">
              <w:rPr>
                <w:rFonts w:cs="Arial"/>
                <w:sz w:val="20"/>
              </w:rPr>
              <w:t xml:space="preserve"> WEIM </w:t>
            </w:r>
            <w:r w:rsidRPr="005730EC">
              <w:rPr>
                <w:rFonts w:cs="Arial"/>
                <w:sz w:val="20"/>
              </w:rPr>
              <w:t>Internal Intertie and</w:t>
            </w:r>
            <w:r w:rsidR="005F24C1">
              <w:rPr>
                <w:rFonts w:cs="Arial"/>
                <w:sz w:val="20"/>
              </w:rPr>
              <w:t xml:space="preserve"> WEIM </w:t>
            </w:r>
            <w:r w:rsidRPr="005730EC">
              <w:rPr>
                <w:rFonts w:cs="Arial"/>
                <w:sz w:val="20"/>
              </w:rPr>
              <w:t>External Interties, and Generating Unit definition in the Full Network Model is consistent with the Load,</w:t>
            </w:r>
            <w:r w:rsidR="005F24C1">
              <w:rPr>
                <w:rFonts w:cs="Arial"/>
                <w:sz w:val="20"/>
              </w:rPr>
              <w:t xml:space="preserve"> WEIM </w:t>
            </w:r>
            <w:r w:rsidRPr="005730EC">
              <w:rPr>
                <w:rFonts w:cs="Arial"/>
                <w:sz w:val="20"/>
              </w:rPr>
              <w:t>Internal Intertie and</w:t>
            </w:r>
            <w:r w:rsidR="005F24C1">
              <w:rPr>
                <w:rFonts w:cs="Arial"/>
                <w:sz w:val="20"/>
              </w:rPr>
              <w:t xml:space="preserve"> WEIM </w:t>
            </w:r>
            <w:r w:rsidRPr="005730EC">
              <w:rPr>
                <w:rFonts w:cs="Arial"/>
                <w:sz w:val="20"/>
              </w:rPr>
              <w:t>External Interties, and Generating Unit</w:t>
            </w:r>
            <w:r w:rsidRPr="005730EC" w:rsidDel="004E4396">
              <w:rPr>
                <w:rFonts w:cs="Arial"/>
                <w:sz w:val="20"/>
              </w:rPr>
              <w:t xml:space="preserve"> </w:t>
            </w:r>
            <w:r w:rsidRPr="005730EC">
              <w:rPr>
                <w:rFonts w:cs="Arial"/>
                <w:sz w:val="20"/>
              </w:rPr>
              <w:t xml:space="preserve">definition in the exported </w:t>
            </w:r>
            <w:r>
              <w:rPr>
                <w:rFonts w:cs="Arial"/>
                <w:sz w:val="20"/>
              </w:rPr>
              <w:t>prospective</w:t>
            </w:r>
            <w:r w:rsidR="005F24C1">
              <w:rPr>
                <w:rFonts w:cs="Arial"/>
                <w:sz w:val="20"/>
              </w:rPr>
              <w:t xml:space="preserve"> WEIM </w:t>
            </w:r>
            <w:r w:rsidRPr="005730EC">
              <w:rPr>
                <w:rFonts w:cs="Arial"/>
                <w:sz w:val="20"/>
              </w:rPr>
              <w:t>Entity network model file</w:t>
            </w:r>
            <w:r>
              <w:rPr>
                <w:rFonts w:cs="Arial"/>
                <w:sz w:val="20"/>
              </w:rPr>
              <w:t xml:space="preserve"> </w:t>
            </w:r>
            <w:r w:rsidRPr="00B74B5C">
              <w:rPr>
                <w:rFonts w:cs="Arial"/>
                <w:sz w:val="20"/>
              </w:rPr>
              <w:t>that it delivered to the CAISO</w:t>
            </w:r>
            <w:r>
              <w:rPr>
                <w:rFonts w:cs="Arial"/>
                <w:sz w:val="20"/>
              </w:rPr>
              <w:t>.</w:t>
            </w:r>
          </w:p>
        </w:tc>
        <w:tc>
          <w:tcPr>
            <w:tcW w:w="2862" w:type="dxa"/>
            <w:tcBorders>
              <w:top w:val="nil"/>
              <w:left w:val="nil"/>
              <w:bottom w:val="single" w:sz="4" w:space="0" w:color="auto"/>
              <w:right w:val="single" w:sz="4" w:space="0" w:color="auto"/>
            </w:tcBorders>
            <w:hideMark/>
          </w:tcPr>
          <w:p w14:paraId="5B6AD05B" w14:textId="77777777" w:rsidR="001028EC" w:rsidRPr="005730EC" w:rsidRDefault="001028EC" w:rsidP="00701AB3">
            <w:pPr>
              <w:rPr>
                <w:rFonts w:cs="Arial"/>
                <w:color w:val="000000"/>
                <w:sz w:val="20"/>
              </w:rPr>
            </w:pPr>
            <w:r w:rsidRPr="005730EC">
              <w:rPr>
                <w:rFonts w:cs="Arial"/>
                <w:color w:val="000000"/>
                <w:sz w:val="20"/>
              </w:rPr>
              <w:t>Data matches within 10%, measured in MW capacity to start parallel operation, and within 5% before full activation. Discrepancies, if any, are accounted for in terms of imbalance adjustment</w:t>
            </w:r>
          </w:p>
        </w:tc>
      </w:tr>
      <w:tr w:rsidR="001028EC" w:rsidRPr="005730EC" w14:paraId="38EC80CB" w14:textId="77777777" w:rsidTr="009E26DA">
        <w:trPr>
          <w:trHeight w:val="1530"/>
        </w:trPr>
        <w:tc>
          <w:tcPr>
            <w:tcW w:w="1260" w:type="dxa"/>
            <w:tcBorders>
              <w:top w:val="nil"/>
              <w:left w:val="single" w:sz="4" w:space="0" w:color="auto"/>
              <w:bottom w:val="single" w:sz="4" w:space="0" w:color="auto"/>
              <w:right w:val="single" w:sz="4" w:space="0" w:color="auto"/>
            </w:tcBorders>
            <w:noWrap/>
            <w:hideMark/>
          </w:tcPr>
          <w:p w14:paraId="363EB2BC" w14:textId="77777777" w:rsidR="001028EC" w:rsidRPr="005730EC" w:rsidRDefault="001028EC" w:rsidP="00701AB3">
            <w:pPr>
              <w:jc w:val="center"/>
              <w:rPr>
                <w:rFonts w:cs="Arial"/>
                <w:color w:val="000000"/>
                <w:sz w:val="20"/>
              </w:rPr>
            </w:pPr>
            <w:r w:rsidRPr="005730EC">
              <w:rPr>
                <w:rFonts w:cs="Arial"/>
                <w:color w:val="000000"/>
                <w:sz w:val="20"/>
              </w:rPr>
              <w:t>2</w:t>
            </w:r>
          </w:p>
        </w:tc>
        <w:tc>
          <w:tcPr>
            <w:tcW w:w="1440" w:type="dxa"/>
            <w:tcBorders>
              <w:top w:val="nil"/>
              <w:left w:val="nil"/>
              <w:bottom w:val="single" w:sz="4" w:space="0" w:color="auto"/>
              <w:right w:val="single" w:sz="4" w:space="0" w:color="auto"/>
            </w:tcBorders>
            <w:hideMark/>
          </w:tcPr>
          <w:p w14:paraId="1E5BA1D4" w14:textId="2BCC6114" w:rsidR="001028EC" w:rsidRPr="005730EC" w:rsidRDefault="001028EC" w:rsidP="00701AB3">
            <w:pPr>
              <w:rPr>
                <w:rFonts w:cs="Arial"/>
                <w:color w:val="000000"/>
                <w:sz w:val="20"/>
              </w:rPr>
            </w:pPr>
            <w:r>
              <w:rPr>
                <w:rFonts w:cs="Arial"/>
                <w:color w:val="000000"/>
                <w:sz w:val="20"/>
              </w:rPr>
              <w:t>Prospective</w:t>
            </w:r>
            <w:r w:rsidR="005F24C1">
              <w:rPr>
                <w:rFonts w:cs="Arial"/>
                <w:color w:val="000000"/>
                <w:sz w:val="20"/>
              </w:rPr>
              <w:t xml:space="preserve"> WEIM </w:t>
            </w:r>
            <w:r w:rsidRPr="005730EC">
              <w:rPr>
                <w:rFonts w:cs="Arial"/>
                <w:color w:val="000000"/>
                <w:sz w:val="20"/>
              </w:rPr>
              <w:t>Entity Full Network Model Integration</w:t>
            </w:r>
          </w:p>
        </w:tc>
        <w:tc>
          <w:tcPr>
            <w:tcW w:w="2142" w:type="dxa"/>
            <w:tcBorders>
              <w:top w:val="nil"/>
              <w:left w:val="nil"/>
              <w:bottom w:val="single" w:sz="4" w:space="0" w:color="auto"/>
              <w:right w:val="single" w:sz="4" w:space="0" w:color="auto"/>
            </w:tcBorders>
            <w:hideMark/>
          </w:tcPr>
          <w:p w14:paraId="3C5BF917" w14:textId="77777777" w:rsidR="001028EC" w:rsidRPr="005730EC" w:rsidRDefault="001028EC" w:rsidP="00701AB3">
            <w:pPr>
              <w:rPr>
                <w:rFonts w:cs="Arial"/>
                <w:color w:val="000000"/>
                <w:sz w:val="20"/>
              </w:rPr>
            </w:pPr>
            <w:r w:rsidRPr="005730EC">
              <w:rPr>
                <w:rFonts w:cs="Arial"/>
                <w:color w:val="000000"/>
                <w:sz w:val="20"/>
              </w:rPr>
              <w:t>Comparison of SCADA measurement</w:t>
            </w:r>
          </w:p>
        </w:tc>
        <w:tc>
          <w:tcPr>
            <w:tcW w:w="2538" w:type="dxa"/>
            <w:tcBorders>
              <w:top w:val="nil"/>
              <w:left w:val="nil"/>
              <w:bottom w:val="single" w:sz="4" w:space="0" w:color="auto"/>
              <w:right w:val="single" w:sz="4" w:space="0" w:color="auto"/>
            </w:tcBorders>
            <w:hideMark/>
          </w:tcPr>
          <w:p w14:paraId="2F6FAE3D" w14:textId="6C1E8985" w:rsidR="001028EC" w:rsidRPr="005730EC" w:rsidRDefault="001028EC" w:rsidP="00701AB3">
            <w:pPr>
              <w:rPr>
                <w:rFonts w:cs="Arial"/>
                <w:color w:val="000000"/>
                <w:sz w:val="20"/>
              </w:rPr>
            </w:pPr>
            <w:r w:rsidRPr="005730EC">
              <w:rPr>
                <w:rFonts w:cs="Arial"/>
                <w:color w:val="000000"/>
                <w:sz w:val="20"/>
              </w:rPr>
              <w:t xml:space="preserve">SCADA measurements used in </w:t>
            </w:r>
            <w:r w:rsidRPr="00FB5685">
              <w:rPr>
                <w:rFonts w:cs="Arial"/>
                <w:sz w:val="20"/>
              </w:rPr>
              <w:t>prospective</w:t>
            </w:r>
            <w:r w:rsidR="005F24C1">
              <w:rPr>
                <w:rFonts w:cs="Arial"/>
              </w:rPr>
              <w:t xml:space="preserve"> WEIM </w:t>
            </w:r>
            <w:r w:rsidRPr="005730EC">
              <w:rPr>
                <w:rFonts w:cs="Arial"/>
                <w:color w:val="000000"/>
                <w:sz w:val="20"/>
              </w:rPr>
              <w:t>Entity EMS model match the measurements observed by the CAISO through the CAISO EMS model</w:t>
            </w:r>
          </w:p>
        </w:tc>
        <w:tc>
          <w:tcPr>
            <w:tcW w:w="2862" w:type="dxa"/>
            <w:tcBorders>
              <w:top w:val="nil"/>
              <w:left w:val="nil"/>
              <w:bottom w:val="single" w:sz="4" w:space="0" w:color="auto"/>
              <w:right w:val="single" w:sz="4" w:space="0" w:color="auto"/>
            </w:tcBorders>
            <w:hideMark/>
          </w:tcPr>
          <w:p w14:paraId="6A7C2D8E" w14:textId="77777777" w:rsidR="001028EC" w:rsidRPr="005730EC" w:rsidRDefault="001028EC" w:rsidP="00701AB3">
            <w:pPr>
              <w:rPr>
                <w:rFonts w:cs="Arial"/>
                <w:color w:val="000000"/>
                <w:sz w:val="20"/>
              </w:rPr>
            </w:pPr>
            <w:r w:rsidRPr="005730EC">
              <w:rPr>
                <w:rFonts w:cs="Arial"/>
                <w:color w:val="000000"/>
                <w:sz w:val="20"/>
              </w:rPr>
              <w:t xml:space="preserve">Critical and used SCADA measurements match 90% to start parallel operation and 95% before full activation, measured in MW, outside of any exception in EMS model </w:t>
            </w:r>
          </w:p>
        </w:tc>
      </w:tr>
      <w:tr w:rsidR="001028EC" w:rsidRPr="005730EC" w14:paraId="32E85A05" w14:textId="77777777" w:rsidTr="009E26DA">
        <w:trPr>
          <w:trHeight w:val="278"/>
        </w:trPr>
        <w:tc>
          <w:tcPr>
            <w:tcW w:w="1260" w:type="dxa"/>
            <w:tcBorders>
              <w:top w:val="nil"/>
              <w:left w:val="single" w:sz="4" w:space="0" w:color="auto"/>
              <w:bottom w:val="single" w:sz="4" w:space="0" w:color="auto"/>
              <w:right w:val="single" w:sz="4" w:space="0" w:color="auto"/>
            </w:tcBorders>
            <w:noWrap/>
            <w:hideMark/>
          </w:tcPr>
          <w:p w14:paraId="6415CE46" w14:textId="77777777" w:rsidR="001028EC" w:rsidRPr="005730EC" w:rsidRDefault="001028EC" w:rsidP="00701AB3">
            <w:pPr>
              <w:jc w:val="center"/>
              <w:rPr>
                <w:rFonts w:cs="Arial"/>
                <w:color w:val="000000"/>
                <w:sz w:val="20"/>
              </w:rPr>
            </w:pPr>
            <w:r w:rsidRPr="005730EC">
              <w:rPr>
                <w:rFonts w:cs="Arial"/>
                <w:color w:val="000000"/>
                <w:sz w:val="20"/>
              </w:rPr>
              <w:t>3</w:t>
            </w:r>
          </w:p>
        </w:tc>
        <w:tc>
          <w:tcPr>
            <w:tcW w:w="1440" w:type="dxa"/>
            <w:tcBorders>
              <w:top w:val="nil"/>
              <w:left w:val="nil"/>
              <w:bottom w:val="single" w:sz="4" w:space="0" w:color="auto"/>
              <w:right w:val="single" w:sz="4" w:space="0" w:color="auto"/>
            </w:tcBorders>
            <w:hideMark/>
          </w:tcPr>
          <w:p w14:paraId="33974E2A" w14:textId="7B1D3A04" w:rsidR="001028EC" w:rsidRPr="005730EC" w:rsidRDefault="001028EC" w:rsidP="00701AB3">
            <w:pPr>
              <w:rPr>
                <w:rFonts w:cs="Arial"/>
                <w:color w:val="000000"/>
                <w:sz w:val="20"/>
              </w:rPr>
            </w:pPr>
            <w:r w:rsidRPr="00FB5685">
              <w:rPr>
                <w:rFonts w:cs="Arial"/>
                <w:sz w:val="20"/>
              </w:rPr>
              <w:t>Prospective</w:t>
            </w:r>
            <w:r w:rsidR="005F24C1">
              <w:rPr>
                <w:rFonts w:cs="Arial"/>
              </w:rPr>
              <w:t xml:space="preserve"> WEIM </w:t>
            </w:r>
            <w:r w:rsidRPr="005730EC">
              <w:rPr>
                <w:rFonts w:cs="Arial"/>
                <w:color w:val="000000"/>
                <w:sz w:val="20"/>
              </w:rPr>
              <w:t>Entity</w:t>
            </w:r>
            <w:r>
              <w:rPr>
                <w:rFonts w:cs="Arial"/>
                <w:color w:val="000000"/>
                <w:sz w:val="20"/>
              </w:rPr>
              <w:t xml:space="preserve"> </w:t>
            </w:r>
            <w:r w:rsidRPr="005730EC">
              <w:rPr>
                <w:rFonts w:cs="Arial"/>
                <w:color w:val="000000"/>
                <w:sz w:val="20"/>
              </w:rPr>
              <w:t>Full Network Model Integration</w:t>
            </w:r>
          </w:p>
        </w:tc>
        <w:tc>
          <w:tcPr>
            <w:tcW w:w="2142" w:type="dxa"/>
            <w:tcBorders>
              <w:top w:val="nil"/>
              <w:left w:val="nil"/>
              <w:bottom w:val="single" w:sz="4" w:space="0" w:color="auto"/>
              <w:right w:val="single" w:sz="4" w:space="0" w:color="auto"/>
            </w:tcBorders>
            <w:hideMark/>
          </w:tcPr>
          <w:p w14:paraId="4E9E68F7" w14:textId="77777777" w:rsidR="001028EC" w:rsidRPr="005730EC" w:rsidRDefault="001028EC" w:rsidP="00701AB3">
            <w:pPr>
              <w:rPr>
                <w:rFonts w:cs="Arial"/>
                <w:color w:val="000000"/>
                <w:sz w:val="20"/>
              </w:rPr>
            </w:pPr>
            <w:r w:rsidRPr="005730EC">
              <w:rPr>
                <w:rFonts w:cs="Arial"/>
                <w:color w:val="000000"/>
                <w:sz w:val="20"/>
              </w:rPr>
              <w:t xml:space="preserve">State Estimator solution </w:t>
            </w:r>
          </w:p>
        </w:tc>
        <w:tc>
          <w:tcPr>
            <w:tcW w:w="2538" w:type="dxa"/>
            <w:tcBorders>
              <w:top w:val="nil"/>
              <w:left w:val="nil"/>
              <w:bottom w:val="single" w:sz="4" w:space="0" w:color="auto"/>
              <w:right w:val="single" w:sz="4" w:space="0" w:color="auto"/>
            </w:tcBorders>
            <w:hideMark/>
          </w:tcPr>
          <w:p w14:paraId="2E2D9F0D" w14:textId="74A89F32" w:rsidR="001028EC" w:rsidRPr="005730EC" w:rsidRDefault="001028EC" w:rsidP="00701AB3">
            <w:pPr>
              <w:rPr>
                <w:rFonts w:cs="Arial"/>
                <w:color w:val="000000"/>
                <w:sz w:val="20"/>
              </w:rPr>
            </w:pPr>
            <w:r w:rsidRPr="005730EC">
              <w:rPr>
                <w:rFonts w:cs="Arial"/>
                <w:sz w:val="20"/>
              </w:rPr>
              <w:t xml:space="preserve">CAISO state estimator solution is equivalent or superior to the </w:t>
            </w:r>
            <w:r w:rsidRPr="00FB5685">
              <w:rPr>
                <w:rFonts w:cs="Arial"/>
                <w:sz w:val="20"/>
              </w:rPr>
              <w:t>prospective</w:t>
            </w:r>
            <w:r w:rsidR="005F24C1">
              <w:rPr>
                <w:rFonts w:cs="Arial"/>
              </w:rPr>
              <w:t xml:space="preserve"> WEIM </w:t>
            </w:r>
            <w:r w:rsidRPr="005730EC">
              <w:rPr>
                <w:rFonts w:cs="Arial"/>
                <w:sz w:val="20"/>
              </w:rPr>
              <w:t xml:space="preserve">Entity state </w:t>
            </w:r>
            <w:r w:rsidRPr="005730EC">
              <w:rPr>
                <w:rFonts w:cs="Arial"/>
                <w:sz w:val="20"/>
              </w:rPr>
              <w:lastRenderedPageBreak/>
              <w:t>estimator solution for its Balancing Authority Area.</w:t>
            </w:r>
          </w:p>
        </w:tc>
        <w:tc>
          <w:tcPr>
            <w:tcW w:w="2862" w:type="dxa"/>
            <w:tcBorders>
              <w:top w:val="nil"/>
              <w:left w:val="nil"/>
              <w:bottom w:val="single" w:sz="4" w:space="0" w:color="auto"/>
              <w:right w:val="single" w:sz="4" w:space="0" w:color="auto"/>
            </w:tcBorders>
            <w:hideMark/>
          </w:tcPr>
          <w:p w14:paraId="273B8EF7" w14:textId="77777777" w:rsidR="001028EC" w:rsidRPr="005730EC" w:rsidRDefault="001028EC" w:rsidP="00701AB3">
            <w:pPr>
              <w:rPr>
                <w:rFonts w:cs="Arial"/>
                <w:color w:val="000000"/>
                <w:sz w:val="20"/>
              </w:rPr>
            </w:pPr>
            <w:r w:rsidRPr="005730EC">
              <w:rPr>
                <w:rFonts w:cs="Arial"/>
                <w:color w:val="000000"/>
                <w:sz w:val="20"/>
              </w:rPr>
              <w:lastRenderedPageBreak/>
              <w:t xml:space="preserve">State Estimator solutions converge &gt;90% of the time in two days before parallel operation and three days before full activation. Solution differences within 10% before </w:t>
            </w:r>
            <w:r w:rsidRPr="005730EC">
              <w:rPr>
                <w:rFonts w:cs="Arial"/>
                <w:color w:val="000000"/>
                <w:sz w:val="20"/>
              </w:rPr>
              <w:lastRenderedPageBreak/>
              <w:t>parallel operation and 5% before full activation measured in MW or justified due to different external BAA modeling</w:t>
            </w:r>
          </w:p>
        </w:tc>
      </w:tr>
      <w:tr w:rsidR="001028EC" w:rsidRPr="005730EC" w14:paraId="72A2FCD5" w14:textId="77777777" w:rsidTr="009E26DA">
        <w:trPr>
          <w:trHeight w:val="1530"/>
        </w:trPr>
        <w:tc>
          <w:tcPr>
            <w:tcW w:w="1260" w:type="dxa"/>
            <w:tcBorders>
              <w:top w:val="nil"/>
              <w:left w:val="single" w:sz="4" w:space="0" w:color="auto"/>
              <w:bottom w:val="single" w:sz="4" w:space="0" w:color="auto"/>
              <w:right w:val="single" w:sz="4" w:space="0" w:color="auto"/>
            </w:tcBorders>
            <w:noWrap/>
            <w:hideMark/>
          </w:tcPr>
          <w:p w14:paraId="16D245D0" w14:textId="77777777" w:rsidR="001028EC" w:rsidRPr="005730EC" w:rsidRDefault="001028EC" w:rsidP="00701AB3">
            <w:pPr>
              <w:jc w:val="center"/>
              <w:rPr>
                <w:rFonts w:cs="Arial"/>
                <w:color w:val="000000"/>
                <w:sz w:val="20"/>
              </w:rPr>
            </w:pPr>
            <w:r w:rsidRPr="005730EC">
              <w:rPr>
                <w:rFonts w:cs="Arial"/>
                <w:color w:val="000000"/>
                <w:sz w:val="20"/>
              </w:rPr>
              <w:lastRenderedPageBreak/>
              <w:t>4</w:t>
            </w:r>
          </w:p>
        </w:tc>
        <w:tc>
          <w:tcPr>
            <w:tcW w:w="1440" w:type="dxa"/>
            <w:tcBorders>
              <w:top w:val="nil"/>
              <w:left w:val="nil"/>
              <w:bottom w:val="single" w:sz="4" w:space="0" w:color="auto"/>
              <w:right w:val="single" w:sz="4" w:space="0" w:color="auto"/>
            </w:tcBorders>
            <w:hideMark/>
          </w:tcPr>
          <w:p w14:paraId="1BCD07CB" w14:textId="31F1B184" w:rsidR="001028EC" w:rsidRPr="00BF725A" w:rsidRDefault="001028EC" w:rsidP="00701AB3">
            <w:pPr>
              <w:rPr>
                <w:rFonts w:cs="Arial"/>
                <w:color w:val="000000"/>
                <w:sz w:val="20"/>
              </w:rPr>
            </w:pPr>
            <w:r w:rsidRPr="00B75CE0">
              <w:rPr>
                <w:rFonts w:cs="Arial"/>
                <w:sz w:val="20"/>
              </w:rPr>
              <w:t>Prospective</w:t>
            </w:r>
            <w:r w:rsidR="005F24C1">
              <w:rPr>
                <w:rFonts w:cs="Arial"/>
                <w:sz w:val="20"/>
              </w:rPr>
              <w:t xml:space="preserve"> WEIM </w:t>
            </w:r>
            <w:r w:rsidRPr="00B75CE0">
              <w:rPr>
                <w:rFonts w:cs="Arial"/>
                <w:color w:val="000000"/>
                <w:sz w:val="20"/>
              </w:rPr>
              <w:t xml:space="preserve">Entity </w:t>
            </w:r>
            <w:r w:rsidRPr="003C21CC">
              <w:rPr>
                <w:rFonts w:cs="Arial"/>
                <w:color w:val="000000"/>
                <w:sz w:val="20"/>
              </w:rPr>
              <w:t>Full Network Model Integration</w:t>
            </w:r>
          </w:p>
        </w:tc>
        <w:tc>
          <w:tcPr>
            <w:tcW w:w="2142" w:type="dxa"/>
            <w:tcBorders>
              <w:top w:val="nil"/>
              <w:left w:val="nil"/>
              <w:bottom w:val="single" w:sz="4" w:space="0" w:color="auto"/>
              <w:right w:val="single" w:sz="4" w:space="0" w:color="auto"/>
            </w:tcBorders>
            <w:hideMark/>
          </w:tcPr>
          <w:p w14:paraId="23B0B84F" w14:textId="77777777" w:rsidR="001028EC" w:rsidRPr="00637054" w:rsidRDefault="001028EC" w:rsidP="00701AB3">
            <w:pPr>
              <w:rPr>
                <w:rFonts w:cs="Arial"/>
                <w:color w:val="000000"/>
                <w:sz w:val="20"/>
              </w:rPr>
            </w:pPr>
            <w:r w:rsidRPr="00C83084">
              <w:rPr>
                <w:rFonts w:cs="Arial"/>
                <w:color w:val="000000"/>
                <w:sz w:val="20"/>
              </w:rPr>
              <w:t>Non-Conforming Load, Behind-the-Met</w:t>
            </w:r>
            <w:r w:rsidRPr="002030A6">
              <w:rPr>
                <w:rFonts w:cs="Arial"/>
                <w:color w:val="000000"/>
                <w:sz w:val="20"/>
              </w:rPr>
              <w:t>er Generation, Pseudo Ties, and Dynamic Schedules</w:t>
            </w:r>
          </w:p>
        </w:tc>
        <w:tc>
          <w:tcPr>
            <w:tcW w:w="2538" w:type="dxa"/>
            <w:tcBorders>
              <w:top w:val="nil"/>
              <w:left w:val="nil"/>
              <w:bottom w:val="single" w:sz="4" w:space="0" w:color="auto"/>
              <w:right w:val="single" w:sz="4" w:space="0" w:color="auto"/>
            </w:tcBorders>
            <w:hideMark/>
          </w:tcPr>
          <w:p w14:paraId="4D9B8611" w14:textId="5D2FD5D8" w:rsidR="001028EC" w:rsidRPr="00BF725A" w:rsidRDefault="001028EC" w:rsidP="00701AB3">
            <w:pPr>
              <w:rPr>
                <w:rFonts w:cs="Arial"/>
                <w:color w:val="000000"/>
                <w:sz w:val="20"/>
              </w:rPr>
            </w:pPr>
            <w:r w:rsidRPr="00594716">
              <w:rPr>
                <w:rFonts w:cs="Arial"/>
                <w:color w:val="000000"/>
                <w:sz w:val="20"/>
              </w:rPr>
              <w:t xml:space="preserve">Physical representation of the </w:t>
            </w:r>
            <w:r w:rsidRPr="00B75CE0">
              <w:rPr>
                <w:rFonts w:cs="Arial"/>
                <w:sz w:val="20"/>
              </w:rPr>
              <w:t>prospective</w:t>
            </w:r>
            <w:r w:rsidR="005F24C1">
              <w:rPr>
                <w:rFonts w:cs="Arial"/>
                <w:sz w:val="20"/>
              </w:rPr>
              <w:t xml:space="preserve"> WEIM </w:t>
            </w:r>
            <w:r w:rsidRPr="00B75CE0">
              <w:rPr>
                <w:rFonts w:cs="Arial"/>
                <w:color w:val="000000"/>
                <w:sz w:val="20"/>
              </w:rPr>
              <w:t>Entity</w:t>
            </w:r>
            <w:r>
              <w:rPr>
                <w:rFonts w:cs="Arial"/>
                <w:color w:val="000000"/>
                <w:sz w:val="20"/>
              </w:rPr>
              <w:t>’s</w:t>
            </w:r>
            <w:r w:rsidRPr="00B75CE0">
              <w:rPr>
                <w:rFonts w:cs="Arial"/>
                <w:color w:val="000000"/>
                <w:sz w:val="20"/>
              </w:rPr>
              <w:t xml:space="preserve"> </w:t>
            </w:r>
            <w:r w:rsidRPr="003C21CC">
              <w:rPr>
                <w:rFonts w:cs="Arial"/>
                <w:color w:val="000000"/>
                <w:sz w:val="20"/>
              </w:rPr>
              <w:t xml:space="preserve">network matches the Base Market Model that accounts for non-conforming load, behind-the-meter generation, </w:t>
            </w:r>
            <w:r>
              <w:rPr>
                <w:rFonts w:cs="Arial"/>
                <w:color w:val="000000"/>
                <w:sz w:val="20"/>
              </w:rPr>
              <w:t>p</w:t>
            </w:r>
            <w:r w:rsidRPr="003C21CC">
              <w:rPr>
                <w:rFonts w:cs="Arial"/>
                <w:color w:val="000000"/>
                <w:sz w:val="20"/>
              </w:rPr>
              <w:t>seudo-</w:t>
            </w:r>
            <w:r>
              <w:rPr>
                <w:rFonts w:cs="Arial"/>
                <w:color w:val="000000"/>
                <w:sz w:val="20"/>
              </w:rPr>
              <w:t>t</w:t>
            </w:r>
            <w:r w:rsidRPr="003C21CC">
              <w:rPr>
                <w:rFonts w:cs="Arial"/>
                <w:color w:val="000000"/>
                <w:sz w:val="20"/>
              </w:rPr>
              <w:t xml:space="preserve">ies, </w:t>
            </w:r>
            <w:r w:rsidRPr="005C46D3">
              <w:rPr>
                <w:rFonts w:cs="Arial"/>
                <w:color w:val="000000"/>
                <w:sz w:val="20"/>
              </w:rPr>
              <w:t xml:space="preserve">and </w:t>
            </w:r>
            <w:r>
              <w:rPr>
                <w:rFonts w:cs="Arial"/>
                <w:color w:val="000000"/>
                <w:sz w:val="20"/>
              </w:rPr>
              <w:t>d</w:t>
            </w:r>
            <w:r w:rsidRPr="005C46D3">
              <w:rPr>
                <w:rFonts w:cs="Arial"/>
                <w:color w:val="000000"/>
                <w:sz w:val="20"/>
              </w:rPr>
              <w:t xml:space="preserve">ynamic </w:t>
            </w:r>
            <w:r>
              <w:rPr>
                <w:rFonts w:cs="Arial"/>
                <w:color w:val="000000"/>
                <w:sz w:val="20"/>
              </w:rPr>
              <w:t>s</w:t>
            </w:r>
            <w:r w:rsidRPr="005C46D3">
              <w:rPr>
                <w:rFonts w:cs="Arial"/>
                <w:color w:val="000000"/>
                <w:sz w:val="20"/>
              </w:rPr>
              <w:t xml:space="preserve">chedules, </w:t>
            </w:r>
            <w:r w:rsidRPr="004A6F2D">
              <w:rPr>
                <w:rFonts w:cs="Arial"/>
                <w:sz w:val="20"/>
              </w:rPr>
              <w:t>and third party transmission service provider and path operator information</w:t>
            </w:r>
            <w:r>
              <w:rPr>
                <w:rFonts w:cs="Arial"/>
                <w:sz w:val="20"/>
              </w:rPr>
              <w:t xml:space="preserve"> that supports</w:t>
            </w:r>
            <w:r w:rsidR="005F24C1">
              <w:rPr>
                <w:rFonts w:cs="Arial"/>
                <w:sz w:val="20"/>
              </w:rPr>
              <w:t xml:space="preserve"> WEIM </w:t>
            </w:r>
            <w:r>
              <w:rPr>
                <w:rFonts w:cs="Arial"/>
                <w:sz w:val="20"/>
              </w:rPr>
              <w:t>Transfers and Real-Time Dispatch in</w:t>
            </w:r>
            <w:r w:rsidRPr="004A6F2D">
              <w:rPr>
                <w:rFonts w:cs="Arial"/>
                <w:sz w:val="20"/>
              </w:rPr>
              <w:t xml:space="preserve"> the </w:t>
            </w:r>
            <w:r w:rsidR="005F24C1">
              <w:rPr>
                <w:rFonts w:cs="Arial"/>
                <w:sz w:val="20"/>
              </w:rPr>
              <w:t>Western Energy Imbalance Market</w:t>
            </w:r>
            <w:r w:rsidRPr="004A6F2D">
              <w:rPr>
                <w:rFonts w:cs="Arial"/>
                <w:sz w:val="20"/>
              </w:rPr>
              <w:t>, as applicable</w:t>
            </w:r>
          </w:p>
        </w:tc>
        <w:tc>
          <w:tcPr>
            <w:tcW w:w="2862" w:type="dxa"/>
            <w:tcBorders>
              <w:top w:val="nil"/>
              <w:left w:val="nil"/>
              <w:bottom w:val="single" w:sz="4" w:space="0" w:color="auto"/>
              <w:right w:val="single" w:sz="4" w:space="0" w:color="auto"/>
            </w:tcBorders>
            <w:hideMark/>
          </w:tcPr>
          <w:p w14:paraId="62730C12" w14:textId="13BD8F4F" w:rsidR="001028EC" w:rsidRPr="00C83084" w:rsidRDefault="001028EC" w:rsidP="00701AB3">
            <w:pPr>
              <w:rPr>
                <w:rFonts w:cs="Arial"/>
                <w:color w:val="000000"/>
                <w:sz w:val="20"/>
              </w:rPr>
            </w:pPr>
            <w:r>
              <w:rPr>
                <w:rFonts w:cs="Arial"/>
                <w:color w:val="000000"/>
                <w:sz w:val="20"/>
              </w:rPr>
              <w:t>Prospective</w:t>
            </w:r>
            <w:r w:rsidR="005F24C1">
              <w:rPr>
                <w:rFonts w:cs="Arial"/>
                <w:color w:val="000000"/>
                <w:sz w:val="20"/>
              </w:rPr>
              <w:t xml:space="preserve"> WEIM </w:t>
            </w:r>
            <w:r w:rsidRPr="00C83084">
              <w:rPr>
                <w:rFonts w:cs="Arial"/>
                <w:color w:val="000000"/>
                <w:sz w:val="20"/>
              </w:rPr>
              <w:t xml:space="preserve">Entity major non-conforming loads &gt; 5% of </w:t>
            </w:r>
            <w:r>
              <w:rPr>
                <w:rFonts w:cs="Arial"/>
                <w:color w:val="000000"/>
                <w:sz w:val="20"/>
              </w:rPr>
              <w:t>prospective</w:t>
            </w:r>
            <w:r w:rsidR="005F24C1">
              <w:rPr>
                <w:rFonts w:cs="Arial"/>
                <w:color w:val="000000"/>
                <w:sz w:val="20"/>
              </w:rPr>
              <w:t xml:space="preserve"> WEIM </w:t>
            </w:r>
            <w:r w:rsidRPr="00C83084">
              <w:rPr>
                <w:rFonts w:cs="Arial"/>
                <w:color w:val="000000"/>
                <w:sz w:val="20"/>
              </w:rPr>
              <w:t>Entity total actual load in MW are modeled separately from conforming load in market model</w:t>
            </w:r>
          </w:p>
        </w:tc>
      </w:tr>
      <w:tr w:rsidR="001028EC" w:rsidRPr="005730EC" w14:paraId="7A46E537" w14:textId="77777777" w:rsidTr="009E26DA">
        <w:trPr>
          <w:trHeight w:val="1275"/>
        </w:trPr>
        <w:tc>
          <w:tcPr>
            <w:tcW w:w="1260" w:type="dxa"/>
            <w:tcBorders>
              <w:top w:val="nil"/>
              <w:left w:val="single" w:sz="4" w:space="0" w:color="auto"/>
              <w:bottom w:val="single" w:sz="4" w:space="0" w:color="auto"/>
              <w:right w:val="single" w:sz="4" w:space="0" w:color="auto"/>
            </w:tcBorders>
            <w:shd w:val="clear" w:color="000000" w:fill="FFFFFF"/>
            <w:noWrap/>
            <w:hideMark/>
          </w:tcPr>
          <w:p w14:paraId="71CA5F9A" w14:textId="77777777" w:rsidR="001028EC" w:rsidRPr="005730EC" w:rsidRDefault="001028EC" w:rsidP="00701AB3">
            <w:pPr>
              <w:jc w:val="center"/>
              <w:rPr>
                <w:rFonts w:cs="Arial"/>
                <w:color w:val="000000"/>
                <w:sz w:val="20"/>
              </w:rPr>
            </w:pPr>
            <w:r w:rsidRPr="005730EC">
              <w:rPr>
                <w:rFonts w:cs="Arial"/>
                <w:color w:val="000000"/>
                <w:sz w:val="20"/>
              </w:rPr>
              <w:t>5</w:t>
            </w:r>
          </w:p>
        </w:tc>
        <w:tc>
          <w:tcPr>
            <w:tcW w:w="1440" w:type="dxa"/>
            <w:tcBorders>
              <w:top w:val="nil"/>
              <w:left w:val="nil"/>
              <w:bottom w:val="single" w:sz="4" w:space="0" w:color="auto"/>
              <w:right w:val="single" w:sz="4" w:space="0" w:color="auto"/>
            </w:tcBorders>
            <w:hideMark/>
          </w:tcPr>
          <w:p w14:paraId="7BC28A42" w14:textId="77777777" w:rsidR="001028EC" w:rsidRPr="005730EC" w:rsidRDefault="001028EC" w:rsidP="00701AB3">
            <w:pPr>
              <w:rPr>
                <w:rFonts w:cs="Arial"/>
                <w:color w:val="000000"/>
                <w:sz w:val="20"/>
              </w:rPr>
            </w:pPr>
            <w:r w:rsidRPr="005730EC">
              <w:rPr>
                <w:rFonts w:cs="Arial"/>
                <w:color w:val="000000"/>
                <w:sz w:val="20"/>
              </w:rPr>
              <w:t>Agreements</w:t>
            </w:r>
          </w:p>
        </w:tc>
        <w:tc>
          <w:tcPr>
            <w:tcW w:w="2142" w:type="dxa"/>
            <w:tcBorders>
              <w:top w:val="nil"/>
              <w:left w:val="nil"/>
              <w:bottom w:val="single" w:sz="4" w:space="0" w:color="auto"/>
              <w:right w:val="single" w:sz="4" w:space="0" w:color="auto"/>
            </w:tcBorders>
            <w:hideMark/>
          </w:tcPr>
          <w:p w14:paraId="713EF4CB" w14:textId="77777777" w:rsidR="001028EC" w:rsidRPr="005730EC" w:rsidRDefault="001028EC" w:rsidP="00701AB3">
            <w:pPr>
              <w:rPr>
                <w:rFonts w:cs="Arial"/>
                <w:color w:val="000000"/>
                <w:sz w:val="20"/>
              </w:rPr>
            </w:pPr>
            <w:r w:rsidRPr="005730EC">
              <w:rPr>
                <w:rFonts w:cs="Arial"/>
                <w:color w:val="000000"/>
                <w:sz w:val="20"/>
              </w:rPr>
              <w:t>Execution of Necessary Agreements</w:t>
            </w:r>
          </w:p>
        </w:tc>
        <w:tc>
          <w:tcPr>
            <w:tcW w:w="2538" w:type="dxa"/>
            <w:tcBorders>
              <w:top w:val="nil"/>
              <w:left w:val="nil"/>
              <w:bottom w:val="single" w:sz="4" w:space="0" w:color="auto"/>
              <w:right w:val="single" w:sz="4" w:space="0" w:color="auto"/>
            </w:tcBorders>
            <w:hideMark/>
          </w:tcPr>
          <w:p w14:paraId="17420277" w14:textId="3A693E74" w:rsidR="001028EC" w:rsidRPr="005730EC" w:rsidRDefault="001028EC" w:rsidP="00701AB3">
            <w:pPr>
              <w:rPr>
                <w:rFonts w:cs="Arial"/>
                <w:color w:val="000000"/>
                <w:sz w:val="20"/>
              </w:rPr>
            </w:pPr>
            <w:r w:rsidRPr="005730EC">
              <w:rPr>
                <w:rFonts w:cs="Arial"/>
                <w:color w:val="000000"/>
                <w:sz w:val="20"/>
              </w:rPr>
              <w:t>The</w:t>
            </w:r>
            <w:r>
              <w:rPr>
                <w:rFonts w:cs="Arial"/>
                <w:color w:val="000000"/>
                <w:sz w:val="20"/>
              </w:rPr>
              <w:t xml:space="preserve"> </w:t>
            </w:r>
            <w:r w:rsidRPr="004A6F2D">
              <w:rPr>
                <w:rFonts w:cs="Arial"/>
                <w:sz w:val="20"/>
              </w:rPr>
              <w:t>prospective</w:t>
            </w:r>
            <w:r w:rsidR="005F24C1">
              <w:rPr>
                <w:rFonts w:cs="Arial"/>
                <w:color w:val="000000"/>
                <w:sz w:val="20"/>
              </w:rPr>
              <w:t xml:space="preserve"> WEIM </w:t>
            </w:r>
            <w:r w:rsidRPr="005730EC">
              <w:rPr>
                <w:rFonts w:cs="Arial"/>
                <w:color w:val="000000"/>
                <w:sz w:val="20"/>
              </w:rPr>
              <w:t>Entity has executed all necessary agreements.</w:t>
            </w:r>
          </w:p>
        </w:tc>
        <w:tc>
          <w:tcPr>
            <w:tcW w:w="2862" w:type="dxa"/>
            <w:tcBorders>
              <w:top w:val="nil"/>
              <w:left w:val="nil"/>
              <w:bottom w:val="single" w:sz="4" w:space="0" w:color="auto"/>
              <w:right w:val="single" w:sz="4" w:space="0" w:color="auto"/>
            </w:tcBorders>
            <w:hideMark/>
          </w:tcPr>
          <w:p w14:paraId="5A65464D" w14:textId="2C14A956" w:rsidR="001028EC" w:rsidRPr="005730EC" w:rsidRDefault="001028EC" w:rsidP="00701AB3">
            <w:pPr>
              <w:rPr>
                <w:rFonts w:cs="Arial"/>
                <w:color w:val="000000"/>
                <w:sz w:val="20"/>
              </w:rPr>
            </w:pPr>
            <w:r w:rsidRPr="005730EC">
              <w:rPr>
                <w:rFonts w:cs="Arial"/>
                <w:color w:val="000000"/>
                <w:sz w:val="20"/>
              </w:rPr>
              <w:t xml:space="preserve">The </w:t>
            </w:r>
            <w:r w:rsidRPr="00FB5685">
              <w:rPr>
                <w:rFonts w:cs="Arial"/>
                <w:sz w:val="20"/>
              </w:rPr>
              <w:t>prospective</w:t>
            </w:r>
            <w:r w:rsidR="005F24C1">
              <w:rPr>
                <w:rFonts w:cs="Arial"/>
              </w:rPr>
              <w:t xml:space="preserve"> WEIM </w:t>
            </w:r>
            <w:r w:rsidRPr="005730EC">
              <w:rPr>
                <w:rFonts w:cs="Arial"/>
                <w:color w:val="000000"/>
                <w:sz w:val="20"/>
              </w:rPr>
              <w:t>Entity will execute all agreements, as outlined in Section 5 of the</w:t>
            </w:r>
            <w:r w:rsidR="005F24C1">
              <w:rPr>
                <w:rFonts w:cs="Arial"/>
                <w:color w:val="000000"/>
                <w:sz w:val="20"/>
              </w:rPr>
              <w:t xml:space="preserve"> WEIM </w:t>
            </w:r>
            <w:r w:rsidRPr="005730EC">
              <w:rPr>
                <w:rFonts w:cs="Arial"/>
                <w:color w:val="000000"/>
                <w:sz w:val="20"/>
              </w:rPr>
              <w:t>BPM within the required timelines outlined in Section 5.</w:t>
            </w:r>
          </w:p>
        </w:tc>
      </w:tr>
      <w:tr w:rsidR="001028EC" w:rsidRPr="005730EC" w14:paraId="54EEF9DD" w14:textId="77777777" w:rsidTr="009E26DA">
        <w:trPr>
          <w:trHeight w:val="350"/>
        </w:trPr>
        <w:tc>
          <w:tcPr>
            <w:tcW w:w="1260" w:type="dxa"/>
            <w:tcBorders>
              <w:top w:val="nil"/>
              <w:left w:val="single" w:sz="4" w:space="0" w:color="auto"/>
              <w:bottom w:val="single" w:sz="4" w:space="0" w:color="auto"/>
              <w:right w:val="single" w:sz="4" w:space="0" w:color="auto"/>
            </w:tcBorders>
            <w:shd w:val="clear" w:color="000000" w:fill="FFFFFF"/>
            <w:noWrap/>
            <w:hideMark/>
          </w:tcPr>
          <w:p w14:paraId="0CD468BE" w14:textId="77777777" w:rsidR="001028EC" w:rsidRPr="005730EC" w:rsidRDefault="001028EC" w:rsidP="00701AB3">
            <w:pPr>
              <w:jc w:val="center"/>
              <w:rPr>
                <w:rFonts w:cs="Arial"/>
                <w:color w:val="000000"/>
                <w:sz w:val="20"/>
              </w:rPr>
            </w:pPr>
            <w:r w:rsidRPr="005730EC">
              <w:rPr>
                <w:rFonts w:cs="Arial"/>
                <w:color w:val="000000"/>
                <w:sz w:val="20"/>
              </w:rPr>
              <w:t>6</w:t>
            </w:r>
          </w:p>
        </w:tc>
        <w:tc>
          <w:tcPr>
            <w:tcW w:w="1440" w:type="dxa"/>
            <w:tcBorders>
              <w:top w:val="nil"/>
              <w:left w:val="nil"/>
              <w:bottom w:val="single" w:sz="4" w:space="0" w:color="auto"/>
              <w:right w:val="single" w:sz="4" w:space="0" w:color="auto"/>
            </w:tcBorders>
            <w:hideMark/>
          </w:tcPr>
          <w:p w14:paraId="4BC2FAF1" w14:textId="77777777" w:rsidR="001028EC" w:rsidRPr="005730EC" w:rsidRDefault="001028EC" w:rsidP="00701AB3">
            <w:pPr>
              <w:rPr>
                <w:rFonts w:cs="Arial"/>
                <w:color w:val="000000"/>
                <w:sz w:val="20"/>
              </w:rPr>
            </w:pPr>
            <w:r w:rsidRPr="005730EC">
              <w:rPr>
                <w:rFonts w:cs="Arial"/>
                <w:color w:val="000000"/>
                <w:sz w:val="20"/>
              </w:rPr>
              <w:t>Operations Training</w:t>
            </w:r>
          </w:p>
        </w:tc>
        <w:tc>
          <w:tcPr>
            <w:tcW w:w="2142" w:type="dxa"/>
            <w:tcBorders>
              <w:top w:val="nil"/>
              <w:left w:val="nil"/>
              <w:bottom w:val="single" w:sz="4" w:space="0" w:color="auto"/>
              <w:right w:val="single" w:sz="4" w:space="0" w:color="auto"/>
            </w:tcBorders>
            <w:hideMark/>
          </w:tcPr>
          <w:p w14:paraId="1221D90E" w14:textId="77777777" w:rsidR="001028EC" w:rsidRPr="005730EC" w:rsidRDefault="001028EC" w:rsidP="00701AB3">
            <w:pPr>
              <w:rPr>
                <w:rFonts w:cs="Arial"/>
                <w:color w:val="000000"/>
                <w:sz w:val="20"/>
              </w:rPr>
            </w:pPr>
            <w:r>
              <w:rPr>
                <w:rFonts w:cs="Arial"/>
                <w:color w:val="000000"/>
                <w:sz w:val="20"/>
              </w:rPr>
              <w:t>Completion of m</w:t>
            </w:r>
            <w:r w:rsidRPr="005730EC">
              <w:rPr>
                <w:rFonts w:cs="Arial"/>
                <w:color w:val="000000"/>
                <w:sz w:val="20"/>
              </w:rPr>
              <w:t xml:space="preserve">andatory </w:t>
            </w:r>
            <w:r>
              <w:rPr>
                <w:rFonts w:cs="Arial"/>
                <w:color w:val="000000"/>
                <w:sz w:val="20"/>
              </w:rPr>
              <w:t xml:space="preserve">training </w:t>
            </w:r>
            <w:r w:rsidRPr="005730EC">
              <w:rPr>
                <w:rFonts w:cs="Arial"/>
                <w:color w:val="000000"/>
                <w:sz w:val="20"/>
              </w:rPr>
              <w:t xml:space="preserve">courses </w:t>
            </w:r>
          </w:p>
        </w:tc>
        <w:tc>
          <w:tcPr>
            <w:tcW w:w="2538" w:type="dxa"/>
            <w:tcBorders>
              <w:top w:val="nil"/>
              <w:left w:val="nil"/>
              <w:bottom w:val="single" w:sz="4" w:space="0" w:color="auto"/>
              <w:right w:val="single" w:sz="4" w:space="0" w:color="auto"/>
            </w:tcBorders>
            <w:hideMark/>
          </w:tcPr>
          <w:p w14:paraId="379097F9" w14:textId="300D257F" w:rsidR="001028EC" w:rsidRPr="005730EC" w:rsidRDefault="001028EC" w:rsidP="00701AB3">
            <w:pPr>
              <w:rPr>
                <w:rFonts w:cs="Arial"/>
                <w:color w:val="000000"/>
                <w:sz w:val="20"/>
              </w:rPr>
            </w:pPr>
            <w:r w:rsidRPr="004A6F2D">
              <w:rPr>
                <w:rFonts w:cs="Arial"/>
                <w:sz w:val="20"/>
              </w:rPr>
              <w:t>Prospective</w:t>
            </w:r>
            <w:r w:rsidR="005F24C1">
              <w:rPr>
                <w:rFonts w:cs="Arial"/>
              </w:rPr>
              <w:t xml:space="preserve"> WEIM </w:t>
            </w:r>
            <w:r w:rsidRPr="005730EC">
              <w:rPr>
                <w:rFonts w:cs="Arial"/>
                <w:color w:val="000000"/>
                <w:sz w:val="20"/>
              </w:rPr>
              <w:t xml:space="preserve">Entity </w:t>
            </w:r>
            <w:r>
              <w:rPr>
                <w:rFonts w:cs="Arial"/>
                <w:color w:val="000000"/>
                <w:sz w:val="20"/>
              </w:rPr>
              <w:t>o</w:t>
            </w:r>
            <w:r w:rsidRPr="005C46D3">
              <w:rPr>
                <w:rFonts w:cs="Arial"/>
                <w:color w:val="000000"/>
                <w:sz w:val="20"/>
              </w:rPr>
              <w:t xml:space="preserve">perators </w:t>
            </w:r>
            <w:r w:rsidRPr="004A6F2D">
              <w:rPr>
                <w:rFonts w:cs="Arial"/>
                <w:sz w:val="20"/>
              </w:rPr>
              <w:t>who will have responsibility for</w:t>
            </w:r>
            <w:r w:rsidR="005F24C1">
              <w:rPr>
                <w:rFonts w:cs="Arial"/>
                <w:sz w:val="20"/>
              </w:rPr>
              <w:t xml:space="preserve"> WEIM </w:t>
            </w:r>
            <w:r w:rsidRPr="004A6F2D">
              <w:rPr>
                <w:rFonts w:cs="Arial"/>
                <w:sz w:val="20"/>
              </w:rPr>
              <w:t>operations, transactions and settlements</w:t>
            </w:r>
            <w:r>
              <w:rPr>
                <w:rFonts w:cs="Arial"/>
                <w:sz w:val="20"/>
              </w:rPr>
              <w:t>, will</w:t>
            </w:r>
            <w:r w:rsidRPr="004A6F2D">
              <w:rPr>
                <w:rFonts w:cs="Arial"/>
                <w:sz w:val="20"/>
              </w:rPr>
              <w:t xml:space="preserve"> </w:t>
            </w:r>
            <w:r w:rsidRPr="005C46D3">
              <w:rPr>
                <w:rFonts w:cs="Arial"/>
                <w:color w:val="000000"/>
                <w:sz w:val="20"/>
              </w:rPr>
              <w:t>complete CAISO training</w:t>
            </w:r>
            <w:r w:rsidRPr="005730EC">
              <w:rPr>
                <w:rFonts w:cs="Arial"/>
                <w:color w:val="000000"/>
                <w:sz w:val="20"/>
              </w:rPr>
              <w:t xml:space="preserve"> modules.</w:t>
            </w:r>
          </w:p>
        </w:tc>
        <w:tc>
          <w:tcPr>
            <w:tcW w:w="2862" w:type="dxa"/>
            <w:tcBorders>
              <w:top w:val="nil"/>
              <w:left w:val="nil"/>
              <w:bottom w:val="single" w:sz="4" w:space="0" w:color="auto"/>
              <w:right w:val="single" w:sz="4" w:space="0" w:color="auto"/>
            </w:tcBorders>
            <w:hideMark/>
          </w:tcPr>
          <w:p w14:paraId="4122F38A" w14:textId="37DEF460" w:rsidR="001028EC" w:rsidRPr="005730EC" w:rsidRDefault="001028EC" w:rsidP="00701AB3">
            <w:pPr>
              <w:rPr>
                <w:rFonts w:cs="Arial"/>
                <w:color w:val="000000"/>
                <w:sz w:val="20"/>
              </w:rPr>
            </w:pPr>
            <w:r w:rsidRPr="005C46D3">
              <w:rPr>
                <w:rFonts w:cs="Arial"/>
                <w:sz w:val="20"/>
              </w:rPr>
              <w:t>P</w:t>
            </w:r>
            <w:r w:rsidRPr="004A6F2D">
              <w:rPr>
                <w:rFonts w:cs="Arial"/>
                <w:sz w:val="20"/>
              </w:rPr>
              <w:t>rospective</w:t>
            </w:r>
            <w:r w:rsidR="005F24C1">
              <w:rPr>
                <w:rFonts w:cs="Arial"/>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perators </w:t>
            </w:r>
            <w:r>
              <w:rPr>
                <w:rFonts w:cs="Arial"/>
                <w:color w:val="000000"/>
                <w:sz w:val="20"/>
              </w:rPr>
              <w:t xml:space="preserve">will </w:t>
            </w:r>
            <w:r w:rsidRPr="005730EC">
              <w:rPr>
                <w:rFonts w:cs="Arial"/>
                <w:color w:val="000000"/>
                <w:sz w:val="20"/>
              </w:rPr>
              <w:t xml:space="preserve">complete training and close-of-training assessment in the appropriate timeframes as outlined in  </w:t>
            </w:r>
          </w:p>
          <w:p w14:paraId="74E5C4EE" w14:textId="77777777" w:rsidR="001028EC" w:rsidRPr="005730EC" w:rsidRDefault="001028EC" w:rsidP="00701AB3">
            <w:pPr>
              <w:rPr>
                <w:rFonts w:cs="Arial"/>
                <w:color w:val="000000"/>
                <w:sz w:val="20"/>
              </w:rPr>
            </w:pPr>
          </w:p>
          <w:p w14:paraId="2DC0C976" w14:textId="1058C4FF" w:rsidR="001028EC" w:rsidRPr="005730EC" w:rsidRDefault="001028EC" w:rsidP="00E80005">
            <w:pPr>
              <w:pStyle w:val="ListParagraph"/>
              <w:numPr>
                <w:ilvl w:val="0"/>
                <w:numId w:val="65"/>
              </w:numPr>
              <w:ind w:left="162" w:hanging="162"/>
              <w:contextualSpacing/>
              <w:rPr>
                <w:rFonts w:cs="Arial"/>
                <w:color w:val="000000"/>
                <w:sz w:val="20"/>
              </w:rPr>
            </w:pPr>
            <w:r w:rsidRPr="005730EC">
              <w:rPr>
                <w:rFonts w:cs="Arial"/>
                <w:color w:val="000000"/>
                <w:sz w:val="20"/>
              </w:rPr>
              <w:t xml:space="preserve">“100 series”– an introduction to </w:t>
            </w:r>
            <w:r w:rsidR="005F24C1">
              <w:rPr>
                <w:rFonts w:cs="Arial"/>
                <w:color w:val="000000"/>
                <w:sz w:val="20"/>
              </w:rPr>
              <w:t>Western Energy Imbalance Market</w:t>
            </w:r>
            <w:r w:rsidRPr="005730EC">
              <w:rPr>
                <w:rFonts w:cs="Arial"/>
                <w:color w:val="000000"/>
                <w:sz w:val="20"/>
              </w:rPr>
              <w:t xml:space="preserve"> training </w:t>
            </w:r>
          </w:p>
          <w:p w14:paraId="57FD7607" w14:textId="77777777" w:rsidR="001028EC" w:rsidRPr="005730EC" w:rsidRDefault="001028EC" w:rsidP="00701AB3">
            <w:pPr>
              <w:pStyle w:val="ListParagraph"/>
              <w:ind w:left="162"/>
              <w:rPr>
                <w:rFonts w:cs="Arial"/>
                <w:color w:val="000000"/>
                <w:sz w:val="20"/>
              </w:rPr>
            </w:pPr>
          </w:p>
          <w:p w14:paraId="31A5D34B" w14:textId="77777777" w:rsidR="001028EC" w:rsidRPr="005730EC" w:rsidRDefault="001028EC" w:rsidP="00E80005">
            <w:pPr>
              <w:pStyle w:val="ListParagraph"/>
              <w:numPr>
                <w:ilvl w:val="0"/>
                <w:numId w:val="65"/>
              </w:numPr>
              <w:ind w:left="162" w:hanging="162"/>
              <w:contextualSpacing/>
              <w:rPr>
                <w:rFonts w:cs="Arial"/>
                <w:color w:val="000000"/>
                <w:sz w:val="20"/>
              </w:rPr>
            </w:pPr>
            <w:r w:rsidRPr="005730EC">
              <w:rPr>
                <w:rFonts w:cs="Arial"/>
                <w:color w:val="000000"/>
                <w:sz w:val="20"/>
              </w:rPr>
              <w:lastRenderedPageBreak/>
              <w:t>“200 series”– the specific hourly and daily tasks and duties for normal operation training module; and</w:t>
            </w:r>
            <w:r w:rsidRPr="005730EC" w:rsidDel="00784A2B">
              <w:rPr>
                <w:rFonts w:cs="Arial"/>
                <w:color w:val="000000"/>
                <w:sz w:val="20"/>
              </w:rPr>
              <w:t xml:space="preserve"> </w:t>
            </w:r>
          </w:p>
          <w:p w14:paraId="41A7BB8A" w14:textId="77777777" w:rsidR="001028EC" w:rsidRPr="005730EC" w:rsidRDefault="001028EC" w:rsidP="00701AB3">
            <w:pPr>
              <w:pStyle w:val="ListParagraph"/>
              <w:ind w:left="162"/>
              <w:rPr>
                <w:rFonts w:cs="Arial"/>
                <w:color w:val="000000"/>
                <w:sz w:val="20"/>
              </w:rPr>
            </w:pPr>
          </w:p>
          <w:p w14:paraId="5AD2680F" w14:textId="77777777" w:rsidR="001028EC" w:rsidRPr="005730EC" w:rsidRDefault="001028EC" w:rsidP="00E80005">
            <w:pPr>
              <w:pStyle w:val="ListParagraph"/>
              <w:numPr>
                <w:ilvl w:val="0"/>
                <w:numId w:val="65"/>
              </w:numPr>
              <w:ind w:left="162" w:hanging="162"/>
              <w:contextualSpacing/>
              <w:rPr>
                <w:rFonts w:cs="Arial"/>
                <w:color w:val="000000"/>
                <w:sz w:val="20"/>
              </w:rPr>
            </w:pPr>
            <w:r w:rsidRPr="005730EC">
              <w:rPr>
                <w:rFonts w:cs="Arial"/>
                <w:color w:val="000000"/>
                <w:sz w:val="20"/>
              </w:rPr>
              <w:t>“300 series”– the assessment of market results and response to contingencies and abnormal situations training module.</w:t>
            </w:r>
          </w:p>
        </w:tc>
      </w:tr>
      <w:tr w:rsidR="001028EC" w:rsidRPr="005730EC" w14:paraId="1698DDD5"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hideMark/>
          </w:tcPr>
          <w:p w14:paraId="6EF47B22" w14:textId="77777777" w:rsidR="001028EC" w:rsidRPr="005730EC" w:rsidRDefault="001028EC" w:rsidP="00701AB3">
            <w:pPr>
              <w:jc w:val="center"/>
              <w:rPr>
                <w:rFonts w:cs="Arial"/>
                <w:color w:val="000000"/>
                <w:sz w:val="20"/>
              </w:rPr>
            </w:pPr>
            <w:r w:rsidRPr="005730EC">
              <w:rPr>
                <w:rFonts w:cs="Arial"/>
                <w:color w:val="000000"/>
                <w:sz w:val="20"/>
              </w:rPr>
              <w:lastRenderedPageBreak/>
              <w:t>7</w:t>
            </w:r>
          </w:p>
        </w:tc>
        <w:tc>
          <w:tcPr>
            <w:tcW w:w="1440" w:type="dxa"/>
            <w:tcBorders>
              <w:top w:val="nil"/>
              <w:left w:val="nil"/>
              <w:bottom w:val="single" w:sz="4" w:space="0" w:color="auto"/>
              <w:right w:val="single" w:sz="4" w:space="0" w:color="auto"/>
            </w:tcBorders>
            <w:hideMark/>
          </w:tcPr>
          <w:p w14:paraId="3424BE1D" w14:textId="77777777" w:rsidR="001028EC" w:rsidRPr="005730EC" w:rsidRDefault="001028EC" w:rsidP="00701AB3">
            <w:pPr>
              <w:rPr>
                <w:rFonts w:cs="Arial"/>
                <w:color w:val="000000"/>
                <w:sz w:val="20"/>
              </w:rPr>
            </w:pPr>
            <w:r w:rsidRPr="005730EC">
              <w:rPr>
                <w:rFonts w:cs="Arial"/>
                <w:color w:val="000000"/>
                <w:sz w:val="20"/>
              </w:rPr>
              <w:t>Forecasting Capability</w:t>
            </w:r>
          </w:p>
        </w:tc>
        <w:tc>
          <w:tcPr>
            <w:tcW w:w="2142" w:type="dxa"/>
            <w:tcBorders>
              <w:top w:val="nil"/>
              <w:left w:val="nil"/>
              <w:bottom w:val="single" w:sz="4" w:space="0" w:color="auto"/>
              <w:right w:val="single" w:sz="4" w:space="0" w:color="auto"/>
            </w:tcBorders>
            <w:hideMark/>
          </w:tcPr>
          <w:p w14:paraId="009E34A2" w14:textId="77777777" w:rsidR="001028EC" w:rsidRPr="005730EC" w:rsidRDefault="001028EC" w:rsidP="00701AB3">
            <w:pPr>
              <w:rPr>
                <w:rFonts w:cs="Arial"/>
                <w:color w:val="000000"/>
                <w:sz w:val="20"/>
              </w:rPr>
            </w:pPr>
            <w:r w:rsidRPr="005730EC">
              <w:rPr>
                <w:rFonts w:cs="Arial"/>
                <w:color w:val="000000"/>
                <w:sz w:val="20"/>
              </w:rPr>
              <w:t xml:space="preserve">Load forecast capability </w:t>
            </w:r>
            <w:r>
              <w:rPr>
                <w:rFonts w:cs="Arial"/>
                <w:color w:val="000000"/>
                <w:sz w:val="20"/>
              </w:rPr>
              <w:t xml:space="preserve"> </w:t>
            </w:r>
          </w:p>
        </w:tc>
        <w:tc>
          <w:tcPr>
            <w:tcW w:w="2538" w:type="dxa"/>
            <w:tcBorders>
              <w:top w:val="nil"/>
              <w:left w:val="nil"/>
              <w:bottom w:val="single" w:sz="4" w:space="0" w:color="auto"/>
              <w:right w:val="single" w:sz="4" w:space="0" w:color="auto"/>
            </w:tcBorders>
            <w:hideMark/>
          </w:tcPr>
          <w:p w14:paraId="5055D303" w14:textId="03EA155D" w:rsidR="001028EC" w:rsidRPr="005730EC" w:rsidRDefault="001028EC" w:rsidP="00701AB3">
            <w:pPr>
              <w:rPr>
                <w:rFonts w:cs="Arial"/>
                <w:color w:val="000000"/>
                <w:sz w:val="20"/>
              </w:rPr>
            </w:pPr>
            <w:r w:rsidRPr="005730EC">
              <w:rPr>
                <w:rFonts w:cs="Arial"/>
                <w:color w:val="000000"/>
                <w:sz w:val="20"/>
              </w:rPr>
              <w:t>Definition of</w:t>
            </w:r>
            <w:r w:rsidR="005F24C1">
              <w:rPr>
                <w:rFonts w:cs="Arial"/>
                <w:color w:val="000000"/>
                <w:sz w:val="20"/>
              </w:rPr>
              <w:t xml:space="preserve"> WEIM </w:t>
            </w:r>
            <w:r w:rsidRPr="005730EC">
              <w:rPr>
                <w:rFonts w:cs="Arial"/>
                <w:color w:val="000000"/>
                <w:sz w:val="20"/>
              </w:rPr>
              <w:t xml:space="preserve">demand forecast boundaries based on the conforming and non-conforming </w:t>
            </w:r>
            <w:r>
              <w:rPr>
                <w:rFonts w:cs="Arial"/>
                <w:color w:val="000000"/>
                <w:sz w:val="20"/>
              </w:rPr>
              <w:t>l</w:t>
            </w:r>
            <w:r w:rsidRPr="005730EC">
              <w:rPr>
                <w:rFonts w:cs="Arial"/>
                <w:color w:val="000000"/>
                <w:sz w:val="20"/>
              </w:rPr>
              <w:t>oad characteristics, as applicable</w:t>
            </w:r>
            <w:r w:rsidRPr="005730EC">
              <w:rPr>
                <w:rFonts w:cs="Arial"/>
                <w:color w:val="000000"/>
                <w:sz w:val="20"/>
              </w:rPr>
              <w:br/>
            </w:r>
          </w:p>
          <w:p w14:paraId="078D01B8" w14:textId="5253C88A" w:rsidR="001028EC" w:rsidRPr="005730EC" w:rsidRDefault="001028EC" w:rsidP="00E80005">
            <w:pPr>
              <w:numPr>
                <w:ilvl w:val="0"/>
                <w:numId w:val="64"/>
              </w:numPr>
              <w:ind w:left="162" w:hanging="162"/>
              <w:rPr>
                <w:rFonts w:cs="Arial"/>
                <w:color w:val="000000"/>
                <w:sz w:val="20"/>
              </w:rPr>
            </w:pPr>
            <w:r w:rsidRPr="005730EC">
              <w:rPr>
                <w:rFonts w:cs="Arial"/>
                <w:color w:val="000000"/>
                <w:sz w:val="20"/>
              </w:rPr>
              <w:t>Accuracy of the CAISO forecast of</w:t>
            </w:r>
            <w:r w:rsidR="005F24C1">
              <w:rPr>
                <w:rFonts w:cs="Arial"/>
                <w:color w:val="000000"/>
                <w:sz w:val="20"/>
              </w:rPr>
              <w:t xml:space="preserve"> WEIM </w:t>
            </w:r>
            <w:r>
              <w:rPr>
                <w:rFonts w:cs="Arial"/>
                <w:color w:val="000000"/>
                <w:sz w:val="20"/>
              </w:rPr>
              <w:t>d</w:t>
            </w:r>
            <w:r w:rsidRPr="005730EC">
              <w:rPr>
                <w:rFonts w:cs="Arial"/>
                <w:color w:val="000000"/>
                <w:sz w:val="20"/>
              </w:rPr>
              <w:t xml:space="preserve">emand based on historical actual </w:t>
            </w:r>
            <w:r>
              <w:rPr>
                <w:rFonts w:cs="Arial"/>
                <w:color w:val="000000"/>
                <w:sz w:val="20"/>
              </w:rPr>
              <w:t>l</w:t>
            </w:r>
            <w:r w:rsidRPr="005730EC">
              <w:rPr>
                <w:rFonts w:cs="Arial"/>
                <w:color w:val="000000"/>
                <w:sz w:val="20"/>
              </w:rPr>
              <w:t>oad data for the defined</w:t>
            </w:r>
            <w:r w:rsidR="005F24C1">
              <w:rPr>
                <w:rFonts w:cs="Arial"/>
                <w:color w:val="000000"/>
                <w:sz w:val="20"/>
              </w:rPr>
              <w:t xml:space="preserve"> WEIM </w:t>
            </w:r>
            <w:r>
              <w:rPr>
                <w:rFonts w:cs="Arial"/>
                <w:color w:val="000000"/>
                <w:sz w:val="20"/>
              </w:rPr>
              <w:t>d</w:t>
            </w:r>
            <w:r w:rsidRPr="005730EC">
              <w:rPr>
                <w:rFonts w:cs="Arial"/>
                <w:color w:val="000000"/>
                <w:sz w:val="20"/>
              </w:rPr>
              <w:t>emand forecast boundaries.</w:t>
            </w:r>
            <w:r w:rsidRPr="005730EC">
              <w:rPr>
                <w:rFonts w:cs="Arial"/>
                <w:color w:val="000000"/>
                <w:sz w:val="20"/>
              </w:rPr>
              <w:br/>
            </w:r>
          </w:p>
          <w:p w14:paraId="4787B6CD" w14:textId="77777777" w:rsidR="001028EC" w:rsidRPr="005730EC" w:rsidRDefault="001028EC" w:rsidP="00E80005">
            <w:pPr>
              <w:numPr>
                <w:ilvl w:val="0"/>
                <w:numId w:val="64"/>
              </w:numPr>
              <w:ind w:left="162" w:hanging="162"/>
              <w:rPr>
                <w:rFonts w:cs="Arial"/>
                <w:color w:val="000000"/>
                <w:sz w:val="20"/>
              </w:rPr>
            </w:pPr>
            <w:r w:rsidRPr="005730EC">
              <w:rPr>
                <w:rFonts w:cs="Arial"/>
                <w:color w:val="000000"/>
                <w:sz w:val="20"/>
              </w:rPr>
              <w:t>Identification of weather station(s) locations used in forecasting, if applicable,</w:t>
            </w:r>
          </w:p>
        </w:tc>
        <w:tc>
          <w:tcPr>
            <w:tcW w:w="2862" w:type="dxa"/>
            <w:tcBorders>
              <w:top w:val="nil"/>
              <w:left w:val="nil"/>
              <w:bottom w:val="single" w:sz="4" w:space="0" w:color="auto"/>
              <w:right w:val="single" w:sz="4" w:space="0" w:color="auto"/>
            </w:tcBorders>
            <w:hideMark/>
          </w:tcPr>
          <w:p w14:paraId="3C7CB0D6" w14:textId="77777777" w:rsidR="001028EC" w:rsidRPr="005730EC" w:rsidRDefault="001028EC" w:rsidP="00701AB3">
            <w:pPr>
              <w:rPr>
                <w:rFonts w:cs="Arial"/>
                <w:color w:val="000000"/>
                <w:sz w:val="20"/>
              </w:rPr>
            </w:pPr>
            <w:r w:rsidRPr="005730EC">
              <w:rPr>
                <w:rFonts w:cs="Arial"/>
                <w:color w:val="000000"/>
                <w:sz w:val="20"/>
              </w:rPr>
              <w:t>All Plant Information (PI) tags and historical data for defined load area(s), and non-conforming load, if applicable, compared with load forecasts provided from CAISO (if CAISO load forecast used).</w:t>
            </w:r>
          </w:p>
        </w:tc>
      </w:tr>
      <w:tr w:rsidR="001028EC" w:rsidRPr="005730EC" w14:paraId="6F398CA5" w14:textId="77777777" w:rsidTr="009E26DA">
        <w:trPr>
          <w:trHeight w:val="1785"/>
        </w:trPr>
        <w:tc>
          <w:tcPr>
            <w:tcW w:w="1260" w:type="dxa"/>
            <w:tcBorders>
              <w:top w:val="nil"/>
              <w:left w:val="single" w:sz="4" w:space="0" w:color="auto"/>
              <w:bottom w:val="single" w:sz="4" w:space="0" w:color="auto"/>
              <w:right w:val="single" w:sz="4" w:space="0" w:color="auto"/>
            </w:tcBorders>
            <w:shd w:val="clear" w:color="000000" w:fill="FFFFFF"/>
            <w:noWrap/>
            <w:hideMark/>
          </w:tcPr>
          <w:p w14:paraId="0182F0ED" w14:textId="77777777" w:rsidR="001028EC" w:rsidRPr="005730EC" w:rsidRDefault="001028EC" w:rsidP="00701AB3">
            <w:pPr>
              <w:jc w:val="center"/>
              <w:rPr>
                <w:rFonts w:cs="Arial"/>
                <w:color w:val="000000"/>
                <w:sz w:val="20"/>
              </w:rPr>
            </w:pPr>
            <w:r w:rsidRPr="005730EC">
              <w:rPr>
                <w:rFonts w:cs="Arial"/>
                <w:color w:val="000000"/>
                <w:sz w:val="20"/>
              </w:rPr>
              <w:t>8</w:t>
            </w:r>
          </w:p>
        </w:tc>
        <w:tc>
          <w:tcPr>
            <w:tcW w:w="1440" w:type="dxa"/>
            <w:tcBorders>
              <w:top w:val="nil"/>
              <w:left w:val="nil"/>
              <w:bottom w:val="single" w:sz="4" w:space="0" w:color="auto"/>
              <w:right w:val="single" w:sz="4" w:space="0" w:color="auto"/>
            </w:tcBorders>
            <w:hideMark/>
          </w:tcPr>
          <w:p w14:paraId="17615E96" w14:textId="77777777" w:rsidR="001028EC" w:rsidRPr="005730EC" w:rsidRDefault="001028EC" w:rsidP="00701AB3">
            <w:pPr>
              <w:rPr>
                <w:rFonts w:cs="Arial"/>
                <w:color w:val="000000"/>
                <w:sz w:val="20"/>
              </w:rPr>
            </w:pPr>
            <w:r w:rsidRPr="005730EC">
              <w:rPr>
                <w:rFonts w:cs="Arial"/>
                <w:color w:val="000000"/>
                <w:sz w:val="20"/>
              </w:rPr>
              <w:t>Forecasting Capability</w:t>
            </w:r>
          </w:p>
        </w:tc>
        <w:tc>
          <w:tcPr>
            <w:tcW w:w="2142" w:type="dxa"/>
            <w:tcBorders>
              <w:top w:val="nil"/>
              <w:left w:val="nil"/>
              <w:bottom w:val="single" w:sz="4" w:space="0" w:color="auto"/>
              <w:right w:val="single" w:sz="4" w:space="0" w:color="auto"/>
            </w:tcBorders>
            <w:hideMark/>
          </w:tcPr>
          <w:p w14:paraId="0D765399" w14:textId="77777777" w:rsidR="001028EC" w:rsidRPr="005730EC" w:rsidRDefault="001028EC" w:rsidP="00701AB3">
            <w:pPr>
              <w:rPr>
                <w:rFonts w:cs="Arial"/>
                <w:color w:val="000000"/>
                <w:sz w:val="20"/>
              </w:rPr>
            </w:pPr>
            <w:r w:rsidRPr="005730EC">
              <w:rPr>
                <w:rFonts w:cs="Arial"/>
                <w:color w:val="000000"/>
                <w:sz w:val="20"/>
              </w:rPr>
              <w:t>Variable Energy Resource</w:t>
            </w:r>
            <w:r>
              <w:rPr>
                <w:rFonts w:cs="Arial"/>
                <w:color w:val="000000"/>
                <w:sz w:val="20"/>
              </w:rPr>
              <w:t xml:space="preserve"> (VER)</w:t>
            </w:r>
            <w:r w:rsidRPr="005730EC">
              <w:rPr>
                <w:rFonts w:cs="Arial"/>
                <w:color w:val="000000"/>
                <w:sz w:val="20"/>
              </w:rPr>
              <w:t xml:space="preserve"> forecast capability </w:t>
            </w:r>
          </w:p>
        </w:tc>
        <w:tc>
          <w:tcPr>
            <w:tcW w:w="2538" w:type="dxa"/>
            <w:tcBorders>
              <w:top w:val="nil"/>
              <w:left w:val="nil"/>
              <w:bottom w:val="single" w:sz="4" w:space="0" w:color="auto"/>
              <w:right w:val="single" w:sz="4" w:space="0" w:color="auto"/>
            </w:tcBorders>
            <w:hideMark/>
          </w:tcPr>
          <w:p w14:paraId="0F71CEEB" w14:textId="77777777" w:rsidR="001028EC" w:rsidRPr="005730EC" w:rsidRDefault="001028EC" w:rsidP="00701AB3">
            <w:pPr>
              <w:rPr>
                <w:rFonts w:cs="Arial"/>
                <w:color w:val="000000"/>
                <w:sz w:val="20"/>
              </w:rPr>
            </w:pPr>
            <w:r w:rsidRPr="005730EC">
              <w:rPr>
                <w:rFonts w:cs="Arial"/>
                <w:color w:val="000000"/>
                <w:sz w:val="20"/>
              </w:rPr>
              <w:t>Identification of the source of V</w:t>
            </w:r>
            <w:r>
              <w:rPr>
                <w:rFonts w:cs="Arial"/>
                <w:color w:val="000000"/>
                <w:sz w:val="20"/>
              </w:rPr>
              <w:t xml:space="preserve">ER </w:t>
            </w:r>
            <w:r w:rsidRPr="005730EC">
              <w:rPr>
                <w:rFonts w:cs="Arial"/>
                <w:color w:val="000000"/>
                <w:sz w:val="20"/>
              </w:rPr>
              <w:t>forecasts. (If a participating wind or solar unit requi</w:t>
            </w:r>
            <w:r w:rsidR="008974D2">
              <w:rPr>
                <w:rFonts w:cs="Arial"/>
                <w:color w:val="000000"/>
                <w:sz w:val="20"/>
              </w:rPr>
              <w:t>res a CAISO forecast, then BPM and T</w:t>
            </w:r>
            <w:r w:rsidRPr="005730EC">
              <w:rPr>
                <w:rFonts w:cs="Arial"/>
                <w:color w:val="000000"/>
                <w:sz w:val="20"/>
              </w:rPr>
              <w:t>ariff requirements apply.)</w:t>
            </w:r>
          </w:p>
        </w:tc>
        <w:tc>
          <w:tcPr>
            <w:tcW w:w="2862" w:type="dxa"/>
            <w:tcBorders>
              <w:top w:val="nil"/>
              <w:left w:val="nil"/>
              <w:bottom w:val="single" w:sz="4" w:space="0" w:color="auto"/>
              <w:right w:val="single" w:sz="4" w:space="0" w:color="auto"/>
            </w:tcBorders>
            <w:hideMark/>
          </w:tcPr>
          <w:p w14:paraId="1C1BBD4A" w14:textId="29BCF3E5" w:rsidR="001028EC" w:rsidRPr="005730EC" w:rsidRDefault="001028EC" w:rsidP="00701AB3">
            <w:pPr>
              <w:rPr>
                <w:rFonts w:cs="Arial"/>
                <w:color w:val="000000"/>
                <w:sz w:val="20"/>
              </w:rPr>
            </w:pPr>
            <w:r w:rsidRPr="005730EC">
              <w:rPr>
                <w:rFonts w:cs="Arial"/>
                <w:color w:val="000000"/>
                <w:sz w:val="20"/>
              </w:rPr>
              <w:t xml:space="preserve">Forecasting entity must demonstrate delivery of Unit MW forecast at 5 min intervals for at least three hours ahead.  Forecasting entity must also provide base schedule by T-75, T-55 and T-40. </w:t>
            </w:r>
            <w:r w:rsidR="005F24C1">
              <w:rPr>
                <w:rFonts w:cs="Arial"/>
                <w:color w:val="000000"/>
                <w:sz w:val="20"/>
              </w:rPr>
              <w:t xml:space="preserve"> WEIM </w:t>
            </w:r>
            <w:r w:rsidRPr="005730EC">
              <w:rPr>
                <w:rFonts w:cs="Arial"/>
                <w:color w:val="000000"/>
                <w:sz w:val="20"/>
              </w:rPr>
              <w:t xml:space="preserve">Entity provides to CAISO </w:t>
            </w:r>
            <w:r>
              <w:rPr>
                <w:rFonts w:cs="Arial"/>
                <w:color w:val="000000"/>
                <w:sz w:val="20"/>
              </w:rPr>
              <w:t>r</w:t>
            </w:r>
            <w:r w:rsidRPr="005730EC">
              <w:rPr>
                <w:rFonts w:cs="Arial"/>
                <w:color w:val="000000"/>
                <w:sz w:val="20"/>
              </w:rPr>
              <w:t xml:space="preserve">eal-time MW production PI tags. </w:t>
            </w:r>
          </w:p>
        </w:tc>
      </w:tr>
      <w:tr w:rsidR="001028EC" w:rsidRPr="005730EC" w14:paraId="3C21CC0B"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0DD58673" w14:textId="77777777" w:rsidR="001028EC" w:rsidRPr="005730EC" w:rsidRDefault="001028EC" w:rsidP="00701AB3">
            <w:pPr>
              <w:jc w:val="center"/>
              <w:rPr>
                <w:rFonts w:cs="Arial"/>
                <w:color w:val="000000"/>
                <w:sz w:val="20"/>
              </w:rPr>
            </w:pPr>
            <w:r w:rsidRPr="005730EC">
              <w:rPr>
                <w:rFonts w:cs="Arial"/>
                <w:color w:val="000000"/>
                <w:sz w:val="20"/>
              </w:rPr>
              <w:lastRenderedPageBreak/>
              <w:t>9</w:t>
            </w:r>
          </w:p>
        </w:tc>
        <w:tc>
          <w:tcPr>
            <w:tcW w:w="1440" w:type="dxa"/>
            <w:tcBorders>
              <w:top w:val="nil"/>
              <w:left w:val="nil"/>
              <w:bottom w:val="single" w:sz="4" w:space="0" w:color="auto"/>
              <w:right w:val="single" w:sz="4" w:space="0" w:color="auto"/>
            </w:tcBorders>
            <w:hideMark/>
          </w:tcPr>
          <w:p w14:paraId="5393A63E" w14:textId="77777777" w:rsidR="001028EC" w:rsidRPr="005730EC" w:rsidRDefault="001028EC" w:rsidP="00701AB3">
            <w:pPr>
              <w:rPr>
                <w:rFonts w:cs="Arial"/>
                <w:color w:val="000000"/>
                <w:sz w:val="20"/>
              </w:rPr>
            </w:pPr>
            <w:r w:rsidRPr="005730EC">
              <w:rPr>
                <w:rFonts w:cs="Arial"/>
                <w:color w:val="000000"/>
                <w:sz w:val="20"/>
              </w:rPr>
              <w:t>Forecasting Capability</w:t>
            </w:r>
          </w:p>
        </w:tc>
        <w:tc>
          <w:tcPr>
            <w:tcW w:w="2142" w:type="dxa"/>
            <w:tcBorders>
              <w:top w:val="nil"/>
              <w:left w:val="nil"/>
              <w:bottom w:val="single" w:sz="4" w:space="0" w:color="auto"/>
              <w:right w:val="single" w:sz="4" w:space="0" w:color="auto"/>
            </w:tcBorders>
            <w:hideMark/>
          </w:tcPr>
          <w:p w14:paraId="625D88C4" w14:textId="77777777" w:rsidR="001028EC" w:rsidRPr="005730EC" w:rsidRDefault="001028EC" w:rsidP="00701AB3">
            <w:pPr>
              <w:rPr>
                <w:rFonts w:cs="Arial"/>
                <w:color w:val="000000"/>
                <w:sz w:val="20"/>
              </w:rPr>
            </w:pPr>
            <w:r w:rsidRPr="005730EC">
              <w:rPr>
                <w:rFonts w:cs="Arial"/>
                <w:color w:val="000000"/>
                <w:sz w:val="20"/>
              </w:rPr>
              <w:t>Flexible capacity requirements</w:t>
            </w:r>
          </w:p>
        </w:tc>
        <w:tc>
          <w:tcPr>
            <w:tcW w:w="2538" w:type="dxa"/>
            <w:tcBorders>
              <w:top w:val="nil"/>
              <w:left w:val="nil"/>
              <w:bottom w:val="single" w:sz="4" w:space="0" w:color="auto"/>
              <w:right w:val="single" w:sz="4" w:space="0" w:color="auto"/>
            </w:tcBorders>
            <w:hideMark/>
          </w:tcPr>
          <w:p w14:paraId="3954A4CA" w14:textId="6CB9D00C" w:rsidR="001028EC" w:rsidRPr="00B75CE0" w:rsidRDefault="001028EC" w:rsidP="00701AB3">
            <w:pPr>
              <w:rPr>
                <w:rFonts w:cs="Arial"/>
                <w:color w:val="000000"/>
                <w:sz w:val="20"/>
              </w:rPr>
            </w:pPr>
            <w:r w:rsidRPr="00B75CE0">
              <w:rPr>
                <w:rFonts w:cs="Arial"/>
                <w:color w:val="000000"/>
                <w:sz w:val="20"/>
              </w:rPr>
              <w:t xml:space="preserve">CAISO has established flexible capacity requirements for the </w:t>
            </w:r>
            <w:r w:rsidRPr="00B75CE0">
              <w:rPr>
                <w:rFonts w:cs="Arial"/>
                <w:sz w:val="20"/>
              </w:rPr>
              <w:t>prospective</w:t>
            </w:r>
            <w:r w:rsidR="005F24C1">
              <w:rPr>
                <w:rFonts w:cs="Arial"/>
                <w:sz w:val="20"/>
              </w:rPr>
              <w:t xml:space="preserve"> WEIM </w:t>
            </w:r>
            <w:r w:rsidRPr="00B75CE0">
              <w:rPr>
                <w:rFonts w:cs="Arial"/>
                <w:color w:val="000000"/>
                <w:sz w:val="20"/>
              </w:rPr>
              <w:t xml:space="preserve">Entity </w:t>
            </w:r>
            <w:r w:rsidRPr="003C21CC">
              <w:rPr>
                <w:rFonts w:cs="Arial"/>
                <w:color w:val="000000"/>
                <w:sz w:val="20"/>
              </w:rPr>
              <w:t>Balancing Authority Area and the combined</w:t>
            </w:r>
            <w:r w:rsidR="005F24C1">
              <w:rPr>
                <w:rFonts w:cs="Arial"/>
                <w:color w:val="000000"/>
                <w:sz w:val="20"/>
              </w:rPr>
              <w:t xml:space="preserve"> WEIM </w:t>
            </w:r>
            <w:r w:rsidRPr="003C21CC">
              <w:rPr>
                <w:rFonts w:cs="Arial"/>
                <w:color w:val="000000"/>
                <w:sz w:val="20"/>
              </w:rPr>
              <w:t xml:space="preserve">Area including the </w:t>
            </w:r>
            <w:r w:rsidRPr="00B75CE0">
              <w:rPr>
                <w:rFonts w:cs="Arial"/>
                <w:sz w:val="20"/>
              </w:rPr>
              <w:t>prospective</w:t>
            </w:r>
            <w:r w:rsidR="005F24C1">
              <w:rPr>
                <w:rFonts w:cs="Arial"/>
                <w:sz w:val="20"/>
              </w:rPr>
              <w:t xml:space="preserve"> WEIM </w:t>
            </w:r>
            <w:r w:rsidRPr="00B75CE0">
              <w:rPr>
                <w:rFonts w:cs="Arial"/>
                <w:color w:val="000000"/>
                <w:sz w:val="20"/>
              </w:rPr>
              <w:t xml:space="preserve">Entity </w:t>
            </w:r>
          </w:p>
        </w:tc>
        <w:tc>
          <w:tcPr>
            <w:tcW w:w="2862" w:type="dxa"/>
            <w:tcBorders>
              <w:top w:val="nil"/>
              <w:left w:val="nil"/>
              <w:bottom w:val="single" w:sz="4" w:space="0" w:color="auto"/>
              <w:right w:val="single" w:sz="4" w:space="0" w:color="auto"/>
            </w:tcBorders>
            <w:hideMark/>
          </w:tcPr>
          <w:p w14:paraId="7F42AE33" w14:textId="5DDFF667" w:rsidR="001028EC" w:rsidRPr="00BF725A" w:rsidRDefault="001028EC" w:rsidP="00701AB3">
            <w:pPr>
              <w:rPr>
                <w:rFonts w:cs="Arial"/>
                <w:color w:val="000000"/>
                <w:sz w:val="20"/>
              </w:rPr>
            </w:pPr>
            <w:r w:rsidRPr="003C21CC">
              <w:rPr>
                <w:rFonts w:cs="Arial"/>
                <w:color w:val="000000"/>
                <w:sz w:val="20"/>
              </w:rPr>
              <w:t>The CAISO has received and stored all his</w:t>
            </w:r>
            <w:r w:rsidRPr="00BF725A">
              <w:rPr>
                <w:rFonts w:cs="Arial"/>
                <w:color w:val="000000"/>
                <w:sz w:val="20"/>
              </w:rPr>
              <w:t>torical data from the</w:t>
            </w:r>
            <w:r w:rsidRPr="00C83084">
              <w:rPr>
                <w:rFonts w:cs="Arial"/>
                <w:color w:val="000000"/>
                <w:sz w:val="20"/>
              </w:rPr>
              <w:t xml:space="preserve"> </w:t>
            </w:r>
            <w:r w:rsidRPr="00B75CE0">
              <w:rPr>
                <w:rFonts w:cs="Arial"/>
                <w:sz w:val="20"/>
              </w:rPr>
              <w:t>prospective</w:t>
            </w:r>
            <w:r w:rsidR="005F24C1">
              <w:rPr>
                <w:rFonts w:cs="Arial"/>
                <w:color w:val="000000"/>
                <w:sz w:val="20"/>
              </w:rPr>
              <w:t xml:space="preserve"> WEIM </w:t>
            </w:r>
            <w:r w:rsidRPr="00B75CE0">
              <w:rPr>
                <w:rFonts w:cs="Arial"/>
                <w:color w:val="000000"/>
                <w:sz w:val="20"/>
              </w:rPr>
              <w:t xml:space="preserve">Entity </w:t>
            </w:r>
            <w:r w:rsidRPr="003C21CC">
              <w:rPr>
                <w:rFonts w:cs="Arial"/>
                <w:color w:val="000000"/>
                <w:sz w:val="20"/>
              </w:rPr>
              <w:t>necessary and sufficient for the CAISO to perform the flexible ramp requirement.</w:t>
            </w:r>
          </w:p>
        </w:tc>
      </w:tr>
      <w:tr w:rsidR="001028EC" w:rsidRPr="005730EC" w14:paraId="35628370" w14:textId="77777777" w:rsidTr="009E26DA">
        <w:trPr>
          <w:trHeight w:val="1785"/>
        </w:trPr>
        <w:tc>
          <w:tcPr>
            <w:tcW w:w="1260" w:type="dxa"/>
            <w:tcBorders>
              <w:top w:val="nil"/>
              <w:left w:val="single" w:sz="4" w:space="0" w:color="auto"/>
              <w:bottom w:val="single" w:sz="4" w:space="0" w:color="auto"/>
              <w:right w:val="single" w:sz="4" w:space="0" w:color="auto"/>
            </w:tcBorders>
            <w:shd w:val="clear" w:color="000000" w:fill="FFFFFF"/>
            <w:noWrap/>
            <w:hideMark/>
          </w:tcPr>
          <w:p w14:paraId="779DA306" w14:textId="77777777" w:rsidR="001028EC" w:rsidRPr="005730EC" w:rsidRDefault="001028EC" w:rsidP="00701AB3">
            <w:pPr>
              <w:jc w:val="center"/>
              <w:rPr>
                <w:rFonts w:cs="Arial"/>
                <w:color w:val="000000"/>
                <w:sz w:val="20"/>
              </w:rPr>
            </w:pPr>
            <w:r w:rsidRPr="005730EC">
              <w:rPr>
                <w:rFonts w:cs="Arial"/>
                <w:color w:val="000000"/>
                <w:sz w:val="20"/>
              </w:rPr>
              <w:t>10</w:t>
            </w:r>
          </w:p>
        </w:tc>
        <w:tc>
          <w:tcPr>
            <w:tcW w:w="1440" w:type="dxa"/>
            <w:tcBorders>
              <w:top w:val="nil"/>
              <w:left w:val="nil"/>
              <w:bottom w:val="single" w:sz="4" w:space="0" w:color="auto"/>
              <w:right w:val="single" w:sz="4" w:space="0" w:color="auto"/>
            </w:tcBorders>
            <w:hideMark/>
          </w:tcPr>
          <w:p w14:paraId="758425FF" w14:textId="77777777" w:rsidR="001028EC" w:rsidRPr="005730EC" w:rsidRDefault="001028EC" w:rsidP="00701AB3">
            <w:pPr>
              <w:rPr>
                <w:rFonts w:cs="Arial"/>
                <w:color w:val="000000"/>
                <w:sz w:val="20"/>
              </w:rPr>
            </w:pPr>
            <w:r w:rsidRPr="005730EC">
              <w:rPr>
                <w:rFonts w:cs="Arial"/>
                <w:color w:val="000000"/>
                <w:sz w:val="20"/>
              </w:rPr>
              <w:t xml:space="preserve">Balanced Schedules </w:t>
            </w:r>
          </w:p>
        </w:tc>
        <w:tc>
          <w:tcPr>
            <w:tcW w:w="2142" w:type="dxa"/>
            <w:tcBorders>
              <w:top w:val="nil"/>
              <w:left w:val="nil"/>
              <w:bottom w:val="single" w:sz="4" w:space="0" w:color="auto"/>
              <w:right w:val="single" w:sz="4" w:space="0" w:color="auto"/>
            </w:tcBorders>
            <w:hideMark/>
          </w:tcPr>
          <w:p w14:paraId="69B29B8C" w14:textId="77777777" w:rsidR="001028EC" w:rsidRPr="005730EC" w:rsidRDefault="001028EC" w:rsidP="00701AB3">
            <w:pPr>
              <w:rPr>
                <w:rFonts w:cs="Arial"/>
                <w:color w:val="000000"/>
                <w:sz w:val="20"/>
              </w:rPr>
            </w:pPr>
            <w:r w:rsidRPr="005730EC">
              <w:rPr>
                <w:rFonts w:cs="Arial"/>
                <w:color w:val="000000"/>
                <w:sz w:val="20"/>
              </w:rPr>
              <w:t xml:space="preserve">Base schedule balancing capability </w:t>
            </w:r>
          </w:p>
        </w:tc>
        <w:tc>
          <w:tcPr>
            <w:tcW w:w="2538" w:type="dxa"/>
            <w:tcBorders>
              <w:top w:val="nil"/>
              <w:left w:val="nil"/>
              <w:bottom w:val="single" w:sz="4" w:space="0" w:color="auto"/>
              <w:right w:val="single" w:sz="4" w:space="0" w:color="auto"/>
            </w:tcBorders>
            <w:hideMark/>
          </w:tcPr>
          <w:p w14:paraId="04064A11" w14:textId="466EB9CD" w:rsidR="001028EC" w:rsidRPr="002030A6" w:rsidRDefault="001028EC" w:rsidP="00701AB3">
            <w:pPr>
              <w:rPr>
                <w:rFonts w:cs="Arial"/>
                <w:color w:val="000000"/>
                <w:sz w:val="20"/>
              </w:rPr>
            </w:pPr>
            <w:r w:rsidRPr="00B75CE0">
              <w:rPr>
                <w:rFonts w:cs="Arial"/>
                <w:color w:val="000000"/>
                <w:sz w:val="20"/>
              </w:rPr>
              <w:t xml:space="preserve">The </w:t>
            </w:r>
            <w:r w:rsidRPr="00B75CE0">
              <w:rPr>
                <w:rFonts w:cs="Arial"/>
                <w:sz w:val="20"/>
              </w:rPr>
              <w:t>prospective</w:t>
            </w:r>
            <w:r w:rsidR="005F24C1">
              <w:rPr>
                <w:rFonts w:cs="Arial"/>
                <w:sz w:val="20"/>
              </w:rPr>
              <w:t xml:space="preserve"> WEIM </w:t>
            </w:r>
            <w:r w:rsidRPr="00B75CE0">
              <w:rPr>
                <w:rFonts w:cs="Arial"/>
                <w:color w:val="000000"/>
                <w:sz w:val="20"/>
              </w:rPr>
              <w:t xml:space="preserve">Entity </w:t>
            </w:r>
            <w:r w:rsidRPr="00BF725A">
              <w:rPr>
                <w:rFonts w:cs="Arial"/>
                <w:color w:val="000000"/>
                <w:sz w:val="20"/>
              </w:rPr>
              <w:t>Scheduling Coordinator demonstrates its ability</w:t>
            </w:r>
            <w:r w:rsidRPr="00C83084">
              <w:rPr>
                <w:rFonts w:cs="Arial"/>
                <w:color w:val="000000"/>
                <w:sz w:val="20"/>
              </w:rPr>
              <w:t xml:space="preserve"> to balance</w:t>
            </w:r>
            <w:r w:rsidR="005F24C1">
              <w:rPr>
                <w:rFonts w:cs="Arial"/>
                <w:color w:val="000000"/>
                <w:sz w:val="20"/>
              </w:rPr>
              <w:t xml:space="preserve"> WEIM </w:t>
            </w:r>
            <w:r>
              <w:rPr>
                <w:rFonts w:cs="Arial"/>
                <w:color w:val="000000"/>
                <w:sz w:val="20"/>
              </w:rPr>
              <w:t>d</w:t>
            </w:r>
            <w:r w:rsidRPr="00C83084">
              <w:rPr>
                <w:rFonts w:cs="Arial"/>
                <w:color w:val="000000"/>
                <w:sz w:val="20"/>
              </w:rPr>
              <w:t>emand and</w:t>
            </w:r>
            <w:r w:rsidR="005F24C1">
              <w:rPr>
                <w:rFonts w:cs="Arial"/>
                <w:color w:val="000000"/>
                <w:sz w:val="20"/>
              </w:rPr>
              <w:t xml:space="preserve"> WEIM </w:t>
            </w:r>
            <w:r>
              <w:rPr>
                <w:rFonts w:cs="Arial"/>
                <w:color w:val="000000"/>
                <w:sz w:val="20"/>
              </w:rPr>
              <w:t>s</w:t>
            </w:r>
            <w:r w:rsidRPr="00C83084">
              <w:rPr>
                <w:rFonts w:cs="Arial"/>
                <w:color w:val="000000"/>
                <w:sz w:val="20"/>
              </w:rPr>
              <w:t>upply</w:t>
            </w:r>
            <w:r>
              <w:rPr>
                <w:rFonts w:cs="Arial"/>
                <w:color w:val="000000"/>
                <w:sz w:val="20"/>
              </w:rPr>
              <w:t xml:space="preserve"> </w:t>
            </w:r>
            <w:r w:rsidRPr="00966490">
              <w:rPr>
                <w:rFonts w:cs="Arial"/>
                <w:color w:val="000000"/>
                <w:sz w:val="20"/>
              </w:rPr>
              <w:t>for the prospective</w:t>
            </w:r>
            <w:r w:rsidR="005F24C1">
              <w:rPr>
                <w:rFonts w:cs="Arial"/>
                <w:color w:val="000000"/>
                <w:sz w:val="20"/>
              </w:rPr>
              <w:t xml:space="preserve"> WEIM </w:t>
            </w:r>
            <w:r w:rsidRPr="00966490">
              <w:rPr>
                <w:rFonts w:cs="Arial"/>
                <w:color w:val="000000"/>
                <w:sz w:val="20"/>
              </w:rPr>
              <w:t>Entity’s Balancing Authority Area</w:t>
            </w:r>
          </w:p>
        </w:tc>
        <w:tc>
          <w:tcPr>
            <w:tcW w:w="2862" w:type="dxa"/>
            <w:tcBorders>
              <w:top w:val="nil"/>
              <w:left w:val="nil"/>
              <w:bottom w:val="single" w:sz="4" w:space="0" w:color="auto"/>
              <w:right w:val="single" w:sz="4" w:space="0" w:color="auto"/>
            </w:tcBorders>
            <w:hideMark/>
          </w:tcPr>
          <w:p w14:paraId="0054197D" w14:textId="3AD57C8D" w:rsidR="001028EC" w:rsidRPr="00B75CE0" w:rsidRDefault="001028EC" w:rsidP="00701AB3">
            <w:pPr>
              <w:rPr>
                <w:rFonts w:cs="Arial"/>
                <w:color w:val="000000"/>
                <w:sz w:val="20"/>
              </w:rPr>
            </w:pPr>
            <w:r w:rsidRPr="00637054">
              <w:rPr>
                <w:rFonts w:cs="Arial"/>
                <w:color w:val="000000"/>
                <w:sz w:val="20"/>
              </w:rPr>
              <w:t xml:space="preserve">90% or greater of base schedules balance tests during monitored hours are within 10% average imbalance of load forecast over one day period before parallel operation, and 5% average over  </w:t>
            </w:r>
            <w:r w:rsidRPr="00594716">
              <w:rPr>
                <w:rFonts w:cs="Arial"/>
                <w:color w:val="000000"/>
                <w:sz w:val="20"/>
              </w:rPr>
              <w:t>five full days before full act</w:t>
            </w:r>
            <w:r w:rsidRPr="00B54DEA">
              <w:rPr>
                <w:rFonts w:cs="Arial"/>
                <w:color w:val="000000"/>
                <w:sz w:val="20"/>
              </w:rPr>
              <w:t xml:space="preserve">ivation.  The CAISO will provide examples of MW thresholds for each </w:t>
            </w:r>
            <w:r w:rsidRPr="00FB5685">
              <w:rPr>
                <w:rFonts w:cs="Arial"/>
                <w:sz w:val="20"/>
              </w:rPr>
              <w:t>prospective</w:t>
            </w:r>
            <w:r w:rsidR="005F24C1">
              <w:rPr>
                <w:rFonts w:cs="Arial"/>
              </w:rPr>
              <w:t xml:space="preserve"> WEIM </w:t>
            </w:r>
            <w:r w:rsidRPr="00B75CE0">
              <w:rPr>
                <w:rFonts w:cs="Arial"/>
                <w:color w:val="000000"/>
                <w:sz w:val="20"/>
              </w:rPr>
              <w:t>Entity to indicate a reasonable threshold as it applies to a given</w:t>
            </w:r>
            <w:r w:rsidR="005F24C1">
              <w:rPr>
                <w:rFonts w:cs="Arial"/>
                <w:color w:val="000000"/>
                <w:sz w:val="20"/>
              </w:rPr>
              <w:t xml:space="preserve"> WEIM </w:t>
            </w:r>
            <w:r w:rsidRPr="00B75CE0">
              <w:rPr>
                <w:rFonts w:cs="Arial"/>
                <w:color w:val="000000"/>
                <w:sz w:val="20"/>
              </w:rPr>
              <w:t>Entity and indicate the potential implications of a swing from 5% over to 5% under forecast in one hour to the next.</w:t>
            </w:r>
          </w:p>
        </w:tc>
      </w:tr>
      <w:tr w:rsidR="001028EC" w:rsidRPr="005730EC" w14:paraId="6CAE5F55"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1F592DEB" w14:textId="77777777" w:rsidR="001028EC" w:rsidRPr="005730EC" w:rsidRDefault="001028EC" w:rsidP="00701AB3">
            <w:pPr>
              <w:jc w:val="center"/>
              <w:rPr>
                <w:rFonts w:cs="Arial"/>
                <w:color w:val="000000"/>
                <w:sz w:val="20"/>
              </w:rPr>
            </w:pPr>
            <w:r w:rsidRPr="005730EC">
              <w:rPr>
                <w:rFonts w:cs="Arial"/>
                <w:color w:val="000000"/>
                <w:sz w:val="20"/>
              </w:rPr>
              <w:t>11</w:t>
            </w:r>
          </w:p>
        </w:tc>
        <w:tc>
          <w:tcPr>
            <w:tcW w:w="1440" w:type="dxa"/>
            <w:tcBorders>
              <w:top w:val="nil"/>
              <w:left w:val="nil"/>
              <w:bottom w:val="single" w:sz="4" w:space="0" w:color="auto"/>
              <w:right w:val="single" w:sz="4" w:space="0" w:color="auto"/>
            </w:tcBorders>
            <w:hideMark/>
          </w:tcPr>
          <w:p w14:paraId="3B434426" w14:textId="77777777" w:rsidR="001028EC" w:rsidRPr="005730EC" w:rsidRDefault="001028EC" w:rsidP="00701AB3">
            <w:pPr>
              <w:rPr>
                <w:rFonts w:cs="Arial"/>
                <w:color w:val="000000"/>
                <w:sz w:val="20"/>
              </w:rPr>
            </w:pPr>
            <w:r w:rsidRPr="005730EC">
              <w:rPr>
                <w:rFonts w:cs="Arial"/>
                <w:color w:val="000000"/>
                <w:sz w:val="20"/>
              </w:rPr>
              <w:t xml:space="preserve">Balanced Schedules </w:t>
            </w:r>
          </w:p>
        </w:tc>
        <w:tc>
          <w:tcPr>
            <w:tcW w:w="2142" w:type="dxa"/>
            <w:tcBorders>
              <w:top w:val="nil"/>
              <w:left w:val="nil"/>
              <w:bottom w:val="single" w:sz="4" w:space="0" w:color="auto"/>
              <w:right w:val="single" w:sz="4" w:space="0" w:color="auto"/>
            </w:tcBorders>
            <w:hideMark/>
          </w:tcPr>
          <w:p w14:paraId="1E9A2CFD" w14:textId="77777777" w:rsidR="001028EC" w:rsidRPr="005730EC" w:rsidRDefault="001028EC" w:rsidP="00701AB3">
            <w:pPr>
              <w:rPr>
                <w:rFonts w:cs="Arial"/>
                <w:color w:val="000000"/>
                <w:sz w:val="20"/>
              </w:rPr>
            </w:pPr>
            <w:r w:rsidRPr="005730EC">
              <w:rPr>
                <w:rFonts w:cs="Arial"/>
                <w:color w:val="000000"/>
                <w:sz w:val="20"/>
              </w:rPr>
              <w:t>Flexible ramping sufficiency test capability</w:t>
            </w:r>
          </w:p>
        </w:tc>
        <w:tc>
          <w:tcPr>
            <w:tcW w:w="2538" w:type="dxa"/>
            <w:tcBorders>
              <w:top w:val="nil"/>
              <w:left w:val="nil"/>
              <w:bottom w:val="single" w:sz="4" w:space="0" w:color="auto"/>
              <w:right w:val="single" w:sz="4" w:space="0" w:color="auto"/>
            </w:tcBorders>
            <w:hideMark/>
          </w:tcPr>
          <w:p w14:paraId="1BBCAED1" w14:textId="5291D0F8" w:rsidR="001028EC" w:rsidRPr="005730EC" w:rsidRDefault="001028EC" w:rsidP="00701AB3">
            <w:pPr>
              <w:rPr>
                <w:rFonts w:cs="Arial"/>
                <w:color w:val="000000"/>
                <w:sz w:val="20"/>
              </w:rPr>
            </w:pPr>
            <w:r w:rsidRPr="005730EC">
              <w:rPr>
                <w:rFonts w:cs="Arial"/>
                <w:color w:val="000000"/>
                <w:sz w:val="20"/>
              </w:rPr>
              <w:t xml:space="preserve">The </w:t>
            </w:r>
            <w:r w:rsidRPr="004A6F2D">
              <w:rPr>
                <w:rFonts w:cs="Arial"/>
                <w:sz w:val="20"/>
              </w:rPr>
              <w:t>prospective</w:t>
            </w:r>
            <w:r w:rsidR="005F24C1">
              <w:rPr>
                <w:rFonts w:cs="Arial"/>
              </w:rPr>
              <w:t xml:space="preserve"> WEIM </w:t>
            </w:r>
            <w:r w:rsidRPr="005730EC">
              <w:rPr>
                <w:rFonts w:cs="Arial"/>
                <w:color w:val="000000"/>
                <w:sz w:val="20"/>
              </w:rPr>
              <w:t xml:space="preserve">Entity </w:t>
            </w:r>
            <w:r>
              <w:rPr>
                <w:rFonts w:cs="Arial"/>
                <w:color w:val="000000"/>
                <w:sz w:val="20"/>
              </w:rPr>
              <w:t>\</w:t>
            </w:r>
            <w:r w:rsidRPr="005730EC">
              <w:rPr>
                <w:rFonts w:cs="Arial"/>
                <w:color w:val="000000"/>
                <w:sz w:val="20"/>
              </w:rPr>
              <w:t xml:space="preserve"> Scheduling Coordinator demonstrates its ability to pass the flexible ramping sufficiency test </w:t>
            </w:r>
          </w:p>
        </w:tc>
        <w:tc>
          <w:tcPr>
            <w:tcW w:w="2862" w:type="dxa"/>
            <w:tcBorders>
              <w:top w:val="nil"/>
              <w:left w:val="nil"/>
              <w:bottom w:val="single" w:sz="4" w:space="0" w:color="auto"/>
              <w:right w:val="single" w:sz="4" w:space="0" w:color="auto"/>
            </w:tcBorders>
            <w:hideMark/>
          </w:tcPr>
          <w:p w14:paraId="308B57A7" w14:textId="77777777" w:rsidR="001028EC" w:rsidRPr="005730EC" w:rsidRDefault="001028EC" w:rsidP="00701AB3">
            <w:pPr>
              <w:rPr>
                <w:rFonts w:cs="Arial"/>
                <w:color w:val="000000"/>
                <w:sz w:val="20"/>
              </w:rPr>
            </w:pPr>
            <w:r w:rsidRPr="005730EC">
              <w:rPr>
                <w:rFonts w:cs="Arial"/>
                <w:color w:val="000000"/>
                <w:sz w:val="20"/>
              </w:rPr>
              <w:t xml:space="preserve">Passes 90% of the time or greater over monitored hours of one day before parallel operation and </w:t>
            </w:r>
            <w:r>
              <w:rPr>
                <w:rFonts w:cs="Arial"/>
                <w:color w:val="000000"/>
                <w:sz w:val="20"/>
              </w:rPr>
              <w:t>five</w:t>
            </w:r>
            <w:r w:rsidRPr="005730EC">
              <w:rPr>
                <w:rFonts w:cs="Arial"/>
                <w:color w:val="000000"/>
                <w:sz w:val="20"/>
              </w:rPr>
              <w:t xml:space="preserve"> </w:t>
            </w:r>
            <w:r>
              <w:rPr>
                <w:rFonts w:cs="Arial"/>
                <w:color w:val="000000"/>
                <w:sz w:val="20"/>
              </w:rPr>
              <w:t xml:space="preserve">non-consecutive </w:t>
            </w:r>
            <w:r w:rsidRPr="005730EC">
              <w:rPr>
                <w:rFonts w:cs="Arial"/>
                <w:color w:val="000000"/>
                <w:sz w:val="20"/>
              </w:rPr>
              <w:t>days before full activation</w:t>
            </w:r>
          </w:p>
        </w:tc>
      </w:tr>
      <w:tr w:rsidR="001028EC" w:rsidRPr="005730EC" w14:paraId="19D47CCF"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788C2C86" w14:textId="77777777" w:rsidR="001028EC" w:rsidRPr="005730EC" w:rsidRDefault="001028EC" w:rsidP="00701AB3">
            <w:pPr>
              <w:jc w:val="center"/>
              <w:rPr>
                <w:rFonts w:cs="Arial"/>
                <w:color w:val="000000"/>
                <w:sz w:val="20"/>
              </w:rPr>
            </w:pPr>
            <w:r w:rsidRPr="005730EC">
              <w:rPr>
                <w:rFonts w:cs="Arial"/>
                <w:color w:val="000000"/>
                <w:sz w:val="20"/>
              </w:rPr>
              <w:t>12</w:t>
            </w:r>
          </w:p>
        </w:tc>
        <w:tc>
          <w:tcPr>
            <w:tcW w:w="1440" w:type="dxa"/>
            <w:tcBorders>
              <w:top w:val="nil"/>
              <w:left w:val="nil"/>
              <w:bottom w:val="single" w:sz="4" w:space="0" w:color="auto"/>
              <w:right w:val="single" w:sz="4" w:space="0" w:color="auto"/>
            </w:tcBorders>
            <w:hideMark/>
          </w:tcPr>
          <w:p w14:paraId="3494F935" w14:textId="77777777" w:rsidR="001028EC" w:rsidRPr="005730EC" w:rsidRDefault="001028EC" w:rsidP="00701AB3">
            <w:pPr>
              <w:rPr>
                <w:rFonts w:cs="Arial"/>
                <w:color w:val="000000"/>
                <w:sz w:val="20"/>
              </w:rPr>
            </w:pPr>
            <w:r w:rsidRPr="005730EC">
              <w:rPr>
                <w:rFonts w:cs="Arial"/>
                <w:color w:val="000000"/>
                <w:sz w:val="20"/>
              </w:rPr>
              <w:t xml:space="preserve">Balanced Schedules </w:t>
            </w:r>
          </w:p>
        </w:tc>
        <w:tc>
          <w:tcPr>
            <w:tcW w:w="2142" w:type="dxa"/>
            <w:tcBorders>
              <w:top w:val="nil"/>
              <w:left w:val="nil"/>
              <w:bottom w:val="single" w:sz="4" w:space="0" w:color="auto"/>
              <w:right w:val="single" w:sz="4" w:space="0" w:color="auto"/>
            </w:tcBorders>
            <w:hideMark/>
          </w:tcPr>
          <w:p w14:paraId="522928B7" w14:textId="77777777" w:rsidR="001028EC" w:rsidRPr="005730EC" w:rsidRDefault="001028EC" w:rsidP="00701AB3">
            <w:pPr>
              <w:rPr>
                <w:rFonts w:cs="Arial"/>
                <w:color w:val="000000"/>
                <w:sz w:val="20"/>
              </w:rPr>
            </w:pPr>
            <w:r w:rsidRPr="005730EC">
              <w:rPr>
                <w:rFonts w:cs="Arial"/>
                <w:color w:val="000000"/>
                <w:sz w:val="20"/>
              </w:rPr>
              <w:t xml:space="preserve">Capacity test capability </w:t>
            </w:r>
          </w:p>
        </w:tc>
        <w:tc>
          <w:tcPr>
            <w:tcW w:w="2538" w:type="dxa"/>
            <w:tcBorders>
              <w:top w:val="nil"/>
              <w:left w:val="nil"/>
              <w:bottom w:val="single" w:sz="4" w:space="0" w:color="auto"/>
              <w:right w:val="single" w:sz="4" w:space="0" w:color="auto"/>
            </w:tcBorders>
            <w:hideMark/>
          </w:tcPr>
          <w:p w14:paraId="100BD2BE" w14:textId="13F6C835" w:rsidR="001028EC" w:rsidRPr="005730EC" w:rsidRDefault="001028EC" w:rsidP="00701AB3">
            <w:pPr>
              <w:rPr>
                <w:rFonts w:cs="Arial"/>
                <w:color w:val="000000"/>
                <w:sz w:val="20"/>
              </w:rPr>
            </w:pPr>
            <w:r w:rsidRPr="005730EC">
              <w:rPr>
                <w:rFonts w:cs="Arial"/>
                <w:color w:val="000000"/>
                <w:sz w:val="20"/>
              </w:rPr>
              <w:t xml:space="preserve">The </w:t>
            </w:r>
            <w:r w:rsidRPr="003410A8">
              <w:rPr>
                <w:rFonts w:cs="Arial"/>
                <w:sz w:val="20"/>
              </w:rPr>
              <w:t>prospective</w:t>
            </w:r>
            <w:r w:rsidR="005F24C1">
              <w:rPr>
                <w:rFonts w:cs="Arial"/>
                <w:sz w:val="20"/>
              </w:rPr>
              <w:t xml:space="preserve"> WEIM </w:t>
            </w:r>
            <w:r w:rsidRPr="005730EC">
              <w:rPr>
                <w:rFonts w:cs="Arial"/>
                <w:color w:val="000000"/>
                <w:sz w:val="20"/>
              </w:rPr>
              <w:t>Entity Scheduling Coordinator demonstrates its ability to pass capacity test</w:t>
            </w:r>
          </w:p>
        </w:tc>
        <w:tc>
          <w:tcPr>
            <w:tcW w:w="2862" w:type="dxa"/>
            <w:tcBorders>
              <w:top w:val="nil"/>
              <w:left w:val="nil"/>
              <w:bottom w:val="single" w:sz="4" w:space="0" w:color="auto"/>
              <w:right w:val="single" w:sz="4" w:space="0" w:color="auto"/>
            </w:tcBorders>
            <w:hideMark/>
          </w:tcPr>
          <w:p w14:paraId="30A089D5" w14:textId="23658790" w:rsidR="001028EC" w:rsidRPr="005730EC" w:rsidRDefault="001028EC" w:rsidP="00701AB3">
            <w:pPr>
              <w:rPr>
                <w:rFonts w:cs="Arial"/>
                <w:color w:val="000000"/>
                <w:sz w:val="20"/>
              </w:rPr>
            </w:pPr>
            <w:r w:rsidRPr="005730EC">
              <w:rPr>
                <w:rFonts w:cs="Arial"/>
                <w:color w:val="000000"/>
                <w:sz w:val="20"/>
              </w:rPr>
              <w:t xml:space="preserve">Passes 90% of the time or greater over monitored hours of one day before parallel operation and </w:t>
            </w:r>
            <w:r>
              <w:rPr>
                <w:rFonts w:cs="Arial"/>
                <w:color w:val="000000"/>
                <w:sz w:val="20"/>
              </w:rPr>
              <w:t>five</w:t>
            </w:r>
            <w:r w:rsidRPr="005730EC">
              <w:rPr>
                <w:rFonts w:cs="Arial"/>
                <w:color w:val="000000"/>
                <w:sz w:val="20"/>
              </w:rPr>
              <w:t xml:space="preserve"> </w:t>
            </w:r>
            <w:r>
              <w:rPr>
                <w:rFonts w:cs="Arial"/>
                <w:color w:val="000000"/>
                <w:sz w:val="20"/>
              </w:rPr>
              <w:t xml:space="preserve">non-consecutive </w:t>
            </w:r>
            <w:r w:rsidRPr="005730EC">
              <w:rPr>
                <w:rFonts w:cs="Arial"/>
                <w:color w:val="000000"/>
                <w:sz w:val="20"/>
              </w:rPr>
              <w:t xml:space="preserve">days before full activation.  The CAISO will </w:t>
            </w:r>
            <w:r w:rsidRPr="005730EC">
              <w:rPr>
                <w:rFonts w:cs="Arial"/>
                <w:color w:val="000000"/>
                <w:sz w:val="20"/>
              </w:rPr>
              <w:lastRenderedPageBreak/>
              <w:t xml:space="preserve">explain the implications of any potential issues with the reliability of </w:t>
            </w:r>
            <w:r w:rsidR="00153940">
              <w:rPr>
                <w:rFonts w:cs="Arial"/>
                <w:color w:val="000000"/>
                <w:sz w:val="20"/>
              </w:rPr>
              <w:t>a WEIM</w:t>
            </w:r>
            <w:r w:rsidR="005F24C1">
              <w:rPr>
                <w:rFonts w:cs="Arial"/>
                <w:color w:val="000000"/>
                <w:sz w:val="20"/>
              </w:rPr>
              <w:t xml:space="preserve"> </w:t>
            </w:r>
            <w:r w:rsidRPr="005730EC">
              <w:rPr>
                <w:rFonts w:cs="Arial"/>
                <w:color w:val="000000"/>
                <w:sz w:val="20"/>
              </w:rPr>
              <w:t>Entity to meet its capacity requirements.</w:t>
            </w:r>
          </w:p>
        </w:tc>
      </w:tr>
      <w:tr w:rsidR="001028EC" w:rsidRPr="005730EC" w14:paraId="2710E2C4" w14:textId="77777777" w:rsidTr="009E26DA">
        <w:trPr>
          <w:trHeight w:val="2168"/>
        </w:trPr>
        <w:tc>
          <w:tcPr>
            <w:tcW w:w="1260" w:type="dxa"/>
            <w:tcBorders>
              <w:top w:val="nil"/>
              <w:left w:val="single" w:sz="4" w:space="0" w:color="auto"/>
              <w:bottom w:val="single" w:sz="4" w:space="0" w:color="auto"/>
              <w:right w:val="single" w:sz="4" w:space="0" w:color="auto"/>
            </w:tcBorders>
            <w:shd w:val="clear" w:color="000000" w:fill="FFFFFF"/>
            <w:noWrap/>
            <w:hideMark/>
          </w:tcPr>
          <w:p w14:paraId="07C4CF2B" w14:textId="77777777" w:rsidR="001028EC" w:rsidRPr="005730EC" w:rsidRDefault="001028EC" w:rsidP="00701AB3">
            <w:pPr>
              <w:jc w:val="center"/>
              <w:rPr>
                <w:rFonts w:cs="Arial"/>
                <w:color w:val="000000"/>
                <w:sz w:val="20"/>
              </w:rPr>
            </w:pPr>
            <w:r w:rsidRPr="005730EC">
              <w:rPr>
                <w:rFonts w:cs="Arial"/>
                <w:color w:val="000000"/>
                <w:sz w:val="20"/>
              </w:rPr>
              <w:lastRenderedPageBreak/>
              <w:t>13</w:t>
            </w:r>
          </w:p>
        </w:tc>
        <w:tc>
          <w:tcPr>
            <w:tcW w:w="1440" w:type="dxa"/>
            <w:tcBorders>
              <w:top w:val="nil"/>
              <w:left w:val="nil"/>
              <w:bottom w:val="single" w:sz="4" w:space="0" w:color="auto"/>
              <w:right w:val="single" w:sz="4" w:space="0" w:color="auto"/>
            </w:tcBorders>
            <w:hideMark/>
          </w:tcPr>
          <w:p w14:paraId="244C606A" w14:textId="77777777" w:rsidR="001028EC" w:rsidRPr="005730EC" w:rsidRDefault="001028EC" w:rsidP="00701AB3">
            <w:pPr>
              <w:rPr>
                <w:rFonts w:cs="Arial"/>
                <w:color w:val="000000"/>
                <w:sz w:val="20"/>
              </w:rPr>
            </w:pPr>
            <w:r w:rsidRPr="005730EC">
              <w:rPr>
                <w:rFonts w:cs="Arial"/>
                <w:color w:val="000000"/>
                <w:sz w:val="20"/>
              </w:rPr>
              <w:t>Operating Procedures</w:t>
            </w:r>
          </w:p>
        </w:tc>
        <w:tc>
          <w:tcPr>
            <w:tcW w:w="2142" w:type="dxa"/>
            <w:tcBorders>
              <w:top w:val="nil"/>
              <w:left w:val="nil"/>
              <w:bottom w:val="single" w:sz="4" w:space="0" w:color="auto"/>
              <w:right w:val="single" w:sz="4" w:space="0" w:color="auto"/>
            </w:tcBorders>
            <w:hideMark/>
          </w:tcPr>
          <w:p w14:paraId="211B9A67" w14:textId="0E40CA13" w:rsidR="001028EC" w:rsidRPr="005730EC" w:rsidRDefault="001028EC" w:rsidP="00701AB3">
            <w:pPr>
              <w:rPr>
                <w:rFonts w:cs="Arial"/>
                <w:color w:val="000000"/>
                <w:sz w:val="20"/>
              </w:rPr>
            </w:pPr>
            <w:r w:rsidRPr="005730EC">
              <w:rPr>
                <w:rFonts w:cs="Arial"/>
                <w:color w:val="000000"/>
                <w:sz w:val="20"/>
              </w:rPr>
              <w:t xml:space="preserve">CAISO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(relevant to</w:t>
            </w:r>
            <w:r w:rsidR="005F24C1">
              <w:rPr>
                <w:rFonts w:cs="Arial"/>
                <w:color w:val="000000"/>
                <w:sz w:val="20"/>
              </w:rPr>
              <w:t xml:space="preserve"> WEIM </w:t>
            </w:r>
            <w:r w:rsidRPr="005730EC">
              <w:rPr>
                <w:rFonts w:cs="Arial"/>
                <w:color w:val="000000"/>
                <w:sz w:val="20"/>
              </w:rPr>
              <w:t>operations)</w:t>
            </w:r>
          </w:p>
        </w:tc>
        <w:tc>
          <w:tcPr>
            <w:tcW w:w="2538" w:type="dxa"/>
            <w:tcBorders>
              <w:top w:val="nil"/>
              <w:left w:val="nil"/>
              <w:bottom w:val="single" w:sz="4" w:space="0" w:color="auto"/>
              <w:right w:val="single" w:sz="4" w:space="0" w:color="auto"/>
            </w:tcBorders>
            <w:hideMark/>
          </w:tcPr>
          <w:p w14:paraId="3AFF175E" w14:textId="7D303263" w:rsidR="001028EC" w:rsidRPr="005730EC" w:rsidRDefault="001028EC" w:rsidP="00701AB3">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signs CAISO non-disclosure agreement and receives appropriate CAISO “public” and “restricted” operating procedures</w:t>
            </w:r>
          </w:p>
        </w:tc>
        <w:tc>
          <w:tcPr>
            <w:tcW w:w="2862" w:type="dxa"/>
            <w:tcBorders>
              <w:top w:val="nil"/>
              <w:left w:val="nil"/>
              <w:bottom w:val="single" w:sz="4" w:space="0" w:color="auto"/>
              <w:right w:val="single" w:sz="4" w:space="0" w:color="auto"/>
            </w:tcBorders>
            <w:hideMark/>
          </w:tcPr>
          <w:p w14:paraId="67304298" w14:textId="419E9B6C" w:rsidR="001028EC" w:rsidRPr="005730EC" w:rsidRDefault="001028EC" w:rsidP="00701AB3">
            <w:pPr>
              <w:rPr>
                <w:rFonts w:cs="Arial"/>
                <w:color w:val="000000"/>
                <w:sz w:val="20"/>
              </w:rPr>
            </w:pPr>
            <w:r w:rsidRPr="005730EC">
              <w:rPr>
                <w:rFonts w:cs="Arial"/>
                <w:color w:val="000000"/>
                <w:sz w:val="20"/>
              </w:rPr>
              <w:t xml:space="preserve">Operating </w:t>
            </w:r>
            <w:r>
              <w:rPr>
                <w:rFonts w:cs="Arial"/>
                <w:color w:val="000000"/>
                <w:sz w:val="20"/>
              </w:rPr>
              <w:t>p</w:t>
            </w:r>
            <w:r w:rsidRPr="005730EC">
              <w:rPr>
                <w:rFonts w:cs="Arial"/>
                <w:color w:val="000000"/>
                <w:sz w:val="20"/>
              </w:rPr>
              <w:t xml:space="preserve">rocedures NDA signed by </w:t>
            </w:r>
            <w:r>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p w14:paraId="4177AC11" w14:textId="07C5F89F" w:rsidR="001028EC" w:rsidRPr="005730EC" w:rsidRDefault="001028EC" w:rsidP="00701AB3">
            <w:pPr>
              <w:rPr>
                <w:rFonts w:cs="Arial"/>
                <w:color w:val="000000"/>
                <w:sz w:val="20"/>
              </w:rPr>
            </w:pPr>
            <w:r w:rsidRPr="005730EC">
              <w:rPr>
                <w:rFonts w:cs="Arial"/>
                <w:color w:val="000000"/>
                <w:sz w:val="20"/>
              </w:rPr>
              <w:br/>
            </w: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receives CAISO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four months prior to the parallel operations date.</w:t>
            </w:r>
          </w:p>
        </w:tc>
      </w:tr>
      <w:tr w:rsidR="001028EC" w:rsidRPr="005730EC" w14:paraId="7B8CAFF5" w14:textId="77777777" w:rsidTr="009E26DA">
        <w:trPr>
          <w:trHeight w:val="620"/>
        </w:trPr>
        <w:tc>
          <w:tcPr>
            <w:tcW w:w="1260" w:type="dxa"/>
            <w:tcBorders>
              <w:top w:val="nil"/>
              <w:left w:val="single" w:sz="4" w:space="0" w:color="auto"/>
              <w:bottom w:val="single" w:sz="4" w:space="0" w:color="auto"/>
              <w:right w:val="single" w:sz="4" w:space="0" w:color="auto"/>
            </w:tcBorders>
            <w:shd w:val="clear" w:color="000000" w:fill="FFFFFF"/>
            <w:noWrap/>
            <w:hideMark/>
          </w:tcPr>
          <w:p w14:paraId="4DD843D5" w14:textId="77777777" w:rsidR="001028EC" w:rsidRPr="005730EC" w:rsidRDefault="001028EC" w:rsidP="00701AB3">
            <w:pPr>
              <w:jc w:val="center"/>
              <w:rPr>
                <w:rFonts w:cs="Arial"/>
                <w:color w:val="000000"/>
                <w:sz w:val="20"/>
              </w:rPr>
            </w:pPr>
            <w:r w:rsidRPr="005730EC">
              <w:rPr>
                <w:rFonts w:cs="Arial"/>
                <w:color w:val="000000"/>
                <w:sz w:val="20"/>
              </w:rPr>
              <w:t>14</w:t>
            </w:r>
          </w:p>
        </w:tc>
        <w:tc>
          <w:tcPr>
            <w:tcW w:w="1440" w:type="dxa"/>
            <w:tcBorders>
              <w:top w:val="nil"/>
              <w:left w:val="nil"/>
              <w:bottom w:val="single" w:sz="4" w:space="0" w:color="auto"/>
              <w:right w:val="single" w:sz="4" w:space="0" w:color="auto"/>
            </w:tcBorders>
            <w:hideMark/>
          </w:tcPr>
          <w:p w14:paraId="7CAF18EB" w14:textId="77777777" w:rsidR="001028EC" w:rsidRPr="005730EC" w:rsidRDefault="001028EC" w:rsidP="00701AB3">
            <w:pPr>
              <w:rPr>
                <w:rFonts w:cs="Arial"/>
                <w:color w:val="000000"/>
                <w:sz w:val="20"/>
              </w:rPr>
            </w:pPr>
            <w:r w:rsidRPr="005730EC">
              <w:rPr>
                <w:rFonts w:cs="Arial"/>
                <w:color w:val="000000"/>
                <w:sz w:val="20"/>
              </w:rPr>
              <w:t>Operating Procedures</w:t>
            </w:r>
          </w:p>
        </w:tc>
        <w:tc>
          <w:tcPr>
            <w:tcW w:w="2142" w:type="dxa"/>
            <w:tcBorders>
              <w:top w:val="nil"/>
              <w:left w:val="nil"/>
              <w:bottom w:val="single" w:sz="4" w:space="0" w:color="auto"/>
              <w:right w:val="single" w:sz="4" w:space="0" w:color="auto"/>
            </w:tcBorders>
            <w:hideMark/>
          </w:tcPr>
          <w:p w14:paraId="645BE7B4" w14:textId="2C4ECB75" w:rsidR="001028EC" w:rsidRPr="005730EC" w:rsidRDefault="001028EC" w:rsidP="00701AB3">
            <w:pPr>
              <w:rPr>
                <w:rFonts w:cs="Arial"/>
                <w:color w:val="000000"/>
                <w:sz w:val="20"/>
              </w:rPr>
            </w:pPr>
            <w:r>
              <w:rPr>
                <w:rFonts w:cs="Arial"/>
                <w:sz w:val="20"/>
              </w:rPr>
              <w:t>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w:t>
            </w:r>
          </w:p>
        </w:tc>
        <w:tc>
          <w:tcPr>
            <w:tcW w:w="2538" w:type="dxa"/>
            <w:tcBorders>
              <w:top w:val="nil"/>
              <w:left w:val="nil"/>
              <w:bottom w:val="single" w:sz="4" w:space="0" w:color="auto"/>
              <w:right w:val="single" w:sz="4" w:space="0" w:color="auto"/>
            </w:tcBorders>
            <w:hideMark/>
          </w:tcPr>
          <w:p w14:paraId="34D4D9CE" w14:textId="744389F2" w:rsidR="001028EC" w:rsidRPr="005730EC" w:rsidRDefault="001028EC" w:rsidP="00701AB3">
            <w:pPr>
              <w:rPr>
                <w:rFonts w:cs="Arial"/>
                <w:color w:val="000000"/>
                <w:sz w:val="20"/>
              </w:rPr>
            </w:pPr>
            <w:r w:rsidRPr="005730EC">
              <w:rPr>
                <w:rFonts w:cs="Arial"/>
                <w:color w:val="000000"/>
                <w:sz w:val="20"/>
              </w:rPr>
              <w:t xml:space="preserve">The </w:t>
            </w:r>
            <w:r>
              <w:rPr>
                <w:rFonts w:cs="Arial"/>
                <w:sz w:val="20"/>
              </w:rPr>
              <w:t>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are defined, updated, and tested for the</w:t>
            </w:r>
            <w:r w:rsidR="005F24C1">
              <w:rPr>
                <w:rFonts w:cs="Arial"/>
                <w:color w:val="000000"/>
                <w:sz w:val="20"/>
              </w:rPr>
              <w:t xml:space="preserve"> WEIM </w:t>
            </w:r>
            <w:r w:rsidRPr="005730EC">
              <w:rPr>
                <w:rFonts w:cs="Arial"/>
                <w:color w:val="000000"/>
                <w:sz w:val="20"/>
              </w:rPr>
              <w:t>Entity Scheduling Coordinator</w:t>
            </w:r>
          </w:p>
        </w:tc>
        <w:tc>
          <w:tcPr>
            <w:tcW w:w="2862" w:type="dxa"/>
            <w:tcBorders>
              <w:top w:val="nil"/>
              <w:left w:val="nil"/>
              <w:bottom w:val="single" w:sz="4" w:space="0" w:color="auto"/>
              <w:right w:val="single" w:sz="4" w:space="0" w:color="auto"/>
            </w:tcBorders>
            <w:hideMark/>
          </w:tcPr>
          <w:p w14:paraId="64B47F83" w14:textId="291ACB8F" w:rsidR="001028EC" w:rsidRPr="005730EC" w:rsidRDefault="001028EC" w:rsidP="00701AB3">
            <w:pPr>
              <w:rPr>
                <w:rFonts w:cs="Arial"/>
                <w:color w:val="000000"/>
                <w:sz w:val="20"/>
              </w:rPr>
            </w:pPr>
            <w:r w:rsidRPr="005730EC">
              <w:rPr>
                <w:rFonts w:cs="Arial"/>
                <w:color w:val="000000"/>
                <w:sz w:val="20"/>
              </w:rPr>
              <w:t xml:space="preserve">The </w:t>
            </w:r>
            <w:r>
              <w:rPr>
                <w:rFonts w:cs="Arial"/>
                <w:sz w:val="20"/>
              </w:rPr>
              <w:t>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are updated tested and implemented prior to parallel operations date.</w:t>
            </w:r>
          </w:p>
        </w:tc>
      </w:tr>
      <w:tr w:rsidR="001028EC" w:rsidRPr="005730EC" w14:paraId="724F4471" w14:textId="77777777" w:rsidTr="009E26DA">
        <w:trPr>
          <w:trHeight w:val="2699"/>
        </w:trPr>
        <w:tc>
          <w:tcPr>
            <w:tcW w:w="1260" w:type="dxa"/>
            <w:tcBorders>
              <w:top w:val="nil"/>
              <w:left w:val="single" w:sz="4" w:space="0" w:color="auto"/>
              <w:bottom w:val="single" w:sz="4" w:space="0" w:color="auto"/>
              <w:right w:val="single" w:sz="4" w:space="0" w:color="auto"/>
            </w:tcBorders>
            <w:shd w:val="clear" w:color="000000" w:fill="FFFFFF"/>
            <w:noWrap/>
            <w:hideMark/>
          </w:tcPr>
          <w:p w14:paraId="5F47555E" w14:textId="77777777" w:rsidR="001028EC" w:rsidRPr="005730EC" w:rsidRDefault="001028EC" w:rsidP="00701AB3">
            <w:pPr>
              <w:jc w:val="center"/>
              <w:rPr>
                <w:rFonts w:cs="Arial"/>
                <w:color w:val="000000"/>
                <w:sz w:val="20"/>
              </w:rPr>
            </w:pPr>
            <w:r w:rsidRPr="005730EC">
              <w:rPr>
                <w:rFonts w:cs="Arial"/>
                <w:color w:val="000000"/>
                <w:sz w:val="20"/>
              </w:rPr>
              <w:t>15</w:t>
            </w:r>
          </w:p>
        </w:tc>
        <w:tc>
          <w:tcPr>
            <w:tcW w:w="1440" w:type="dxa"/>
            <w:tcBorders>
              <w:top w:val="nil"/>
              <w:left w:val="nil"/>
              <w:bottom w:val="single" w:sz="4" w:space="0" w:color="auto"/>
              <w:right w:val="single" w:sz="4" w:space="0" w:color="auto"/>
            </w:tcBorders>
            <w:hideMark/>
          </w:tcPr>
          <w:p w14:paraId="4EA2F1A8"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hideMark/>
          </w:tcPr>
          <w:p w14:paraId="5C1D9332" w14:textId="77777777" w:rsidR="001028EC" w:rsidRPr="005730EC" w:rsidRDefault="001028EC" w:rsidP="00701AB3">
            <w:pPr>
              <w:rPr>
                <w:rFonts w:cs="Arial"/>
                <w:color w:val="000000"/>
                <w:sz w:val="20"/>
              </w:rPr>
            </w:pPr>
            <w:r w:rsidRPr="005730EC">
              <w:rPr>
                <w:rFonts w:cs="Arial"/>
                <w:color w:val="000000"/>
                <w:sz w:val="20"/>
              </w:rPr>
              <w:t xml:space="preserve">Functional Testing </w:t>
            </w:r>
          </w:p>
        </w:tc>
        <w:tc>
          <w:tcPr>
            <w:tcW w:w="2538" w:type="dxa"/>
            <w:tcBorders>
              <w:top w:val="nil"/>
              <w:left w:val="nil"/>
              <w:bottom w:val="single" w:sz="4" w:space="0" w:color="auto"/>
              <w:right w:val="single" w:sz="4" w:space="0" w:color="auto"/>
            </w:tcBorders>
            <w:hideMark/>
          </w:tcPr>
          <w:p w14:paraId="75A4C4D8" w14:textId="0EDDB2E5" w:rsidR="001028EC" w:rsidRPr="005730EC" w:rsidRDefault="001028EC" w:rsidP="00701AB3">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and the CAISO will test the functional and system elements in accordance with  functional and system testing documentation posted on the CAISO website</w:t>
            </w:r>
          </w:p>
        </w:tc>
        <w:tc>
          <w:tcPr>
            <w:tcW w:w="2862" w:type="dxa"/>
            <w:tcBorders>
              <w:top w:val="nil"/>
              <w:left w:val="nil"/>
              <w:bottom w:val="single" w:sz="4" w:space="0" w:color="auto"/>
              <w:right w:val="single" w:sz="4" w:space="0" w:color="auto"/>
            </w:tcBorders>
            <w:hideMark/>
          </w:tcPr>
          <w:p w14:paraId="4D2090F2" w14:textId="77777777" w:rsidR="001028EC" w:rsidRPr="005730EC" w:rsidRDefault="001028EC" w:rsidP="00701AB3">
            <w:pPr>
              <w:rPr>
                <w:rFonts w:cs="Arial"/>
                <w:color w:val="000000"/>
                <w:sz w:val="20"/>
              </w:rPr>
            </w:pPr>
            <w:r w:rsidRPr="005730EC">
              <w:rPr>
                <w:rFonts w:cs="Arial"/>
                <w:color w:val="000000"/>
                <w:sz w:val="20"/>
              </w:rPr>
              <w:t xml:space="preserve">All tasks identified in the functional and system testing documentation are completed and will not have any issues deemed significant. </w:t>
            </w:r>
          </w:p>
          <w:p w14:paraId="75658521" w14:textId="77777777" w:rsidR="001028EC" w:rsidRPr="005730EC" w:rsidRDefault="001028EC" w:rsidP="00701AB3">
            <w:pPr>
              <w:rPr>
                <w:rFonts w:cs="Arial"/>
                <w:color w:val="000000"/>
                <w:sz w:val="20"/>
              </w:rPr>
            </w:pPr>
          </w:p>
          <w:p w14:paraId="52B12E6F" w14:textId="77777777" w:rsidR="001028EC" w:rsidRPr="005730EC" w:rsidRDefault="001028EC" w:rsidP="00701AB3">
            <w:pPr>
              <w:rPr>
                <w:rFonts w:cs="Arial"/>
                <w:color w:val="000000"/>
                <w:sz w:val="20"/>
              </w:rPr>
            </w:pPr>
            <w:r w:rsidRPr="005730EC">
              <w:rPr>
                <w:rFonts w:cs="Arial"/>
                <w:color w:val="000000"/>
                <w:sz w:val="20"/>
              </w:rPr>
              <w:t xml:space="preserve">Any exceptions will be explained </w:t>
            </w:r>
            <w:r w:rsidRPr="003F37C8">
              <w:rPr>
                <w:rFonts w:cs="Arial"/>
                <w:color w:val="000000"/>
                <w:sz w:val="20"/>
              </w:rPr>
              <w:t>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tc>
      </w:tr>
      <w:tr w:rsidR="001028EC" w:rsidRPr="005730EC" w14:paraId="697F0107"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hideMark/>
          </w:tcPr>
          <w:p w14:paraId="6601A75F" w14:textId="77777777" w:rsidR="001028EC" w:rsidRPr="005730EC" w:rsidRDefault="001028EC" w:rsidP="00701AB3">
            <w:pPr>
              <w:jc w:val="center"/>
              <w:rPr>
                <w:rFonts w:cs="Arial"/>
                <w:color w:val="000000"/>
                <w:sz w:val="20"/>
              </w:rPr>
            </w:pPr>
            <w:r w:rsidRPr="005730EC">
              <w:rPr>
                <w:rFonts w:cs="Arial"/>
                <w:color w:val="000000"/>
                <w:sz w:val="20"/>
              </w:rPr>
              <w:t>16</w:t>
            </w:r>
          </w:p>
        </w:tc>
        <w:tc>
          <w:tcPr>
            <w:tcW w:w="1440" w:type="dxa"/>
            <w:tcBorders>
              <w:top w:val="nil"/>
              <w:left w:val="nil"/>
              <w:bottom w:val="single" w:sz="4" w:space="0" w:color="auto"/>
              <w:right w:val="single" w:sz="4" w:space="0" w:color="auto"/>
            </w:tcBorders>
            <w:hideMark/>
          </w:tcPr>
          <w:p w14:paraId="687EDF52"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hideMark/>
          </w:tcPr>
          <w:p w14:paraId="664A37A3" w14:textId="77777777" w:rsidR="001028EC" w:rsidRPr="005730EC" w:rsidRDefault="001028EC" w:rsidP="00701AB3">
            <w:pPr>
              <w:rPr>
                <w:rFonts w:cs="Arial"/>
                <w:color w:val="000000"/>
                <w:sz w:val="20"/>
              </w:rPr>
            </w:pPr>
            <w:r w:rsidRPr="005730EC">
              <w:rPr>
                <w:rFonts w:cs="Arial"/>
                <w:color w:val="000000"/>
                <w:sz w:val="20"/>
              </w:rPr>
              <w:t xml:space="preserve">System Integration </w:t>
            </w:r>
          </w:p>
        </w:tc>
        <w:tc>
          <w:tcPr>
            <w:tcW w:w="2538" w:type="dxa"/>
            <w:tcBorders>
              <w:top w:val="nil"/>
              <w:left w:val="nil"/>
              <w:bottom w:val="single" w:sz="4" w:space="0" w:color="auto"/>
              <w:right w:val="single" w:sz="4" w:space="0" w:color="auto"/>
            </w:tcBorders>
            <w:hideMark/>
          </w:tcPr>
          <w:p w14:paraId="484542CE" w14:textId="1F13A7DA" w:rsidR="001028EC" w:rsidRPr="005730EC" w:rsidRDefault="001028EC" w:rsidP="00701AB3">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and CAISO will test system integration testing in accordance with the system integration testing documentation posted on the CAISO website</w:t>
            </w:r>
          </w:p>
        </w:tc>
        <w:tc>
          <w:tcPr>
            <w:tcW w:w="2862" w:type="dxa"/>
            <w:tcBorders>
              <w:top w:val="nil"/>
              <w:left w:val="nil"/>
              <w:bottom w:val="single" w:sz="4" w:space="0" w:color="auto"/>
              <w:right w:val="single" w:sz="4" w:space="0" w:color="auto"/>
            </w:tcBorders>
            <w:hideMark/>
          </w:tcPr>
          <w:p w14:paraId="2420A377" w14:textId="77777777" w:rsidR="001028EC" w:rsidRPr="005730EC" w:rsidRDefault="001028EC" w:rsidP="00701AB3">
            <w:pPr>
              <w:rPr>
                <w:rFonts w:cs="Arial"/>
                <w:color w:val="000000"/>
                <w:sz w:val="20"/>
              </w:rPr>
            </w:pPr>
            <w:r w:rsidRPr="005730EC">
              <w:rPr>
                <w:rFonts w:cs="Arial"/>
                <w:color w:val="000000"/>
                <w:sz w:val="20"/>
              </w:rPr>
              <w:t xml:space="preserve">All tasks identified in the system integration testing documentation are completed and will not have any issues deemed significant. </w:t>
            </w:r>
          </w:p>
          <w:p w14:paraId="132BE2C7" w14:textId="77777777" w:rsidR="001028EC" w:rsidRPr="005730EC" w:rsidRDefault="001028EC" w:rsidP="00701AB3">
            <w:pPr>
              <w:rPr>
                <w:rFonts w:cs="Arial"/>
                <w:color w:val="000000"/>
                <w:sz w:val="20"/>
              </w:rPr>
            </w:pPr>
          </w:p>
          <w:p w14:paraId="15A797E7" w14:textId="77777777" w:rsidR="001028EC" w:rsidRPr="003F37C8" w:rsidRDefault="001028EC" w:rsidP="00701AB3">
            <w:pPr>
              <w:rPr>
                <w:rFonts w:cs="Arial"/>
                <w:sz w:val="20"/>
              </w:rPr>
            </w:pPr>
            <w:r w:rsidRPr="005730EC">
              <w:rPr>
                <w:rFonts w:cs="Arial"/>
                <w:color w:val="000000"/>
                <w:sz w:val="20"/>
              </w:rPr>
              <w:lastRenderedPageBreak/>
              <w:t xml:space="preserve">Any exceptions will be explained </w:t>
            </w:r>
            <w:r w:rsidRPr="003F37C8">
              <w:rPr>
                <w:rFonts w:cs="Arial"/>
                <w:color w:val="000000"/>
                <w:sz w:val="20"/>
              </w:rPr>
              <w:t>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p w14:paraId="597B47D1" w14:textId="77777777" w:rsidR="001028EC" w:rsidRPr="005730EC" w:rsidRDefault="001028EC" w:rsidP="00701AB3">
            <w:pPr>
              <w:rPr>
                <w:rFonts w:cs="Arial"/>
                <w:color w:val="000000"/>
                <w:sz w:val="20"/>
              </w:rPr>
            </w:pPr>
          </w:p>
        </w:tc>
      </w:tr>
      <w:tr w:rsidR="001028EC" w:rsidRPr="005730EC" w14:paraId="653AC558"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hideMark/>
          </w:tcPr>
          <w:p w14:paraId="48575D28" w14:textId="77777777" w:rsidR="001028EC" w:rsidRPr="005730EC" w:rsidRDefault="001028EC" w:rsidP="00701AB3">
            <w:pPr>
              <w:jc w:val="center"/>
              <w:rPr>
                <w:rFonts w:cs="Arial"/>
                <w:color w:val="000000"/>
                <w:sz w:val="20"/>
              </w:rPr>
            </w:pPr>
            <w:r w:rsidRPr="005730EC">
              <w:rPr>
                <w:rFonts w:cs="Arial"/>
                <w:color w:val="000000"/>
                <w:sz w:val="20"/>
              </w:rPr>
              <w:lastRenderedPageBreak/>
              <w:t>17</w:t>
            </w:r>
          </w:p>
        </w:tc>
        <w:tc>
          <w:tcPr>
            <w:tcW w:w="1440" w:type="dxa"/>
            <w:tcBorders>
              <w:top w:val="nil"/>
              <w:left w:val="nil"/>
              <w:bottom w:val="single" w:sz="4" w:space="0" w:color="auto"/>
              <w:right w:val="single" w:sz="4" w:space="0" w:color="auto"/>
            </w:tcBorders>
            <w:hideMark/>
          </w:tcPr>
          <w:p w14:paraId="5A9DABC9"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hideMark/>
          </w:tcPr>
          <w:p w14:paraId="6DD41934" w14:textId="3AEC9F06" w:rsidR="001028EC" w:rsidRPr="005730EC" w:rsidRDefault="001028EC" w:rsidP="00701AB3">
            <w:pPr>
              <w:rPr>
                <w:rFonts w:cs="Arial"/>
                <w:color w:val="000000"/>
                <w:sz w:val="20"/>
              </w:rPr>
            </w:pPr>
            <w:r>
              <w:rPr>
                <w:rFonts w:cs="Arial"/>
                <w:sz w:val="20"/>
              </w:rPr>
              <w:t>The pr</w:t>
            </w:r>
            <w:r w:rsidRPr="00200458">
              <w:rPr>
                <w:rFonts w:cs="Arial"/>
                <w:sz w:val="20"/>
              </w:rPr>
              <w:t>ospective</w:t>
            </w:r>
            <w:r w:rsidR="005F24C1">
              <w:rPr>
                <w:rFonts w:cs="Arial"/>
                <w:sz w:val="20"/>
              </w:rPr>
              <w:t xml:space="preserve"> WEIM </w:t>
            </w:r>
            <w:r w:rsidRPr="005730EC">
              <w:rPr>
                <w:rFonts w:cs="Arial"/>
                <w:color w:val="000000"/>
                <w:sz w:val="20"/>
              </w:rPr>
              <w:t>Entity system access complete</w:t>
            </w:r>
          </w:p>
        </w:tc>
        <w:tc>
          <w:tcPr>
            <w:tcW w:w="2538" w:type="dxa"/>
            <w:tcBorders>
              <w:top w:val="nil"/>
              <w:left w:val="nil"/>
              <w:bottom w:val="single" w:sz="4" w:space="0" w:color="auto"/>
              <w:right w:val="single" w:sz="4" w:space="0" w:color="auto"/>
            </w:tcBorders>
            <w:hideMark/>
          </w:tcPr>
          <w:p w14:paraId="7CD7E243" w14:textId="0F7BCB35" w:rsidR="001028EC" w:rsidRPr="005730EC" w:rsidRDefault="001028EC" w:rsidP="00701AB3">
            <w:pPr>
              <w:rPr>
                <w:rFonts w:cs="Arial"/>
                <w:color w:val="000000"/>
                <w:sz w:val="20"/>
              </w:rPr>
            </w:pPr>
            <w:r w:rsidRPr="005730EC">
              <w:rPr>
                <w:rFonts w:cs="Arial"/>
                <w:color w:val="000000"/>
                <w:sz w:val="20"/>
              </w:rPr>
              <w:t xml:space="preserve">All </w:t>
            </w:r>
            <w:r w:rsidRPr="00200458">
              <w:rPr>
                <w:rFonts w:cs="Arial"/>
                <w:sz w:val="20"/>
              </w:rPr>
              <w:t>prospective</w:t>
            </w:r>
            <w:r w:rsidR="005F24C1">
              <w:rPr>
                <w:rFonts w:cs="Arial"/>
                <w:sz w:val="20"/>
              </w:rPr>
              <w:t xml:space="preserve"> WEIM </w:t>
            </w:r>
            <w:r w:rsidRPr="005730EC">
              <w:rPr>
                <w:rFonts w:cs="Arial"/>
                <w:color w:val="000000"/>
                <w:sz w:val="20"/>
              </w:rPr>
              <w:t>Entity employees who require system access to perform EIM-related job functions identified and have necessary certificates.</w:t>
            </w:r>
          </w:p>
        </w:tc>
        <w:tc>
          <w:tcPr>
            <w:tcW w:w="2862" w:type="dxa"/>
            <w:tcBorders>
              <w:top w:val="nil"/>
              <w:left w:val="nil"/>
              <w:bottom w:val="single" w:sz="4" w:space="0" w:color="auto"/>
              <w:right w:val="single" w:sz="4" w:space="0" w:color="auto"/>
            </w:tcBorders>
            <w:hideMark/>
          </w:tcPr>
          <w:p w14:paraId="011026A5" w14:textId="77686F98" w:rsidR="001028EC" w:rsidRPr="005730EC" w:rsidRDefault="001028EC" w:rsidP="00701AB3">
            <w:pPr>
              <w:rPr>
                <w:rFonts w:cs="Arial"/>
                <w:color w:val="000000"/>
                <w:sz w:val="20"/>
              </w:rPr>
            </w:pPr>
            <w:r w:rsidRPr="005730EC">
              <w:rPr>
                <w:rFonts w:cs="Arial"/>
                <w:color w:val="000000"/>
                <w:sz w:val="20"/>
              </w:rPr>
              <w:t xml:space="preserve">All </w:t>
            </w:r>
            <w:r w:rsidRPr="00200458">
              <w:rPr>
                <w:rFonts w:cs="Arial"/>
                <w:sz w:val="20"/>
              </w:rPr>
              <w:t>prospective</w:t>
            </w:r>
            <w:r w:rsidR="005F24C1">
              <w:rPr>
                <w:rFonts w:cs="Arial"/>
                <w:sz w:val="20"/>
              </w:rPr>
              <w:t xml:space="preserve"> WEIM </w:t>
            </w:r>
            <w:r w:rsidRPr="005730EC">
              <w:rPr>
                <w:rFonts w:cs="Arial"/>
                <w:color w:val="000000"/>
                <w:sz w:val="20"/>
              </w:rPr>
              <w:t>Employees performing job functions for</w:t>
            </w:r>
            <w:r w:rsidR="005F24C1">
              <w:rPr>
                <w:rFonts w:cs="Arial"/>
                <w:color w:val="000000"/>
                <w:sz w:val="20"/>
              </w:rPr>
              <w:t xml:space="preserve"> WEIM </w:t>
            </w:r>
            <w:r w:rsidRPr="005730EC">
              <w:rPr>
                <w:rFonts w:cs="Arial"/>
                <w:color w:val="000000"/>
                <w:sz w:val="20"/>
              </w:rPr>
              <w:t>market are identified.</w:t>
            </w:r>
            <w:r w:rsidRPr="005730EC">
              <w:rPr>
                <w:rFonts w:cs="Arial"/>
                <w:color w:val="000000"/>
                <w:sz w:val="20"/>
              </w:rPr>
              <w:br/>
            </w:r>
          </w:p>
          <w:p w14:paraId="63A7369F" w14:textId="77777777" w:rsidR="001028EC" w:rsidRPr="005730EC" w:rsidRDefault="001028EC" w:rsidP="00701AB3">
            <w:pPr>
              <w:rPr>
                <w:rFonts w:cs="Arial"/>
                <w:color w:val="000000"/>
                <w:sz w:val="20"/>
              </w:rPr>
            </w:pPr>
            <w:r w:rsidRPr="005730EC">
              <w:rPr>
                <w:rFonts w:cs="Arial"/>
                <w:color w:val="000000"/>
                <w:sz w:val="20"/>
              </w:rPr>
              <w:t xml:space="preserve">All CASIO issued certificates are requested within the appropriate timeframes. </w:t>
            </w:r>
          </w:p>
          <w:p w14:paraId="20E751D3" w14:textId="7381486E" w:rsidR="001028EC" w:rsidRPr="005730EC" w:rsidRDefault="001028EC" w:rsidP="00701AB3">
            <w:pPr>
              <w:rPr>
                <w:rFonts w:cs="Arial"/>
                <w:color w:val="000000"/>
                <w:sz w:val="20"/>
              </w:rPr>
            </w:pPr>
            <w:r w:rsidRPr="005730EC">
              <w:rPr>
                <w:rFonts w:cs="Arial"/>
                <w:color w:val="000000"/>
                <w:sz w:val="20"/>
              </w:rPr>
              <w:br/>
              <w:t>All identified employees provided the necessary</w:t>
            </w:r>
            <w:r w:rsidR="005F24C1">
              <w:rPr>
                <w:rFonts w:cs="Arial"/>
                <w:color w:val="000000"/>
                <w:sz w:val="20"/>
              </w:rPr>
              <w:t xml:space="preserve"> WEIM </w:t>
            </w:r>
            <w:r w:rsidRPr="005730EC">
              <w:rPr>
                <w:rFonts w:cs="Arial"/>
                <w:color w:val="000000"/>
                <w:sz w:val="20"/>
              </w:rPr>
              <w:t>system access certificates.</w:t>
            </w:r>
          </w:p>
        </w:tc>
      </w:tr>
      <w:tr w:rsidR="001028EC" w:rsidRPr="005730EC" w14:paraId="78521ABA" w14:textId="77777777" w:rsidTr="009E26DA">
        <w:trPr>
          <w:trHeight w:val="1275"/>
        </w:trPr>
        <w:tc>
          <w:tcPr>
            <w:tcW w:w="1260" w:type="dxa"/>
            <w:tcBorders>
              <w:top w:val="nil"/>
              <w:left w:val="single" w:sz="4" w:space="0" w:color="auto"/>
              <w:bottom w:val="single" w:sz="4" w:space="0" w:color="auto"/>
              <w:right w:val="single" w:sz="4" w:space="0" w:color="auto"/>
            </w:tcBorders>
            <w:shd w:val="clear" w:color="000000" w:fill="FFFFFF"/>
            <w:noWrap/>
            <w:hideMark/>
          </w:tcPr>
          <w:p w14:paraId="1AB1BBEE" w14:textId="77777777" w:rsidR="001028EC" w:rsidRPr="005730EC" w:rsidRDefault="001028EC" w:rsidP="00701AB3">
            <w:pPr>
              <w:jc w:val="center"/>
              <w:rPr>
                <w:rFonts w:cs="Arial"/>
                <w:color w:val="000000"/>
                <w:sz w:val="20"/>
              </w:rPr>
            </w:pPr>
            <w:r w:rsidRPr="005730EC">
              <w:rPr>
                <w:rFonts w:cs="Arial"/>
                <w:color w:val="000000"/>
                <w:sz w:val="20"/>
              </w:rPr>
              <w:t>18</w:t>
            </w:r>
          </w:p>
        </w:tc>
        <w:tc>
          <w:tcPr>
            <w:tcW w:w="1440" w:type="dxa"/>
            <w:tcBorders>
              <w:top w:val="nil"/>
              <w:left w:val="nil"/>
              <w:bottom w:val="single" w:sz="4" w:space="0" w:color="auto"/>
              <w:right w:val="single" w:sz="4" w:space="0" w:color="auto"/>
            </w:tcBorders>
            <w:hideMark/>
          </w:tcPr>
          <w:p w14:paraId="2F834FB6" w14:textId="77777777" w:rsidR="001028EC" w:rsidRPr="005730EC" w:rsidRDefault="001028EC" w:rsidP="00701AB3">
            <w:pPr>
              <w:rPr>
                <w:rFonts w:cs="Arial"/>
                <w:color w:val="000000"/>
                <w:sz w:val="20"/>
              </w:rPr>
            </w:pPr>
            <w:r w:rsidRPr="005730EC">
              <w:rPr>
                <w:rFonts w:cs="Arial"/>
                <w:color w:val="000000"/>
                <w:sz w:val="20"/>
              </w:rPr>
              <w:t>System Readiness &amp; Integration</w:t>
            </w:r>
          </w:p>
        </w:tc>
        <w:tc>
          <w:tcPr>
            <w:tcW w:w="2142" w:type="dxa"/>
            <w:tcBorders>
              <w:top w:val="nil"/>
              <w:left w:val="nil"/>
              <w:bottom w:val="single" w:sz="4" w:space="0" w:color="auto"/>
              <w:right w:val="single" w:sz="4" w:space="0" w:color="auto"/>
            </w:tcBorders>
            <w:noWrap/>
            <w:hideMark/>
          </w:tcPr>
          <w:p w14:paraId="5B95C013" w14:textId="2BC46015" w:rsidR="001028EC" w:rsidRPr="005730EC" w:rsidRDefault="001028EC" w:rsidP="00701AB3">
            <w:pPr>
              <w:rPr>
                <w:rFonts w:cs="Arial"/>
                <w:color w:val="000000"/>
                <w:sz w:val="20"/>
              </w:rPr>
            </w:pPr>
            <w:r w:rsidRPr="005730EC">
              <w:rPr>
                <w:rFonts w:cs="Arial"/>
                <w:color w:val="000000"/>
                <w:sz w:val="20"/>
              </w:rPr>
              <w:t xml:space="preserve">ISO - </w:t>
            </w:r>
            <w:r w:rsidRPr="00200458">
              <w:rPr>
                <w:rFonts w:cs="Arial"/>
                <w:sz w:val="20"/>
              </w:rPr>
              <w:t>prospective</w:t>
            </w:r>
            <w:r w:rsidR="005F24C1">
              <w:rPr>
                <w:rFonts w:cs="Arial"/>
                <w:sz w:val="20"/>
              </w:rPr>
              <w:t xml:space="preserve"> WEIM </w:t>
            </w:r>
            <w:r w:rsidRPr="005730EC">
              <w:rPr>
                <w:rFonts w:cs="Arial"/>
                <w:color w:val="000000"/>
                <w:sz w:val="20"/>
              </w:rPr>
              <w:t xml:space="preserve">Entity interfaces </w:t>
            </w:r>
          </w:p>
        </w:tc>
        <w:tc>
          <w:tcPr>
            <w:tcW w:w="2538" w:type="dxa"/>
            <w:tcBorders>
              <w:top w:val="nil"/>
              <w:left w:val="nil"/>
              <w:bottom w:val="single" w:sz="4" w:space="0" w:color="auto"/>
              <w:right w:val="single" w:sz="4" w:space="0" w:color="auto"/>
            </w:tcBorders>
            <w:hideMark/>
          </w:tcPr>
          <w:p w14:paraId="1AF67345" w14:textId="43A7A081" w:rsidR="001028EC" w:rsidRPr="005730EC" w:rsidRDefault="001028EC" w:rsidP="00701AB3">
            <w:pPr>
              <w:rPr>
                <w:rFonts w:cs="Arial"/>
                <w:color w:val="000000"/>
                <w:sz w:val="20"/>
              </w:rPr>
            </w:pPr>
            <w:r w:rsidRPr="005730EC">
              <w:rPr>
                <w:rFonts w:cs="Arial"/>
                <w:color w:val="000000"/>
                <w:sz w:val="20"/>
              </w:rPr>
              <w:t xml:space="preserve">Data interfaces between </w:t>
            </w:r>
            <w:r>
              <w:rPr>
                <w:rFonts w:cs="Arial"/>
                <w:color w:val="000000"/>
                <w:sz w:val="20"/>
              </w:rPr>
              <w:t>prospective</w:t>
            </w:r>
            <w:r w:rsidR="005F24C1">
              <w:rPr>
                <w:rFonts w:cs="Arial"/>
                <w:color w:val="000000"/>
                <w:sz w:val="20"/>
              </w:rPr>
              <w:t xml:space="preserve"> WEIM </w:t>
            </w:r>
            <w:r w:rsidRPr="005730EC">
              <w:rPr>
                <w:rFonts w:cs="Arial"/>
                <w:color w:val="000000"/>
                <w:sz w:val="20"/>
              </w:rPr>
              <w:t>Entity</w:t>
            </w:r>
            <w:r>
              <w:rPr>
                <w:rFonts w:cs="Arial"/>
                <w:color w:val="000000"/>
                <w:sz w:val="20"/>
              </w:rPr>
              <w:t xml:space="preserve">’s </w:t>
            </w:r>
            <w:r w:rsidRPr="005730EC">
              <w:rPr>
                <w:rFonts w:cs="Arial"/>
                <w:color w:val="000000"/>
                <w:sz w:val="20"/>
              </w:rPr>
              <w:t xml:space="preserve">systems and CAISO systems </w:t>
            </w:r>
            <w:r>
              <w:rPr>
                <w:rFonts w:cs="Arial"/>
                <w:color w:val="000000"/>
                <w:sz w:val="20"/>
              </w:rPr>
              <w:t xml:space="preserve">are </w:t>
            </w:r>
            <w:r w:rsidRPr="005730EC">
              <w:rPr>
                <w:rFonts w:cs="Arial"/>
                <w:color w:val="000000"/>
                <w:sz w:val="20"/>
              </w:rPr>
              <w:t>tested</w:t>
            </w:r>
          </w:p>
        </w:tc>
        <w:tc>
          <w:tcPr>
            <w:tcW w:w="2862" w:type="dxa"/>
            <w:tcBorders>
              <w:top w:val="nil"/>
              <w:left w:val="nil"/>
              <w:bottom w:val="single" w:sz="4" w:space="0" w:color="auto"/>
              <w:right w:val="single" w:sz="4" w:space="0" w:color="auto"/>
            </w:tcBorders>
            <w:hideMark/>
          </w:tcPr>
          <w:p w14:paraId="7BB0D3C9" w14:textId="7CBC7D4F" w:rsidR="001028EC" w:rsidRPr="005730EC" w:rsidRDefault="001028EC" w:rsidP="00701AB3">
            <w:pPr>
              <w:rPr>
                <w:rFonts w:cs="Arial"/>
                <w:color w:val="000000"/>
                <w:sz w:val="20"/>
              </w:rPr>
            </w:pPr>
            <w:r w:rsidRPr="005730EC">
              <w:rPr>
                <w:rFonts w:cs="Arial"/>
                <w:color w:val="000000"/>
                <w:sz w:val="20"/>
              </w:rPr>
              <w:t xml:space="preserve">ISO and </w:t>
            </w:r>
            <w:r w:rsidRPr="00200458">
              <w:rPr>
                <w:rFonts w:cs="Arial"/>
                <w:sz w:val="20"/>
              </w:rPr>
              <w:t>prospective</w:t>
            </w:r>
            <w:r w:rsidR="005F24C1">
              <w:rPr>
                <w:rFonts w:cs="Arial"/>
                <w:sz w:val="20"/>
              </w:rPr>
              <w:t xml:space="preserve"> WEIM </w:t>
            </w:r>
            <w:r w:rsidRPr="005730EC">
              <w:rPr>
                <w:rFonts w:cs="Arial"/>
                <w:color w:val="000000"/>
                <w:sz w:val="20"/>
              </w:rPr>
              <w:t>Entity identify significant data interface issues.</w:t>
            </w:r>
            <w:r w:rsidRPr="005730EC">
              <w:rPr>
                <w:rFonts w:cs="Arial"/>
                <w:color w:val="000000"/>
                <w:sz w:val="20"/>
              </w:rPr>
              <w:br/>
            </w:r>
          </w:p>
          <w:p w14:paraId="49B9CF4A" w14:textId="77777777" w:rsidR="001028EC" w:rsidRPr="005730EC" w:rsidRDefault="001028EC" w:rsidP="00701AB3">
            <w:pPr>
              <w:rPr>
                <w:rFonts w:cs="Arial"/>
                <w:color w:val="000000"/>
                <w:sz w:val="20"/>
              </w:rPr>
            </w:pPr>
            <w:r w:rsidRPr="005730EC">
              <w:rPr>
                <w:rFonts w:cs="Arial"/>
                <w:color w:val="000000"/>
                <w:sz w:val="20"/>
              </w:rPr>
              <w:t xml:space="preserve">EIM Entity and CAISO executives to approve exceptions. </w:t>
            </w:r>
          </w:p>
        </w:tc>
      </w:tr>
      <w:tr w:rsidR="001028EC" w:rsidRPr="005730EC" w14:paraId="17DB4EF2" w14:textId="77777777" w:rsidTr="009E26DA">
        <w:trPr>
          <w:trHeight w:val="1020"/>
        </w:trPr>
        <w:tc>
          <w:tcPr>
            <w:tcW w:w="1260" w:type="dxa"/>
            <w:tcBorders>
              <w:top w:val="nil"/>
              <w:left w:val="single" w:sz="4" w:space="0" w:color="auto"/>
              <w:bottom w:val="single" w:sz="4" w:space="0" w:color="auto"/>
              <w:right w:val="single" w:sz="4" w:space="0" w:color="auto"/>
            </w:tcBorders>
            <w:shd w:val="clear" w:color="000000" w:fill="FFFFFF"/>
            <w:noWrap/>
            <w:hideMark/>
          </w:tcPr>
          <w:p w14:paraId="00D85167" w14:textId="77777777" w:rsidR="001028EC" w:rsidRPr="005730EC" w:rsidRDefault="001028EC" w:rsidP="00701AB3">
            <w:pPr>
              <w:jc w:val="center"/>
              <w:rPr>
                <w:rFonts w:cs="Arial"/>
                <w:color w:val="000000"/>
                <w:sz w:val="20"/>
              </w:rPr>
            </w:pPr>
            <w:r w:rsidRPr="005730EC">
              <w:rPr>
                <w:rFonts w:cs="Arial"/>
                <w:color w:val="000000"/>
                <w:sz w:val="20"/>
              </w:rPr>
              <w:t>19</w:t>
            </w:r>
          </w:p>
        </w:tc>
        <w:tc>
          <w:tcPr>
            <w:tcW w:w="1440" w:type="dxa"/>
            <w:tcBorders>
              <w:top w:val="nil"/>
              <w:left w:val="nil"/>
              <w:bottom w:val="single" w:sz="4" w:space="0" w:color="auto"/>
              <w:right w:val="single" w:sz="4" w:space="0" w:color="auto"/>
            </w:tcBorders>
            <w:hideMark/>
          </w:tcPr>
          <w:p w14:paraId="05B78B67"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hideMark/>
          </w:tcPr>
          <w:p w14:paraId="6D6B9D9F" w14:textId="77777777" w:rsidR="001028EC" w:rsidRPr="005730EC" w:rsidRDefault="001028EC" w:rsidP="00701AB3">
            <w:pPr>
              <w:rPr>
                <w:rFonts w:cs="Arial"/>
                <w:color w:val="000000"/>
                <w:sz w:val="20"/>
              </w:rPr>
            </w:pPr>
            <w:r w:rsidRPr="005730EC">
              <w:rPr>
                <w:rFonts w:cs="Arial"/>
                <w:color w:val="000000"/>
                <w:sz w:val="20"/>
              </w:rPr>
              <w:t xml:space="preserve">Day in the life simulation </w:t>
            </w:r>
          </w:p>
        </w:tc>
        <w:tc>
          <w:tcPr>
            <w:tcW w:w="2538" w:type="dxa"/>
            <w:tcBorders>
              <w:top w:val="nil"/>
              <w:left w:val="nil"/>
              <w:bottom w:val="single" w:sz="4" w:space="0" w:color="auto"/>
              <w:right w:val="single" w:sz="4" w:space="0" w:color="auto"/>
            </w:tcBorders>
            <w:hideMark/>
          </w:tcPr>
          <w:p w14:paraId="548AD2BB" w14:textId="7D857B24" w:rsidR="001028EC" w:rsidRPr="005730EC" w:rsidRDefault="001028EC" w:rsidP="00701AB3">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perators are able to meet the market timelines</w:t>
            </w:r>
          </w:p>
        </w:tc>
        <w:tc>
          <w:tcPr>
            <w:tcW w:w="2862" w:type="dxa"/>
            <w:tcBorders>
              <w:top w:val="nil"/>
              <w:left w:val="nil"/>
              <w:bottom w:val="single" w:sz="4" w:space="0" w:color="auto"/>
              <w:right w:val="single" w:sz="4" w:space="0" w:color="auto"/>
            </w:tcBorders>
            <w:hideMark/>
          </w:tcPr>
          <w:p w14:paraId="6CC33529" w14:textId="0C4C69DE" w:rsidR="001028EC" w:rsidRPr="005730EC" w:rsidRDefault="001028EC" w:rsidP="00701AB3">
            <w:pPr>
              <w:rPr>
                <w:rFonts w:cs="Arial"/>
                <w:color w:val="000000"/>
                <w:sz w:val="20"/>
              </w:rPr>
            </w:pPr>
            <w:r w:rsidRPr="005730EC">
              <w:rPr>
                <w:rFonts w:cs="Arial"/>
                <w:color w:val="000000"/>
                <w:sz w:val="20"/>
              </w:rPr>
              <w:t>The</w:t>
            </w:r>
            <w:r>
              <w:rPr>
                <w:rFonts w:cs="Arial"/>
                <w:color w:val="000000"/>
                <w:sz w:val="20"/>
              </w:rPr>
              <w:t xml:space="preserve"> </w:t>
            </w:r>
            <w:r w:rsidRPr="00200458">
              <w:rPr>
                <w:rFonts w:cs="Arial"/>
                <w:sz w:val="20"/>
              </w:rPr>
              <w:t>prospective</w:t>
            </w:r>
            <w:r w:rsidR="005F24C1">
              <w:rPr>
                <w:rFonts w:cs="Arial"/>
                <w:color w:val="000000"/>
                <w:sz w:val="20"/>
              </w:rPr>
              <w:t xml:space="preserve"> WEIM </w:t>
            </w:r>
            <w:r w:rsidRPr="005730EC">
              <w:rPr>
                <w:rFonts w:cs="Arial"/>
                <w:color w:val="000000"/>
                <w:sz w:val="20"/>
              </w:rPr>
              <w:t xml:space="preserve">Entity </w:t>
            </w:r>
            <w:r>
              <w:rPr>
                <w:rFonts w:cs="Arial"/>
                <w:color w:val="000000"/>
                <w:sz w:val="20"/>
              </w:rPr>
              <w:t xml:space="preserve">grid </w:t>
            </w:r>
            <w:r w:rsidRPr="005730EC">
              <w:rPr>
                <w:rFonts w:cs="Arial"/>
                <w:color w:val="000000"/>
                <w:sz w:val="20"/>
              </w:rPr>
              <w:t>operations staff complete end-to-end daily market workflow with no critical defects</w:t>
            </w:r>
            <w:r>
              <w:rPr>
                <w:rFonts w:cs="Arial"/>
                <w:color w:val="000000"/>
                <w:sz w:val="20"/>
              </w:rPr>
              <w:t>.</w:t>
            </w:r>
          </w:p>
        </w:tc>
      </w:tr>
      <w:tr w:rsidR="001028EC" w:rsidRPr="005730EC" w14:paraId="40DFCC35" w14:textId="77777777" w:rsidTr="009E26DA">
        <w:trPr>
          <w:trHeight w:val="1785"/>
        </w:trPr>
        <w:tc>
          <w:tcPr>
            <w:tcW w:w="1260" w:type="dxa"/>
            <w:tcBorders>
              <w:top w:val="nil"/>
              <w:left w:val="single" w:sz="4" w:space="0" w:color="auto"/>
              <w:bottom w:val="single" w:sz="4" w:space="0" w:color="auto"/>
              <w:right w:val="single" w:sz="4" w:space="0" w:color="auto"/>
            </w:tcBorders>
            <w:shd w:val="clear" w:color="000000" w:fill="FFFFFF"/>
            <w:noWrap/>
            <w:hideMark/>
          </w:tcPr>
          <w:p w14:paraId="537066DD" w14:textId="77777777" w:rsidR="001028EC" w:rsidRPr="005730EC" w:rsidRDefault="001028EC" w:rsidP="00701AB3">
            <w:pPr>
              <w:jc w:val="center"/>
              <w:rPr>
                <w:rFonts w:cs="Arial"/>
                <w:color w:val="000000"/>
                <w:sz w:val="20"/>
              </w:rPr>
            </w:pPr>
            <w:r w:rsidRPr="005730EC">
              <w:rPr>
                <w:rFonts w:cs="Arial"/>
                <w:color w:val="000000"/>
                <w:sz w:val="20"/>
              </w:rPr>
              <w:t>20</w:t>
            </w:r>
          </w:p>
        </w:tc>
        <w:tc>
          <w:tcPr>
            <w:tcW w:w="1440" w:type="dxa"/>
            <w:tcBorders>
              <w:top w:val="nil"/>
              <w:left w:val="nil"/>
              <w:bottom w:val="single" w:sz="4" w:space="0" w:color="auto"/>
              <w:right w:val="single" w:sz="4" w:space="0" w:color="auto"/>
            </w:tcBorders>
            <w:hideMark/>
          </w:tcPr>
          <w:p w14:paraId="1A271B08"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hideMark/>
          </w:tcPr>
          <w:p w14:paraId="6944C736" w14:textId="77777777" w:rsidR="001028EC" w:rsidRPr="005730EC" w:rsidRDefault="001028EC" w:rsidP="00701AB3">
            <w:pPr>
              <w:rPr>
                <w:rFonts w:cs="Arial"/>
                <w:color w:val="000000"/>
                <w:sz w:val="20"/>
              </w:rPr>
            </w:pPr>
            <w:r w:rsidRPr="005730EC">
              <w:rPr>
                <w:rFonts w:cs="Arial"/>
                <w:color w:val="000000"/>
                <w:sz w:val="20"/>
              </w:rPr>
              <w:t xml:space="preserve">Structured scenarios simulation </w:t>
            </w:r>
          </w:p>
        </w:tc>
        <w:tc>
          <w:tcPr>
            <w:tcW w:w="2538" w:type="dxa"/>
            <w:tcBorders>
              <w:top w:val="nil"/>
              <w:left w:val="nil"/>
              <w:bottom w:val="single" w:sz="4" w:space="0" w:color="auto"/>
              <w:right w:val="single" w:sz="4" w:space="0" w:color="auto"/>
            </w:tcBorders>
            <w:hideMark/>
          </w:tcPr>
          <w:p w14:paraId="0E9B637F" w14:textId="35FE4776" w:rsidR="001028EC" w:rsidRPr="005730EC" w:rsidRDefault="001028EC" w:rsidP="00701AB3">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perators execute and pass all structured scenarios provided by CAISO</w:t>
            </w:r>
          </w:p>
        </w:tc>
        <w:tc>
          <w:tcPr>
            <w:tcW w:w="2862" w:type="dxa"/>
            <w:tcBorders>
              <w:top w:val="nil"/>
              <w:left w:val="nil"/>
              <w:bottom w:val="single" w:sz="4" w:space="0" w:color="auto"/>
              <w:right w:val="single" w:sz="4" w:space="0" w:color="auto"/>
            </w:tcBorders>
            <w:hideMark/>
          </w:tcPr>
          <w:p w14:paraId="7A44C2CB" w14:textId="77777777" w:rsidR="001028EC" w:rsidRPr="003F37C8" w:rsidRDefault="001028EC" w:rsidP="00701AB3">
            <w:pPr>
              <w:rPr>
                <w:rFonts w:cs="Arial"/>
                <w:sz w:val="20"/>
              </w:rPr>
            </w:pPr>
            <w:r w:rsidRPr="003F37C8">
              <w:rPr>
                <w:rFonts w:cs="Arial"/>
                <w:color w:val="000000"/>
                <w:sz w:val="20"/>
              </w:rPr>
              <w:t>All significant issues resolved 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p w14:paraId="3AF1E6C6" w14:textId="77777777" w:rsidR="001028EC" w:rsidRPr="003F37C8" w:rsidRDefault="001028EC" w:rsidP="00701AB3">
            <w:pPr>
              <w:rPr>
                <w:rFonts w:cs="Arial"/>
                <w:color w:val="000000"/>
                <w:sz w:val="20"/>
              </w:rPr>
            </w:pPr>
            <w:r w:rsidRPr="003F37C8">
              <w:rPr>
                <w:rFonts w:cs="Arial"/>
                <w:color w:val="000000"/>
                <w:sz w:val="20"/>
              </w:rPr>
              <w:br/>
            </w:r>
          </w:p>
          <w:p w14:paraId="6D2F0BAD" w14:textId="77777777" w:rsidR="001028EC" w:rsidRPr="003F37C8" w:rsidRDefault="001028EC" w:rsidP="00701AB3">
            <w:pPr>
              <w:rPr>
                <w:rFonts w:cs="Arial"/>
                <w:color w:val="000000"/>
                <w:sz w:val="20"/>
              </w:rPr>
            </w:pPr>
          </w:p>
        </w:tc>
      </w:tr>
      <w:tr w:rsidR="001028EC" w:rsidRPr="005730EC" w14:paraId="3ACCD969" w14:textId="77777777" w:rsidTr="009E26DA">
        <w:trPr>
          <w:trHeight w:val="1275"/>
        </w:trPr>
        <w:tc>
          <w:tcPr>
            <w:tcW w:w="1260" w:type="dxa"/>
            <w:tcBorders>
              <w:top w:val="nil"/>
              <w:left w:val="single" w:sz="4" w:space="0" w:color="auto"/>
              <w:bottom w:val="single" w:sz="4" w:space="0" w:color="auto"/>
              <w:right w:val="single" w:sz="4" w:space="0" w:color="auto"/>
            </w:tcBorders>
            <w:shd w:val="clear" w:color="000000" w:fill="FFFFFF"/>
            <w:noWrap/>
            <w:hideMark/>
          </w:tcPr>
          <w:p w14:paraId="64A9D782" w14:textId="77777777" w:rsidR="001028EC" w:rsidRPr="005730EC" w:rsidRDefault="001028EC" w:rsidP="00701AB3">
            <w:pPr>
              <w:jc w:val="center"/>
              <w:rPr>
                <w:rFonts w:cs="Arial"/>
                <w:color w:val="000000"/>
                <w:sz w:val="20"/>
              </w:rPr>
            </w:pPr>
            <w:r w:rsidRPr="005730EC">
              <w:rPr>
                <w:rFonts w:cs="Arial"/>
                <w:color w:val="000000"/>
                <w:sz w:val="20"/>
              </w:rPr>
              <w:lastRenderedPageBreak/>
              <w:t>21</w:t>
            </w:r>
          </w:p>
        </w:tc>
        <w:tc>
          <w:tcPr>
            <w:tcW w:w="1440" w:type="dxa"/>
            <w:tcBorders>
              <w:top w:val="nil"/>
              <w:left w:val="nil"/>
              <w:bottom w:val="single" w:sz="4" w:space="0" w:color="auto"/>
              <w:right w:val="single" w:sz="4" w:space="0" w:color="auto"/>
            </w:tcBorders>
            <w:hideMark/>
          </w:tcPr>
          <w:p w14:paraId="62BD704A"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hideMark/>
          </w:tcPr>
          <w:p w14:paraId="1889AD76" w14:textId="77777777" w:rsidR="001028EC" w:rsidRPr="005730EC" w:rsidRDefault="001028EC" w:rsidP="00701AB3">
            <w:pPr>
              <w:rPr>
                <w:rFonts w:cs="Arial"/>
                <w:color w:val="000000"/>
                <w:sz w:val="20"/>
              </w:rPr>
            </w:pPr>
            <w:r w:rsidRPr="005730EC">
              <w:rPr>
                <w:rFonts w:cs="Arial"/>
                <w:color w:val="000000"/>
                <w:sz w:val="20"/>
              </w:rPr>
              <w:t>Unstructured scenarios simulation</w:t>
            </w:r>
          </w:p>
        </w:tc>
        <w:tc>
          <w:tcPr>
            <w:tcW w:w="2538" w:type="dxa"/>
            <w:tcBorders>
              <w:top w:val="nil"/>
              <w:left w:val="nil"/>
              <w:bottom w:val="single" w:sz="4" w:space="0" w:color="auto"/>
              <w:right w:val="single" w:sz="4" w:space="0" w:color="auto"/>
            </w:tcBorders>
            <w:hideMark/>
          </w:tcPr>
          <w:p w14:paraId="74D054E4" w14:textId="5912F157" w:rsidR="001028EC" w:rsidRPr="005730EC" w:rsidRDefault="001028EC" w:rsidP="00701AB3">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t>
            </w:r>
            <w:r>
              <w:rPr>
                <w:rFonts w:cs="Arial"/>
                <w:color w:val="000000"/>
                <w:sz w:val="20"/>
              </w:rPr>
              <w:t>o</w:t>
            </w:r>
            <w:r w:rsidRPr="005730EC">
              <w:rPr>
                <w:rFonts w:cs="Arial"/>
                <w:color w:val="000000"/>
                <w:sz w:val="20"/>
              </w:rPr>
              <w:t xml:space="preserve">perators execute and pass all unstructured scenarios provided by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tc>
        <w:tc>
          <w:tcPr>
            <w:tcW w:w="2862" w:type="dxa"/>
            <w:tcBorders>
              <w:top w:val="nil"/>
              <w:left w:val="nil"/>
              <w:bottom w:val="single" w:sz="4" w:space="0" w:color="auto"/>
              <w:right w:val="single" w:sz="4" w:space="0" w:color="auto"/>
            </w:tcBorders>
            <w:hideMark/>
          </w:tcPr>
          <w:p w14:paraId="7755A48A" w14:textId="77777777" w:rsidR="001028EC" w:rsidRPr="003F37C8" w:rsidRDefault="001028EC" w:rsidP="00701AB3">
            <w:pPr>
              <w:rPr>
                <w:rFonts w:cs="Arial"/>
                <w:sz w:val="20"/>
              </w:rPr>
            </w:pPr>
            <w:r w:rsidRPr="003F37C8">
              <w:rPr>
                <w:rFonts w:cs="Arial"/>
                <w:color w:val="000000"/>
                <w:sz w:val="20"/>
              </w:rPr>
              <w:t>All significant issues resolved or have a</w:t>
            </w:r>
            <w:r>
              <w:rPr>
                <w:rFonts w:cs="Arial"/>
                <w:color w:val="000000"/>
                <w:sz w:val="20"/>
              </w:rPr>
              <w:t>n</w:t>
            </w:r>
            <w:r w:rsidRPr="003F37C8">
              <w:rPr>
                <w:rFonts w:cs="Arial"/>
                <w:color w:val="000000"/>
                <w:sz w:val="20"/>
              </w:rPr>
              <w:t xml:space="preserve"> </w:t>
            </w:r>
            <w:r w:rsidRPr="003F37C8">
              <w:rPr>
                <w:rFonts w:cs="Arial"/>
                <w:sz w:val="20"/>
              </w:rPr>
              <w:t xml:space="preserve">interim solution </w:t>
            </w:r>
            <w:r>
              <w:rPr>
                <w:rFonts w:cs="Arial"/>
                <w:sz w:val="20"/>
              </w:rPr>
              <w:t>that is</w:t>
            </w:r>
            <w:r w:rsidRPr="003F37C8">
              <w:rPr>
                <w:rFonts w:cs="Arial"/>
                <w:sz w:val="20"/>
              </w:rPr>
              <w:t xml:space="preserve"> functionally equivalent. </w:t>
            </w:r>
          </w:p>
          <w:p w14:paraId="2B9629C3" w14:textId="77777777" w:rsidR="001028EC" w:rsidRPr="005730EC" w:rsidRDefault="001028EC" w:rsidP="00701AB3">
            <w:pPr>
              <w:rPr>
                <w:rFonts w:cs="Arial"/>
                <w:color w:val="000000"/>
                <w:sz w:val="20"/>
              </w:rPr>
            </w:pPr>
            <w:r w:rsidRPr="005730EC">
              <w:rPr>
                <w:rFonts w:cs="Arial"/>
                <w:color w:val="000000"/>
                <w:sz w:val="20"/>
              </w:rPr>
              <w:br/>
            </w:r>
          </w:p>
        </w:tc>
      </w:tr>
      <w:tr w:rsidR="001028EC" w:rsidRPr="005730EC" w14:paraId="0BBB59D7"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5FBD5421" w14:textId="77777777" w:rsidR="001028EC" w:rsidRPr="005730EC" w:rsidRDefault="001028EC" w:rsidP="00701AB3">
            <w:pPr>
              <w:jc w:val="center"/>
              <w:rPr>
                <w:rFonts w:cs="Arial"/>
                <w:color w:val="000000"/>
                <w:sz w:val="20"/>
              </w:rPr>
            </w:pPr>
            <w:r w:rsidRPr="005730EC">
              <w:rPr>
                <w:rFonts w:cs="Arial"/>
                <w:color w:val="000000"/>
                <w:sz w:val="20"/>
              </w:rPr>
              <w:t>22</w:t>
            </w:r>
          </w:p>
        </w:tc>
        <w:tc>
          <w:tcPr>
            <w:tcW w:w="1440" w:type="dxa"/>
            <w:tcBorders>
              <w:top w:val="nil"/>
              <w:left w:val="nil"/>
              <w:bottom w:val="single" w:sz="4" w:space="0" w:color="auto"/>
              <w:right w:val="single" w:sz="4" w:space="0" w:color="auto"/>
            </w:tcBorders>
          </w:tcPr>
          <w:p w14:paraId="7D515EA9"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tcPr>
          <w:p w14:paraId="35A97015" w14:textId="77777777" w:rsidR="001028EC" w:rsidRPr="005730EC" w:rsidRDefault="001028EC" w:rsidP="00701AB3">
            <w:pPr>
              <w:rPr>
                <w:rFonts w:cs="Arial"/>
                <w:color w:val="000000"/>
                <w:sz w:val="20"/>
              </w:rPr>
            </w:pPr>
            <w:r w:rsidRPr="005730EC">
              <w:rPr>
                <w:rFonts w:cs="Arial"/>
                <w:color w:val="000000"/>
                <w:sz w:val="20"/>
              </w:rPr>
              <w:t>Market results reports</w:t>
            </w:r>
          </w:p>
        </w:tc>
        <w:tc>
          <w:tcPr>
            <w:tcW w:w="2538" w:type="dxa"/>
            <w:tcBorders>
              <w:top w:val="nil"/>
              <w:left w:val="nil"/>
              <w:bottom w:val="single" w:sz="4" w:space="0" w:color="auto"/>
              <w:right w:val="single" w:sz="4" w:space="0" w:color="auto"/>
            </w:tcBorders>
          </w:tcPr>
          <w:p w14:paraId="403DA4AE" w14:textId="77777777" w:rsidR="001028EC" w:rsidRPr="005730EC" w:rsidRDefault="001028EC" w:rsidP="00701AB3">
            <w:pPr>
              <w:rPr>
                <w:rFonts w:cs="Arial"/>
                <w:color w:val="000000"/>
                <w:sz w:val="20"/>
              </w:rPr>
            </w:pPr>
            <w:r w:rsidRPr="005730EC">
              <w:rPr>
                <w:rFonts w:cs="Arial"/>
                <w:color w:val="000000"/>
                <w:sz w:val="20"/>
              </w:rPr>
              <w:t xml:space="preserve">Market results are appropriate based on inputs </w:t>
            </w:r>
          </w:p>
        </w:tc>
        <w:tc>
          <w:tcPr>
            <w:tcW w:w="2862" w:type="dxa"/>
            <w:tcBorders>
              <w:top w:val="nil"/>
              <w:left w:val="nil"/>
              <w:bottom w:val="single" w:sz="4" w:space="0" w:color="auto"/>
              <w:right w:val="single" w:sz="4" w:space="0" w:color="auto"/>
            </w:tcBorders>
          </w:tcPr>
          <w:p w14:paraId="17E372E4" w14:textId="09ACACEE" w:rsidR="001028EC" w:rsidRPr="005730EC" w:rsidRDefault="001028EC" w:rsidP="00701AB3">
            <w:pPr>
              <w:autoSpaceDE w:val="0"/>
              <w:autoSpaceDN w:val="0"/>
              <w:adjustRightInd w:val="0"/>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and CAISO executive project sponsors approve the market results reports during market simulation</w:t>
            </w:r>
          </w:p>
        </w:tc>
      </w:tr>
      <w:tr w:rsidR="001028EC" w:rsidRPr="005730EC" w14:paraId="355A1C02"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2D724BBF" w14:textId="77777777" w:rsidR="001028EC" w:rsidRPr="005730EC" w:rsidRDefault="001028EC" w:rsidP="00701AB3">
            <w:pPr>
              <w:jc w:val="center"/>
              <w:rPr>
                <w:rFonts w:cs="Arial"/>
                <w:color w:val="000000"/>
                <w:sz w:val="20"/>
              </w:rPr>
            </w:pPr>
            <w:r w:rsidRPr="005730EC">
              <w:rPr>
                <w:rFonts w:cs="Arial"/>
                <w:color w:val="000000"/>
                <w:sz w:val="20"/>
              </w:rPr>
              <w:t>23</w:t>
            </w:r>
            <w:r w:rsidR="005072AD">
              <w:rPr>
                <w:rFonts w:cs="Arial"/>
                <w:color w:val="000000"/>
                <w:sz w:val="20"/>
              </w:rPr>
              <w:t>a</w:t>
            </w:r>
          </w:p>
        </w:tc>
        <w:tc>
          <w:tcPr>
            <w:tcW w:w="1440" w:type="dxa"/>
            <w:tcBorders>
              <w:top w:val="nil"/>
              <w:left w:val="nil"/>
              <w:bottom w:val="single" w:sz="4" w:space="0" w:color="auto"/>
              <w:right w:val="single" w:sz="4" w:space="0" w:color="auto"/>
            </w:tcBorders>
          </w:tcPr>
          <w:p w14:paraId="14D0B289" w14:textId="77777777" w:rsidR="001028EC" w:rsidRPr="005730EC" w:rsidRDefault="001028EC" w:rsidP="00701AB3">
            <w:pPr>
              <w:rPr>
                <w:rFonts w:cs="Arial"/>
                <w:color w:val="000000"/>
                <w:sz w:val="20"/>
              </w:rPr>
            </w:pPr>
            <w:r w:rsidRPr="005730EC">
              <w:rPr>
                <w:rFonts w:cs="Arial"/>
                <w:color w:val="000000"/>
                <w:sz w:val="20"/>
              </w:rPr>
              <w:t>Market Simulation</w:t>
            </w:r>
          </w:p>
        </w:tc>
        <w:tc>
          <w:tcPr>
            <w:tcW w:w="2142" w:type="dxa"/>
            <w:tcBorders>
              <w:top w:val="nil"/>
              <w:left w:val="nil"/>
              <w:bottom w:val="single" w:sz="4" w:space="0" w:color="auto"/>
              <w:right w:val="single" w:sz="4" w:space="0" w:color="auto"/>
            </w:tcBorders>
          </w:tcPr>
          <w:p w14:paraId="255DE493" w14:textId="77777777" w:rsidR="001028EC" w:rsidRPr="005730EC" w:rsidRDefault="001028EC" w:rsidP="00701AB3">
            <w:pPr>
              <w:rPr>
                <w:rFonts w:cs="Arial"/>
                <w:color w:val="000000"/>
                <w:sz w:val="20"/>
              </w:rPr>
            </w:pPr>
            <w:r w:rsidRPr="005730EC">
              <w:rPr>
                <w:rFonts w:cs="Arial"/>
                <w:color w:val="000000"/>
                <w:sz w:val="20"/>
              </w:rPr>
              <w:t>Market quality review</w:t>
            </w:r>
          </w:p>
        </w:tc>
        <w:tc>
          <w:tcPr>
            <w:tcW w:w="2538" w:type="dxa"/>
            <w:tcBorders>
              <w:top w:val="nil"/>
              <w:left w:val="nil"/>
              <w:bottom w:val="single" w:sz="4" w:space="0" w:color="auto"/>
              <w:right w:val="single" w:sz="4" w:space="0" w:color="auto"/>
            </w:tcBorders>
          </w:tcPr>
          <w:p w14:paraId="1E1694BA" w14:textId="77777777" w:rsidR="001028EC" w:rsidRPr="005730EC" w:rsidRDefault="001028EC" w:rsidP="00701AB3">
            <w:pPr>
              <w:rPr>
                <w:rFonts w:cs="Arial"/>
                <w:color w:val="000000"/>
                <w:sz w:val="20"/>
              </w:rPr>
            </w:pPr>
            <w:r w:rsidRPr="005730EC">
              <w:rPr>
                <w:rFonts w:cs="Arial"/>
                <w:color w:val="000000"/>
                <w:sz w:val="20"/>
              </w:rPr>
              <w:t>Prices are validated based on input data</w:t>
            </w:r>
          </w:p>
        </w:tc>
        <w:tc>
          <w:tcPr>
            <w:tcW w:w="2862" w:type="dxa"/>
            <w:tcBorders>
              <w:top w:val="nil"/>
              <w:left w:val="nil"/>
              <w:bottom w:val="single" w:sz="4" w:space="0" w:color="auto"/>
              <w:right w:val="single" w:sz="4" w:space="0" w:color="auto"/>
            </w:tcBorders>
          </w:tcPr>
          <w:p w14:paraId="63545552" w14:textId="77777777" w:rsidR="001028EC" w:rsidRPr="005730EC" w:rsidRDefault="001028EC" w:rsidP="00701AB3">
            <w:pPr>
              <w:autoSpaceDE w:val="0"/>
              <w:autoSpaceDN w:val="0"/>
              <w:adjustRightInd w:val="0"/>
              <w:rPr>
                <w:rFonts w:cs="Arial"/>
                <w:color w:val="FF0101"/>
                <w:sz w:val="20"/>
              </w:rPr>
            </w:pPr>
            <w:r w:rsidRPr="005730EC">
              <w:rPr>
                <w:rFonts w:cs="Arial"/>
                <w:color w:val="000000"/>
                <w:sz w:val="20"/>
              </w:rPr>
              <w:t>Market simulation prices and MWs schedules/dispatches are validated by CAISO market quality team for entry into parallel operation</w:t>
            </w:r>
          </w:p>
        </w:tc>
      </w:tr>
      <w:tr w:rsidR="0048431D" w:rsidRPr="005730EC" w14:paraId="3A4F7C4F" w14:textId="77777777" w:rsidTr="0048431D">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5CF13DCF" w14:textId="77777777" w:rsidR="0048431D" w:rsidRDefault="005072AD" w:rsidP="0048431D">
            <w:pPr>
              <w:jc w:val="center"/>
              <w:rPr>
                <w:rFonts w:cs="Arial"/>
                <w:color w:val="000000"/>
                <w:sz w:val="20"/>
              </w:rPr>
            </w:pPr>
            <w:r>
              <w:rPr>
                <w:rFonts w:cs="Arial"/>
                <w:color w:val="000000"/>
                <w:sz w:val="20"/>
              </w:rPr>
              <w:t>23b</w:t>
            </w:r>
          </w:p>
        </w:tc>
        <w:tc>
          <w:tcPr>
            <w:tcW w:w="1440" w:type="dxa"/>
            <w:tcBorders>
              <w:top w:val="nil"/>
              <w:left w:val="nil"/>
              <w:bottom w:val="single" w:sz="4" w:space="0" w:color="auto"/>
              <w:right w:val="single" w:sz="4" w:space="0" w:color="auto"/>
            </w:tcBorders>
          </w:tcPr>
          <w:p w14:paraId="2DDD1A2C" w14:textId="77777777" w:rsidR="0048431D" w:rsidRDefault="0048431D" w:rsidP="0048431D">
            <w:pPr>
              <w:rPr>
                <w:rFonts w:cs="Arial"/>
                <w:color w:val="000000"/>
                <w:sz w:val="20"/>
              </w:rPr>
            </w:pPr>
            <w:r>
              <w:rPr>
                <w:rFonts w:cs="Arial"/>
                <w:color w:val="000000"/>
                <w:sz w:val="20"/>
              </w:rPr>
              <w:t>Parallel Operations</w:t>
            </w:r>
          </w:p>
        </w:tc>
        <w:tc>
          <w:tcPr>
            <w:tcW w:w="2142" w:type="dxa"/>
            <w:tcBorders>
              <w:top w:val="nil"/>
              <w:left w:val="nil"/>
              <w:bottom w:val="single" w:sz="4" w:space="0" w:color="auto"/>
              <w:right w:val="single" w:sz="4" w:space="0" w:color="auto"/>
            </w:tcBorders>
          </w:tcPr>
          <w:p w14:paraId="1641DA03" w14:textId="77777777" w:rsidR="0048431D" w:rsidRDefault="0048431D" w:rsidP="0048431D">
            <w:pPr>
              <w:rPr>
                <w:rFonts w:cs="Arial"/>
                <w:color w:val="000000"/>
                <w:sz w:val="20"/>
              </w:rPr>
            </w:pPr>
            <w:r w:rsidRPr="005730EC">
              <w:rPr>
                <w:rFonts w:cs="Arial"/>
                <w:color w:val="000000"/>
                <w:sz w:val="20"/>
              </w:rPr>
              <w:t>Market quality review</w:t>
            </w:r>
          </w:p>
        </w:tc>
        <w:tc>
          <w:tcPr>
            <w:tcW w:w="2538" w:type="dxa"/>
            <w:tcBorders>
              <w:top w:val="nil"/>
              <w:left w:val="nil"/>
              <w:bottom w:val="single" w:sz="4" w:space="0" w:color="auto"/>
              <w:right w:val="single" w:sz="4" w:space="0" w:color="auto"/>
            </w:tcBorders>
          </w:tcPr>
          <w:p w14:paraId="77555843" w14:textId="77777777" w:rsidR="0048431D" w:rsidRDefault="0048431D" w:rsidP="0048431D">
            <w:pPr>
              <w:rPr>
                <w:rFonts w:cs="Arial"/>
                <w:color w:val="000000"/>
                <w:sz w:val="20"/>
              </w:rPr>
            </w:pPr>
            <w:r w:rsidRPr="005730EC">
              <w:rPr>
                <w:rFonts w:cs="Arial"/>
                <w:color w:val="000000"/>
                <w:sz w:val="20"/>
              </w:rPr>
              <w:t>Prices are validated based on input data</w:t>
            </w:r>
          </w:p>
        </w:tc>
        <w:tc>
          <w:tcPr>
            <w:tcW w:w="2862" w:type="dxa"/>
            <w:tcBorders>
              <w:top w:val="nil"/>
              <w:left w:val="nil"/>
              <w:bottom w:val="single" w:sz="4" w:space="0" w:color="auto"/>
              <w:right w:val="single" w:sz="4" w:space="0" w:color="auto"/>
            </w:tcBorders>
          </w:tcPr>
          <w:p w14:paraId="202804DE" w14:textId="77777777" w:rsidR="0048431D" w:rsidRPr="00520345" w:rsidRDefault="009E26DA" w:rsidP="0048431D">
            <w:pPr>
              <w:rPr>
                <w:rFonts w:cs="Arial"/>
                <w:sz w:val="20"/>
              </w:rPr>
            </w:pPr>
            <w:r w:rsidRPr="009E26DA">
              <w:rPr>
                <w:rFonts w:cs="Arial"/>
                <w:sz w:val="20"/>
              </w:rPr>
              <w:t>Par</w:t>
            </w:r>
            <w:r>
              <w:rPr>
                <w:rFonts w:cs="Arial"/>
                <w:sz w:val="20"/>
              </w:rPr>
              <w:t>allel operations prices and MWs</w:t>
            </w:r>
            <w:r w:rsidR="005072AD">
              <w:rPr>
                <w:rFonts w:cs="Arial"/>
                <w:sz w:val="20"/>
              </w:rPr>
              <w:t xml:space="preserve"> </w:t>
            </w:r>
            <w:r w:rsidRPr="009E26DA">
              <w:rPr>
                <w:rFonts w:cs="Arial"/>
                <w:sz w:val="20"/>
              </w:rPr>
              <w:t xml:space="preserve">schedules/dispatches are validated by </w:t>
            </w:r>
            <w:r>
              <w:rPr>
                <w:rFonts w:cs="Arial"/>
                <w:sz w:val="20"/>
              </w:rPr>
              <w:t xml:space="preserve">the </w:t>
            </w:r>
            <w:r w:rsidRPr="009E26DA">
              <w:rPr>
                <w:rFonts w:cs="Arial"/>
                <w:sz w:val="20"/>
              </w:rPr>
              <w:t>CAISO market quality team</w:t>
            </w:r>
          </w:p>
        </w:tc>
      </w:tr>
      <w:tr w:rsidR="0048431D" w:rsidRPr="005730EC" w14:paraId="6B93989A" w14:textId="77777777" w:rsidTr="009E26DA">
        <w:trPr>
          <w:trHeight w:val="1530"/>
        </w:trPr>
        <w:tc>
          <w:tcPr>
            <w:tcW w:w="1260" w:type="dxa"/>
            <w:tcBorders>
              <w:top w:val="nil"/>
              <w:left w:val="single" w:sz="4" w:space="0" w:color="auto"/>
              <w:bottom w:val="single" w:sz="4" w:space="0" w:color="auto"/>
              <w:right w:val="single" w:sz="4" w:space="0" w:color="auto"/>
            </w:tcBorders>
            <w:shd w:val="clear" w:color="000000" w:fill="FFFFFF"/>
            <w:noWrap/>
          </w:tcPr>
          <w:p w14:paraId="1660BD5E" w14:textId="77777777" w:rsidR="0048431D" w:rsidRPr="005730EC" w:rsidRDefault="0048431D" w:rsidP="0048431D">
            <w:pPr>
              <w:jc w:val="center"/>
              <w:rPr>
                <w:rFonts w:cs="Arial"/>
                <w:color w:val="000000"/>
                <w:sz w:val="20"/>
              </w:rPr>
            </w:pPr>
            <w:r>
              <w:rPr>
                <w:rFonts w:cs="Arial"/>
                <w:color w:val="000000"/>
                <w:sz w:val="20"/>
              </w:rPr>
              <w:t>24</w:t>
            </w:r>
          </w:p>
        </w:tc>
        <w:tc>
          <w:tcPr>
            <w:tcW w:w="1440" w:type="dxa"/>
            <w:tcBorders>
              <w:top w:val="nil"/>
              <w:left w:val="nil"/>
              <w:bottom w:val="single" w:sz="4" w:space="0" w:color="auto"/>
              <w:right w:val="single" w:sz="4" w:space="0" w:color="auto"/>
            </w:tcBorders>
          </w:tcPr>
          <w:p w14:paraId="184D6A63" w14:textId="77777777" w:rsidR="0048431D" w:rsidRPr="005730EC" w:rsidRDefault="0048431D" w:rsidP="0048431D">
            <w:pPr>
              <w:rPr>
                <w:rFonts w:cs="Arial"/>
                <w:color w:val="000000"/>
                <w:sz w:val="20"/>
              </w:rPr>
            </w:pPr>
            <w:r>
              <w:rPr>
                <w:rFonts w:cs="Arial"/>
                <w:color w:val="000000"/>
                <w:sz w:val="20"/>
              </w:rPr>
              <w:t>Market Simulation</w:t>
            </w:r>
          </w:p>
        </w:tc>
        <w:tc>
          <w:tcPr>
            <w:tcW w:w="2142" w:type="dxa"/>
            <w:tcBorders>
              <w:top w:val="nil"/>
              <w:left w:val="nil"/>
              <w:bottom w:val="single" w:sz="4" w:space="0" w:color="auto"/>
              <w:right w:val="single" w:sz="4" w:space="0" w:color="auto"/>
            </w:tcBorders>
          </w:tcPr>
          <w:p w14:paraId="6CF70405" w14:textId="10F19FEF" w:rsidR="0048431D" w:rsidRPr="005730EC" w:rsidRDefault="0048431D" w:rsidP="0048431D">
            <w:pPr>
              <w:rPr>
                <w:rFonts w:cs="Arial"/>
                <w:color w:val="000000"/>
                <w:sz w:val="20"/>
              </w:rPr>
            </w:pPr>
            <w:r>
              <w:rPr>
                <w:rFonts w:cs="Arial"/>
                <w:color w:val="000000"/>
                <w:sz w:val="20"/>
              </w:rPr>
              <w:t>The prospective</w:t>
            </w:r>
            <w:r w:rsidR="005F24C1">
              <w:rPr>
                <w:rFonts w:cs="Arial"/>
                <w:color w:val="000000"/>
                <w:sz w:val="20"/>
              </w:rPr>
              <w:t xml:space="preserve"> WEIM </w:t>
            </w:r>
            <w:r>
              <w:rPr>
                <w:rFonts w:cs="Arial"/>
                <w:color w:val="000000"/>
                <w:sz w:val="20"/>
              </w:rPr>
              <w:t>Entity Identification</w:t>
            </w:r>
          </w:p>
        </w:tc>
        <w:tc>
          <w:tcPr>
            <w:tcW w:w="2538" w:type="dxa"/>
            <w:tcBorders>
              <w:top w:val="nil"/>
              <w:left w:val="nil"/>
              <w:bottom w:val="single" w:sz="4" w:space="0" w:color="auto"/>
              <w:right w:val="single" w:sz="4" w:space="0" w:color="auto"/>
            </w:tcBorders>
          </w:tcPr>
          <w:p w14:paraId="5B622C86" w14:textId="77777777" w:rsidR="0048431D" w:rsidRPr="00520345" w:rsidRDefault="0048431D" w:rsidP="0048431D">
            <w:pPr>
              <w:rPr>
                <w:rFonts w:cs="Arial"/>
                <w:color w:val="000000"/>
                <w:sz w:val="20"/>
              </w:rPr>
            </w:pPr>
            <w:r>
              <w:rPr>
                <w:rFonts w:cs="Arial"/>
                <w:color w:val="000000"/>
                <w:sz w:val="20"/>
              </w:rPr>
              <w:t>Validation of SCID’s and Resource ID’s</w:t>
            </w:r>
          </w:p>
        </w:tc>
        <w:tc>
          <w:tcPr>
            <w:tcW w:w="2862" w:type="dxa"/>
            <w:tcBorders>
              <w:top w:val="nil"/>
              <w:left w:val="nil"/>
              <w:bottom w:val="single" w:sz="4" w:space="0" w:color="auto"/>
              <w:right w:val="single" w:sz="4" w:space="0" w:color="auto"/>
            </w:tcBorders>
          </w:tcPr>
          <w:p w14:paraId="6053027E" w14:textId="6A77C9C3" w:rsidR="0048431D" w:rsidRPr="00520345" w:rsidRDefault="0048431D" w:rsidP="0048431D">
            <w:pPr>
              <w:rPr>
                <w:rFonts w:cs="Arial"/>
                <w:color w:val="000000"/>
                <w:sz w:val="20"/>
              </w:rPr>
            </w:pPr>
            <w:r w:rsidRPr="00520345">
              <w:rPr>
                <w:rFonts w:cs="Arial"/>
                <w:sz w:val="20"/>
              </w:rPr>
              <w:t>The CAISO has established and the prospective</w:t>
            </w:r>
            <w:r w:rsidR="005F24C1">
              <w:rPr>
                <w:rFonts w:cs="Arial"/>
                <w:sz w:val="20"/>
              </w:rPr>
              <w:t xml:space="preserve"> WEIM </w:t>
            </w:r>
            <w:r w:rsidRPr="00520345">
              <w:rPr>
                <w:rFonts w:cs="Arial"/>
                <w:sz w:val="20"/>
              </w:rPr>
              <w:t>Entity has tested all necessary SCIDs and Resource IDs established for the prospective</w:t>
            </w:r>
            <w:r w:rsidR="005F24C1">
              <w:rPr>
                <w:rFonts w:cs="Arial"/>
                <w:sz w:val="20"/>
              </w:rPr>
              <w:t xml:space="preserve"> WEIM </w:t>
            </w:r>
            <w:r w:rsidRPr="00520345">
              <w:rPr>
                <w:rFonts w:cs="Arial"/>
                <w:sz w:val="20"/>
              </w:rPr>
              <w:t>Entity’s Balancing Authority Area</w:t>
            </w:r>
          </w:p>
        </w:tc>
      </w:tr>
      <w:tr w:rsidR="0048431D" w:rsidRPr="005730EC" w14:paraId="40D853F3" w14:textId="77777777" w:rsidTr="009E26DA">
        <w:trPr>
          <w:trHeight w:val="530"/>
        </w:trPr>
        <w:tc>
          <w:tcPr>
            <w:tcW w:w="1260" w:type="dxa"/>
            <w:tcBorders>
              <w:top w:val="nil"/>
              <w:left w:val="single" w:sz="4" w:space="0" w:color="auto"/>
              <w:bottom w:val="single" w:sz="4" w:space="0" w:color="auto"/>
              <w:right w:val="single" w:sz="4" w:space="0" w:color="auto"/>
            </w:tcBorders>
            <w:shd w:val="clear" w:color="000000" w:fill="FFFFFF"/>
            <w:noWrap/>
          </w:tcPr>
          <w:p w14:paraId="18523D51" w14:textId="77777777" w:rsidR="0048431D" w:rsidRPr="005730EC" w:rsidRDefault="0048431D" w:rsidP="0048431D">
            <w:pPr>
              <w:jc w:val="center"/>
              <w:rPr>
                <w:rFonts w:cs="Arial"/>
                <w:color w:val="000000"/>
                <w:sz w:val="20"/>
              </w:rPr>
            </w:pPr>
            <w:r>
              <w:rPr>
                <w:rFonts w:cs="Arial"/>
                <w:color w:val="000000"/>
                <w:sz w:val="20"/>
              </w:rPr>
              <w:t>25</w:t>
            </w:r>
          </w:p>
        </w:tc>
        <w:tc>
          <w:tcPr>
            <w:tcW w:w="1440" w:type="dxa"/>
            <w:tcBorders>
              <w:top w:val="nil"/>
              <w:left w:val="nil"/>
              <w:bottom w:val="single" w:sz="4" w:space="0" w:color="auto"/>
              <w:right w:val="single" w:sz="4" w:space="0" w:color="auto"/>
            </w:tcBorders>
          </w:tcPr>
          <w:p w14:paraId="2606F929" w14:textId="77777777" w:rsidR="0048431D" w:rsidRPr="005730EC" w:rsidRDefault="0048431D" w:rsidP="0048431D">
            <w:pPr>
              <w:rPr>
                <w:rFonts w:cs="Arial"/>
                <w:color w:val="000000"/>
                <w:sz w:val="20"/>
              </w:rPr>
            </w:pPr>
            <w:r w:rsidRPr="005730EC">
              <w:rPr>
                <w:rFonts w:cs="Arial"/>
                <w:color w:val="000000"/>
                <w:sz w:val="20"/>
              </w:rPr>
              <w:t>Settlements</w:t>
            </w:r>
          </w:p>
        </w:tc>
        <w:tc>
          <w:tcPr>
            <w:tcW w:w="2142" w:type="dxa"/>
            <w:tcBorders>
              <w:top w:val="nil"/>
              <w:left w:val="nil"/>
              <w:bottom w:val="single" w:sz="4" w:space="0" w:color="auto"/>
              <w:right w:val="single" w:sz="4" w:space="0" w:color="auto"/>
            </w:tcBorders>
          </w:tcPr>
          <w:p w14:paraId="74915E3A" w14:textId="61CD4EA0" w:rsidR="0048431D" w:rsidRPr="005730EC" w:rsidRDefault="0048431D" w:rsidP="0048431D">
            <w:pPr>
              <w:rPr>
                <w:rFonts w:cs="Arial"/>
                <w:color w:val="000000"/>
                <w:sz w:val="20"/>
              </w:rPr>
            </w:pPr>
            <w:r w:rsidRPr="005730EC">
              <w:rPr>
                <w:rFonts w:cs="Arial"/>
                <w:color w:val="000000"/>
                <w:sz w:val="20"/>
              </w:rPr>
              <w:t xml:space="preserve">ISO Settlement Statements and Invoices published to </w:t>
            </w:r>
            <w:r>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Entity and</w:t>
            </w:r>
            <w:r w:rsidR="005F24C1">
              <w:rPr>
                <w:rFonts w:cs="Arial"/>
                <w:color w:val="000000"/>
                <w:sz w:val="20"/>
              </w:rPr>
              <w:t xml:space="preserve"> WEIM </w:t>
            </w:r>
            <w:r w:rsidRPr="005730EC">
              <w:rPr>
                <w:rFonts w:cs="Arial"/>
                <w:color w:val="000000"/>
                <w:sz w:val="20"/>
              </w:rPr>
              <w:t>Participating Resources</w:t>
            </w:r>
          </w:p>
        </w:tc>
        <w:tc>
          <w:tcPr>
            <w:tcW w:w="2538" w:type="dxa"/>
            <w:tcBorders>
              <w:top w:val="nil"/>
              <w:left w:val="nil"/>
              <w:bottom w:val="single" w:sz="4" w:space="0" w:color="auto"/>
              <w:right w:val="single" w:sz="4" w:space="0" w:color="auto"/>
            </w:tcBorders>
          </w:tcPr>
          <w:p w14:paraId="07D8CA17" w14:textId="77777777" w:rsidR="0048431D" w:rsidRPr="005730EC" w:rsidRDefault="0048431D" w:rsidP="0048431D">
            <w:pPr>
              <w:rPr>
                <w:rFonts w:cs="Arial"/>
                <w:color w:val="000000"/>
                <w:sz w:val="20"/>
              </w:rPr>
            </w:pPr>
            <w:r w:rsidRPr="005730EC">
              <w:rPr>
                <w:rFonts w:cs="Arial"/>
                <w:color w:val="000000"/>
                <w:sz w:val="20"/>
              </w:rPr>
              <w:t xml:space="preserve">The CAISO Settlement statements and invoices match the operational data </w:t>
            </w:r>
            <w:r>
              <w:rPr>
                <w:rFonts w:cs="Arial"/>
                <w:color w:val="000000"/>
                <w:sz w:val="20"/>
              </w:rPr>
              <w:t xml:space="preserve">published to stakeholders or </w:t>
            </w:r>
            <w:r w:rsidRPr="005730EC">
              <w:rPr>
                <w:rFonts w:cs="Arial"/>
                <w:color w:val="000000"/>
                <w:sz w:val="20"/>
              </w:rPr>
              <w:t>fed into</w:t>
            </w:r>
            <w:r w:rsidRPr="005730EC">
              <w:rPr>
                <w:rFonts w:cs="Arial"/>
                <w:color w:val="000000"/>
                <w:sz w:val="20"/>
              </w:rPr>
              <w:br/>
              <w:t>settlement system and the resulting calculations correspond to the formulas defined in</w:t>
            </w:r>
            <w:r w:rsidRPr="005730EC">
              <w:rPr>
                <w:rFonts w:cs="Arial"/>
                <w:color w:val="000000"/>
                <w:sz w:val="20"/>
              </w:rPr>
              <w:br/>
              <w:t>ISO’s tariff and BPMs</w:t>
            </w:r>
          </w:p>
        </w:tc>
        <w:tc>
          <w:tcPr>
            <w:tcW w:w="2862" w:type="dxa"/>
            <w:tcBorders>
              <w:top w:val="nil"/>
              <w:left w:val="nil"/>
              <w:bottom w:val="single" w:sz="4" w:space="0" w:color="auto"/>
              <w:right w:val="single" w:sz="4" w:space="0" w:color="auto"/>
            </w:tcBorders>
          </w:tcPr>
          <w:p w14:paraId="22CD80F1" w14:textId="77777777" w:rsidR="0048431D" w:rsidRPr="005730EC" w:rsidRDefault="0048431D" w:rsidP="0048431D">
            <w:pPr>
              <w:rPr>
                <w:rFonts w:cs="Arial"/>
                <w:color w:val="000000"/>
                <w:sz w:val="20"/>
              </w:rPr>
            </w:pPr>
            <w:r w:rsidRPr="005730EC">
              <w:rPr>
                <w:rFonts w:cs="Arial"/>
                <w:color w:val="000000"/>
                <w:sz w:val="20"/>
              </w:rPr>
              <w:t xml:space="preserve">Monthly settlement statement and invoice with corresponding daily statements produced during market simulation </w:t>
            </w:r>
            <w:r>
              <w:rPr>
                <w:rFonts w:cs="Arial"/>
                <w:color w:val="000000"/>
                <w:sz w:val="20"/>
              </w:rPr>
              <w:t xml:space="preserve">and parallel operations </w:t>
            </w:r>
            <w:r w:rsidRPr="005730EC">
              <w:rPr>
                <w:rFonts w:cs="Arial"/>
                <w:color w:val="000000"/>
                <w:sz w:val="20"/>
              </w:rPr>
              <w:t>are verifiably accurate against available data.</w:t>
            </w:r>
            <w:r w:rsidRPr="005730EC" w:rsidDel="00592C47">
              <w:rPr>
                <w:rFonts w:cs="Arial"/>
                <w:color w:val="FF0101"/>
                <w:sz w:val="20"/>
              </w:rPr>
              <w:t xml:space="preserve"> </w:t>
            </w:r>
          </w:p>
        </w:tc>
      </w:tr>
      <w:tr w:rsidR="0048431D" w:rsidRPr="005730EC" w14:paraId="2F94E7F4" w14:textId="77777777" w:rsidTr="009E26DA">
        <w:trPr>
          <w:trHeight w:val="765"/>
        </w:trPr>
        <w:tc>
          <w:tcPr>
            <w:tcW w:w="1260" w:type="dxa"/>
            <w:tcBorders>
              <w:top w:val="nil"/>
              <w:left w:val="single" w:sz="4" w:space="0" w:color="auto"/>
              <w:bottom w:val="single" w:sz="4" w:space="0" w:color="auto"/>
              <w:right w:val="single" w:sz="4" w:space="0" w:color="auto"/>
            </w:tcBorders>
            <w:shd w:val="clear" w:color="000000" w:fill="FFFFFF"/>
            <w:noWrap/>
          </w:tcPr>
          <w:p w14:paraId="4619662C" w14:textId="77777777" w:rsidR="0048431D" w:rsidRPr="005730EC" w:rsidRDefault="0048431D" w:rsidP="0048431D">
            <w:pPr>
              <w:jc w:val="center"/>
              <w:rPr>
                <w:rFonts w:cs="Arial"/>
                <w:color w:val="000000"/>
                <w:sz w:val="20"/>
              </w:rPr>
            </w:pPr>
            <w:r>
              <w:rPr>
                <w:rFonts w:cs="Arial"/>
                <w:color w:val="000000"/>
                <w:sz w:val="20"/>
              </w:rPr>
              <w:lastRenderedPageBreak/>
              <w:t>26</w:t>
            </w:r>
          </w:p>
        </w:tc>
        <w:tc>
          <w:tcPr>
            <w:tcW w:w="1440" w:type="dxa"/>
            <w:tcBorders>
              <w:top w:val="nil"/>
              <w:left w:val="nil"/>
              <w:bottom w:val="single" w:sz="4" w:space="0" w:color="auto"/>
              <w:right w:val="single" w:sz="4" w:space="0" w:color="auto"/>
            </w:tcBorders>
          </w:tcPr>
          <w:p w14:paraId="5771781B" w14:textId="77777777" w:rsidR="0048431D" w:rsidRPr="005730EC" w:rsidRDefault="0048431D" w:rsidP="0048431D">
            <w:pPr>
              <w:rPr>
                <w:rFonts w:cs="Arial"/>
                <w:color w:val="000000"/>
                <w:sz w:val="20"/>
              </w:rPr>
            </w:pPr>
            <w:r w:rsidRPr="005730EC">
              <w:rPr>
                <w:rFonts w:cs="Arial"/>
                <w:color w:val="000000"/>
                <w:sz w:val="20"/>
              </w:rPr>
              <w:t>Settlements</w:t>
            </w:r>
          </w:p>
        </w:tc>
        <w:tc>
          <w:tcPr>
            <w:tcW w:w="2142" w:type="dxa"/>
            <w:tcBorders>
              <w:top w:val="nil"/>
              <w:left w:val="nil"/>
              <w:bottom w:val="single" w:sz="4" w:space="0" w:color="auto"/>
              <w:right w:val="single" w:sz="4" w:space="0" w:color="auto"/>
            </w:tcBorders>
          </w:tcPr>
          <w:p w14:paraId="371980A5" w14:textId="5863C8B0" w:rsidR="0048431D" w:rsidRPr="005730EC" w:rsidRDefault="0048431D" w:rsidP="0048431D">
            <w:pPr>
              <w:rPr>
                <w:rFonts w:cs="Arial"/>
                <w:color w:val="000000"/>
                <w:sz w:val="20"/>
              </w:rPr>
            </w:pPr>
            <w:r>
              <w:rPr>
                <w:rFonts w:cs="Arial"/>
                <w:color w:val="000000"/>
                <w:sz w:val="20"/>
              </w:rPr>
              <w:t>The prospective</w:t>
            </w:r>
            <w:r w:rsidR="005F24C1">
              <w:rPr>
                <w:rFonts w:cs="Arial"/>
                <w:color w:val="000000"/>
                <w:sz w:val="20"/>
              </w:rPr>
              <w:t xml:space="preserve"> WEIM </w:t>
            </w:r>
            <w:r w:rsidRPr="005730EC">
              <w:rPr>
                <w:rFonts w:cs="Arial"/>
                <w:color w:val="000000"/>
                <w:sz w:val="20"/>
              </w:rPr>
              <w:t xml:space="preserve">Entity </w:t>
            </w:r>
            <w:r>
              <w:rPr>
                <w:rFonts w:cs="Arial"/>
                <w:color w:val="000000"/>
                <w:sz w:val="20"/>
              </w:rPr>
              <w:t>s</w:t>
            </w:r>
            <w:r w:rsidRPr="005730EC">
              <w:rPr>
                <w:rFonts w:cs="Arial"/>
                <w:color w:val="000000"/>
                <w:sz w:val="20"/>
              </w:rPr>
              <w:t xml:space="preserve">ettlement </w:t>
            </w:r>
            <w:r>
              <w:rPr>
                <w:rFonts w:cs="Arial"/>
                <w:color w:val="000000"/>
                <w:sz w:val="20"/>
              </w:rPr>
              <w:t>s</w:t>
            </w:r>
            <w:r w:rsidRPr="005730EC">
              <w:rPr>
                <w:rFonts w:cs="Arial"/>
                <w:color w:val="000000"/>
                <w:sz w:val="20"/>
              </w:rPr>
              <w:t xml:space="preserve">tatements and </w:t>
            </w:r>
            <w:r>
              <w:rPr>
                <w:rFonts w:cs="Arial"/>
                <w:color w:val="000000"/>
                <w:sz w:val="20"/>
              </w:rPr>
              <w:t>i</w:t>
            </w:r>
            <w:r w:rsidRPr="005730EC">
              <w:rPr>
                <w:rFonts w:cs="Arial"/>
                <w:color w:val="000000"/>
                <w:sz w:val="20"/>
              </w:rPr>
              <w:t xml:space="preserve">nvoices reflect </w:t>
            </w:r>
            <w:r>
              <w:rPr>
                <w:rFonts w:cs="Arial"/>
                <w:color w:val="000000"/>
                <w:sz w:val="20"/>
              </w:rPr>
              <w:t xml:space="preserve">accurate </w:t>
            </w:r>
            <w:r w:rsidRPr="005730EC">
              <w:rPr>
                <w:rFonts w:cs="Arial"/>
                <w:color w:val="000000"/>
                <w:sz w:val="20"/>
              </w:rPr>
              <w:t xml:space="preserve">allocations to </w:t>
            </w:r>
            <w:r>
              <w:rPr>
                <w:rFonts w:cs="Arial"/>
                <w:color w:val="000000"/>
                <w:sz w:val="20"/>
              </w:rPr>
              <w:t>the prospective</w:t>
            </w:r>
            <w:r w:rsidR="005F24C1">
              <w:rPr>
                <w:rFonts w:cs="Arial"/>
                <w:color w:val="000000"/>
                <w:sz w:val="20"/>
              </w:rPr>
              <w:t xml:space="preserve"> WEIM </w:t>
            </w:r>
            <w:r w:rsidRPr="005730EC">
              <w:rPr>
                <w:rFonts w:cs="Arial"/>
                <w:color w:val="000000"/>
                <w:sz w:val="20"/>
              </w:rPr>
              <w:t>Entity customers prior to financially binding operations.</w:t>
            </w:r>
          </w:p>
        </w:tc>
        <w:tc>
          <w:tcPr>
            <w:tcW w:w="2538" w:type="dxa"/>
            <w:tcBorders>
              <w:top w:val="nil"/>
              <w:left w:val="nil"/>
              <w:bottom w:val="single" w:sz="4" w:space="0" w:color="auto"/>
              <w:right w:val="single" w:sz="4" w:space="0" w:color="auto"/>
            </w:tcBorders>
          </w:tcPr>
          <w:p w14:paraId="686915CD" w14:textId="77777777" w:rsidR="0048431D" w:rsidRPr="005730EC" w:rsidRDefault="0048431D" w:rsidP="0048431D">
            <w:pPr>
              <w:rPr>
                <w:rFonts w:cs="Arial"/>
                <w:color w:val="000000"/>
                <w:sz w:val="20"/>
              </w:rPr>
            </w:pPr>
            <w:r w:rsidRPr="005730EC">
              <w:rPr>
                <w:rFonts w:cs="Arial"/>
                <w:color w:val="000000"/>
                <w:sz w:val="20"/>
              </w:rPr>
              <w:t>Verification that settlement statements and invoices accurately reflects system and market data</w:t>
            </w:r>
            <w:r>
              <w:rPr>
                <w:rFonts w:cs="Arial"/>
                <w:color w:val="000000"/>
                <w:sz w:val="20"/>
              </w:rPr>
              <w:t xml:space="preserve"> </w:t>
            </w:r>
          </w:p>
        </w:tc>
        <w:tc>
          <w:tcPr>
            <w:tcW w:w="2862" w:type="dxa"/>
            <w:tcBorders>
              <w:top w:val="nil"/>
              <w:left w:val="nil"/>
              <w:bottom w:val="single" w:sz="4" w:space="0" w:color="auto"/>
              <w:right w:val="single" w:sz="4" w:space="0" w:color="auto"/>
            </w:tcBorders>
          </w:tcPr>
          <w:p w14:paraId="22764DD7" w14:textId="135F06CA" w:rsidR="0048431D" w:rsidRPr="005730EC" w:rsidRDefault="0048431D" w:rsidP="0048431D">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r>
              <w:rPr>
                <w:rFonts w:cs="Arial"/>
                <w:color w:val="000000"/>
                <w:sz w:val="20"/>
              </w:rPr>
              <w:t>s</w:t>
            </w:r>
            <w:r w:rsidRPr="005730EC">
              <w:rPr>
                <w:rFonts w:cs="Arial"/>
                <w:color w:val="000000"/>
                <w:sz w:val="20"/>
              </w:rPr>
              <w:t xml:space="preserve">ettlement </w:t>
            </w:r>
            <w:r>
              <w:rPr>
                <w:rFonts w:cs="Arial"/>
                <w:color w:val="000000"/>
                <w:sz w:val="20"/>
              </w:rPr>
              <w:t>s</w:t>
            </w:r>
            <w:r w:rsidRPr="005730EC">
              <w:rPr>
                <w:rFonts w:cs="Arial"/>
                <w:color w:val="000000"/>
                <w:sz w:val="20"/>
              </w:rPr>
              <w:t xml:space="preserve">tatements and </w:t>
            </w:r>
            <w:r>
              <w:rPr>
                <w:rFonts w:cs="Arial"/>
                <w:color w:val="000000"/>
                <w:sz w:val="20"/>
              </w:rPr>
              <w:t>i</w:t>
            </w:r>
            <w:r w:rsidRPr="005730EC">
              <w:rPr>
                <w:rFonts w:cs="Arial"/>
                <w:color w:val="000000"/>
                <w:sz w:val="20"/>
              </w:rPr>
              <w:t xml:space="preserve">nvoices that allocate charges and credits to its customers accurately reflect system and market data during parallel operations.  </w:t>
            </w:r>
          </w:p>
        </w:tc>
      </w:tr>
      <w:tr w:rsidR="0048431D" w:rsidRPr="005730EC" w14:paraId="60043C0B" w14:textId="77777777" w:rsidTr="009E26DA">
        <w:trPr>
          <w:trHeight w:val="2610"/>
        </w:trPr>
        <w:tc>
          <w:tcPr>
            <w:tcW w:w="1260" w:type="dxa"/>
            <w:tcBorders>
              <w:top w:val="nil"/>
              <w:left w:val="single" w:sz="4" w:space="0" w:color="auto"/>
              <w:bottom w:val="single" w:sz="4" w:space="0" w:color="auto"/>
              <w:right w:val="single" w:sz="4" w:space="0" w:color="auto"/>
            </w:tcBorders>
            <w:shd w:val="clear" w:color="000000" w:fill="FFFFFF"/>
            <w:noWrap/>
            <w:hideMark/>
          </w:tcPr>
          <w:p w14:paraId="7E9353FA" w14:textId="77777777" w:rsidR="0048431D" w:rsidRPr="005730EC" w:rsidRDefault="0048431D" w:rsidP="0048431D">
            <w:pPr>
              <w:jc w:val="center"/>
              <w:rPr>
                <w:rFonts w:cs="Arial"/>
                <w:color w:val="000000"/>
                <w:sz w:val="20"/>
              </w:rPr>
            </w:pPr>
            <w:r>
              <w:rPr>
                <w:rFonts w:cs="Arial"/>
                <w:color w:val="000000"/>
                <w:sz w:val="20"/>
              </w:rPr>
              <w:t>27</w:t>
            </w:r>
          </w:p>
        </w:tc>
        <w:tc>
          <w:tcPr>
            <w:tcW w:w="1440" w:type="dxa"/>
            <w:tcBorders>
              <w:top w:val="nil"/>
              <w:left w:val="nil"/>
              <w:bottom w:val="single" w:sz="4" w:space="0" w:color="auto"/>
              <w:right w:val="single" w:sz="4" w:space="0" w:color="auto"/>
            </w:tcBorders>
            <w:hideMark/>
          </w:tcPr>
          <w:p w14:paraId="7509A3F0" w14:textId="77777777" w:rsidR="0048431D" w:rsidRPr="005730EC" w:rsidRDefault="0048431D" w:rsidP="0048431D">
            <w:pPr>
              <w:rPr>
                <w:rFonts w:cs="Arial"/>
                <w:color w:val="000000"/>
                <w:sz w:val="20"/>
              </w:rPr>
            </w:pPr>
            <w:r w:rsidRPr="005730EC">
              <w:rPr>
                <w:rFonts w:cs="Arial"/>
                <w:color w:val="000000"/>
                <w:sz w:val="20"/>
              </w:rPr>
              <w:t>Monitoring</w:t>
            </w:r>
          </w:p>
        </w:tc>
        <w:tc>
          <w:tcPr>
            <w:tcW w:w="2142" w:type="dxa"/>
            <w:tcBorders>
              <w:top w:val="nil"/>
              <w:left w:val="nil"/>
              <w:bottom w:val="single" w:sz="4" w:space="0" w:color="auto"/>
              <w:right w:val="single" w:sz="4" w:space="0" w:color="auto"/>
            </w:tcBorders>
            <w:hideMark/>
          </w:tcPr>
          <w:p w14:paraId="0DE333CA" w14:textId="77777777" w:rsidR="0048431D" w:rsidRPr="005730EC" w:rsidRDefault="0048431D" w:rsidP="0048431D">
            <w:pPr>
              <w:rPr>
                <w:rFonts w:cs="Arial"/>
                <w:color w:val="000000"/>
                <w:sz w:val="20"/>
              </w:rPr>
            </w:pPr>
            <w:r w:rsidRPr="005730EC">
              <w:rPr>
                <w:rFonts w:cs="Arial"/>
                <w:color w:val="000000"/>
                <w:sz w:val="20"/>
              </w:rPr>
              <w:t>Data monitoring</w:t>
            </w:r>
          </w:p>
        </w:tc>
        <w:tc>
          <w:tcPr>
            <w:tcW w:w="2538" w:type="dxa"/>
            <w:tcBorders>
              <w:top w:val="nil"/>
              <w:left w:val="nil"/>
              <w:bottom w:val="single" w:sz="4" w:space="0" w:color="auto"/>
              <w:right w:val="single" w:sz="4" w:space="0" w:color="auto"/>
            </w:tcBorders>
            <w:hideMark/>
          </w:tcPr>
          <w:p w14:paraId="60467AC3" w14:textId="77777777" w:rsidR="0048431D" w:rsidRPr="005730EC" w:rsidRDefault="0048431D" w:rsidP="0048431D">
            <w:pPr>
              <w:rPr>
                <w:rFonts w:cs="Arial"/>
                <w:color w:val="000000"/>
                <w:sz w:val="20"/>
              </w:rPr>
            </w:pPr>
            <w:r w:rsidRPr="005730EC">
              <w:rPr>
                <w:rFonts w:cs="Arial"/>
                <w:color w:val="000000"/>
                <w:sz w:val="20"/>
              </w:rPr>
              <w:t xml:space="preserve">Sufficient and adequate data is available to the CAISO and the Department of Market Monitoring </w:t>
            </w:r>
          </w:p>
        </w:tc>
        <w:tc>
          <w:tcPr>
            <w:tcW w:w="2862" w:type="dxa"/>
            <w:tcBorders>
              <w:top w:val="nil"/>
              <w:left w:val="nil"/>
              <w:bottom w:val="single" w:sz="4" w:space="0" w:color="auto"/>
              <w:right w:val="single" w:sz="4" w:space="0" w:color="auto"/>
            </w:tcBorders>
            <w:hideMark/>
          </w:tcPr>
          <w:p w14:paraId="0AE07564" w14:textId="77777777" w:rsidR="0048431D" w:rsidRPr="005730EC" w:rsidRDefault="0048431D" w:rsidP="0048431D">
            <w:pPr>
              <w:rPr>
                <w:rFonts w:cs="Arial"/>
                <w:color w:val="000000"/>
                <w:sz w:val="20"/>
              </w:rPr>
            </w:pPr>
            <w:r w:rsidRPr="005730EC">
              <w:rPr>
                <w:rFonts w:cs="Arial"/>
                <w:color w:val="000000"/>
                <w:sz w:val="20"/>
              </w:rPr>
              <w:t xml:space="preserve">All required market monitoring data is available during testing and during post go-live for the key metrics (any exceptions will be addressed). </w:t>
            </w:r>
            <w:r w:rsidRPr="005730EC">
              <w:rPr>
                <w:rFonts w:cs="Arial"/>
                <w:color w:val="000000"/>
                <w:sz w:val="20"/>
              </w:rPr>
              <w:br/>
            </w:r>
            <w:r w:rsidRPr="005730EC">
              <w:rPr>
                <w:rFonts w:cs="Arial"/>
                <w:color w:val="000000"/>
                <w:sz w:val="20"/>
              </w:rPr>
              <w:br/>
              <w:t>CAISO will provide a market report that will provide publicly available information to all market participants.</w:t>
            </w:r>
          </w:p>
        </w:tc>
      </w:tr>
      <w:tr w:rsidR="0048431D" w:rsidRPr="005730EC" w14:paraId="658712C5" w14:textId="77777777" w:rsidTr="009E26DA">
        <w:trPr>
          <w:trHeight w:val="765"/>
        </w:trPr>
        <w:tc>
          <w:tcPr>
            <w:tcW w:w="1260" w:type="dxa"/>
            <w:tcBorders>
              <w:top w:val="nil"/>
              <w:left w:val="single" w:sz="4" w:space="0" w:color="auto"/>
              <w:bottom w:val="single" w:sz="4" w:space="0" w:color="auto"/>
              <w:right w:val="single" w:sz="4" w:space="0" w:color="auto"/>
            </w:tcBorders>
            <w:shd w:val="clear" w:color="000000" w:fill="FFFFFF"/>
            <w:noWrap/>
            <w:hideMark/>
          </w:tcPr>
          <w:p w14:paraId="1D804D1C" w14:textId="77777777" w:rsidR="0048431D" w:rsidRPr="005730EC" w:rsidRDefault="0048431D" w:rsidP="0048431D">
            <w:pPr>
              <w:jc w:val="center"/>
              <w:rPr>
                <w:rFonts w:cs="Arial"/>
                <w:color w:val="000000"/>
                <w:sz w:val="20"/>
              </w:rPr>
            </w:pPr>
            <w:r>
              <w:rPr>
                <w:rFonts w:cs="Arial"/>
                <w:color w:val="000000"/>
                <w:sz w:val="20"/>
              </w:rPr>
              <w:t>28</w:t>
            </w:r>
          </w:p>
        </w:tc>
        <w:tc>
          <w:tcPr>
            <w:tcW w:w="1440" w:type="dxa"/>
            <w:tcBorders>
              <w:top w:val="nil"/>
              <w:left w:val="nil"/>
              <w:bottom w:val="single" w:sz="4" w:space="0" w:color="auto"/>
              <w:right w:val="single" w:sz="4" w:space="0" w:color="auto"/>
            </w:tcBorders>
            <w:hideMark/>
          </w:tcPr>
          <w:p w14:paraId="5E1B0037" w14:textId="77777777" w:rsidR="0048431D" w:rsidRPr="005730EC" w:rsidRDefault="0048431D" w:rsidP="0048431D">
            <w:pPr>
              <w:rPr>
                <w:rFonts w:cs="Arial"/>
                <w:color w:val="000000"/>
                <w:sz w:val="20"/>
              </w:rPr>
            </w:pPr>
            <w:r w:rsidRPr="005730EC">
              <w:rPr>
                <w:rFonts w:cs="Arial"/>
                <w:color w:val="000000"/>
                <w:sz w:val="20"/>
              </w:rPr>
              <w:t xml:space="preserve">Parallel </w:t>
            </w:r>
            <w:r>
              <w:rPr>
                <w:rFonts w:cs="Arial"/>
                <w:color w:val="000000"/>
                <w:sz w:val="20"/>
              </w:rPr>
              <w:t xml:space="preserve"> Operations</w:t>
            </w:r>
            <w:r w:rsidRPr="005730EC">
              <w:rPr>
                <w:rFonts w:cs="Arial"/>
                <w:color w:val="000000"/>
                <w:sz w:val="20"/>
              </w:rPr>
              <w:t xml:space="preserve"> Plan</w:t>
            </w:r>
          </w:p>
        </w:tc>
        <w:tc>
          <w:tcPr>
            <w:tcW w:w="2142" w:type="dxa"/>
            <w:tcBorders>
              <w:top w:val="nil"/>
              <w:left w:val="nil"/>
              <w:bottom w:val="single" w:sz="4" w:space="0" w:color="auto"/>
              <w:right w:val="single" w:sz="4" w:space="0" w:color="auto"/>
            </w:tcBorders>
            <w:hideMark/>
          </w:tcPr>
          <w:p w14:paraId="4CE41E0A" w14:textId="77777777" w:rsidR="0048431D" w:rsidRPr="005730EC" w:rsidRDefault="0048431D" w:rsidP="0048431D">
            <w:pPr>
              <w:rPr>
                <w:rFonts w:cs="Arial"/>
                <w:color w:val="000000"/>
                <w:sz w:val="20"/>
              </w:rPr>
            </w:pPr>
            <w:r w:rsidRPr="005730EC">
              <w:rPr>
                <w:rFonts w:cs="Arial"/>
                <w:color w:val="000000"/>
                <w:sz w:val="20"/>
              </w:rPr>
              <w:t xml:space="preserve">Deployment plan </w:t>
            </w:r>
          </w:p>
        </w:tc>
        <w:tc>
          <w:tcPr>
            <w:tcW w:w="2538" w:type="dxa"/>
            <w:tcBorders>
              <w:top w:val="nil"/>
              <w:left w:val="nil"/>
              <w:bottom w:val="single" w:sz="4" w:space="0" w:color="auto"/>
              <w:right w:val="single" w:sz="4" w:space="0" w:color="auto"/>
            </w:tcBorders>
            <w:hideMark/>
          </w:tcPr>
          <w:p w14:paraId="66613A3A" w14:textId="309E035D" w:rsidR="0048431D" w:rsidRPr="005730EC" w:rsidRDefault="0048431D" w:rsidP="0048431D">
            <w:pPr>
              <w:rPr>
                <w:rFonts w:cs="Arial"/>
                <w:color w:val="000000"/>
                <w:sz w:val="20"/>
              </w:rPr>
            </w:pPr>
            <w:r>
              <w:rPr>
                <w:rFonts w:cs="Arial"/>
                <w:color w:val="000000"/>
                <w:sz w:val="20"/>
              </w:rPr>
              <w:t>P</w:t>
            </w:r>
            <w:r w:rsidRPr="003243AE">
              <w:rPr>
                <w:rFonts w:cs="Arial"/>
                <w:color w:val="000000"/>
                <w:sz w:val="20"/>
              </w:rPr>
              <w:t xml:space="preserve">arallel </w:t>
            </w:r>
            <w:r>
              <w:rPr>
                <w:rFonts w:cs="Arial"/>
                <w:color w:val="000000"/>
                <w:sz w:val="20"/>
              </w:rPr>
              <w:t>operations</w:t>
            </w:r>
            <w:r w:rsidRPr="003243AE">
              <w:rPr>
                <w:rFonts w:cs="Arial"/>
                <w:color w:val="000000"/>
                <w:sz w:val="20"/>
              </w:rPr>
              <w:t xml:space="preserve"> run consistently and in accordance with the timeframe set forth in the prospective</w:t>
            </w:r>
            <w:r w:rsidR="005F24C1">
              <w:rPr>
                <w:rFonts w:cs="Arial"/>
                <w:color w:val="000000"/>
                <w:sz w:val="20"/>
              </w:rPr>
              <w:t xml:space="preserve"> WEIM </w:t>
            </w:r>
            <w:r w:rsidRPr="003243AE">
              <w:rPr>
                <w:rFonts w:cs="Arial"/>
                <w:color w:val="000000"/>
                <w:sz w:val="20"/>
              </w:rPr>
              <w:t>Entity specific parallel operation plan</w:t>
            </w:r>
          </w:p>
        </w:tc>
        <w:tc>
          <w:tcPr>
            <w:tcW w:w="2862" w:type="dxa"/>
            <w:tcBorders>
              <w:top w:val="nil"/>
              <w:left w:val="nil"/>
              <w:bottom w:val="single" w:sz="4" w:space="0" w:color="auto"/>
              <w:right w:val="single" w:sz="4" w:space="0" w:color="auto"/>
            </w:tcBorders>
            <w:hideMark/>
          </w:tcPr>
          <w:p w14:paraId="3B039FAF" w14:textId="77777777" w:rsidR="0048431D" w:rsidRDefault="0048431D" w:rsidP="0048431D">
            <w:pPr>
              <w:rPr>
                <w:rFonts w:cs="Arial"/>
                <w:color w:val="000000"/>
                <w:sz w:val="20"/>
              </w:rPr>
            </w:pPr>
            <w:r w:rsidRPr="005730EC">
              <w:rPr>
                <w:rFonts w:cs="Arial"/>
                <w:color w:val="000000"/>
                <w:sz w:val="20"/>
              </w:rPr>
              <w:t xml:space="preserve">Parallel operations runs consistently within </w:t>
            </w:r>
            <w:r>
              <w:rPr>
                <w:rFonts w:cs="Arial"/>
                <w:color w:val="000000"/>
                <w:sz w:val="20"/>
              </w:rPr>
              <w:t>normal production CAISO M</w:t>
            </w:r>
            <w:r w:rsidRPr="005730EC">
              <w:rPr>
                <w:rFonts w:cs="Arial"/>
                <w:color w:val="000000"/>
                <w:sz w:val="20"/>
              </w:rPr>
              <w:t>arket disruption tolerances.</w:t>
            </w:r>
          </w:p>
          <w:p w14:paraId="1511C389" w14:textId="77777777" w:rsidR="0048431D" w:rsidRPr="00A73BF0" w:rsidRDefault="0048431D" w:rsidP="0048431D">
            <w:pPr>
              <w:rPr>
                <w:rFonts w:cs="Arial"/>
                <w:sz w:val="20"/>
              </w:rPr>
            </w:pPr>
          </w:p>
        </w:tc>
      </w:tr>
      <w:tr w:rsidR="0048431D" w:rsidRPr="005730EC" w14:paraId="69720EC6" w14:textId="77777777" w:rsidTr="009E26DA">
        <w:trPr>
          <w:trHeight w:val="260"/>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09E7EBA8" w14:textId="77777777" w:rsidR="0048431D" w:rsidRPr="005730EC" w:rsidRDefault="0048431D" w:rsidP="0048431D">
            <w:pPr>
              <w:jc w:val="center"/>
              <w:rPr>
                <w:rFonts w:cs="Arial"/>
                <w:color w:val="000000"/>
                <w:sz w:val="20"/>
              </w:rPr>
            </w:pPr>
            <w:r>
              <w:rPr>
                <w:rFonts w:cs="Arial"/>
                <w:color w:val="000000"/>
                <w:sz w:val="20"/>
              </w:rPr>
              <w:t>29</w:t>
            </w:r>
          </w:p>
        </w:tc>
        <w:tc>
          <w:tcPr>
            <w:tcW w:w="1440" w:type="dxa"/>
            <w:tcBorders>
              <w:top w:val="single" w:sz="4" w:space="0" w:color="auto"/>
              <w:left w:val="nil"/>
              <w:bottom w:val="single" w:sz="4" w:space="0" w:color="auto"/>
              <w:right w:val="single" w:sz="4" w:space="0" w:color="auto"/>
            </w:tcBorders>
          </w:tcPr>
          <w:p w14:paraId="21484893" w14:textId="2DEB6F18" w:rsidR="0048431D" w:rsidRPr="005730EC" w:rsidRDefault="00B722C6" w:rsidP="0048431D">
            <w:pPr>
              <w:rPr>
                <w:rFonts w:cs="Arial"/>
                <w:color w:val="000000"/>
                <w:sz w:val="20"/>
              </w:rPr>
            </w:pPr>
            <w:r>
              <w:rPr>
                <w:rFonts w:cs="Arial"/>
                <w:color w:val="000000"/>
                <w:sz w:val="20"/>
              </w:rPr>
              <w:t>o</w:t>
            </w:r>
            <w:r w:rsidR="0048431D" w:rsidRPr="005730EC">
              <w:rPr>
                <w:rFonts w:cs="Arial"/>
                <w:color w:val="000000"/>
                <w:sz w:val="20"/>
              </w:rPr>
              <w:t xml:space="preserve">utage </w:t>
            </w:r>
            <w:r>
              <w:rPr>
                <w:rFonts w:cs="Arial"/>
                <w:color w:val="000000"/>
                <w:sz w:val="20"/>
              </w:rPr>
              <w:t>m</w:t>
            </w:r>
            <w:r w:rsidR="0048431D" w:rsidRPr="005730EC">
              <w:rPr>
                <w:rFonts w:cs="Arial"/>
                <w:color w:val="000000"/>
                <w:sz w:val="20"/>
              </w:rPr>
              <w:t xml:space="preserve">anagement </w:t>
            </w:r>
            <w:r>
              <w:rPr>
                <w:rFonts w:cs="Arial"/>
                <w:color w:val="000000"/>
                <w:sz w:val="20"/>
              </w:rPr>
              <w:t>s</w:t>
            </w:r>
            <w:r w:rsidR="0048431D" w:rsidRPr="005730EC">
              <w:rPr>
                <w:rFonts w:cs="Arial"/>
                <w:color w:val="000000"/>
                <w:sz w:val="20"/>
              </w:rPr>
              <w:t>ystem</w:t>
            </w:r>
          </w:p>
          <w:p w14:paraId="6D15003F" w14:textId="77777777" w:rsidR="0048431D" w:rsidRPr="005730EC" w:rsidRDefault="0048431D" w:rsidP="0048431D">
            <w:pPr>
              <w:rPr>
                <w:rFonts w:cs="Arial"/>
                <w:color w:val="000000"/>
                <w:sz w:val="20"/>
              </w:rPr>
            </w:pPr>
          </w:p>
          <w:p w14:paraId="59B770B7" w14:textId="77777777" w:rsidR="0048431D" w:rsidRPr="005730EC" w:rsidDel="00F9298F" w:rsidRDefault="0048431D" w:rsidP="0048431D">
            <w:pPr>
              <w:rPr>
                <w:rFonts w:cs="Arial"/>
                <w:color w:val="000000"/>
                <w:sz w:val="20"/>
              </w:rPr>
            </w:pPr>
          </w:p>
        </w:tc>
        <w:tc>
          <w:tcPr>
            <w:tcW w:w="2142" w:type="dxa"/>
            <w:tcBorders>
              <w:top w:val="single" w:sz="4" w:space="0" w:color="auto"/>
              <w:left w:val="nil"/>
              <w:bottom w:val="single" w:sz="4" w:space="0" w:color="auto"/>
              <w:right w:val="single" w:sz="4" w:space="0" w:color="auto"/>
            </w:tcBorders>
          </w:tcPr>
          <w:p w14:paraId="6D6BF1D2" w14:textId="77777777" w:rsidR="0048431D" w:rsidRPr="005730EC" w:rsidRDefault="0048431D" w:rsidP="0048431D">
            <w:pPr>
              <w:rPr>
                <w:rFonts w:cs="Arial"/>
                <w:color w:val="000000"/>
                <w:sz w:val="20"/>
              </w:rPr>
            </w:pPr>
            <w:r w:rsidRPr="005730EC">
              <w:rPr>
                <w:rFonts w:cs="Arial"/>
                <w:color w:val="000000"/>
                <w:sz w:val="20"/>
              </w:rPr>
              <w:t>Transmission and generation outage submittal and retrieval</w:t>
            </w:r>
          </w:p>
        </w:tc>
        <w:tc>
          <w:tcPr>
            <w:tcW w:w="2538" w:type="dxa"/>
            <w:tcBorders>
              <w:top w:val="single" w:sz="4" w:space="0" w:color="auto"/>
              <w:left w:val="nil"/>
              <w:bottom w:val="single" w:sz="4" w:space="0" w:color="auto"/>
              <w:right w:val="single" w:sz="4" w:space="0" w:color="auto"/>
            </w:tcBorders>
          </w:tcPr>
          <w:p w14:paraId="61290138" w14:textId="7DA15B71" w:rsidR="0048431D" w:rsidRPr="005730EC" w:rsidRDefault="0048431D" w:rsidP="0048431D">
            <w:pPr>
              <w:rPr>
                <w:rFonts w:cs="Arial"/>
                <w:color w:val="000000"/>
                <w:sz w:val="20"/>
              </w:rPr>
            </w:pPr>
            <w:r>
              <w:rPr>
                <w:rFonts w:cs="Arial"/>
                <w:sz w:val="20"/>
              </w:rPr>
              <w:t>The p</w:t>
            </w:r>
            <w:r w:rsidRPr="00200458">
              <w:rPr>
                <w:rFonts w:cs="Arial"/>
                <w:sz w:val="20"/>
              </w:rPr>
              <w:t>rospective</w:t>
            </w:r>
            <w:r w:rsidR="005F24C1">
              <w:rPr>
                <w:rFonts w:cs="Arial"/>
                <w:sz w:val="20"/>
              </w:rPr>
              <w:t xml:space="preserve"> WEIM </w:t>
            </w:r>
            <w:r w:rsidRPr="005730EC">
              <w:rPr>
                <w:rFonts w:cs="Arial"/>
                <w:color w:val="000000"/>
                <w:sz w:val="20"/>
              </w:rPr>
              <w:t xml:space="preserve">Entity will verify its ability to submit and retrieve outage information with the CAISO </w:t>
            </w:r>
          </w:p>
        </w:tc>
        <w:tc>
          <w:tcPr>
            <w:tcW w:w="2862" w:type="dxa"/>
            <w:tcBorders>
              <w:top w:val="single" w:sz="4" w:space="0" w:color="auto"/>
              <w:left w:val="nil"/>
              <w:bottom w:val="single" w:sz="4" w:space="0" w:color="auto"/>
              <w:right w:val="single" w:sz="4" w:space="0" w:color="auto"/>
            </w:tcBorders>
          </w:tcPr>
          <w:p w14:paraId="7D20ABF7" w14:textId="0F3BB632" w:rsidR="0048431D" w:rsidRPr="005730EC" w:rsidRDefault="0048431D" w:rsidP="0048431D">
            <w:pPr>
              <w:rPr>
                <w:rFonts w:cs="Arial"/>
                <w:color w:val="000000"/>
                <w:sz w:val="20"/>
              </w:rPr>
            </w:pPr>
            <w:r w:rsidRPr="005730EC">
              <w:rPr>
                <w:rFonts w:cs="Arial"/>
                <w:color w:val="000000"/>
                <w:sz w:val="20"/>
              </w:rPr>
              <w:t xml:space="preserve">The </w:t>
            </w:r>
            <w:r w:rsidRPr="00200458">
              <w:rPr>
                <w:rFonts w:cs="Arial"/>
                <w:sz w:val="20"/>
              </w:rPr>
              <w:t>prospective</w:t>
            </w:r>
            <w:r w:rsidR="005F24C1">
              <w:rPr>
                <w:rFonts w:cs="Arial"/>
                <w:sz w:val="20"/>
              </w:rPr>
              <w:t xml:space="preserve"> WEIM </w:t>
            </w:r>
            <w:r w:rsidRPr="005730EC">
              <w:rPr>
                <w:rFonts w:cs="Arial"/>
                <w:color w:val="000000"/>
                <w:sz w:val="20"/>
              </w:rPr>
              <w:t xml:space="preserve">Entity validate their ability to submit and retrieve transmission out-of-service outages, generation Pmax derates, generation Pmin rerates, and generation out-of-service outage tickets within the required timelines. </w:t>
            </w:r>
          </w:p>
        </w:tc>
      </w:tr>
      <w:tr w:rsidR="0048431D" w:rsidRPr="005730EC" w14:paraId="0A843DEE"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57ADBF6F" w14:textId="77777777" w:rsidR="0048431D" w:rsidRPr="005730EC" w:rsidRDefault="0048431D" w:rsidP="0048431D">
            <w:pPr>
              <w:jc w:val="center"/>
              <w:rPr>
                <w:rFonts w:cs="Arial"/>
                <w:color w:val="000000"/>
                <w:sz w:val="20"/>
              </w:rPr>
            </w:pPr>
            <w:r>
              <w:rPr>
                <w:rFonts w:cs="Arial"/>
                <w:color w:val="000000"/>
                <w:sz w:val="20"/>
              </w:rPr>
              <w:lastRenderedPageBreak/>
              <w:t>30</w:t>
            </w:r>
          </w:p>
        </w:tc>
        <w:tc>
          <w:tcPr>
            <w:tcW w:w="1440" w:type="dxa"/>
            <w:tcBorders>
              <w:top w:val="single" w:sz="4" w:space="0" w:color="auto"/>
              <w:left w:val="nil"/>
              <w:bottom w:val="single" w:sz="4" w:space="0" w:color="auto"/>
              <w:right w:val="single" w:sz="4" w:space="0" w:color="auto"/>
            </w:tcBorders>
          </w:tcPr>
          <w:p w14:paraId="3F95E8AE" w14:textId="4482C973" w:rsidR="0048431D" w:rsidRPr="005730EC" w:rsidRDefault="0048431D" w:rsidP="0048431D">
            <w:pPr>
              <w:rPr>
                <w:rFonts w:cs="Arial"/>
                <w:color w:val="000000"/>
                <w:sz w:val="20"/>
              </w:rPr>
            </w:pPr>
            <w:r w:rsidRPr="005730EC">
              <w:rPr>
                <w:rFonts w:cs="Arial"/>
                <w:color w:val="000000"/>
                <w:sz w:val="20"/>
              </w:rPr>
              <w:t xml:space="preserve">Communications between the CAISO and the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tc>
        <w:tc>
          <w:tcPr>
            <w:tcW w:w="2142" w:type="dxa"/>
            <w:tcBorders>
              <w:top w:val="single" w:sz="4" w:space="0" w:color="auto"/>
              <w:left w:val="nil"/>
              <w:bottom w:val="single" w:sz="4" w:space="0" w:color="auto"/>
              <w:right w:val="single" w:sz="4" w:space="0" w:color="auto"/>
            </w:tcBorders>
          </w:tcPr>
          <w:p w14:paraId="750C2F81" w14:textId="77777777" w:rsidR="0048431D" w:rsidRPr="005730EC" w:rsidRDefault="0048431D" w:rsidP="0048431D">
            <w:pPr>
              <w:rPr>
                <w:rFonts w:cs="Arial"/>
                <w:color w:val="000000"/>
                <w:sz w:val="20"/>
              </w:rPr>
            </w:pPr>
            <w:r w:rsidRPr="005730EC">
              <w:rPr>
                <w:rFonts w:cs="Arial"/>
                <w:color w:val="000000"/>
                <w:sz w:val="20"/>
              </w:rPr>
              <w:t>Voice and/or electronic messaging</w:t>
            </w:r>
          </w:p>
        </w:tc>
        <w:tc>
          <w:tcPr>
            <w:tcW w:w="2538" w:type="dxa"/>
            <w:tcBorders>
              <w:top w:val="single" w:sz="4" w:space="0" w:color="auto"/>
              <w:left w:val="nil"/>
              <w:bottom w:val="single" w:sz="4" w:space="0" w:color="auto"/>
              <w:right w:val="single" w:sz="4" w:space="0" w:color="auto"/>
            </w:tcBorders>
          </w:tcPr>
          <w:p w14:paraId="6F874EF6" w14:textId="77777777" w:rsidR="0048431D" w:rsidRPr="005730EC" w:rsidRDefault="0048431D" w:rsidP="0048431D">
            <w:pPr>
              <w:rPr>
                <w:rFonts w:cs="Arial"/>
                <w:color w:val="000000"/>
                <w:sz w:val="20"/>
              </w:rPr>
            </w:pPr>
            <w:r>
              <w:rPr>
                <w:rFonts w:cs="Arial"/>
                <w:color w:val="000000"/>
                <w:sz w:val="20"/>
              </w:rPr>
              <w:t>Implemented p</w:t>
            </w:r>
            <w:r w:rsidRPr="005730EC">
              <w:rPr>
                <w:rFonts w:cs="Arial"/>
                <w:color w:val="000000"/>
                <w:sz w:val="20"/>
              </w:rPr>
              <w:t xml:space="preserve">rocess and procedures used for voice and/or electronic messaging </w:t>
            </w:r>
          </w:p>
        </w:tc>
        <w:tc>
          <w:tcPr>
            <w:tcW w:w="2862" w:type="dxa"/>
            <w:tcBorders>
              <w:top w:val="single" w:sz="4" w:space="0" w:color="auto"/>
              <w:left w:val="nil"/>
              <w:bottom w:val="single" w:sz="4" w:space="0" w:color="auto"/>
              <w:right w:val="single" w:sz="4" w:space="0" w:color="auto"/>
            </w:tcBorders>
          </w:tcPr>
          <w:p w14:paraId="34ED312C" w14:textId="3DDA4A4D" w:rsidR="0048431D" w:rsidRPr="005730EC" w:rsidRDefault="0048431D" w:rsidP="0048431D">
            <w:pPr>
              <w:rPr>
                <w:rFonts w:cs="Arial"/>
                <w:color w:val="000000"/>
                <w:sz w:val="20"/>
              </w:rPr>
            </w:pPr>
            <w:r w:rsidRPr="005730EC">
              <w:rPr>
                <w:rFonts w:cs="Arial"/>
                <w:color w:val="000000"/>
                <w:sz w:val="20"/>
              </w:rPr>
              <w:t>The process and procedures are incorporated into the</w:t>
            </w:r>
            <w:r>
              <w:rPr>
                <w:rFonts w:cs="Arial"/>
                <w:color w:val="000000"/>
                <w:sz w:val="20"/>
              </w:rPr>
              <w:t xml:space="preserve"> </w:t>
            </w:r>
            <w:r w:rsidRPr="00200458">
              <w:rPr>
                <w:rFonts w:cs="Arial"/>
                <w:sz w:val="20"/>
              </w:rPr>
              <w:t>prospective</w:t>
            </w:r>
            <w:r w:rsidR="005F24C1">
              <w:rPr>
                <w:rFonts w:cs="Arial"/>
                <w:color w:val="000000"/>
                <w:sz w:val="20"/>
              </w:rPr>
              <w:t xml:space="preserve"> WEIM </w:t>
            </w:r>
            <w:r w:rsidRPr="005730EC">
              <w:rPr>
                <w:rFonts w:cs="Arial"/>
                <w:color w:val="000000"/>
                <w:sz w:val="20"/>
              </w:rPr>
              <w:t xml:space="preserve">Entities business processes before the start of market simulation. </w:t>
            </w:r>
          </w:p>
        </w:tc>
      </w:tr>
      <w:tr w:rsidR="0048431D" w:rsidRPr="005730EC" w14:paraId="286E9900"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0E4877E1" w14:textId="77777777" w:rsidR="0048431D" w:rsidRPr="005730EC" w:rsidRDefault="0048431D" w:rsidP="0048431D">
            <w:pPr>
              <w:jc w:val="center"/>
              <w:rPr>
                <w:rFonts w:cs="Arial"/>
                <w:color w:val="000000"/>
                <w:sz w:val="20"/>
              </w:rPr>
            </w:pPr>
            <w:r>
              <w:rPr>
                <w:rFonts w:cs="Arial"/>
                <w:color w:val="000000"/>
                <w:sz w:val="20"/>
              </w:rPr>
              <w:t>31</w:t>
            </w:r>
          </w:p>
        </w:tc>
        <w:tc>
          <w:tcPr>
            <w:tcW w:w="1440" w:type="dxa"/>
            <w:tcBorders>
              <w:top w:val="single" w:sz="4" w:space="0" w:color="auto"/>
              <w:left w:val="nil"/>
              <w:bottom w:val="single" w:sz="4" w:space="0" w:color="auto"/>
              <w:right w:val="single" w:sz="4" w:space="0" w:color="auto"/>
            </w:tcBorders>
          </w:tcPr>
          <w:p w14:paraId="0D2BB0DB" w14:textId="7EA3A68B" w:rsidR="0048431D" w:rsidRPr="005730EC" w:rsidRDefault="0048431D" w:rsidP="0048431D">
            <w:pPr>
              <w:rPr>
                <w:rFonts w:cs="Arial"/>
                <w:color w:val="000000"/>
                <w:sz w:val="20"/>
              </w:rPr>
            </w:pPr>
            <w:r w:rsidRPr="005730EC">
              <w:rPr>
                <w:rFonts w:cs="Arial"/>
                <w:color w:val="000000"/>
                <w:sz w:val="20"/>
              </w:rPr>
              <w:t>Communications between the CAISO and the</w:t>
            </w:r>
            <w:r>
              <w:rPr>
                <w:rFonts w:cs="Arial"/>
                <w:color w:val="000000"/>
                <w:sz w:val="20"/>
              </w:rPr>
              <w:t xml:space="preserve"> </w:t>
            </w:r>
            <w:r w:rsidRPr="00200458">
              <w:rPr>
                <w:rFonts w:cs="Arial"/>
                <w:sz w:val="20"/>
              </w:rPr>
              <w:t>prospective</w:t>
            </w:r>
            <w:r w:rsidR="005F24C1">
              <w:rPr>
                <w:rFonts w:cs="Arial"/>
                <w:sz w:val="20"/>
              </w:rPr>
              <w:t xml:space="preserve"> WEIM </w:t>
            </w:r>
            <w:r w:rsidRPr="005730EC">
              <w:rPr>
                <w:rFonts w:cs="Arial"/>
                <w:color w:val="000000"/>
                <w:sz w:val="20"/>
              </w:rPr>
              <w:t xml:space="preserve">Entity </w:t>
            </w:r>
          </w:p>
        </w:tc>
        <w:tc>
          <w:tcPr>
            <w:tcW w:w="2142" w:type="dxa"/>
            <w:tcBorders>
              <w:top w:val="single" w:sz="4" w:space="0" w:color="auto"/>
              <w:left w:val="nil"/>
              <w:bottom w:val="single" w:sz="4" w:space="0" w:color="auto"/>
              <w:right w:val="single" w:sz="4" w:space="0" w:color="auto"/>
            </w:tcBorders>
          </w:tcPr>
          <w:p w14:paraId="602C8B49" w14:textId="77777777" w:rsidR="0048431D" w:rsidRPr="005730EC" w:rsidRDefault="0048431D" w:rsidP="0048431D">
            <w:pPr>
              <w:rPr>
                <w:rFonts w:cs="Arial"/>
                <w:color w:val="000000"/>
                <w:sz w:val="20"/>
              </w:rPr>
            </w:pPr>
            <w:r w:rsidRPr="005730EC">
              <w:rPr>
                <w:rFonts w:cs="Arial"/>
                <w:color w:val="000000"/>
                <w:sz w:val="20"/>
              </w:rPr>
              <w:t>Communication tools</w:t>
            </w:r>
          </w:p>
        </w:tc>
        <w:tc>
          <w:tcPr>
            <w:tcW w:w="2538" w:type="dxa"/>
            <w:tcBorders>
              <w:top w:val="single" w:sz="4" w:space="0" w:color="auto"/>
              <w:left w:val="nil"/>
              <w:bottom w:val="single" w:sz="4" w:space="0" w:color="auto"/>
              <w:right w:val="single" w:sz="4" w:space="0" w:color="auto"/>
            </w:tcBorders>
          </w:tcPr>
          <w:p w14:paraId="27E86589" w14:textId="77777777" w:rsidR="0048431D" w:rsidRPr="005730EC" w:rsidRDefault="0048431D" w:rsidP="0048431D">
            <w:pPr>
              <w:rPr>
                <w:rFonts w:cs="Arial"/>
                <w:color w:val="000000"/>
                <w:sz w:val="20"/>
              </w:rPr>
            </w:pPr>
            <w:r w:rsidRPr="005730EC">
              <w:rPr>
                <w:rFonts w:cs="Arial"/>
                <w:color w:val="000000"/>
                <w:sz w:val="20"/>
              </w:rPr>
              <w:t>Staff are trained on communication procedures and tools</w:t>
            </w:r>
          </w:p>
        </w:tc>
        <w:tc>
          <w:tcPr>
            <w:tcW w:w="2862" w:type="dxa"/>
            <w:tcBorders>
              <w:top w:val="single" w:sz="4" w:space="0" w:color="auto"/>
              <w:left w:val="nil"/>
              <w:bottom w:val="single" w:sz="4" w:space="0" w:color="auto"/>
              <w:right w:val="single" w:sz="4" w:space="0" w:color="auto"/>
            </w:tcBorders>
          </w:tcPr>
          <w:p w14:paraId="198BEF78" w14:textId="1860771C" w:rsidR="0048431D" w:rsidRPr="005730EC" w:rsidRDefault="0048431D" w:rsidP="0048431D">
            <w:pPr>
              <w:rPr>
                <w:rFonts w:cs="Arial"/>
                <w:color w:val="000000"/>
                <w:sz w:val="20"/>
              </w:rPr>
            </w:pPr>
            <w:r w:rsidRPr="005730EC">
              <w:rPr>
                <w:rFonts w:cs="Arial"/>
                <w:color w:val="000000"/>
                <w:sz w:val="20"/>
              </w:rPr>
              <w:t>The</w:t>
            </w:r>
            <w:r>
              <w:rPr>
                <w:rFonts w:cs="Arial"/>
                <w:color w:val="000000"/>
                <w:sz w:val="20"/>
              </w:rPr>
              <w:t xml:space="preserve"> </w:t>
            </w:r>
            <w:r w:rsidRPr="00200458">
              <w:rPr>
                <w:rFonts w:cs="Arial"/>
                <w:sz w:val="20"/>
              </w:rPr>
              <w:t>prospective</w:t>
            </w:r>
            <w:r w:rsidR="005F24C1">
              <w:rPr>
                <w:rFonts w:cs="Arial"/>
                <w:color w:val="000000"/>
                <w:sz w:val="20"/>
              </w:rPr>
              <w:t xml:space="preserve"> WEIM </w:t>
            </w:r>
            <w:r w:rsidRPr="005730EC">
              <w:rPr>
                <w:rFonts w:cs="Arial"/>
                <w:color w:val="000000"/>
                <w:sz w:val="20"/>
              </w:rPr>
              <w:t>Entity operations staff</w:t>
            </w:r>
            <w:r>
              <w:rPr>
                <w:rFonts w:cs="Arial"/>
                <w:color w:val="000000"/>
                <w:sz w:val="20"/>
              </w:rPr>
              <w:t xml:space="preserve"> </w:t>
            </w:r>
            <w:r w:rsidRPr="00F4266A">
              <w:rPr>
                <w:rFonts w:cs="Arial"/>
                <w:color w:val="000000"/>
                <w:sz w:val="20"/>
              </w:rPr>
              <w:t>who will have responsibility for</w:t>
            </w:r>
            <w:r w:rsidR="005F24C1">
              <w:rPr>
                <w:rFonts w:cs="Arial"/>
                <w:color w:val="000000"/>
                <w:sz w:val="20"/>
              </w:rPr>
              <w:t xml:space="preserve"> WEIM </w:t>
            </w:r>
            <w:r w:rsidRPr="00F4266A">
              <w:rPr>
                <w:rFonts w:cs="Arial"/>
                <w:color w:val="000000"/>
                <w:sz w:val="20"/>
              </w:rPr>
              <w:t>operations, transactions and settlements</w:t>
            </w:r>
            <w:r w:rsidRPr="005730EC">
              <w:rPr>
                <w:rFonts w:cs="Arial"/>
                <w:color w:val="000000"/>
                <w:sz w:val="20"/>
              </w:rPr>
              <w:t xml:space="preserve"> are trained on the relevant </w:t>
            </w:r>
            <w:r>
              <w:rPr>
                <w:rFonts w:cs="Arial"/>
                <w:color w:val="000000"/>
                <w:sz w:val="20"/>
              </w:rPr>
              <w:t>o</w:t>
            </w:r>
            <w:r w:rsidRPr="005730EC">
              <w:rPr>
                <w:rFonts w:cs="Arial"/>
                <w:color w:val="000000"/>
                <w:sz w:val="20"/>
              </w:rPr>
              <w:t xml:space="preserve">perating </w:t>
            </w:r>
            <w:r>
              <w:rPr>
                <w:rFonts w:cs="Arial"/>
                <w:color w:val="000000"/>
                <w:sz w:val="20"/>
              </w:rPr>
              <w:t>p</w:t>
            </w:r>
            <w:r w:rsidRPr="005730EC">
              <w:rPr>
                <w:rFonts w:cs="Arial"/>
                <w:color w:val="000000"/>
                <w:sz w:val="20"/>
              </w:rPr>
              <w:t>rocedures and tools used for</w:t>
            </w:r>
            <w:r w:rsidR="005F24C1">
              <w:rPr>
                <w:rFonts w:cs="Arial"/>
                <w:color w:val="000000"/>
                <w:sz w:val="20"/>
              </w:rPr>
              <w:t xml:space="preserve"> WEIM </w:t>
            </w:r>
            <w:r w:rsidRPr="005730EC">
              <w:rPr>
                <w:rFonts w:cs="Arial"/>
                <w:color w:val="000000"/>
                <w:sz w:val="20"/>
              </w:rPr>
              <w:t>related communications before the start of parallel operations</w:t>
            </w:r>
          </w:p>
        </w:tc>
      </w:tr>
      <w:tr w:rsidR="0048431D" w:rsidRPr="005730EC" w14:paraId="7276EB23"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35F056A3" w14:textId="77777777" w:rsidR="0048431D" w:rsidRPr="005730EC" w:rsidRDefault="0048431D" w:rsidP="0048431D">
            <w:pPr>
              <w:jc w:val="center"/>
              <w:rPr>
                <w:rFonts w:cs="Arial"/>
                <w:color w:val="000000"/>
                <w:sz w:val="20"/>
              </w:rPr>
            </w:pPr>
            <w:r>
              <w:rPr>
                <w:rFonts w:cs="Arial"/>
                <w:color w:val="000000"/>
                <w:sz w:val="20"/>
              </w:rPr>
              <w:t>32</w:t>
            </w:r>
          </w:p>
        </w:tc>
        <w:tc>
          <w:tcPr>
            <w:tcW w:w="1440" w:type="dxa"/>
            <w:tcBorders>
              <w:top w:val="single" w:sz="4" w:space="0" w:color="auto"/>
              <w:left w:val="nil"/>
              <w:bottom w:val="single" w:sz="4" w:space="0" w:color="auto"/>
              <w:right w:val="single" w:sz="4" w:space="0" w:color="auto"/>
            </w:tcBorders>
          </w:tcPr>
          <w:p w14:paraId="6038898C" w14:textId="18CADBDD" w:rsidR="0048431D" w:rsidRPr="005730EC" w:rsidRDefault="0048431D" w:rsidP="0048431D">
            <w:pPr>
              <w:rPr>
                <w:rFonts w:cs="Arial"/>
                <w:color w:val="000000"/>
                <w:sz w:val="20"/>
              </w:rPr>
            </w:pPr>
            <w:r w:rsidRPr="005730EC">
              <w:rPr>
                <w:rFonts w:cs="Arial"/>
                <w:color w:val="000000"/>
                <w:sz w:val="20"/>
              </w:rPr>
              <w:t>Communications between the CAISO and the</w:t>
            </w:r>
            <w:r>
              <w:rPr>
                <w:rFonts w:cs="Arial"/>
                <w:color w:val="000000"/>
                <w:sz w:val="20"/>
              </w:rPr>
              <w:t xml:space="preserve"> </w:t>
            </w:r>
            <w:r w:rsidRPr="00200458">
              <w:rPr>
                <w:rFonts w:cs="Arial"/>
                <w:sz w:val="20"/>
              </w:rPr>
              <w:t>prospective</w:t>
            </w:r>
            <w:r w:rsidR="005F24C1">
              <w:rPr>
                <w:rFonts w:cs="Arial"/>
                <w:sz w:val="20"/>
              </w:rPr>
              <w:t xml:space="preserve"> WEIM </w:t>
            </w:r>
            <w:r w:rsidRPr="005730EC">
              <w:rPr>
                <w:rFonts w:cs="Arial"/>
                <w:color w:val="000000"/>
                <w:sz w:val="20"/>
              </w:rPr>
              <w:t>Entity</w:t>
            </w:r>
          </w:p>
        </w:tc>
        <w:tc>
          <w:tcPr>
            <w:tcW w:w="2142" w:type="dxa"/>
            <w:tcBorders>
              <w:top w:val="single" w:sz="4" w:space="0" w:color="auto"/>
              <w:left w:val="nil"/>
              <w:bottom w:val="single" w:sz="4" w:space="0" w:color="auto"/>
              <w:right w:val="single" w:sz="4" w:space="0" w:color="auto"/>
            </w:tcBorders>
          </w:tcPr>
          <w:p w14:paraId="7401B3FF" w14:textId="77777777" w:rsidR="0048431D" w:rsidRPr="005730EC" w:rsidRDefault="0048431D" w:rsidP="0048431D">
            <w:pPr>
              <w:rPr>
                <w:rFonts w:cs="Arial"/>
                <w:color w:val="000000"/>
                <w:sz w:val="20"/>
              </w:rPr>
            </w:pPr>
            <w:r>
              <w:rPr>
                <w:rFonts w:cs="Arial"/>
                <w:color w:val="000000"/>
                <w:sz w:val="20"/>
              </w:rPr>
              <w:t>3</w:t>
            </w:r>
            <w:r w:rsidRPr="00980FEE">
              <w:rPr>
                <w:rFonts w:cs="Arial"/>
                <w:color w:val="000000"/>
                <w:sz w:val="20"/>
                <w:vertAlign w:val="superscript"/>
              </w:rPr>
              <w:t>rd</w:t>
            </w:r>
            <w:r>
              <w:rPr>
                <w:rFonts w:cs="Arial"/>
                <w:color w:val="000000"/>
                <w:sz w:val="20"/>
              </w:rPr>
              <w:t xml:space="preserve"> party transmission service provider</w:t>
            </w:r>
          </w:p>
        </w:tc>
        <w:tc>
          <w:tcPr>
            <w:tcW w:w="2538" w:type="dxa"/>
            <w:tcBorders>
              <w:top w:val="single" w:sz="4" w:space="0" w:color="auto"/>
              <w:left w:val="nil"/>
              <w:bottom w:val="single" w:sz="4" w:space="0" w:color="auto"/>
              <w:right w:val="single" w:sz="4" w:space="0" w:color="auto"/>
            </w:tcBorders>
          </w:tcPr>
          <w:p w14:paraId="00632C4F" w14:textId="6B592183" w:rsidR="0048431D" w:rsidRPr="005730EC" w:rsidRDefault="0048431D" w:rsidP="0048431D">
            <w:pPr>
              <w:rPr>
                <w:rFonts w:cs="Arial"/>
                <w:color w:val="000000"/>
                <w:sz w:val="20"/>
              </w:rPr>
            </w:pPr>
            <w:r>
              <w:rPr>
                <w:rFonts w:cs="Arial"/>
                <w:color w:val="000000"/>
                <w:sz w:val="20"/>
              </w:rPr>
              <w:t>The third party transmission service provider information that supports</w:t>
            </w:r>
            <w:r w:rsidR="005F24C1">
              <w:rPr>
                <w:rFonts w:cs="Arial"/>
                <w:color w:val="000000"/>
                <w:sz w:val="20"/>
              </w:rPr>
              <w:t xml:space="preserve"> WEIM </w:t>
            </w:r>
            <w:r>
              <w:rPr>
                <w:rFonts w:cs="Arial"/>
                <w:color w:val="000000"/>
                <w:sz w:val="20"/>
              </w:rPr>
              <w:t>Transfers and Real-Time Dispatch included in the Full Network Model is available during parallel operations</w:t>
            </w:r>
          </w:p>
        </w:tc>
        <w:tc>
          <w:tcPr>
            <w:tcW w:w="2862" w:type="dxa"/>
            <w:tcBorders>
              <w:top w:val="single" w:sz="4" w:space="0" w:color="auto"/>
              <w:left w:val="nil"/>
              <w:bottom w:val="single" w:sz="4" w:space="0" w:color="auto"/>
              <w:right w:val="single" w:sz="4" w:space="0" w:color="auto"/>
            </w:tcBorders>
          </w:tcPr>
          <w:p w14:paraId="77A7911D" w14:textId="02E4C7D7" w:rsidR="0048431D" w:rsidRPr="005730EC" w:rsidRDefault="0048431D" w:rsidP="0048431D">
            <w:pPr>
              <w:rPr>
                <w:rFonts w:cs="Arial"/>
                <w:color w:val="000000"/>
                <w:sz w:val="20"/>
              </w:rPr>
            </w:pPr>
            <w:r>
              <w:rPr>
                <w:rFonts w:cs="Arial"/>
                <w:color w:val="000000"/>
                <w:sz w:val="20"/>
              </w:rPr>
              <w:t xml:space="preserve">The CAISO provides </w:t>
            </w:r>
            <w:r w:rsidRPr="00F4266A">
              <w:rPr>
                <w:rFonts w:cs="Arial"/>
                <w:color w:val="000000"/>
                <w:sz w:val="20"/>
              </w:rPr>
              <w:t>third party transmission service provider and path operator information to the prospective</w:t>
            </w:r>
            <w:r w:rsidR="005F24C1">
              <w:rPr>
                <w:rFonts w:cs="Arial"/>
                <w:color w:val="000000"/>
                <w:sz w:val="20"/>
              </w:rPr>
              <w:t xml:space="preserve"> WEIM </w:t>
            </w:r>
            <w:r w:rsidRPr="00F4266A">
              <w:rPr>
                <w:rFonts w:cs="Arial"/>
                <w:color w:val="000000"/>
                <w:sz w:val="20"/>
              </w:rPr>
              <w:t>Entity through parallel operations</w:t>
            </w:r>
          </w:p>
        </w:tc>
      </w:tr>
      <w:tr w:rsidR="0048431D" w:rsidRPr="005730EC" w14:paraId="4AD9B647" w14:textId="77777777" w:rsidTr="009E26DA">
        <w:trPr>
          <w:trHeight w:val="765"/>
        </w:trPr>
        <w:tc>
          <w:tcPr>
            <w:tcW w:w="1260" w:type="dxa"/>
            <w:tcBorders>
              <w:top w:val="single" w:sz="4" w:space="0" w:color="auto"/>
              <w:left w:val="single" w:sz="4" w:space="0" w:color="auto"/>
              <w:bottom w:val="single" w:sz="4" w:space="0" w:color="auto"/>
              <w:right w:val="single" w:sz="4" w:space="0" w:color="auto"/>
            </w:tcBorders>
            <w:shd w:val="clear" w:color="000000" w:fill="FFFFFF"/>
            <w:noWrap/>
          </w:tcPr>
          <w:p w14:paraId="572791A1" w14:textId="77777777" w:rsidR="0048431D" w:rsidRDefault="0048431D" w:rsidP="0048431D">
            <w:pPr>
              <w:jc w:val="center"/>
              <w:rPr>
                <w:rFonts w:cs="Arial"/>
                <w:color w:val="000000"/>
                <w:sz w:val="20"/>
              </w:rPr>
            </w:pPr>
            <w:r>
              <w:rPr>
                <w:rFonts w:cs="Arial"/>
                <w:color w:val="000000"/>
                <w:sz w:val="20"/>
              </w:rPr>
              <w:t>33</w:t>
            </w:r>
          </w:p>
        </w:tc>
        <w:tc>
          <w:tcPr>
            <w:tcW w:w="1440" w:type="dxa"/>
            <w:tcBorders>
              <w:top w:val="single" w:sz="4" w:space="0" w:color="auto"/>
              <w:left w:val="nil"/>
              <w:bottom w:val="single" w:sz="4" w:space="0" w:color="auto"/>
              <w:right w:val="single" w:sz="4" w:space="0" w:color="auto"/>
            </w:tcBorders>
          </w:tcPr>
          <w:p w14:paraId="240AA754" w14:textId="77777777" w:rsidR="0048431D" w:rsidRPr="00980FEE" w:rsidRDefault="0048431D" w:rsidP="0048431D">
            <w:pPr>
              <w:rPr>
                <w:rFonts w:cs="Arial"/>
                <w:color w:val="000000"/>
                <w:sz w:val="20"/>
              </w:rPr>
            </w:pPr>
            <w:r w:rsidRPr="00773416">
              <w:rPr>
                <w:rFonts w:cs="Arial"/>
                <w:color w:val="000000"/>
                <w:sz w:val="20"/>
              </w:rPr>
              <w:t>EIM Available Balancing Capacity</w:t>
            </w:r>
          </w:p>
        </w:tc>
        <w:tc>
          <w:tcPr>
            <w:tcW w:w="2142" w:type="dxa"/>
            <w:tcBorders>
              <w:top w:val="single" w:sz="4" w:space="0" w:color="auto"/>
              <w:left w:val="nil"/>
              <w:bottom w:val="single" w:sz="4" w:space="0" w:color="auto"/>
              <w:right w:val="single" w:sz="4" w:space="0" w:color="auto"/>
            </w:tcBorders>
          </w:tcPr>
          <w:p w14:paraId="47C21330" w14:textId="4A496AA8" w:rsidR="0048431D" w:rsidRPr="00773416" w:rsidRDefault="0048431D" w:rsidP="0048431D">
            <w:pPr>
              <w:rPr>
                <w:rFonts w:cs="Arial"/>
                <w:color w:val="000000"/>
                <w:sz w:val="20"/>
              </w:rPr>
            </w:pPr>
            <w:r w:rsidRPr="00B51F19">
              <w:rPr>
                <w:rFonts w:cs="Arial"/>
                <w:color w:val="000000"/>
                <w:sz w:val="20"/>
              </w:rPr>
              <w:t>Identification of</w:t>
            </w:r>
            <w:r w:rsidR="005F24C1">
              <w:rPr>
                <w:rFonts w:cs="Arial"/>
                <w:color w:val="000000"/>
                <w:sz w:val="20"/>
              </w:rPr>
              <w:t xml:space="preserve"> WEIM </w:t>
            </w:r>
            <w:r w:rsidRPr="00B51F19">
              <w:rPr>
                <w:rFonts w:cs="Arial"/>
                <w:color w:val="000000"/>
                <w:sz w:val="20"/>
              </w:rPr>
              <w:t>Available Balancing Capacity</w:t>
            </w:r>
          </w:p>
        </w:tc>
        <w:tc>
          <w:tcPr>
            <w:tcW w:w="2538" w:type="dxa"/>
            <w:tcBorders>
              <w:top w:val="single" w:sz="4" w:space="0" w:color="auto"/>
              <w:left w:val="nil"/>
              <w:bottom w:val="single" w:sz="4" w:space="0" w:color="auto"/>
              <w:right w:val="single" w:sz="4" w:space="0" w:color="auto"/>
            </w:tcBorders>
          </w:tcPr>
          <w:p w14:paraId="7B66F1D3" w14:textId="3B669210" w:rsidR="0048431D" w:rsidRPr="00F4266A" w:rsidRDefault="0048431D" w:rsidP="0048431D">
            <w:pPr>
              <w:rPr>
                <w:rFonts w:cs="Arial"/>
                <w:color w:val="000000"/>
                <w:sz w:val="20"/>
              </w:rPr>
            </w:pPr>
            <w:r>
              <w:rPr>
                <w:rFonts w:cs="Arial"/>
                <w:color w:val="000000"/>
                <w:sz w:val="20"/>
              </w:rPr>
              <w:t>P</w:t>
            </w:r>
            <w:r w:rsidRPr="007D400D">
              <w:rPr>
                <w:rFonts w:cs="Arial"/>
                <w:color w:val="000000"/>
                <w:sz w:val="20"/>
              </w:rPr>
              <w:t xml:space="preserve">articipating </w:t>
            </w:r>
            <w:r>
              <w:rPr>
                <w:rFonts w:cs="Arial"/>
                <w:color w:val="000000"/>
                <w:sz w:val="20"/>
              </w:rPr>
              <w:t>r</w:t>
            </w:r>
            <w:r w:rsidRPr="007D400D">
              <w:rPr>
                <w:rFonts w:cs="Arial"/>
                <w:color w:val="000000"/>
                <w:sz w:val="20"/>
              </w:rPr>
              <w:t xml:space="preserve">esources and non-participating resources </w:t>
            </w:r>
            <w:r>
              <w:rPr>
                <w:rFonts w:cs="Arial"/>
                <w:color w:val="000000"/>
                <w:sz w:val="20"/>
              </w:rPr>
              <w:t>for</w:t>
            </w:r>
            <w:r w:rsidR="005F24C1">
              <w:rPr>
                <w:rFonts w:cs="Arial"/>
                <w:color w:val="000000"/>
                <w:sz w:val="20"/>
              </w:rPr>
              <w:t xml:space="preserve"> WEIM </w:t>
            </w:r>
            <w:r w:rsidRPr="007D400D">
              <w:rPr>
                <w:rFonts w:cs="Arial"/>
                <w:color w:val="000000"/>
                <w:sz w:val="20"/>
              </w:rPr>
              <w:t>Available Balancing Capacity.</w:t>
            </w:r>
          </w:p>
        </w:tc>
        <w:tc>
          <w:tcPr>
            <w:tcW w:w="2862" w:type="dxa"/>
            <w:tcBorders>
              <w:top w:val="single" w:sz="4" w:space="0" w:color="auto"/>
              <w:left w:val="nil"/>
              <w:bottom w:val="single" w:sz="4" w:space="0" w:color="auto"/>
              <w:right w:val="single" w:sz="4" w:space="0" w:color="auto"/>
            </w:tcBorders>
          </w:tcPr>
          <w:p w14:paraId="3758203E" w14:textId="7DB6C73C" w:rsidR="0048431D" w:rsidRPr="005730EC" w:rsidRDefault="0048431D" w:rsidP="0048431D">
            <w:pPr>
              <w:rPr>
                <w:rFonts w:cs="Arial"/>
                <w:color w:val="000000"/>
                <w:sz w:val="20"/>
              </w:rPr>
            </w:pPr>
            <w:r w:rsidRPr="007F0A79">
              <w:rPr>
                <w:rFonts w:cs="Arial"/>
                <w:color w:val="000000"/>
                <w:sz w:val="20"/>
              </w:rPr>
              <w:t>The prospective</w:t>
            </w:r>
            <w:r w:rsidR="005F24C1">
              <w:rPr>
                <w:rFonts w:cs="Arial"/>
                <w:color w:val="000000"/>
                <w:sz w:val="20"/>
              </w:rPr>
              <w:t xml:space="preserve"> WEIM </w:t>
            </w:r>
            <w:r w:rsidRPr="007F0A79">
              <w:rPr>
                <w:rFonts w:cs="Arial"/>
                <w:color w:val="000000"/>
                <w:sz w:val="20"/>
              </w:rPr>
              <w:t>Entity has identified</w:t>
            </w:r>
            <w:r w:rsidR="005F24C1">
              <w:rPr>
                <w:rFonts w:cs="Arial"/>
                <w:color w:val="000000"/>
                <w:sz w:val="20"/>
              </w:rPr>
              <w:t xml:space="preserve"> WEIM </w:t>
            </w:r>
            <w:r w:rsidRPr="007F0A79">
              <w:rPr>
                <w:rFonts w:cs="Arial"/>
                <w:color w:val="000000"/>
                <w:sz w:val="20"/>
              </w:rPr>
              <w:t>participating resources and non-participating resources that it intends to designate in the</w:t>
            </w:r>
            <w:r w:rsidR="005F24C1">
              <w:rPr>
                <w:rFonts w:cs="Arial"/>
                <w:color w:val="000000"/>
                <w:sz w:val="20"/>
              </w:rPr>
              <w:t xml:space="preserve"> WEIM </w:t>
            </w:r>
            <w:r w:rsidRPr="007F0A79">
              <w:rPr>
                <w:rFonts w:cs="Arial"/>
                <w:color w:val="000000"/>
                <w:sz w:val="20"/>
              </w:rPr>
              <w:t>Resource Plan as</w:t>
            </w:r>
            <w:r w:rsidR="005F24C1">
              <w:rPr>
                <w:rFonts w:cs="Arial"/>
                <w:color w:val="000000"/>
                <w:sz w:val="20"/>
              </w:rPr>
              <w:t xml:space="preserve"> WEIM </w:t>
            </w:r>
            <w:r w:rsidRPr="007F0A79">
              <w:rPr>
                <w:rFonts w:cs="Arial"/>
                <w:color w:val="000000"/>
                <w:sz w:val="20"/>
              </w:rPr>
              <w:t>Available Balancing Capacity</w:t>
            </w:r>
          </w:p>
        </w:tc>
      </w:tr>
    </w:tbl>
    <w:p w14:paraId="1D328DC6" w14:textId="77777777" w:rsidR="008E2755" w:rsidRPr="008E2755" w:rsidRDefault="008E2755" w:rsidP="008E2755">
      <w:pPr>
        <w:pStyle w:val="ParaText"/>
      </w:pPr>
    </w:p>
    <w:p w14:paraId="37759F73" w14:textId="77777777" w:rsidR="00C45CA7" w:rsidRDefault="00C45CA7" w:rsidP="008034D9">
      <w:pPr>
        <w:spacing w:after="240" w:line="300" w:lineRule="auto"/>
        <w:rPr>
          <w:b/>
        </w:rPr>
      </w:pPr>
      <w:r w:rsidRPr="00C45CA7">
        <w:rPr>
          <w:b/>
        </w:rPr>
        <w:t>Exceptions to Thresholds</w:t>
      </w:r>
    </w:p>
    <w:p w14:paraId="3672D34C" w14:textId="627D9EDF" w:rsidR="001028EC" w:rsidRPr="005A28AC" w:rsidRDefault="001028EC" w:rsidP="001028EC">
      <w:pPr>
        <w:spacing w:after="240" w:line="300" w:lineRule="auto"/>
        <w:rPr>
          <w:rFonts w:cs="Arial"/>
        </w:rPr>
      </w:pPr>
      <w:r w:rsidRPr="005A28AC">
        <w:rPr>
          <w:rFonts w:cs="Arial"/>
        </w:rPr>
        <w:t>Any exceptions to the adherence to the thresholds listed above will be considered by the CAISO and prospective</w:t>
      </w:r>
      <w:r w:rsidR="005F24C1">
        <w:rPr>
          <w:rFonts w:cs="Arial"/>
        </w:rPr>
        <w:t xml:space="preserve"> WEIM </w:t>
      </w:r>
      <w:r w:rsidRPr="005A28AC">
        <w:rPr>
          <w:rFonts w:cs="Arial"/>
        </w:rPr>
        <w:t xml:space="preserve">Entity in accordance with the procedures for granting exceptions outlined below, </w:t>
      </w:r>
      <w:r w:rsidRPr="005A28AC">
        <w:rPr>
          <w:rFonts w:cs="Arial"/>
          <w:color w:val="000000"/>
        </w:rPr>
        <w:t>explained fully in stakeholder calls, noted on the readiness dashboard that</w:t>
      </w:r>
      <w:r w:rsidR="00840590">
        <w:rPr>
          <w:rFonts w:cs="Arial"/>
          <w:color w:val="000000"/>
        </w:rPr>
        <w:t xml:space="preserve"> is </w:t>
      </w:r>
      <w:r w:rsidR="00840590">
        <w:rPr>
          <w:rFonts w:cs="Arial"/>
          <w:color w:val="000000"/>
        </w:rPr>
        <w:lastRenderedPageBreak/>
        <w:t>posted on the CAISO website. Exceptions will also be</w:t>
      </w:r>
      <w:r w:rsidRPr="005A28AC">
        <w:rPr>
          <w:rFonts w:cs="Arial"/>
          <w:color w:val="000000"/>
        </w:rPr>
        <w:t xml:space="preserve"> explained in the certification statements of the CAISO and the</w:t>
      </w:r>
      <w:r w:rsidR="005F24C1">
        <w:rPr>
          <w:rFonts w:cs="Arial"/>
          <w:color w:val="000000"/>
        </w:rPr>
        <w:t xml:space="preserve"> WEIM </w:t>
      </w:r>
      <w:r w:rsidRPr="005A28AC">
        <w:rPr>
          <w:rFonts w:cs="Arial"/>
          <w:color w:val="000000"/>
        </w:rPr>
        <w:t xml:space="preserve">Entity. </w:t>
      </w:r>
      <w:r w:rsidRPr="005A28AC">
        <w:rPr>
          <w:rFonts w:cs="Arial"/>
        </w:rPr>
        <w:t>With each prospective</w:t>
      </w:r>
      <w:r w:rsidR="005F24C1">
        <w:rPr>
          <w:rFonts w:cs="Arial"/>
        </w:rPr>
        <w:t xml:space="preserve"> WEIM </w:t>
      </w:r>
      <w:r w:rsidRPr="005A28AC">
        <w:rPr>
          <w:rFonts w:cs="Arial"/>
        </w:rPr>
        <w:t>Entity implementation, the CAISO will revisit the readiness thresholds and make modifications based on stakeholder feedback.</w:t>
      </w:r>
    </w:p>
    <w:p w14:paraId="6E20E040" w14:textId="52492618" w:rsidR="001028EC" w:rsidRPr="001028EC" w:rsidRDefault="001028EC" w:rsidP="000D72C0">
      <w:pPr>
        <w:spacing w:after="240" w:line="300" w:lineRule="auto"/>
        <w:rPr>
          <w:rFonts w:cs="Arial"/>
          <w:b/>
        </w:rPr>
      </w:pPr>
      <w:r w:rsidRPr="005A28AC">
        <w:rPr>
          <w:rFonts w:cs="Arial"/>
          <w:color w:val="212121"/>
        </w:rPr>
        <w:t xml:space="preserve">Any exception to a threshold would be reviewed by the responsible staff, escalated to the senior officers ultimately responsible for certification, and then documented in the readiness report that supports the certification.  </w:t>
      </w:r>
      <w:r w:rsidRPr="005A28AC">
        <w:rPr>
          <w:rFonts w:cs="Arial"/>
        </w:rPr>
        <w:t>The CAISO and the prospective</w:t>
      </w:r>
      <w:r w:rsidR="005F24C1">
        <w:rPr>
          <w:rFonts w:cs="Arial"/>
        </w:rPr>
        <w:t xml:space="preserve"> WEIM </w:t>
      </w:r>
      <w:r w:rsidRPr="005A28AC">
        <w:rPr>
          <w:rFonts w:cs="Arial"/>
        </w:rPr>
        <w:t xml:space="preserve">Entity will engage in a collaborative approach to satisfy the readiness criteria and endeavor to make decisions based on consensus between the parties.  Both parties will strive to avoid exceptions by providing comprehensive updates and proactively managing issues and risks.  </w:t>
      </w:r>
      <w:r w:rsidRPr="005A28AC">
        <w:rPr>
          <w:rFonts w:cs="Arial"/>
          <w:color w:val="212121"/>
        </w:rPr>
        <w:t>When an exception is required, it will be defined by specifying what is not conforming and why an exception is necessary.</w:t>
      </w:r>
    </w:p>
    <w:p w14:paraId="7E47E8B0" w14:textId="77777777" w:rsidR="009540DF" w:rsidRDefault="00DF5618" w:rsidP="000D72C0">
      <w:pPr>
        <w:pStyle w:val="Heading2"/>
      </w:pPr>
      <w:bookmarkStart w:id="2278" w:name="_Toc229054534"/>
      <w:r>
        <w:t xml:space="preserve">Readiness </w:t>
      </w:r>
      <w:r w:rsidR="00FA251B">
        <w:t>Reporting</w:t>
      </w:r>
      <w:r w:rsidR="00D6641B">
        <w:t xml:space="preserve">, </w:t>
      </w:r>
      <w:r w:rsidR="00BF347C">
        <w:t xml:space="preserve">Determination </w:t>
      </w:r>
      <w:r w:rsidR="00D6641B">
        <w:t>&amp; Certification</w:t>
      </w:r>
      <w:bookmarkEnd w:id="2278"/>
    </w:p>
    <w:p w14:paraId="27B6A871" w14:textId="283E92DA" w:rsidR="008B7613" w:rsidRDefault="008B7613" w:rsidP="008B7613">
      <w:pPr>
        <w:spacing w:after="240" w:line="300" w:lineRule="auto"/>
      </w:pPr>
      <w:r>
        <w:t xml:space="preserve">Welcome to the </w:t>
      </w:r>
      <w:r>
        <w:rPr>
          <w:i/>
        </w:rPr>
        <w:t>Readiness Certification</w:t>
      </w:r>
      <w:r>
        <w:t xml:space="preserve"> section of the CAISO </w:t>
      </w:r>
      <w:r w:rsidRPr="00A812DF">
        <w:rPr>
          <w:i/>
        </w:rPr>
        <w:t xml:space="preserve">BPM for the </w:t>
      </w:r>
      <w:r w:rsidR="005F24C1">
        <w:rPr>
          <w:i/>
        </w:rPr>
        <w:t>Western Energy Imbalance Market</w:t>
      </w:r>
      <w:r>
        <w:t>.  In this section you will find the following information:</w:t>
      </w:r>
    </w:p>
    <w:p w14:paraId="2568BE4F" w14:textId="77777777" w:rsidR="00BF347C" w:rsidRDefault="00BF347C" w:rsidP="00E80005">
      <w:pPr>
        <w:pStyle w:val="ListParagraph"/>
        <w:numPr>
          <w:ilvl w:val="0"/>
          <w:numId w:val="62"/>
        </w:numPr>
        <w:spacing w:after="240" w:line="300" w:lineRule="auto"/>
      </w:pPr>
      <w:r>
        <w:t xml:space="preserve">Timeline in which CAISO will report on the status of readiness criteria </w:t>
      </w:r>
    </w:p>
    <w:p w14:paraId="3E59AC93" w14:textId="568A6ADF" w:rsidR="00D6641B" w:rsidRDefault="00D6641B" w:rsidP="00E80005">
      <w:pPr>
        <w:pStyle w:val="ListParagraph"/>
        <w:numPr>
          <w:ilvl w:val="0"/>
          <w:numId w:val="62"/>
        </w:numPr>
        <w:spacing w:after="240" w:line="300" w:lineRule="auto"/>
      </w:pPr>
      <w:r>
        <w:t>Timeline in which the CAISO and the</w:t>
      </w:r>
      <w:r w:rsidR="005F24C1">
        <w:t xml:space="preserve"> WEIM </w:t>
      </w:r>
      <w:r>
        <w:t>Entity Initiate will determine readiness</w:t>
      </w:r>
    </w:p>
    <w:p w14:paraId="113E4F02" w14:textId="13EEF4C1" w:rsidR="008B7613" w:rsidRDefault="008B7613" w:rsidP="00E80005">
      <w:pPr>
        <w:pStyle w:val="ListParagraph"/>
        <w:numPr>
          <w:ilvl w:val="0"/>
          <w:numId w:val="62"/>
        </w:numPr>
        <w:spacing w:after="240" w:line="300" w:lineRule="auto"/>
      </w:pPr>
      <w:r>
        <w:t>Timelines in which CAISO and the</w:t>
      </w:r>
      <w:r w:rsidR="005F24C1">
        <w:t xml:space="preserve"> WEIM </w:t>
      </w:r>
      <w:r>
        <w:t>Entity Initiate will submit readiness certification to the Federal Energy Regulatory Commission</w:t>
      </w:r>
    </w:p>
    <w:p w14:paraId="1E69BDC5" w14:textId="77777777" w:rsidR="004D06AE" w:rsidRPr="005730EC" w:rsidRDefault="004D06AE" w:rsidP="004D06AE">
      <w:pPr>
        <w:pStyle w:val="ParaText"/>
        <w:rPr>
          <w:rFonts w:cs="Arial"/>
          <w:b/>
          <w:u w:val="single"/>
        </w:rPr>
      </w:pPr>
      <w:r w:rsidRPr="005730EC">
        <w:rPr>
          <w:rFonts w:cs="Arial"/>
          <w:b/>
          <w:u w:val="single"/>
        </w:rPr>
        <w:t>Readiness Reporting</w:t>
      </w:r>
    </w:p>
    <w:p w14:paraId="59A1F154" w14:textId="77777777" w:rsidR="004D06AE" w:rsidRPr="005730EC" w:rsidRDefault="004D06AE" w:rsidP="004D06AE">
      <w:pPr>
        <w:pStyle w:val="ParaText"/>
        <w:rPr>
          <w:rFonts w:cs="Arial"/>
        </w:rPr>
      </w:pPr>
      <w:r w:rsidRPr="005730EC">
        <w:rPr>
          <w:rFonts w:cs="Arial"/>
        </w:rPr>
        <w:t>CAISO will report at least monthly during market simulation and at least twice a month during parallel operations on the status of the readiness criteria. The reporting will be on the public CAISO web site (</w:t>
      </w:r>
      <w:hyperlink r:id="rId100" w:history="1">
        <w:r w:rsidRPr="005730EC">
          <w:rPr>
            <w:rStyle w:val="Hyperlink"/>
            <w:rFonts w:cs="Arial"/>
          </w:rPr>
          <w:t>www.caiso.com</w:t>
        </w:r>
      </w:hyperlink>
      <w:r w:rsidRPr="005730EC">
        <w:rPr>
          <w:rFonts w:cs="Arial"/>
        </w:rPr>
        <w:t xml:space="preserve">), and will consist of current progress towards readiness thresholds and any exceptions or deviations from the readiness thresholds.  </w:t>
      </w:r>
    </w:p>
    <w:p w14:paraId="34B3F749" w14:textId="77777777" w:rsidR="004D06AE" w:rsidRPr="005730EC" w:rsidRDefault="004D06AE" w:rsidP="004D06AE">
      <w:pPr>
        <w:pStyle w:val="ParaText"/>
        <w:rPr>
          <w:rFonts w:cs="Arial"/>
          <w:b/>
          <w:u w:val="single"/>
        </w:rPr>
      </w:pPr>
      <w:r w:rsidRPr="005730EC">
        <w:rPr>
          <w:rFonts w:cs="Arial"/>
          <w:b/>
          <w:u w:val="single"/>
        </w:rPr>
        <w:t>Readiness Determination</w:t>
      </w:r>
    </w:p>
    <w:p w14:paraId="77228834" w14:textId="54AD5249" w:rsidR="004D06AE" w:rsidRPr="005730EC" w:rsidRDefault="004D06AE" w:rsidP="004D06AE">
      <w:pPr>
        <w:pStyle w:val="ParaText"/>
        <w:rPr>
          <w:rFonts w:cs="Arial"/>
          <w:b/>
          <w:u w:val="single"/>
        </w:rPr>
      </w:pPr>
      <w:r w:rsidRPr="005F4B1C">
        <w:rPr>
          <w:rFonts w:cs="Arial"/>
        </w:rPr>
        <w:t xml:space="preserve">No later than 30 days prior to the </w:t>
      </w:r>
      <w:r>
        <w:rPr>
          <w:rFonts w:cs="Arial"/>
        </w:rPr>
        <w:t>prospective</w:t>
      </w:r>
      <w:r w:rsidR="005F24C1">
        <w:rPr>
          <w:rFonts w:cs="Arial"/>
        </w:rPr>
        <w:t xml:space="preserve"> WEIM </w:t>
      </w:r>
      <w:r>
        <w:rPr>
          <w:rFonts w:cs="Arial"/>
        </w:rPr>
        <w:t xml:space="preserve">Entity’s </w:t>
      </w:r>
      <w:r w:rsidRPr="005F4B1C">
        <w:rPr>
          <w:rFonts w:cs="Arial"/>
        </w:rPr>
        <w:t>Implementation Date</w:t>
      </w:r>
      <w:r w:rsidRPr="00A12622">
        <w:rPr>
          <w:rFonts w:cs="Arial"/>
        </w:rPr>
        <w:t>, the CAISO will determine, in consultation</w:t>
      </w:r>
      <w:r w:rsidRPr="005F4B1C">
        <w:rPr>
          <w:rFonts w:cs="Arial"/>
        </w:rPr>
        <w:t xml:space="preserve"> with the </w:t>
      </w:r>
      <w:r>
        <w:rPr>
          <w:rFonts w:cs="Arial"/>
        </w:rPr>
        <w:t>prospective</w:t>
      </w:r>
      <w:r w:rsidR="005F24C1">
        <w:rPr>
          <w:rFonts w:cs="Arial"/>
        </w:rPr>
        <w:t xml:space="preserve"> WEIM </w:t>
      </w:r>
      <w:r w:rsidRPr="005F4B1C">
        <w:rPr>
          <w:rFonts w:cs="Arial"/>
        </w:rPr>
        <w:t xml:space="preserve">Entity, whether the systems and </w:t>
      </w:r>
      <w:r w:rsidRPr="005F4B1C">
        <w:rPr>
          <w:rFonts w:cs="Arial"/>
        </w:rPr>
        <w:lastRenderedPageBreak/>
        <w:t xml:space="preserve">processes of the </w:t>
      </w:r>
      <w:r>
        <w:rPr>
          <w:rFonts w:cs="Arial"/>
        </w:rPr>
        <w:t>prospective</w:t>
      </w:r>
      <w:r w:rsidR="005F24C1">
        <w:rPr>
          <w:rFonts w:cs="Arial"/>
        </w:rPr>
        <w:t xml:space="preserve"> WEIM </w:t>
      </w:r>
      <w:r w:rsidRPr="005F4B1C">
        <w:rPr>
          <w:rFonts w:cs="Arial"/>
        </w:rPr>
        <w:t>Entity will be ready for participation in the</w:t>
      </w:r>
      <w:r>
        <w:rPr>
          <w:rFonts w:cs="Arial"/>
        </w:rPr>
        <w:t xml:space="preserve"> </w:t>
      </w:r>
      <w:r w:rsidR="005F24C1">
        <w:rPr>
          <w:rFonts w:cs="Arial"/>
        </w:rPr>
        <w:t>Western Energy Imbalance Market</w:t>
      </w:r>
      <w:r>
        <w:rPr>
          <w:rFonts w:cs="Arial"/>
        </w:rPr>
        <w:t>. Readiness will be determined</w:t>
      </w:r>
      <w:r w:rsidRPr="00F506DD">
        <w:rPr>
          <w:rFonts w:cs="Arial"/>
        </w:rPr>
        <w:t xml:space="preserve"> </w:t>
      </w:r>
      <w:r>
        <w:rPr>
          <w:rFonts w:cs="Arial"/>
        </w:rPr>
        <w:t xml:space="preserve">by the </w:t>
      </w:r>
      <w:r w:rsidRPr="00F506DD">
        <w:rPr>
          <w:rFonts w:cs="Arial"/>
        </w:rPr>
        <w:t xml:space="preserve">thresholds specified in </w:t>
      </w:r>
      <w:r>
        <w:rPr>
          <w:rFonts w:cs="Arial"/>
        </w:rPr>
        <w:t>section 2.1of the Business Practice Manual, with any exceptions for the certifying prospective</w:t>
      </w:r>
      <w:r w:rsidR="005F24C1">
        <w:rPr>
          <w:rFonts w:cs="Arial"/>
        </w:rPr>
        <w:t xml:space="preserve"> WEIM </w:t>
      </w:r>
      <w:r>
        <w:rPr>
          <w:rFonts w:cs="Arial"/>
        </w:rPr>
        <w:t>Entity.</w:t>
      </w:r>
    </w:p>
    <w:p w14:paraId="02D0272F" w14:textId="77777777" w:rsidR="004D06AE" w:rsidRPr="00FA4BF2" w:rsidRDefault="004D06AE" w:rsidP="004D06AE">
      <w:pPr>
        <w:pStyle w:val="ParaText"/>
        <w:rPr>
          <w:rFonts w:cs="Arial"/>
          <w:b/>
          <w:u w:val="single"/>
        </w:rPr>
      </w:pPr>
      <w:r w:rsidRPr="00FA4BF2">
        <w:rPr>
          <w:rFonts w:cs="Arial"/>
          <w:b/>
          <w:u w:val="single"/>
        </w:rPr>
        <w:t>Readiness Certification</w:t>
      </w:r>
    </w:p>
    <w:p w14:paraId="067BE5F5" w14:textId="522511E9" w:rsidR="004D06AE" w:rsidRPr="00C83084" w:rsidRDefault="004D06AE" w:rsidP="004D06AE">
      <w:pPr>
        <w:pStyle w:val="ParaText"/>
        <w:rPr>
          <w:rFonts w:cs="Arial"/>
        </w:rPr>
      </w:pPr>
      <w:r w:rsidRPr="00BF725A">
        <w:rPr>
          <w:rFonts w:cs="Arial"/>
        </w:rPr>
        <w:t>CAISO and the prospective</w:t>
      </w:r>
      <w:r w:rsidR="005F24C1">
        <w:rPr>
          <w:rFonts w:cs="Arial"/>
        </w:rPr>
        <w:t xml:space="preserve"> WEIM </w:t>
      </w:r>
      <w:r w:rsidRPr="00BF725A">
        <w:rPr>
          <w:rFonts w:cs="Arial"/>
        </w:rPr>
        <w:t>Entity will track their progress and report on readiness criteria prior to filing for</w:t>
      </w:r>
      <w:r w:rsidR="005F24C1">
        <w:rPr>
          <w:rFonts w:cs="Arial"/>
        </w:rPr>
        <w:t xml:space="preserve"> WEIM </w:t>
      </w:r>
      <w:r w:rsidRPr="00BF725A">
        <w:rPr>
          <w:rFonts w:cs="Arial"/>
        </w:rPr>
        <w:t>readiness certification. Both parties will file a market readiness certificate with the Federal Energy Regulatory Commission 30 days in advance of the prospective</w:t>
      </w:r>
      <w:r w:rsidR="005F24C1">
        <w:rPr>
          <w:rFonts w:cs="Arial"/>
        </w:rPr>
        <w:t xml:space="preserve"> WEIM </w:t>
      </w:r>
      <w:r w:rsidRPr="00BF725A">
        <w:rPr>
          <w:rFonts w:cs="Arial"/>
        </w:rPr>
        <w:t>Entity established</w:t>
      </w:r>
      <w:r w:rsidRPr="00C83084">
        <w:rPr>
          <w:rFonts w:cs="Arial"/>
        </w:rPr>
        <w:t xml:space="preserve"> implementation date. The readiness certification will cover the following information:</w:t>
      </w:r>
    </w:p>
    <w:p w14:paraId="5A319E1A" w14:textId="1D1980A7" w:rsidR="004D06AE" w:rsidRDefault="004D06AE" w:rsidP="00E80005">
      <w:pPr>
        <w:pStyle w:val="ParaText"/>
        <w:numPr>
          <w:ilvl w:val="0"/>
          <w:numId w:val="63"/>
        </w:numPr>
        <w:rPr>
          <w:rFonts w:cs="Arial"/>
        </w:rPr>
      </w:pPr>
      <w:r>
        <w:rPr>
          <w:rFonts w:cs="Arial"/>
        </w:rPr>
        <w:t>That the processes and systems</w:t>
      </w:r>
      <w:r w:rsidRPr="00F506DD">
        <w:rPr>
          <w:rFonts w:cs="Arial"/>
        </w:rPr>
        <w:t xml:space="preserve"> of the </w:t>
      </w:r>
      <w:r>
        <w:rPr>
          <w:rFonts w:cs="Arial"/>
        </w:rPr>
        <w:t>prospective</w:t>
      </w:r>
      <w:r w:rsidR="005F24C1">
        <w:rPr>
          <w:rFonts w:cs="Arial"/>
        </w:rPr>
        <w:t xml:space="preserve"> WEIM </w:t>
      </w:r>
      <w:r w:rsidRPr="00F506DD">
        <w:rPr>
          <w:rFonts w:cs="Arial"/>
        </w:rPr>
        <w:t>Entity have satisfied or will have satisfied the readiness criteria</w:t>
      </w:r>
      <w:r>
        <w:rPr>
          <w:rFonts w:cs="Arial"/>
        </w:rPr>
        <w:t xml:space="preserve"> as outlined above.</w:t>
      </w:r>
      <w:r w:rsidRPr="002030A6" w:rsidDel="003410A8">
        <w:rPr>
          <w:rFonts w:cs="Arial"/>
        </w:rPr>
        <w:t xml:space="preserve"> </w:t>
      </w:r>
    </w:p>
    <w:p w14:paraId="3C8B41D3" w14:textId="42213E7D" w:rsidR="004D06AE" w:rsidRDefault="004D06AE" w:rsidP="00E80005">
      <w:pPr>
        <w:pStyle w:val="ParaText"/>
        <w:numPr>
          <w:ilvl w:val="0"/>
          <w:numId w:val="63"/>
        </w:numPr>
        <w:rPr>
          <w:rFonts w:cs="Arial"/>
        </w:rPr>
      </w:pPr>
      <w:r w:rsidRPr="00452BC4">
        <w:rPr>
          <w:rFonts w:cs="Arial"/>
        </w:rPr>
        <w:t>Any known issues requiring resolution prior to the established</w:t>
      </w:r>
      <w:r w:rsidR="005F24C1">
        <w:rPr>
          <w:rFonts w:cs="Arial"/>
        </w:rPr>
        <w:t xml:space="preserve"> WEIM </w:t>
      </w:r>
      <w:r w:rsidRPr="00452BC4">
        <w:rPr>
          <w:rFonts w:cs="Arial"/>
        </w:rPr>
        <w:t>Implementation Date</w:t>
      </w:r>
      <w:r>
        <w:rPr>
          <w:rFonts w:cs="Arial"/>
        </w:rPr>
        <w:t>.</w:t>
      </w:r>
    </w:p>
    <w:p w14:paraId="456905E8" w14:textId="77777777" w:rsidR="004D06AE" w:rsidRPr="00C007BA" w:rsidRDefault="004D06AE" w:rsidP="00E80005">
      <w:pPr>
        <w:pStyle w:val="ParaText"/>
        <w:numPr>
          <w:ilvl w:val="0"/>
          <w:numId w:val="63"/>
        </w:numPr>
        <w:rPr>
          <w:rFonts w:cs="Arial"/>
        </w:rPr>
      </w:pPr>
      <w:r w:rsidRPr="00452BC4">
        <w:rPr>
          <w:rFonts w:cs="Arial"/>
        </w:rPr>
        <w:t xml:space="preserve">Any exceptions from the readiness thresholds as outlined </w:t>
      </w:r>
      <w:r>
        <w:rPr>
          <w:rFonts w:cs="Arial"/>
        </w:rPr>
        <w:t>above.</w:t>
      </w:r>
    </w:p>
    <w:p w14:paraId="69146F58" w14:textId="58D5DE57" w:rsidR="004D06AE" w:rsidRPr="00824B46" w:rsidRDefault="004D06AE" w:rsidP="004D06AE">
      <w:pPr>
        <w:pStyle w:val="ParaText"/>
        <w:rPr>
          <w:rFonts w:cs="Arial"/>
        </w:rPr>
      </w:pPr>
      <w:r>
        <w:rPr>
          <w:rFonts w:cs="Arial"/>
        </w:rPr>
        <w:t>Th</w:t>
      </w:r>
      <w:r w:rsidRPr="002E195E">
        <w:rPr>
          <w:rFonts w:cs="Arial"/>
        </w:rPr>
        <w:t>at the</w:t>
      </w:r>
      <w:r w:rsidR="005F24C1">
        <w:rPr>
          <w:rFonts w:cs="Arial"/>
        </w:rPr>
        <w:t xml:space="preserve"> WEIM </w:t>
      </w:r>
      <w:r w:rsidRPr="002E195E">
        <w:rPr>
          <w:rFonts w:cs="Arial"/>
        </w:rPr>
        <w:t xml:space="preserve">Implementation Date is conditional </w:t>
      </w:r>
      <w:r>
        <w:rPr>
          <w:rFonts w:cs="Arial"/>
        </w:rPr>
        <w:t>upon</w:t>
      </w:r>
      <w:r w:rsidRPr="002E195E">
        <w:rPr>
          <w:rFonts w:cs="Arial"/>
        </w:rPr>
        <w:t xml:space="preserve"> the resolution of </w:t>
      </w:r>
      <w:r>
        <w:rPr>
          <w:rFonts w:cs="Arial"/>
        </w:rPr>
        <w:t>any</w:t>
      </w:r>
      <w:r w:rsidRPr="006A7C2F">
        <w:rPr>
          <w:rFonts w:cs="Arial"/>
        </w:rPr>
        <w:t xml:space="preserve"> known issues </w:t>
      </w:r>
      <w:r>
        <w:rPr>
          <w:rFonts w:cs="Arial"/>
        </w:rPr>
        <w:t xml:space="preserve">identified in the </w:t>
      </w:r>
      <w:r w:rsidRPr="00F506DD">
        <w:rPr>
          <w:rFonts w:cs="Arial"/>
        </w:rPr>
        <w:t>certificates</w:t>
      </w:r>
      <w:r>
        <w:rPr>
          <w:rFonts w:cs="Arial"/>
        </w:rPr>
        <w:t xml:space="preserve"> filed with FERC</w:t>
      </w:r>
      <w:r w:rsidRPr="00F506DD">
        <w:rPr>
          <w:rFonts w:cs="Arial"/>
        </w:rPr>
        <w:t xml:space="preserve"> and any unforeseen issues </w:t>
      </w:r>
      <w:r>
        <w:rPr>
          <w:rFonts w:cs="Arial"/>
        </w:rPr>
        <w:t xml:space="preserve">that arise that </w:t>
      </w:r>
      <w:r w:rsidRPr="00F506DD">
        <w:rPr>
          <w:rFonts w:cs="Arial"/>
        </w:rPr>
        <w:t>undermine the satisfaction of the rea</w:t>
      </w:r>
      <w:r w:rsidRPr="006A7C2F">
        <w:rPr>
          <w:rFonts w:cs="Arial"/>
        </w:rPr>
        <w:t>diness criteria</w:t>
      </w:r>
      <w:r>
        <w:rPr>
          <w:rFonts w:cs="Arial"/>
        </w:rPr>
        <w:t xml:space="preserve">.  </w:t>
      </w:r>
      <w:r w:rsidRPr="00594716">
        <w:rPr>
          <w:rFonts w:cs="Arial"/>
        </w:rPr>
        <w:t xml:space="preserve">If, subsequent to readiness certification </w:t>
      </w:r>
      <w:r w:rsidRPr="00824B46">
        <w:rPr>
          <w:rFonts w:cs="Arial"/>
        </w:rPr>
        <w:t>the CAISO or the prospective</w:t>
      </w:r>
      <w:r w:rsidR="005F24C1">
        <w:rPr>
          <w:rFonts w:cs="Arial"/>
        </w:rPr>
        <w:t xml:space="preserve"> WEIM </w:t>
      </w:r>
      <w:r w:rsidRPr="00824B46">
        <w:rPr>
          <w:rFonts w:cs="Arial"/>
        </w:rPr>
        <w:t xml:space="preserve">Entity </w:t>
      </w:r>
      <w:r>
        <w:rPr>
          <w:rFonts w:cs="Arial"/>
        </w:rPr>
        <w:t>determines they</w:t>
      </w:r>
      <w:r w:rsidRPr="00824B46">
        <w:rPr>
          <w:rFonts w:cs="Arial"/>
        </w:rPr>
        <w:t xml:space="preserve"> cannot proceed with implementation on the Implementation Date, the CAISO </w:t>
      </w:r>
      <w:r>
        <w:rPr>
          <w:rFonts w:cs="Arial"/>
        </w:rPr>
        <w:t>and</w:t>
      </w:r>
      <w:r w:rsidRPr="00824B46">
        <w:rPr>
          <w:rFonts w:cs="Arial"/>
        </w:rPr>
        <w:t xml:space="preserve"> the prospective</w:t>
      </w:r>
      <w:r w:rsidR="005F24C1">
        <w:rPr>
          <w:rFonts w:cs="Arial"/>
        </w:rPr>
        <w:t xml:space="preserve"> WEIM </w:t>
      </w:r>
      <w:r w:rsidRPr="00824B46">
        <w:rPr>
          <w:rFonts w:cs="Arial"/>
        </w:rPr>
        <w:t>Entity will notify the Federal Energy Regulatory Commission of the delay, the reason for the delay, the new Implementation Date if it can be determined, and whether it will need to re-issue a portion or all of the readiness certification.</w:t>
      </w:r>
    </w:p>
    <w:p w14:paraId="5000698C" w14:textId="0C69C17B" w:rsidR="002E46E9" w:rsidRPr="00225179" w:rsidRDefault="002E46E9" w:rsidP="00DF5618">
      <w:pPr>
        <w:pStyle w:val="Heading1"/>
      </w:pPr>
      <w:bookmarkStart w:id="2279" w:name="_Toc229054535"/>
      <w:r w:rsidRPr="00225179">
        <w:t>RULES OF CONDUCT</w:t>
      </w:r>
      <w:bookmarkEnd w:id="2273"/>
      <w:bookmarkEnd w:id="2274"/>
      <w:bookmarkEnd w:id="2275"/>
      <w:bookmarkEnd w:id="2279"/>
    </w:p>
    <w:p w14:paraId="3ADDECE3" w14:textId="6B7E519E" w:rsidR="00A812DF" w:rsidRDefault="00A812DF" w:rsidP="006F6DD6">
      <w:pPr>
        <w:spacing w:after="240" w:line="300" w:lineRule="auto"/>
      </w:pPr>
      <w:r>
        <w:t xml:space="preserve">Welcome to the </w:t>
      </w:r>
      <w:r w:rsidR="004D5D76" w:rsidRPr="004D5D76">
        <w:rPr>
          <w:i/>
        </w:rPr>
        <w:t>Rules of Conduct</w:t>
      </w:r>
      <w:r w:rsidR="004D5D76">
        <w:t xml:space="preserve"> section</w:t>
      </w:r>
      <w:r w:rsidR="00775CF7">
        <w:t xml:space="preserve"> </w:t>
      </w:r>
      <w:r>
        <w:t xml:space="preserve">of the CAISO </w:t>
      </w:r>
      <w:r w:rsidRPr="00A812DF">
        <w:rPr>
          <w:i/>
        </w:rPr>
        <w:t xml:space="preserve">BPM for the </w:t>
      </w:r>
      <w:r w:rsidR="005F24C1">
        <w:rPr>
          <w:i/>
        </w:rPr>
        <w:t>Western Energy Imbalance Market</w:t>
      </w:r>
      <w:r>
        <w:t xml:space="preserve">.  In this section </w:t>
      </w:r>
      <w:r w:rsidR="004D5D76">
        <w:t xml:space="preserve">you will find </w:t>
      </w:r>
      <w:r>
        <w:t xml:space="preserve">the following </w:t>
      </w:r>
      <w:r w:rsidR="004D5D76">
        <w:t>information</w:t>
      </w:r>
      <w:r>
        <w:t>:</w:t>
      </w:r>
    </w:p>
    <w:p w14:paraId="6ED58FD0" w14:textId="77777777" w:rsidR="004D5D76" w:rsidRDefault="00A812DF" w:rsidP="00E80005">
      <w:pPr>
        <w:pStyle w:val="ListParagraph"/>
        <w:numPr>
          <w:ilvl w:val="0"/>
          <w:numId w:val="40"/>
        </w:numPr>
        <w:spacing w:after="240" w:line="300" w:lineRule="auto"/>
      </w:pPr>
      <w:r>
        <w:t>S</w:t>
      </w:r>
      <w:r w:rsidR="004D5D76">
        <w:t>ummar</w:t>
      </w:r>
      <w:r>
        <w:t>y of</w:t>
      </w:r>
      <w:r w:rsidR="004D5D76">
        <w:t xml:space="preserve"> the behavior that is subject to Sanction under the CAISO Tariff Rules of Conduct (CAISO Tariff Section 37).</w:t>
      </w:r>
    </w:p>
    <w:p w14:paraId="11FB061E" w14:textId="6495B91B" w:rsidR="00770B86" w:rsidRDefault="00770B86" w:rsidP="006F6DD6">
      <w:pPr>
        <w:spacing w:after="240" w:line="300" w:lineRule="auto"/>
      </w:pPr>
      <w:r w:rsidRPr="00770B86">
        <w:lastRenderedPageBreak/>
        <w:t xml:space="preserve">Participants in the CAISO markets are expected to comply with the provisions of the CAISO Tariff as well as requirements contained within </w:t>
      </w:r>
      <w:r w:rsidR="000F52BB">
        <w:t>its</w:t>
      </w:r>
      <w:r w:rsidRPr="00770B86">
        <w:t xml:space="preserve"> Business Practice Manuals.  The p</w:t>
      </w:r>
      <w:r w:rsidR="001B06BF">
        <w:t xml:space="preserve">rocess that </w:t>
      </w:r>
      <w:r w:rsidRPr="00770B86">
        <w:t xml:space="preserve">CAISO undertakes to ensure compliance with these documents is described in the </w:t>
      </w:r>
      <w:hyperlink r:id="rId101" w:history="1">
        <w:r w:rsidRPr="003E0BEF">
          <w:rPr>
            <w:rStyle w:val="Hyperlink"/>
            <w:b/>
          </w:rPr>
          <w:t>BPM for Rules of Conduct Administration</w:t>
        </w:r>
      </w:hyperlink>
      <w:r w:rsidRPr="00770B86">
        <w:t>.  A participant in the</w:t>
      </w:r>
      <w:r w:rsidR="005F24C1">
        <w:t xml:space="preserve"> WEIM </w:t>
      </w:r>
      <w:r w:rsidRPr="00770B86">
        <w:t xml:space="preserve">is also subject to these rules as defined by their specific participation in the EIM.   </w:t>
      </w:r>
    </w:p>
    <w:p w14:paraId="66266192" w14:textId="77777777" w:rsidR="00770B86" w:rsidRPr="00770B86" w:rsidRDefault="00770B86" w:rsidP="006F6DD6">
      <w:pPr>
        <w:spacing w:after="240" w:line="300" w:lineRule="auto"/>
      </w:pPr>
    </w:p>
    <w:p w14:paraId="697A127A" w14:textId="77777777" w:rsidR="002E46E9" w:rsidRDefault="002E46E9" w:rsidP="00DF5618">
      <w:pPr>
        <w:pStyle w:val="Heading1"/>
      </w:pPr>
      <w:bookmarkStart w:id="2280" w:name="_Toc389662616"/>
      <w:bookmarkStart w:id="2281" w:name="_Toc390946310"/>
      <w:bookmarkStart w:id="2282" w:name="_Toc391969875"/>
      <w:bookmarkStart w:id="2283" w:name="_Toc229054536"/>
      <w:r>
        <w:t xml:space="preserve">CHANGE </w:t>
      </w:r>
      <w:r w:rsidRPr="00225179">
        <w:t>MANAGEMENT</w:t>
      </w:r>
      <w:bookmarkEnd w:id="2280"/>
      <w:bookmarkEnd w:id="2281"/>
      <w:bookmarkEnd w:id="2282"/>
      <w:bookmarkEnd w:id="2283"/>
    </w:p>
    <w:p w14:paraId="0B23B681" w14:textId="7BA74B29" w:rsidR="00A812DF" w:rsidRDefault="00A812DF" w:rsidP="006F6DD6">
      <w:pPr>
        <w:spacing w:after="240" w:line="300" w:lineRule="auto"/>
      </w:pPr>
      <w:r>
        <w:t xml:space="preserve">Welcome to </w:t>
      </w:r>
      <w:r w:rsidR="00375CB7">
        <w:t xml:space="preserve">the </w:t>
      </w:r>
      <w:r w:rsidR="00375CB7" w:rsidRPr="00375CB7">
        <w:rPr>
          <w:i/>
        </w:rPr>
        <w:t>Change Management</w:t>
      </w:r>
      <w:r w:rsidR="00375CB7">
        <w:t xml:space="preserve"> section of th</w:t>
      </w:r>
      <w:r>
        <w:t>e CAISO</w:t>
      </w:r>
      <w:r w:rsidR="00375CB7">
        <w:t xml:space="preserve"> </w:t>
      </w:r>
      <w:r w:rsidR="00375CB7" w:rsidRPr="00A812DF">
        <w:rPr>
          <w:i/>
        </w:rPr>
        <w:t>BPM</w:t>
      </w:r>
      <w:r w:rsidRPr="00A812DF">
        <w:rPr>
          <w:i/>
        </w:rPr>
        <w:t xml:space="preserve"> for the </w:t>
      </w:r>
      <w:r w:rsidR="005F24C1">
        <w:rPr>
          <w:i/>
        </w:rPr>
        <w:t>Western Energy Imbalance Market</w:t>
      </w:r>
      <w:r>
        <w:t>.  In this section</w:t>
      </w:r>
      <w:r w:rsidR="00775CF7">
        <w:t xml:space="preserve"> </w:t>
      </w:r>
      <w:r w:rsidR="00375CB7">
        <w:t xml:space="preserve">you will find </w:t>
      </w:r>
      <w:r w:rsidR="00F57961">
        <w:t>the following information</w:t>
      </w:r>
      <w:r>
        <w:t>:</w:t>
      </w:r>
    </w:p>
    <w:p w14:paraId="741D20B7" w14:textId="77777777" w:rsidR="00375CB7" w:rsidRDefault="00A812DF" w:rsidP="00E80005">
      <w:pPr>
        <w:pStyle w:val="ListParagraph"/>
        <w:numPr>
          <w:ilvl w:val="0"/>
          <w:numId w:val="40"/>
        </w:numPr>
        <w:spacing w:after="240" w:line="300" w:lineRule="auto"/>
      </w:pPr>
      <w:r>
        <w:t xml:space="preserve">Information </w:t>
      </w:r>
      <w:r w:rsidR="00375CB7">
        <w:t xml:space="preserve">relating to requests for additions, edits, deletions, revisions, or clarifications to a BPM, including any attachments and exhibits to a BPM that are expressly incorporated by reference.   </w:t>
      </w:r>
    </w:p>
    <w:p w14:paraId="1C7D12FB" w14:textId="77777777" w:rsidR="009D4F0E" w:rsidRDefault="00770B86" w:rsidP="006F6DD6">
      <w:pPr>
        <w:spacing w:after="240" w:line="300" w:lineRule="auto"/>
      </w:pPr>
      <w:r w:rsidRPr="00770B86">
        <w:t>The Business Practice Manuals (BPMs) developed by CAISO are intended t</w:t>
      </w:r>
      <w:r w:rsidR="000F52BB">
        <w:t>o contain implementation detail</w:t>
      </w:r>
      <w:r w:rsidRPr="00770B86">
        <w:t xml:space="preserve"> consistent with and supported by the CAISO Tariff, including: instructions, rules, procedures, examples, and guidelines for the administration, operation, planning, and accounting requirements of CAISO </w:t>
      </w:r>
      <w:r w:rsidR="001B06BF">
        <w:t xml:space="preserve">and the markets operated by </w:t>
      </w:r>
      <w:r w:rsidRPr="00770B86">
        <w:t>CAISO.  Changes to the information pro</w:t>
      </w:r>
      <w:r w:rsidR="001B06BF">
        <w:t xml:space="preserve">vided in the BPMs posted by </w:t>
      </w:r>
      <w:r w:rsidRPr="00770B86">
        <w:t xml:space="preserve">CAISO are governed by the process outlined in the </w:t>
      </w:r>
      <w:hyperlink r:id="rId102" w:history="1">
        <w:r w:rsidRPr="003E0BEF">
          <w:rPr>
            <w:rStyle w:val="Hyperlink"/>
            <w:b/>
          </w:rPr>
          <w:t>BPM for Change Management</w:t>
        </w:r>
      </w:hyperlink>
      <w:r w:rsidRPr="00770B86">
        <w:t>.</w:t>
      </w:r>
    </w:p>
    <w:p w14:paraId="054DDC76" w14:textId="77777777" w:rsidR="0028031A" w:rsidRPr="00770B86" w:rsidRDefault="0028031A" w:rsidP="006F6DD6">
      <w:pPr>
        <w:spacing w:after="240" w:line="300" w:lineRule="auto"/>
      </w:pPr>
    </w:p>
    <w:p w14:paraId="170F53F7" w14:textId="77777777" w:rsidR="002E46E9" w:rsidRPr="002E46E9" w:rsidRDefault="002E46E9" w:rsidP="00DF5618">
      <w:pPr>
        <w:pStyle w:val="Heading1"/>
      </w:pPr>
      <w:bookmarkStart w:id="2284" w:name="_Toc389662617"/>
      <w:bookmarkStart w:id="2285" w:name="_Toc390946311"/>
      <w:bookmarkStart w:id="2286" w:name="_Toc391969876"/>
      <w:bookmarkStart w:id="2287" w:name="_Toc229054537"/>
      <w:r>
        <w:t xml:space="preserve">DEFINITIONS </w:t>
      </w:r>
      <w:r w:rsidRPr="00225179">
        <w:t>AND</w:t>
      </w:r>
      <w:r>
        <w:t xml:space="preserve"> ACRONYMS</w:t>
      </w:r>
      <w:bookmarkEnd w:id="2284"/>
      <w:bookmarkEnd w:id="2285"/>
      <w:bookmarkEnd w:id="2286"/>
      <w:bookmarkEnd w:id="2287"/>
    </w:p>
    <w:p w14:paraId="4214EDF1" w14:textId="55CBC9CC" w:rsidR="00793AFA" w:rsidRDefault="006D50D0" w:rsidP="006F6DD6">
      <w:pPr>
        <w:pStyle w:val="ParaText"/>
      </w:pPr>
      <w:r>
        <w:t xml:space="preserve">Welcome to the </w:t>
      </w:r>
      <w:r w:rsidR="00B15CEB" w:rsidRPr="00B15CEB">
        <w:rPr>
          <w:i/>
        </w:rPr>
        <w:t>Definitions and Acronyms</w:t>
      </w:r>
      <w:r w:rsidR="00B15CEB">
        <w:t xml:space="preserve"> </w:t>
      </w:r>
      <w:r>
        <w:t>sec</w:t>
      </w:r>
      <w:r w:rsidR="00B15CEB">
        <w:t xml:space="preserve">tion of the </w:t>
      </w:r>
      <w:r w:rsidR="00793AFA">
        <w:t xml:space="preserve">CAISO </w:t>
      </w:r>
      <w:r w:rsidR="00B15CEB" w:rsidRPr="00793AFA">
        <w:rPr>
          <w:i/>
        </w:rPr>
        <w:t xml:space="preserve">BPM for the </w:t>
      </w:r>
      <w:r w:rsidR="005F24C1">
        <w:rPr>
          <w:i/>
        </w:rPr>
        <w:t>Western Energy Imbalance Market</w:t>
      </w:r>
      <w:r w:rsidR="00B15CEB">
        <w:t xml:space="preserve">.  </w:t>
      </w:r>
      <w:r w:rsidR="00793AFA">
        <w:t>In this section you will find the following information:</w:t>
      </w:r>
    </w:p>
    <w:p w14:paraId="37F90DC5" w14:textId="3444802E" w:rsidR="00793AFA" w:rsidRDefault="00793AFA" w:rsidP="00E80005">
      <w:pPr>
        <w:pStyle w:val="ParaText"/>
        <w:numPr>
          <w:ilvl w:val="0"/>
          <w:numId w:val="40"/>
        </w:numPr>
      </w:pPr>
      <w:r>
        <w:t xml:space="preserve">A list of defined terms, abbreviations, and acronyms that are used in the CAISO BPM for the </w:t>
      </w:r>
      <w:r w:rsidR="005F24C1">
        <w:t>Western Energy Imbalance Market</w:t>
      </w:r>
      <w:r>
        <w:t>.</w:t>
      </w:r>
    </w:p>
    <w:p w14:paraId="68920286" w14:textId="77777777" w:rsidR="0016220E" w:rsidRPr="00A7770E" w:rsidRDefault="00D34FAF" w:rsidP="00793AFA">
      <w:pPr>
        <w:pStyle w:val="ParaText"/>
      </w:pPr>
      <w:r w:rsidRPr="003E0BEF">
        <w:t xml:space="preserve">The </w:t>
      </w:r>
      <w:hyperlink r:id="rId103" w:history="1">
        <w:r w:rsidRPr="003E0BEF">
          <w:rPr>
            <w:rStyle w:val="Hyperlink"/>
            <w:b/>
          </w:rPr>
          <w:t>BPM for Definitions &amp; Acronyms</w:t>
        </w:r>
      </w:hyperlink>
      <w:r w:rsidRPr="003E0BEF">
        <w:t xml:space="preserve"> serves as a general reference for readers of </w:t>
      </w:r>
      <w:r w:rsidR="00B15CEB">
        <w:t xml:space="preserve">the </w:t>
      </w:r>
      <w:r w:rsidRPr="003E0BEF">
        <w:t xml:space="preserve">CAISO BPMs.  It lists definitions used in the BPMs, including both newly defined terms and pertinent </w:t>
      </w:r>
      <w:r w:rsidRPr="003E0BEF">
        <w:lastRenderedPageBreak/>
        <w:t>terms from</w:t>
      </w:r>
      <w:r w:rsidR="00B91756">
        <w:t xml:space="preserve"> the</w:t>
      </w:r>
      <w:r w:rsidRPr="003E0BEF">
        <w:t xml:space="preserve"> CAISO Tariff Appendix A.  </w:t>
      </w:r>
      <w:hyperlink r:id="rId104" w:history="1">
        <w:r w:rsidRPr="00B15CEB">
          <w:rPr>
            <w:rStyle w:val="Hyperlink"/>
            <w:b/>
          </w:rPr>
          <w:t>The BPM for Definitions &amp; Acronyms</w:t>
        </w:r>
      </w:hyperlink>
      <w:r w:rsidRPr="003E0BEF">
        <w:t xml:space="preserve"> also provides a list of acronyms used in CAISO BPMs, as well as acronyms associated with the remainder of the defined terms in Appendix A</w:t>
      </w:r>
      <w:r w:rsidR="000F52BB">
        <w:t>,</w:t>
      </w:r>
      <w:r w:rsidRPr="003E0BEF">
        <w:t xml:space="preserve"> regardless of whether they appear in the BPMs.</w:t>
      </w:r>
    </w:p>
    <w:p w14:paraId="4477C537" w14:textId="77777777" w:rsidR="0016220E" w:rsidRDefault="0033737B" w:rsidP="00C33762">
      <w:pPr>
        <w:pStyle w:val="Heading2"/>
      </w:pPr>
      <w:bookmarkStart w:id="2288" w:name="_Toc389662618"/>
      <w:bookmarkStart w:id="2289" w:name="_Toc390946312"/>
      <w:bookmarkStart w:id="2290" w:name="_Toc391969877"/>
      <w:bookmarkStart w:id="2291" w:name="_Toc229054538"/>
      <w:r>
        <w:t>Acronyms</w:t>
      </w:r>
      <w:bookmarkEnd w:id="2288"/>
      <w:bookmarkEnd w:id="2289"/>
      <w:bookmarkEnd w:id="2290"/>
      <w:bookmarkEnd w:id="2291"/>
    </w:p>
    <w:p w14:paraId="41D5B675" w14:textId="7E7B0C2D" w:rsidR="0033737B" w:rsidRDefault="0033737B" w:rsidP="0033737B">
      <w:r>
        <w:t>In this section you will find abbreviations and acronyms that are used in the CAISO</w:t>
      </w:r>
      <w:r w:rsidR="005F24C1">
        <w:t xml:space="preserve"> WEIM </w:t>
      </w:r>
      <w:r>
        <w:t>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46"/>
      </w:tblGrid>
      <w:tr w:rsidR="0033737B" w14:paraId="60949C9B" w14:textId="77777777" w:rsidTr="00190C1B">
        <w:tc>
          <w:tcPr>
            <w:tcW w:w="2448" w:type="dxa"/>
            <w:tcBorders>
              <w:bottom w:val="single" w:sz="4" w:space="0" w:color="auto"/>
            </w:tcBorders>
            <w:shd w:val="clear" w:color="auto" w:fill="BFBFBF"/>
          </w:tcPr>
          <w:p w14:paraId="3EC57A6D" w14:textId="77777777" w:rsidR="0033737B" w:rsidRPr="00D23D0F" w:rsidRDefault="0033737B" w:rsidP="00D23D0F">
            <w:pPr>
              <w:jc w:val="center"/>
              <w:rPr>
                <w:b/>
              </w:rPr>
            </w:pPr>
            <w:r w:rsidRPr="00D23D0F">
              <w:rPr>
                <w:b/>
              </w:rPr>
              <w:t>Acronym</w:t>
            </w:r>
          </w:p>
        </w:tc>
        <w:tc>
          <w:tcPr>
            <w:tcW w:w="7128" w:type="dxa"/>
            <w:tcBorders>
              <w:bottom w:val="single" w:sz="4" w:space="0" w:color="auto"/>
            </w:tcBorders>
            <w:shd w:val="clear" w:color="auto" w:fill="BFBFBF"/>
          </w:tcPr>
          <w:p w14:paraId="38F66BDC" w14:textId="77777777" w:rsidR="0033737B" w:rsidRPr="00D23D0F" w:rsidRDefault="0033737B" w:rsidP="00D23D0F">
            <w:pPr>
              <w:jc w:val="center"/>
              <w:rPr>
                <w:b/>
              </w:rPr>
            </w:pPr>
            <w:r w:rsidRPr="00D23D0F">
              <w:rPr>
                <w:b/>
              </w:rPr>
              <w:t>Definition</w:t>
            </w:r>
          </w:p>
        </w:tc>
      </w:tr>
      <w:tr w:rsidR="00270D7F" w14:paraId="40B5C0DD" w14:textId="77777777" w:rsidTr="00D23D0F">
        <w:tc>
          <w:tcPr>
            <w:tcW w:w="2448" w:type="dxa"/>
          </w:tcPr>
          <w:p w14:paraId="4048BD4D" w14:textId="77777777" w:rsidR="00270D7F" w:rsidRPr="00D23D0F" w:rsidRDefault="00270D7F" w:rsidP="0033737B">
            <w:pPr>
              <w:rPr>
                <w:b/>
              </w:rPr>
            </w:pPr>
            <w:r w:rsidRPr="009762A8">
              <w:rPr>
                <w:b/>
              </w:rPr>
              <w:t>AANSI</w:t>
            </w:r>
          </w:p>
        </w:tc>
        <w:tc>
          <w:tcPr>
            <w:tcW w:w="7128" w:type="dxa"/>
          </w:tcPr>
          <w:p w14:paraId="41930864" w14:textId="77777777" w:rsidR="00270D7F" w:rsidRDefault="00270D7F" w:rsidP="0033737B">
            <w:r>
              <w:t xml:space="preserve">Area to Area Net Scheduled Interchange </w:t>
            </w:r>
          </w:p>
        </w:tc>
      </w:tr>
      <w:tr w:rsidR="00270D7F" w14:paraId="4E77D1BD" w14:textId="77777777" w:rsidTr="00D23D0F">
        <w:tc>
          <w:tcPr>
            <w:tcW w:w="2448" w:type="dxa"/>
          </w:tcPr>
          <w:p w14:paraId="17B4C4A4" w14:textId="77777777" w:rsidR="00270D7F" w:rsidRPr="00D23D0F" w:rsidRDefault="00270D7F" w:rsidP="0033737B">
            <w:pPr>
              <w:rPr>
                <w:b/>
              </w:rPr>
            </w:pPr>
            <w:r>
              <w:rPr>
                <w:b/>
              </w:rPr>
              <w:t>API</w:t>
            </w:r>
          </w:p>
        </w:tc>
        <w:tc>
          <w:tcPr>
            <w:tcW w:w="7128" w:type="dxa"/>
          </w:tcPr>
          <w:p w14:paraId="0CE87FB4" w14:textId="77777777" w:rsidR="00270D7F" w:rsidRDefault="00270D7F" w:rsidP="0033737B">
            <w:r>
              <w:t>Application Program Interface</w:t>
            </w:r>
          </w:p>
        </w:tc>
      </w:tr>
      <w:tr w:rsidR="00270D7F" w14:paraId="07579002" w14:textId="77777777" w:rsidTr="00D23D0F">
        <w:tc>
          <w:tcPr>
            <w:tcW w:w="2448" w:type="dxa"/>
          </w:tcPr>
          <w:p w14:paraId="65B62616" w14:textId="77777777" w:rsidR="00270D7F" w:rsidRPr="00D23D0F" w:rsidRDefault="00270D7F" w:rsidP="0033737B">
            <w:pPr>
              <w:rPr>
                <w:b/>
              </w:rPr>
            </w:pPr>
            <w:r w:rsidRPr="00D23D0F">
              <w:rPr>
                <w:b/>
              </w:rPr>
              <w:t>BPM</w:t>
            </w:r>
          </w:p>
        </w:tc>
        <w:tc>
          <w:tcPr>
            <w:tcW w:w="7128" w:type="dxa"/>
          </w:tcPr>
          <w:p w14:paraId="17DFFF73" w14:textId="77777777" w:rsidR="00270D7F" w:rsidRDefault="00270D7F" w:rsidP="0033737B">
            <w:r>
              <w:t>Business Practice Manual</w:t>
            </w:r>
          </w:p>
        </w:tc>
      </w:tr>
      <w:tr w:rsidR="00270D7F" w14:paraId="19C778CA" w14:textId="77777777" w:rsidTr="00D23D0F">
        <w:tc>
          <w:tcPr>
            <w:tcW w:w="2448" w:type="dxa"/>
          </w:tcPr>
          <w:p w14:paraId="453C5D2A" w14:textId="77777777" w:rsidR="00270D7F" w:rsidRPr="00D23D0F" w:rsidRDefault="00270D7F" w:rsidP="0033737B">
            <w:pPr>
              <w:rPr>
                <w:b/>
              </w:rPr>
            </w:pPr>
            <w:r w:rsidRPr="00D23D0F">
              <w:rPr>
                <w:b/>
              </w:rPr>
              <w:t>CAISO</w:t>
            </w:r>
          </w:p>
        </w:tc>
        <w:tc>
          <w:tcPr>
            <w:tcW w:w="7128" w:type="dxa"/>
          </w:tcPr>
          <w:p w14:paraId="37CEF631" w14:textId="77777777" w:rsidR="00270D7F" w:rsidRDefault="00270D7F" w:rsidP="0033737B">
            <w:r>
              <w:t>California Independent System Operator Corporation</w:t>
            </w:r>
          </w:p>
        </w:tc>
      </w:tr>
      <w:tr w:rsidR="00270D7F" w14:paraId="658B9BF5" w14:textId="77777777" w:rsidTr="00D23D0F">
        <w:tc>
          <w:tcPr>
            <w:tcW w:w="2448" w:type="dxa"/>
          </w:tcPr>
          <w:p w14:paraId="14719FB3" w14:textId="77777777" w:rsidR="00270D7F" w:rsidRPr="00D23D0F" w:rsidRDefault="00270D7F" w:rsidP="0033737B">
            <w:pPr>
              <w:rPr>
                <w:b/>
              </w:rPr>
            </w:pPr>
            <w:r>
              <w:rPr>
                <w:b/>
              </w:rPr>
              <w:t>CAI</w:t>
            </w:r>
            <w:r w:rsidRPr="00D23D0F">
              <w:rPr>
                <w:b/>
              </w:rPr>
              <w:t>SO BAA</w:t>
            </w:r>
          </w:p>
        </w:tc>
        <w:tc>
          <w:tcPr>
            <w:tcW w:w="7128" w:type="dxa"/>
          </w:tcPr>
          <w:p w14:paraId="66083FFC" w14:textId="77777777" w:rsidR="00270D7F" w:rsidRDefault="00270D7F" w:rsidP="0033737B">
            <w:r>
              <w:t>The Balancing Authority Area of California Independent System Operator</w:t>
            </w:r>
          </w:p>
        </w:tc>
      </w:tr>
      <w:tr w:rsidR="00270D7F" w14:paraId="01806028" w14:textId="77777777" w:rsidTr="00D23D0F">
        <w:tc>
          <w:tcPr>
            <w:tcW w:w="2448" w:type="dxa"/>
          </w:tcPr>
          <w:p w14:paraId="37EAF80C" w14:textId="77777777" w:rsidR="00270D7F" w:rsidRPr="00D23D0F" w:rsidRDefault="00270D7F" w:rsidP="0033737B">
            <w:pPr>
              <w:rPr>
                <w:b/>
              </w:rPr>
            </w:pPr>
            <w:r>
              <w:rPr>
                <w:b/>
              </w:rPr>
              <w:t>DAM</w:t>
            </w:r>
          </w:p>
        </w:tc>
        <w:tc>
          <w:tcPr>
            <w:tcW w:w="7128" w:type="dxa"/>
          </w:tcPr>
          <w:p w14:paraId="4C3AA95E" w14:textId="77777777" w:rsidR="00270D7F" w:rsidRDefault="00270D7F" w:rsidP="0033737B">
            <w:r>
              <w:t>Day-Ahead Market</w:t>
            </w:r>
          </w:p>
        </w:tc>
      </w:tr>
      <w:tr w:rsidR="00270D7F" w14:paraId="74064641" w14:textId="77777777" w:rsidTr="00D23D0F">
        <w:tc>
          <w:tcPr>
            <w:tcW w:w="2448" w:type="dxa"/>
          </w:tcPr>
          <w:p w14:paraId="34F58C50" w14:textId="77777777" w:rsidR="00270D7F" w:rsidRDefault="00270D7F" w:rsidP="0033737B">
            <w:pPr>
              <w:rPr>
                <w:b/>
              </w:rPr>
            </w:pPr>
            <w:r>
              <w:rPr>
                <w:b/>
              </w:rPr>
              <w:t>DB</w:t>
            </w:r>
          </w:p>
        </w:tc>
        <w:tc>
          <w:tcPr>
            <w:tcW w:w="7128" w:type="dxa"/>
          </w:tcPr>
          <w:p w14:paraId="4B14B23A" w14:textId="77777777" w:rsidR="00270D7F" w:rsidRDefault="00270D7F" w:rsidP="0033737B">
            <w:r>
              <w:t>EIM diversity benefit</w:t>
            </w:r>
          </w:p>
        </w:tc>
      </w:tr>
      <w:tr w:rsidR="00270D7F" w14:paraId="6E530809" w14:textId="77777777" w:rsidTr="00D23D0F">
        <w:tc>
          <w:tcPr>
            <w:tcW w:w="2448" w:type="dxa"/>
          </w:tcPr>
          <w:p w14:paraId="2FC2126B" w14:textId="77777777" w:rsidR="00270D7F" w:rsidRPr="00D23D0F" w:rsidRDefault="00270D7F" w:rsidP="0033737B">
            <w:pPr>
              <w:rPr>
                <w:b/>
              </w:rPr>
            </w:pPr>
            <w:r w:rsidRPr="00D23D0F">
              <w:rPr>
                <w:b/>
              </w:rPr>
              <w:t>EIM</w:t>
            </w:r>
          </w:p>
        </w:tc>
        <w:tc>
          <w:tcPr>
            <w:tcW w:w="7128" w:type="dxa"/>
          </w:tcPr>
          <w:p w14:paraId="43494E70" w14:textId="7D03CACB" w:rsidR="00270D7F" w:rsidRPr="00D723BF" w:rsidRDefault="00270D7F" w:rsidP="0033737B">
            <w:r>
              <w:t xml:space="preserve"> </w:t>
            </w:r>
            <w:r w:rsidR="005F24C1">
              <w:t>Western Energy Imbalance Market</w:t>
            </w:r>
          </w:p>
        </w:tc>
      </w:tr>
      <w:tr w:rsidR="00270D7F" w14:paraId="25F24816" w14:textId="77777777" w:rsidTr="00D23D0F">
        <w:tc>
          <w:tcPr>
            <w:tcW w:w="2448" w:type="dxa"/>
          </w:tcPr>
          <w:p w14:paraId="026829F3" w14:textId="77777777" w:rsidR="00270D7F" w:rsidRPr="00D23D0F" w:rsidRDefault="00270D7F" w:rsidP="0033737B">
            <w:pPr>
              <w:rPr>
                <w:b/>
              </w:rPr>
            </w:pPr>
            <w:r w:rsidRPr="00D23D0F">
              <w:rPr>
                <w:b/>
              </w:rPr>
              <w:t xml:space="preserve">EIM </w:t>
            </w:r>
            <w:r>
              <w:rPr>
                <w:b/>
              </w:rPr>
              <w:t xml:space="preserve">Entity </w:t>
            </w:r>
            <w:r w:rsidRPr="00D23D0F">
              <w:rPr>
                <w:b/>
              </w:rPr>
              <w:t>BAA</w:t>
            </w:r>
          </w:p>
        </w:tc>
        <w:tc>
          <w:tcPr>
            <w:tcW w:w="7128" w:type="dxa"/>
          </w:tcPr>
          <w:p w14:paraId="711DF94F" w14:textId="178FC29C" w:rsidR="00270D7F" w:rsidRPr="00095C4F" w:rsidRDefault="00270D7F" w:rsidP="0033737B">
            <w:r w:rsidRPr="00095C4F">
              <w:t xml:space="preserve">The Balancing Authority Area of Entity that is participating in the </w:t>
            </w:r>
            <w:r w:rsidR="005F24C1">
              <w:t>Western Energy Imbalance Market</w:t>
            </w:r>
          </w:p>
        </w:tc>
      </w:tr>
      <w:tr w:rsidR="00270D7F" w14:paraId="471D9B18" w14:textId="77777777" w:rsidTr="00D23D0F">
        <w:tc>
          <w:tcPr>
            <w:tcW w:w="2448" w:type="dxa"/>
          </w:tcPr>
          <w:p w14:paraId="5AC42C43" w14:textId="77777777" w:rsidR="00270D7F" w:rsidRPr="00D23D0F" w:rsidRDefault="00270D7F" w:rsidP="0033737B">
            <w:pPr>
              <w:rPr>
                <w:b/>
              </w:rPr>
            </w:pPr>
            <w:r w:rsidRPr="00D23D0F">
              <w:rPr>
                <w:b/>
              </w:rPr>
              <w:t>External BAA</w:t>
            </w:r>
          </w:p>
        </w:tc>
        <w:tc>
          <w:tcPr>
            <w:tcW w:w="7128" w:type="dxa"/>
          </w:tcPr>
          <w:p w14:paraId="32E2EFFD" w14:textId="7B421639" w:rsidR="00270D7F" w:rsidRDefault="00270D7F" w:rsidP="0033737B">
            <w:r>
              <w:t xml:space="preserve">The Balancing Authority Area of Entities that </w:t>
            </w:r>
            <w:r w:rsidRPr="00D723BF">
              <w:t>are</w:t>
            </w:r>
            <w:r>
              <w:t xml:space="preserve"> not CAISO BAA.  External BAA includes</w:t>
            </w:r>
            <w:r w:rsidR="005F24C1">
              <w:t xml:space="preserve"> WEIM </w:t>
            </w:r>
            <w:r>
              <w:rPr>
                <w:rFonts w:cs="Arial"/>
              </w:rPr>
              <w:t>Entity</w:t>
            </w:r>
            <w:r>
              <w:t xml:space="preserve"> BAA, non-EIM Entity BAA, and boundary BAA that are not modeled in the FNM.</w:t>
            </w:r>
          </w:p>
        </w:tc>
      </w:tr>
      <w:tr w:rsidR="00270D7F" w14:paraId="5711591C" w14:textId="77777777" w:rsidTr="00D23D0F">
        <w:tc>
          <w:tcPr>
            <w:tcW w:w="2448" w:type="dxa"/>
          </w:tcPr>
          <w:p w14:paraId="55D3CDEC" w14:textId="77777777" w:rsidR="00270D7F" w:rsidRPr="00D23D0F" w:rsidRDefault="00270D7F" w:rsidP="0033737B">
            <w:pPr>
              <w:rPr>
                <w:b/>
              </w:rPr>
            </w:pPr>
            <w:r>
              <w:rPr>
                <w:b/>
              </w:rPr>
              <w:t>HVDC</w:t>
            </w:r>
          </w:p>
        </w:tc>
        <w:tc>
          <w:tcPr>
            <w:tcW w:w="7128" w:type="dxa"/>
          </w:tcPr>
          <w:p w14:paraId="398FA748" w14:textId="77777777" w:rsidR="00270D7F" w:rsidRDefault="00270D7F" w:rsidP="0033737B">
            <w:r>
              <w:t>High-Voltage Direct Current</w:t>
            </w:r>
          </w:p>
        </w:tc>
      </w:tr>
      <w:tr w:rsidR="00270D7F" w14:paraId="5CA649F4" w14:textId="77777777" w:rsidTr="00D23D0F">
        <w:tc>
          <w:tcPr>
            <w:tcW w:w="2448" w:type="dxa"/>
          </w:tcPr>
          <w:p w14:paraId="4F946CD9" w14:textId="77777777" w:rsidR="00270D7F" w:rsidRPr="00D23D0F" w:rsidRDefault="00270D7F" w:rsidP="0033737B">
            <w:pPr>
              <w:rPr>
                <w:b/>
              </w:rPr>
            </w:pPr>
          </w:p>
        </w:tc>
        <w:tc>
          <w:tcPr>
            <w:tcW w:w="7128" w:type="dxa"/>
          </w:tcPr>
          <w:p w14:paraId="0C20AD55" w14:textId="77777777" w:rsidR="00270D7F" w:rsidRPr="00D723BF" w:rsidRDefault="00270D7F" w:rsidP="0033737B"/>
        </w:tc>
      </w:tr>
      <w:tr w:rsidR="00270D7F" w14:paraId="631F4413" w14:textId="77777777" w:rsidTr="00D23D0F">
        <w:tc>
          <w:tcPr>
            <w:tcW w:w="2448" w:type="dxa"/>
          </w:tcPr>
          <w:p w14:paraId="726FF8B1" w14:textId="77777777" w:rsidR="00270D7F" w:rsidRPr="00D23D0F" w:rsidRDefault="00270D7F" w:rsidP="0033737B">
            <w:pPr>
              <w:rPr>
                <w:b/>
              </w:rPr>
            </w:pPr>
            <w:r w:rsidRPr="00D23D0F">
              <w:rPr>
                <w:b/>
              </w:rPr>
              <w:t>Non-EIM</w:t>
            </w:r>
            <w:r>
              <w:rPr>
                <w:b/>
              </w:rPr>
              <w:t xml:space="preserve"> Entity</w:t>
            </w:r>
            <w:r w:rsidRPr="00D23D0F">
              <w:rPr>
                <w:b/>
              </w:rPr>
              <w:t xml:space="preserve"> BAA</w:t>
            </w:r>
          </w:p>
        </w:tc>
        <w:tc>
          <w:tcPr>
            <w:tcW w:w="7128" w:type="dxa"/>
          </w:tcPr>
          <w:p w14:paraId="4CA4A373" w14:textId="3230BA20" w:rsidR="00270D7F" w:rsidRPr="00095C4F" w:rsidRDefault="00270D7F" w:rsidP="0033737B">
            <w:r w:rsidRPr="00095C4F">
              <w:t xml:space="preserve">The Balancing Authority Area of Entity that is not participating in the </w:t>
            </w:r>
            <w:r w:rsidR="005F24C1">
              <w:t>Western Energy Imbalance Market</w:t>
            </w:r>
          </w:p>
        </w:tc>
      </w:tr>
      <w:tr w:rsidR="00270D7F" w14:paraId="4FE37392" w14:textId="77777777" w:rsidTr="00D23D0F">
        <w:tc>
          <w:tcPr>
            <w:tcW w:w="2448" w:type="dxa"/>
          </w:tcPr>
          <w:p w14:paraId="418369D0" w14:textId="77777777" w:rsidR="00270D7F" w:rsidRPr="00D23D0F" w:rsidRDefault="00270D7F" w:rsidP="0033737B">
            <w:pPr>
              <w:rPr>
                <w:b/>
              </w:rPr>
            </w:pPr>
            <w:r>
              <w:rPr>
                <w:b/>
              </w:rPr>
              <w:t>NSI</w:t>
            </w:r>
          </w:p>
        </w:tc>
        <w:tc>
          <w:tcPr>
            <w:tcW w:w="7128" w:type="dxa"/>
          </w:tcPr>
          <w:p w14:paraId="697F3364" w14:textId="77777777" w:rsidR="00270D7F" w:rsidRPr="00095C4F" w:rsidRDefault="00270D7F" w:rsidP="0033737B">
            <w:r>
              <w:t>Net Scheduled Interchange</w:t>
            </w:r>
          </w:p>
        </w:tc>
      </w:tr>
      <w:tr w:rsidR="00270D7F" w14:paraId="2EFA5212" w14:textId="77777777" w:rsidTr="00D23D0F">
        <w:tc>
          <w:tcPr>
            <w:tcW w:w="2448" w:type="dxa"/>
          </w:tcPr>
          <w:p w14:paraId="63D5859F" w14:textId="77777777" w:rsidR="00270D7F" w:rsidRPr="00D23D0F" w:rsidRDefault="00270D7F" w:rsidP="0033737B">
            <w:pPr>
              <w:rPr>
                <w:b/>
              </w:rPr>
            </w:pPr>
            <w:r>
              <w:rPr>
                <w:b/>
              </w:rPr>
              <w:lastRenderedPageBreak/>
              <w:t>OCO</w:t>
            </w:r>
          </w:p>
        </w:tc>
        <w:tc>
          <w:tcPr>
            <w:tcW w:w="7128" w:type="dxa"/>
          </w:tcPr>
          <w:p w14:paraId="11741FF2" w14:textId="77777777" w:rsidR="00270D7F" w:rsidRPr="00095C4F" w:rsidRDefault="00270D7F" w:rsidP="0033737B">
            <w:r>
              <w:t>Outage Coordination Office</w:t>
            </w:r>
          </w:p>
        </w:tc>
      </w:tr>
      <w:tr w:rsidR="00270D7F" w14:paraId="214D7FA1" w14:textId="77777777" w:rsidTr="00D23D0F">
        <w:tc>
          <w:tcPr>
            <w:tcW w:w="2448" w:type="dxa"/>
          </w:tcPr>
          <w:p w14:paraId="542B3722" w14:textId="77777777" w:rsidR="00270D7F" w:rsidRPr="00190C1B" w:rsidRDefault="00270D7F" w:rsidP="0033737B">
            <w:pPr>
              <w:rPr>
                <w:b/>
                <w:highlight w:val="yellow"/>
              </w:rPr>
            </w:pPr>
            <w:r w:rsidRPr="006C649B" w:rsidDel="00B53E8D">
              <w:rPr>
                <w:b/>
              </w:rPr>
              <w:t>OMS</w:t>
            </w:r>
          </w:p>
        </w:tc>
        <w:tc>
          <w:tcPr>
            <w:tcW w:w="7128" w:type="dxa"/>
          </w:tcPr>
          <w:p w14:paraId="18EEEED7" w14:textId="32C03FC9" w:rsidR="00270D7F" w:rsidRPr="00095C4F" w:rsidRDefault="00B722C6" w:rsidP="0033737B">
            <w:r>
              <w:t>o</w:t>
            </w:r>
            <w:r w:rsidR="00270D7F" w:rsidDel="00B53E8D">
              <w:t xml:space="preserve">utage </w:t>
            </w:r>
            <w:r>
              <w:t>m</w:t>
            </w:r>
            <w:r w:rsidR="00270D7F" w:rsidDel="00B53E8D">
              <w:t xml:space="preserve">anagement </w:t>
            </w:r>
            <w:r>
              <w:t>s</w:t>
            </w:r>
            <w:r w:rsidR="00270D7F" w:rsidDel="00B53E8D">
              <w:t>ystem</w:t>
            </w:r>
          </w:p>
        </w:tc>
      </w:tr>
      <w:tr w:rsidR="00270D7F" w14:paraId="05452CD3" w14:textId="77777777" w:rsidTr="00D23D0F">
        <w:tc>
          <w:tcPr>
            <w:tcW w:w="2448" w:type="dxa"/>
          </w:tcPr>
          <w:p w14:paraId="35260EF1" w14:textId="77777777" w:rsidR="00270D7F" w:rsidRPr="00190C1B" w:rsidRDefault="00270D7F" w:rsidP="0033737B">
            <w:pPr>
              <w:rPr>
                <w:b/>
                <w:highlight w:val="yellow"/>
              </w:rPr>
            </w:pPr>
            <w:r w:rsidRPr="001A5070">
              <w:rPr>
                <w:b/>
              </w:rPr>
              <w:t>PSE</w:t>
            </w:r>
          </w:p>
        </w:tc>
        <w:tc>
          <w:tcPr>
            <w:tcW w:w="7128" w:type="dxa"/>
          </w:tcPr>
          <w:p w14:paraId="10180A05" w14:textId="2FDF3559" w:rsidR="00270D7F" w:rsidRPr="00095C4F" w:rsidRDefault="00994496" w:rsidP="0033737B">
            <w:r>
              <w:t>Purchas</w:t>
            </w:r>
            <w:r w:rsidDel="00C51A2E">
              <w:t>i</w:t>
            </w:r>
            <w:r>
              <w:t>ng</w:t>
            </w:r>
            <w:r w:rsidR="00270D7F">
              <w:t xml:space="preserve"> Selling Entity</w:t>
            </w:r>
          </w:p>
        </w:tc>
      </w:tr>
      <w:tr w:rsidR="00270D7F" w14:paraId="05949DBD" w14:textId="77777777" w:rsidTr="00D23D0F">
        <w:tc>
          <w:tcPr>
            <w:tcW w:w="2448" w:type="dxa"/>
          </w:tcPr>
          <w:p w14:paraId="49D5474F" w14:textId="77777777" w:rsidR="00270D7F" w:rsidRPr="00190C1B" w:rsidRDefault="00270D7F" w:rsidP="0033737B">
            <w:pPr>
              <w:rPr>
                <w:b/>
                <w:highlight w:val="yellow"/>
              </w:rPr>
            </w:pPr>
            <w:r w:rsidRPr="009762A8">
              <w:rPr>
                <w:b/>
              </w:rPr>
              <w:t>RDT</w:t>
            </w:r>
          </w:p>
        </w:tc>
        <w:tc>
          <w:tcPr>
            <w:tcW w:w="7128" w:type="dxa"/>
          </w:tcPr>
          <w:p w14:paraId="161D856F" w14:textId="77777777" w:rsidR="00270D7F" w:rsidRPr="00095C4F" w:rsidRDefault="00270D7F" w:rsidP="0033737B">
            <w:r>
              <w:t>Resource Data Template</w:t>
            </w:r>
          </w:p>
        </w:tc>
      </w:tr>
      <w:tr w:rsidR="00270D7F" w14:paraId="1C49BD12" w14:textId="77777777" w:rsidTr="00D23D0F">
        <w:tc>
          <w:tcPr>
            <w:tcW w:w="2448" w:type="dxa"/>
          </w:tcPr>
          <w:p w14:paraId="317407CB" w14:textId="77777777" w:rsidR="00270D7F" w:rsidRPr="00D23D0F" w:rsidRDefault="00270D7F" w:rsidP="0033737B">
            <w:pPr>
              <w:rPr>
                <w:b/>
              </w:rPr>
            </w:pPr>
            <w:r>
              <w:rPr>
                <w:b/>
              </w:rPr>
              <w:t>RTM</w:t>
            </w:r>
          </w:p>
        </w:tc>
        <w:tc>
          <w:tcPr>
            <w:tcW w:w="7128" w:type="dxa"/>
          </w:tcPr>
          <w:p w14:paraId="4B5BD00F" w14:textId="77777777" w:rsidR="00270D7F" w:rsidRPr="00095C4F" w:rsidRDefault="00270D7F" w:rsidP="0033737B">
            <w:r>
              <w:t>Real-Time Market</w:t>
            </w:r>
          </w:p>
        </w:tc>
      </w:tr>
      <w:tr w:rsidR="00270D7F" w14:paraId="56900F93" w14:textId="77777777" w:rsidTr="00D23D0F">
        <w:tc>
          <w:tcPr>
            <w:tcW w:w="2448" w:type="dxa"/>
          </w:tcPr>
          <w:p w14:paraId="53E72B69" w14:textId="77777777" w:rsidR="00270D7F" w:rsidRPr="001A5070" w:rsidRDefault="00270D7F" w:rsidP="0033737B">
            <w:pPr>
              <w:rPr>
                <w:b/>
              </w:rPr>
            </w:pPr>
            <w:r w:rsidRPr="001A5070">
              <w:rPr>
                <w:b/>
              </w:rPr>
              <w:t>WECC RC</w:t>
            </w:r>
          </w:p>
        </w:tc>
        <w:tc>
          <w:tcPr>
            <w:tcW w:w="7128" w:type="dxa"/>
          </w:tcPr>
          <w:p w14:paraId="66794D1C" w14:textId="77777777" w:rsidR="00270D7F" w:rsidRDefault="00270D7F" w:rsidP="0033737B">
            <w:r>
              <w:t>Western Electricity Coordinating Council Reliability Coordinator</w:t>
            </w:r>
          </w:p>
        </w:tc>
      </w:tr>
    </w:tbl>
    <w:p w14:paraId="6FB26386" w14:textId="77777777" w:rsidR="0033737B" w:rsidRDefault="0033737B" w:rsidP="0033737B"/>
    <w:p w14:paraId="29A105D1" w14:textId="77777777" w:rsidR="009D4F0E" w:rsidRDefault="009D4F0E" w:rsidP="0033737B"/>
    <w:p w14:paraId="2168D967" w14:textId="77777777" w:rsidR="00D723BF" w:rsidRDefault="00D723BF" w:rsidP="00C33762">
      <w:pPr>
        <w:pStyle w:val="Heading2"/>
      </w:pPr>
      <w:bookmarkStart w:id="2292" w:name="_Toc389662619"/>
      <w:bookmarkStart w:id="2293" w:name="_Toc390946313"/>
      <w:bookmarkStart w:id="2294" w:name="_Toc391969878"/>
      <w:bookmarkStart w:id="2295" w:name="_Toc229054539"/>
      <w:r>
        <w:t>Definitions</w:t>
      </w:r>
      <w:bookmarkEnd w:id="2292"/>
      <w:bookmarkEnd w:id="2293"/>
      <w:bookmarkEnd w:id="2294"/>
      <w:bookmarkEnd w:id="2295"/>
    </w:p>
    <w:p w14:paraId="4E68F9EB" w14:textId="1F30095D" w:rsidR="00D723BF" w:rsidRDefault="00D723BF" w:rsidP="00D723BF">
      <w:r>
        <w:t>In this section you will find terms and definitions that are used in the CAISO</w:t>
      </w:r>
      <w:r w:rsidR="005F24C1">
        <w:t xml:space="preserve"> WEIM </w:t>
      </w:r>
      <w:r>
        <w:t>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934"/>
      </w:tblGrid>
      <w:tr w:rsidR="00D723BF" w14:paraId="46B0708C" w14:textId="77777777" w:rsidTr="00D23D0F">
        <w:trPr>
          <w:cantSplit/>
          <w:tblHeader/>
        </w:trPr>
        <w:tc>
          <w:tcPr>
            <w:tcW w:w="2448" w:type="dxa"/>
            <w:shd w:val="clear" w:color="auto" w:fill="BFBFBF"/>
          </w:tcPr>
          <w:p w14:paraId="2C487A5F" w14:textId="77777777" w:rsidR="00D723BF" w:rsidRPr="00D23D0F" w:rsidRDefault="00D723BF" w:rsidP="00D23D0F">
            <w:pPr>
              <w:jc w:val="center"/>
              <w:rPr>
                <w:b/>
              </w:rPr>
            </w:pPr>
            <w:r w:rsidRPr="00D23D0F">
              <w:rPr>
                <w:b/>
              </w:rPr>
              <w:t>Term</w:t>
            </w:r>
          </w:p>
        </w:tc>
        <w:tc>
          <w:tcPr>
            <w:tcW w:w="7128" w:type="dxa"/>
            <w:shd w:val="clear" w:color="auto" w:fill="BFBFBF"/>
          </w:tcPr>
          <w:p w14:paraId="738B6BB8" w14:textId="77777777" w:rsidR="00D723BF" w:rsidRPr="00D23D0F" w:rsidRDefault="00D723BF" w:rsidP="00D23D0F">
            <w:pPr>
              <w:jc w:val="center"/>
              <w:rPr>
                <w:b/>
              </w:rPr>
            </w:pPr>
            <w:r w:rsidRPr="00D23D0F">
              <w:rPr>
                <w:b/>
              </w:rPr>
              <w:t>Definition</w:t>
            </w:r>
          </w:p>
        </w:tc>
      </w:tr>
      <w:tr w:rsidR="00C076F3" w14:paraId="4CECFBD2" w14:textId="77777777" w:rsidTr="00D23D0F">
        <w:trPr>
          <w:trHeight w:val="1115"/>
        </w:trPr>
        <w:tc>
          <w:tcPr>
            <w:tcW w:w="2448" w:type="dxa"/>
          </w:tcPr>
          <w:p w14:paraId="79DA8AB1" w14:textId="77777777" w:rsidR="00C076F3" w:rsidRPr="00D23D0F" w:rsidRDefault="00C076F3" w:rsidP="00D723BF">
            <w:pPr>
              <w:rPr>
                <w:b/>
              </w:rPr>
            </w:pPr>
            <w:r w:rsidRPr="00D23D0F">
              <w:rPr>
                <w:b/>
              </w:rPr>
              <w:t>Base Schedule</w:t>
            </w:r>
          </w:p>
        </w:tc>
        <w:tc>
          <w:tcPr>
            <w:tcW w:w="7128" w:type="dxa"/>
          </w:tcPr>
          <w:p w14:paraId="50078E5A" w14:textId="77777777" w:rsidR="00C076F3" w:rsidRDefault="00BB16D7" w:rsidP="00D723BF">
            <w:r>
              <w:t xml:space="preserve">A </w:t>
            </w:r>
            <w:r w:rsidR="00C076F3" w:rsidRPr="00416BF8">
              <w:t>forward energy schedule, with hourly granularity, that is the baseline to measure deviations for set</w:t>
            </w:r>
            <w:r w:rsidR="000B6D3C">
              <w:t>tlement through the EIM.  Base S</w:t>
            </w:r>
            <w:r w:rsidR="00C076F3" w:rsidRPr="00416BF8">
              <w:t>chedules include the hourly forecasts of load, hourly generation schedules</w:t>
            </w:r>
            <w:r w:rsidR="00D107C6">
              <w:t>,</w:t>
            </w:r>
            <w:r w:rsidR="00C076F3" w:rsidRPr="00416BF8">
              <w:t xml:space="preserve"> and hourly interchange schedules.</w:t>
            </w:r>
          </w:p>
        </w:tc>
      </w:tr>
      <w:tr w:rsidR="00C076F3" w14:paraId="7153CBA3" w14:textId="77777777" w:rsidTr="00D23D0F">
        <w:tc>
          <w:tcPr>
            <w:tcW w:w="2448" w:type="dxa"/>
          </w:tcPr>
          <w:p w14:paraId="3A857B0F" w14:textId="77777777" w:rsidR="00C076F3" w:rsidRPr="00D23D0F" w:rsidRDefault="00C076F3" w:rsidP="00D23D0F">
            <w:pPr>
              <w:rPr>
                <w:b/>
              </w:rPr>
            </w:pPr>
            <w:r w:rsidRPr="00D23D0F">
              <w:rPr>
                <w:b/>
              </w:rPr>
              <w:t>EIM Entity</w:t>
            </w:r>
          </w:p>
        </w:tc>
        <w:tc>
          <w:tcPr>
            <w:tcW w:w="7128" w:type="dxa"/>
          </w:tcPr>
          <w:p w14:paraId="2DCECB23" w14:textId="51B3706A" w:rsidR="00C076F3" w:rsidRDefault="005819D4" w:rsidP="00D723BF">
            <w:r>
              <w:t>A Balancing Authority that represents one or more</w:t>
            </w:r>
            <w:r w:rsidR="005F24C1">
              <w:t xml:space="preserve"> WEIM </w:t>
            </w:r>
            <w:r>
              <w:t xml:space="preserve">Transmission Service Providers and that enters into </w:t>
            </w:r>
            <w:r w:rsidR="00153940">
              <w:t>a WEIM</w:t>
            </w:r>
            <w:r w:rsidR="005F24C1">
              <w:t xml:space="preserve"> </w:t>
            </w:r>
            <w:r w:rsidR="001B06BF">
              <w:t xml:space="preserve">Entity Agreement with </w:t>
            </w:r>
            <w:r>
              <w:t xml:space="preserve">CAISO to enable the operation of the </w:t>
            </w:r>
            <w:r w:rsidR="00FC30E3">
              <w:t>Real-Time</w:t>
            </w:r>
            <w:r>
              <w:t xml:space="preserve"> Market in its Balancing Authority Area (BAA).  </w:t>
            </w:r>
          </w:p>
        </w:tc>
      </w:tr>
      <w:tr w:rsidR="00C076F3" w14:paraId="52DE7101" w14:textId="77777777" w:rsidTr="00D23D0F">
        <w:tc>
          <w:tcPr>
            <w:tcW w:w="2448" w:type="dxa"/>
          </w:tcPr>
          <w:p w14:paraId="36B828D2" w14:textId="77777777" w:rsidR="00C076F3" w:rsidRPr="00D23D0F" w:rsidRDefault="00C076F3" w:rsidP="00D23D0F">
            <w:pPr>
              <w:rPr>
                <w:b/>
              </w:rPr>
            </w:pPr>
            <w:r w:rsidRPr="00D23D0F">
              <w:rPr>
                <w:b/>
              </w:rPr>
              <w:t>EIM Entity Scheduling Coordinator</w:t>
            </w:r>
          </w:p>
        </w:tc>
        <w:tc>
          <w:tcPr>
            <w:tcW w:w="7128" w:type="dxa"/>
          </w:tcPr>
          <w:p w14:paraId="5202DCD3" w14:textId="685BA01F" w:rsidR="00C076F3" w:rsidRDefault="0052515C" w:rsidP="00D723BF">
            <w:r>
              <w:t>The</w:t>
            </w:r>
            <w:r w:rsidR="005F24C1">
              <w:t xml:space="preserve"> WEIM </w:t>
            </w:r>
            <w:r>
              <w:t>Entity or a third party designated by the</w:t>
            </w:r>
            <w:r w:rsidR="005F24C1">
              <w:t xml:space="preserve"> WEIM </w:t>
            </w:r>
            <w:r w:rsidR="001B06BF">
              <w:t xml:space="preserve">Entity that is certified by </w:t>
            </w:r>
            <w:r>
              <w:t xml:space="preserve">CAISO and that enters into </w:t>
            </w:r>
            <w:r w:rsidR="00153940">
              <w:t>a WEIM</w:t>
            </w:r>
            <w:r w:rsidR="005F24C1">
              <w:t xml:space="preserve"> </w:t>
            </w:r>
            <w:r>
              <w:t>Entity Scheduling Coordinator Agreement, under which it is a Scheduling Coordinator and a Market Participant and is responsible for meeting the requirements specified in Section 29 on behalf of the</w:t>
            </w:r>
            <w:r w:rsidR="005F24C1">
              <w:t xml:space="preserve"> WEIM </w:t>
            </w:r>
            <w:r>
              <w:t xml:space="preserve">Entity.  </w:t>
            </w:r>
          </w:p>
        </w:tc>
      </w:tr>
      <w:tr w:rsidR="00914FDE" w14:paraId="15A9F3ED" w14:textId="77777777" w:rsidTr="00D23D0F">
        <w:trPr>
          <w:trHeight w:val="1520"/>
        </w:trPr>
        <w:tc>
          <w:tcPr>
            <w:tcW w:w="2448" w:type="dxa"/>
          </w:tcPr>
          <w:p w14:paraId="3AA211D9" w14:textId="77777777" w:rsidR="00914FDE" w:rsidRPr="00D23D0F" w:rsidRDefault="00914FDE" w:rsidP="00D23D0F">
            <w:pPr>
              <w:rPr>
                <w:b/>
              </w:rPr>
            </w:pPr>
            <w:r>
              <w:rPr>
                <w:b/>
              </w:rPr>
              <w:t>EIM BAA</w:t>
            </w:r>
          </w:p>
        </w:tc>
        <w:tc>
          <w:tcPr>
            <w:tcW w:w="7128" w:type="dxa"/>
          </w:tcPr>
          <w:p w14:paraId="76938D8B" w14:textId="3F94050F" w:rsidR="00914FDE" w:rsidRDefault="00C57135" w:rsidP="00D723BF">
            <w:r>
              <w:t xml:space="preserve"> I</w:t>
            </w:r>
            <w:r w:rsidR="00DF02D8">
              <w:t>n</w:t>
            </w:r>
            <w:r>
              <w:t>dividual</w:t>
            </w:r>
            <w:r w:rsidR="005F24C1">
              <w:t xml:space="preserve"> WEIM </w:t>
            </w:r>
            <w:r>
              <w:t xml:space="preserve">BAA, include </w:t>
            </w:r>
            <w:r w:rsidR="0058562B">
              <w:t>CA</w:t>
            </w:r>
            <w:r>
              <w:t>ISO</w:t>
            </w:r>
          </w:p>
        </w:tc>
      </w:tr>
      <w:tr w:rsidR="00914FDE" w14:paraId="4B76FC3C" w14:textId="77777777" w:rsidTr="00D23D0F">
        <w:trPr>
          <w:trHeight w:val="1520"/>
        </w:trPr>
        <w:tc>
          <w:tcPr>
            <w:tcW w:w="2448" w:type="dxa"/>
          </w:tcPr>
          <w:p w14:paraId="33FF8A43" w14:textId="77777777" w:rsidR="00914FDE" w:rsidRDefault="00914FDE" w:rsidP="00C57135">
            <w:pPr>
              <w:rPr>
                <w:b/>
              </w:rPr>
            </w:pPr>
            <w:r>
              <w:rPr>
                <w:b/>
              </w:rPr>
              <w:lastRenderedPageBreak/>
              <w:t xml:space="preserve">EIM </w:t>
            </w:r>
            <w:r w:rsidR="00C57135">
              <w:rPr>
                <w:b/>
              </w:rPr>
              <w:t>footprint</w:t>
            </w:r>
          </w:p>
        </w:tc>
        <w:tc>
          <w:tcPr>
            <w:tcW w:w="7128" w:type="dxa"/>
          </w:tcPr>
          <w:p w14:paraId="6D680AE6" w14:textId="18DD0575" w:rsidR="00914FDE" w:rsidRDefault="00DF02D8" w:rsidP="00C57135">
            <w:r>
              <w:t>I</w:t>
            </w:r>
            <w:r w:rsidR="00C57135">
              <w:t>nclude</w:t>
            </w:r>
            <w:r>
              <w:t>s</w:t>
            </w:r>
            <w:r w:rsidR="00C57135">
              <w:t xml:space="preserve"> all</w:t>
            </w:r>
            <w:r w:rsidR="005F24C1">
              <w:t xml:space="preserve"> WEIM </w:t>
            </w:r>
            <w:r w:rsidR="00C57135">
              <w:t xml:space="preserve">BAAs and </w:t>
            </w:r>
            <w:r w:rsidR="0058562B">
              <w:t>CA</w:t>
            </w:r>
            <w:r w:rsidR="00C57135">
              <w:t>ISO</w:t>
            </w:r>
          </w:p>
        </w:tc>
      </w:tr>
      <w:tr w:rsidR="00C076F3" w14:paraId="09594665" w14:textId="77777777" w:rsidTr="00D23D0F">
        <w:trPr>
          <w:trHeight w:val="1520"/>
        </w:trPr>
        <w:tc>
          <w:tcPr>
            <w:tcW w:w="2448" w:type="dxa"/>
          </w:tcPr>
          <w:p w14:paraId="2EB76C2E" w14:textId="77777777" w:rsidR="00C076F3" w:rsidRPr="00D23D0F" w:rsidRDefault="00C076F3" w:rsidP="00D23D0F">
            <w:pPr>
              <w:rPr>
                <w:b/>
              </w:rPr>
            </w:pPr>
            <w:r w:rsidRPr="00D23D0F">
              <w:rPr>
                <w:b/>
              </w:rPr>
              <w:t>EIM Net Imbalance Interchange</w:t>
            </w:r>
          </w:p>
        </w:tc>
        <w:tc>
          <w:tcPr>
            <w:tcW w:w="7128" w:type="dxa"/>
          </w:tcPr>
          <w:p w14:paraId="4DBDE725" w14:textId="02BD476D" w:rsidR="00C076F3" w:rsidRPr="00D23D0F" w:rsidRDefault="00C076F3" w:rsidP="00D723BF">
            <w:pPr>
              <w:rPr>
                <w:b/>
              </w:rPr>
            </w:pPr>
            <w:r>
              <w:t>T</w:t>
            </w:r>
            <w:r w:rsidRPr="00416BF8">
              <w:t xml:space="preserve">he net energy transfer of real time between </w:t>
            </w:r>
            <w:r w:rsidR="00153940">
              <w:t>a WEIM</w:t>
            </w:r>
            <w:r w:rsidR="005F24C1">
              <w:t xml:space="preserve"> </w:t>
            </w:r>
            <w:r w:rsidRPr="00416BF8">
              <w:t xml:space="preserve">Entity BAA and the </w:t>
            </w:r>
            <w:r w:rsidR="006276DD">
              <w:t>CA</w:t>
            </w:r>
            <w:r w:rsidRPr="00416BF8">
              <w:t>ISO BAA or between</w:t>
            </w:r>
            <w:r w:rsidR="005F24C1">
              <w:t xml:space="preserve"> WEIM </w:t>
            </w:r>
            <w:r w:rsidRPr="00416BF8">
              <w:t>Entity BAAs as a result of</w:t>
            </w:r>
            <w:r w:rsidR="005F24C1">
              <w:t xml:space="preserve"> WEIM </w:t>
            </w:r>
            <w:r w:rsidRPr="00416BF8">
              <w:t>market optimization. It is calculated after the</w:t>
            </w:r>
            <w:r w:rsidR="005F24C1">
              <w:t xml:space="preserve"> WEIM </w:t>
            </w:r>
            <w:r w:rsidRPr="00416BF8">
              <w:t>market optimizatio</w:t>
            </w:r>
            <w:r w:rsidRPr="004E5DE0">
              <w:t>n,</w:t>
            </w:r>
            <w:r>
              <w:rPr>
                <w:color w:val="FF0000"/>
              </w:rPr>
              <w:t xml:space="preserve"> </w:t>
            </w:r>
            <w:r w:rsidR="000B6D3C">
              <w:t>excluding Base S</w:t>
            </w:r>
            <w:r w:rsidRPr="00D04CE6">
              <w:t>chedule.</w:t>
            </w:r>
            <w:r w:rsidR="005F24C1">
              <w:t xml:space="preserve"> WEIM </w:t>
            </w:r>
            <w:r w:rsidR="00373419">
              <w:rPr>
                <w:b/>
              </w:rPr>
              <w:t>T</w:t>
            </w:r>
            <w:r w:rsidRPr="00D23D0F">
              <w:rPr>
                <w:b/>
              </w:rPr>
              <w:t xml:space="preserve">ransfer out </w:t>
            </w:r>
            <w:r w:rsidRPr="00416BF8">
              <w:t>is the net imbalance energy export from the</w:t>
            </w:r>
            <w:r w:rsidR="005F24C1">
              <w:t xml:space="preserve"> WEIM </w:t>
            </w:r>
            <w:r w:rsidR="00204D20">
              <w:t>Entity</w:t>
            </w:r>
            <w:r w:rsidRPr="00416BF8">
              <w:t xml:space="preserve"> BAA</w:t>
            </w:r>
            <w:r w:rsidRPr="00D23D0F">
              <w:rPr>
                <w:b/>
              </w:rPr>
              <w:t>.</w:t>
            </w:r>
            <w:r w:rsidR="005F24C1">
              <w:rPr>
                <w:b/>
              </w:rPr>
              <w:t xml:space="preserve"> WEIM </w:t>
            </w:r>
            <w:r w:rsidR="00373419">
              <w:rPr>
                <w:b/>
              </w:rPr>
              <w:t>T</w:t>
            </w:r>
            <w:r w:rsidRPr="00D23D0F">
              <w:rPr>
                <w:b/>
              </w:rPr>
              <w:t xml:space="preserve">ransfer in </w:t>
            </w:r>
            <w:r w:rsidRPr="00416BF8">
              <w:t>is the net imbalance energy import to the</w:t>
            </w:r>
            <w:r w:rsidR="005F24C1">
              <w:t xml:space="preserve"> WEIM </w:t>
            </w:r>
            <w:r w:rsidR="00204D20">
              <w:t xml:space="preserve">Entity </w:t>
            </w:r>
            <w:r w:rsidRPr="00416BF8">
              <w:t>BAA</w:t>
            </w:r>
            <w:r w:rsidRPr="00D23D0F">
              <w:rPr>
                <w:b/>
              </w:rPr>
              <w:t>.</w:t>
            </w:r>
          </w:p>
        </w:tc>
      </w:tr>
      <w:tr w:rsidR="00C076F3" w14:paraId="23A2B23E" w14:textId="77777777" w:rsidTr="00D23D0F">
        <w:tc>
          <w:tcPr>
            <w:tcW w:w="2448" w:type="dxa"/>
          </w:tcPr>
          <w:p w14:paraId="40EE3CE6" w14:textId="77777777" w:rsidR="00C076F3" w:rsidRDefault="00C076F3" w:rsidP="00D23D0F">
            <w:r w:rsidRPr="00D23D0F">
              <w:rPr>
                <w:b/>
                <w:bCs/>
              </w:rPr>
              <w:t>EIM Participating Resource</w:t>
            </w:r>
          </w:p>
        </w:tc>
        <w:tc>
          <w:tcPr>
            <w:tcW w:w="7128" w:type="dxa"/>
          </w:tcPr>
          <w:p w14:paraId="0EA323D7" w14:textId="668D43B2" w:rsidR="00C076F3" w:rsidRDefault="0052515C" w:rsidP="00F20C97">
            <w:r>
              <w:t xml:space="preserve">An owner of, operator of, or seller of Energy from </w:t>
            </w:r>
            <w:r w:rsidR="00153940">
              <w:t>a WEIM</w:t>
            </w:r>
            <w:r w:rsidR="005F24C1">
              <w:t xml:space="preserve"> </w:t>
            </w:r>
            <w:r>
              <w:t xml:space="preserve">Resource that elects to participate in the </w:t>
            </w:r>
            <w:r w:rsidR="00FC30E3">
              <w:t>Real-Time</w:t>
            </w:r>
            <w:r w:rsidR="007553F5">
              <w:t xml:space="preserve"> Market and enters into </w:t>
            </w:r>
            <w:r w:rsidR="00153940">
              <w:t>a WEIM</w:t>
            </w:r>
            <w:r w:rsidR="005F24C1">
              <w:t xml:space="preserve"> </w:t>
            </w:r>
            <w:r>
              <w:t>Participating Resource Agreement, under which it is responsible for meeting the requirements specified in Section 29</w:t>
            </w:r>
            <w:r w:rsidR="004E5DE0">
              <w:t xml:space="preserve"> of the Tariff</w:t>
            </w:r>
            <w:r>
              <w:t xml:space="preserve">. </w:t>
            </w:r>
          </w:p>
        </w:tc>
      </w:tr>
      <w:tr w:rsidR="00C076F3" w14:paraId="457B4AE3" w14:textId="77777777" w:rsidTr="00D23D0F">
        <w:tc>
          <w:tcPr>
            <w:tcW w:w="2448" w:type="dxa"/>
          </w:tcPr>
          <w:p w14:paraId="339CC4C6" w14:textId="77777777" w:rsidR="00C076F3" w:rsidRDefault="00C076F3" w:rsidP="00D23D0F">
            <w:r w:rsidRPr="00D23D0F">
              <w:rPr>
                <w:b/>
                <w:bCs/>
              </w:rPr>
              <w:t>EIM Participating Resource Scheduling Coordinator</w:t>
            </w:r>
          </w:p>
        </w:tc>
        <w:tc>
          <w:tcPr>
            <w:tcW w:w="7128" w:type="dxa"/>
          </w:tcPr>
          <w:p w14:paraId="2035A803" w14:textId="24C01884" w:rsidR="00C076F3" w:rsidRDefault="0052515C" w:rsidP="00D723BF">
            <w:r>
              <w:t>The</w:t>
            </w:r>
            <w:r w:rsidR="005F24C1">
              <w:t xml:space="preserve"> WEIM </w:t>
            </w:r>
            <w:r>
              <w:t>Participating Resource, or a third-party designated by the</w:t>
            </w:r>
            <w:r w:rsidR="005F24C1">
              <w:t xml:space="preserve"> WEIM </w:t>
            </w:r>
            <w:r>
              <w:t xml:space="preserve">Participating Resource, that is certified by CAISO and enters into </w:t>
            </w:r>
            <w:r w:rsidR="00153940">
              <w:t>a WEIM</w:t>
            </w:r>
            <w:r w:rsidR="005F24C1">
              <w:t xml:space="preserve"> </w:t>
            </w:r>
            <w:r>
              <w:t xml:space="preserve">Participating Resource Scheduling Coordinator Agreement, under which it is a Scheduling Coordinator and is responsible for meeting the requirements specified in Section 29 </w:t>
            </w:r>
            <w:r w:rsidR="004E5DE0">
              <w:t xml:space="preserve">of the Tariff </w:t>
            </w:r>
            <w:r>
              <w:t xml:space="preserve">on behalf of the resource.  </w:t>
            </w:r>
          </w:p>
        </w:tc>
      </w:tr>
      <w:tr w:rsidR="00C076F3" w14:paraId="7A27D913" w14:textId="77777777" w:rsidTr="00D23D0F">
        <w:tc>
          <w:tcPr>
            <w:tcW w:w="2448" w:type="dxa"/>
          </w:tcPr>
          <w:p w14:paraId="25F4D177" w14:textId="77777777" w:rsidR="00C076F3" w:rsidRPr="00D23D0F" w:rsidRDefault="00C076F3" w:rsidP="00D723BF">
            <w:pPr>
              <w:rPr>
                <w:b/>
              </w:rPr>
            </w:pPr>
            <w:r w:rsidRPr="00D23D0F">
              <w:rPr>
                <w:b/>
              </w:rPr>
              <w:t>EIM Transfer</w:t>
            </w:r>
          </w:p>
        </w:tc>
        <w:tc>
          <w:tcPr>
            <w:tcW w:w="7128" w:type="dxa"/>
          </w:tcPr>
          <w:p w14:paraId="3C148465" w14:textId="61B31B36" w:rsidR="00C076F3" w:rsidRDefault="004E5DE0" w:rsidP="00D723BF">
            <w:r>
              <w:t xml:space="preserve">The transfer of Energy in Real </w:t>
            </w:r>
            <w:r w:rsidR="0052515C">
              <w:t xml:space="preserve">Time between </w:t>
            </w:r>
            <w:r w:rsidR="00153940">
              <w:t>a WEIM</w:t>
            </w:r>
            <w:r w:rsidR="005F24C1">
              <w:t xml:space="preserve"> </w:t>
            </w:r>
            <w:r w:rsidR="0052515C">
              <w:t>Entity Balancing Authority Area and the CAISO Balancing Authority Area or between</w:t>
            </w:r>
            <w:r w:rsidR="005F24C1">
              <w:t xml:space="preserve"> WEIM </w:t>
            </w:r>
            <w:r w:rsidR="0052515C">
              <w:t>Entity Balancing Aut</w:t>
            </w:r>
            <w:r>
              <w:t>hority Areas using</w:t>
            </w:r>
            <w:r w:rsidR="0052515C">
              <w:t xml:space="preserve"> transmission capacity made available to the </w:t>
            </w:r>
            <w:r w:rsidR="00FC30E3">
              <w:t>Real-Time</w:t>
            </w:r>
            <w:r w:rsidR="0052515C">
              <w:t xml:space="preserve"> Market through the </w:t>
            </w:r>
            <w:r w:rsidR="005F24C1">
              <w:t>Western Energy Imbalance Market</w:t>
            </w:r>
            <w:r w:rsidR="0052515C">
              <w:t xml:space="preserve">. </w:t>
            </w:r>
          </w:p>
        </w:tc>
      </w:tr>
      <w:tr w:rsidR="00C076F3" w14:paraId="04ABFEAA" w14:textId="77777777" w:rsidTr="009D4F0E">
        <w:trPr>
          <w:cantSplit/>
        </w:trPr>
        <w:tc>
          <w:tcPr>
            <w:tcW w:w="2448" w:type="dxa"/>
          </w:tcPr>
          <w:p w14:paraId="65BFAB8E" w14:textId="6E45A5DE" w:rsidR="00C076F3" w:rsidRPr="00D23D0F" w:rsidRDefault="005F24C1" w:rsidP="00D23D0F">
            <w:pPr>
              <w:rPr>
                <w:b/>
              </w:rPr>
            </w:pPr>
            <w:r>
              <w:rPr>
                <w:b/>
              </w:rPr>
              <w:t>Western Energy Imbalance Market</w:t>
            </w:r>
            <w:r w:rsidR="00C076F3" w:rsidRPr="00D23D0F">
              <w:rPr>
                <w:b/>
              </w:rPr>
              <w:t xml:space="preserve"> (EIM)</w:t>
            </w:r>
          </w:p>
        </w:tc>
        <w:tc>
          <w:tcPr>
            <w:tcW w:w="7128" w:type="dxa"/>
          </w:tcPr>
          <w:p w14:paraId="052557F5" w14:textId="2C7ABE4C" w:rsidR="00C076F3" w:rsidRPr="00D723BF" w:rsidRDefault="005819D4" w:rsidP="00D723BF">
            <w:r>
              <w:t>The rules and procedur</w:t>
            </w:r>
            <w:r w:rsidR="009D507A">
              <w:t xml:space="preserve">es in </w:t>
            </w:r>
            <w:r w:rsidR="004E5DE0">
              <w:t xml:space="preserve">Tariff </w:t>
            </w:r>
            <w:r w:rsidR="009D507A">
              <w:t xml:space="preserve">Section 29 governing </w:t>
            </w:r>
            <w:r>
              <w:t xml:space="preserve">CAISO’s operation of the </w:t>
            </w:r>
            <w:r w:rsidR="00FC30E3">
              <w:t>Real-Time</w:t>
            </w:r>
            <w:r>
              <w:t xml:space="preserve"> Market in Balancing Authority Areas outside of the CAISO Balancing Authority Area and the participation of</w:t>
            </w:r>
            <w:r w:rsidR="005F24C1">
              <w:t xml:space="preserve"> WEIM </w:t>
            </w:r>
            <w:r>
              <w:t xml:space="preserve">Market Participants in the </w:t>
            </w:r>
            <w:r w:rsidR="00FC30E3">
              <w:t>Real-Time</w:t>
            </w:r>
            <w:r>
              <w:t xml:space="preserve"> Market.  </w:t>
            </w:r>
          </w:p>
        </w:tc>
      </w:tr>
      <w:tr w:rsidR="00C076F3" w14:paraId="6E11EC8C" w14:textId="77777777" w:rsidTr="00D23D0F">
        <w:tc>
          <w:tcPr>
            <w:tcW w:w="2448" w:type="dxa"/>
          </w:tcPr>
          <w:p w14:paraId="55557D20" w14:textId="236494B7" w:rsidR="00C076F3" w:rsidRPr="007F4F6B" w:rsidRDefault="00C076F3" w:rsidP="00D23D0F">
            <w:pPr>
              <w:rPr>
                <w:b/>
              </w:rPr>
            </w:pPr>
          </w:p>
        </w:tc>
        <w:tc>
          <w:tcPr>
            <w:tcW w:w="7128" w:type="dxa"/>
          </w:tcPr>
          <w:p w14:paraId="4BAE0566" w14:textId="64AA0154" w:rsidR="00C076F3" w:rsidRPr="005449BA" w:rsidRDefault="00C076F3" w:rsidP="00D723BF"/>
        </w:tc>
      </w:tr>
      <w:tr w:rsidR="00C076F3" w14:paraId="50E5E3E0" w14:textId="77777777" w:rsidTr="00C076F3">
        <w:tc>
          <w:tcPr>
            <w:tcW w:w="2448" w:type="dxa"/>
          </w:tcPr>
          <w:p w14:paraId="40ACB68A" w14:textId="77777777" w:rsidR="00C076F3" w:rsidRPr="00D23D0F" w:rsidRDefault="00C076F3" w:rsidP="00D723BF">
            <w:pPr>
              <w:rPr>
                <w:b/>
              </w:rPr>
            </w:pPr>
            <w:r w:rsidRPr="00D23D0F">
              <w:rPr>
                <w:b/>
              </w:rPr>
              <w:t>Non-Participating Loads</w:t>
            </w:r>
          </w:p>
        </w:tc>
        <w:tc>
          <w:tcPr>
            <w:tcW w:w="7128" w:type="dxa"/>
          </w:tcPr>
          <w:p w14:paraId="3CE39364" w14:textId="15AF92AC" w:rsidR="00C076F3" w:rsidRPr="00F87F52" w:rsidRDefault="00C076F3" w:rsidP="00F87F52">
            <w:r w:rsidRPr="00F87F52">
              <w:t>The</w:t>
            </w:r>
            <w:r w:rsidR="005F24C1">
              <w:t xml:space="preserve"> WEIM </w:t>
            </w:r>
            <w:r w:rsidRPr="00F87F52">
              <w:t>Entity SC shall receive the settlement for the non-participating load</w:t>
            </w:r>
            <w:r w:rsidR="009A4783">
              <w:t xml:space="preserve">.  </w:t>
            </w:r>
            <w:r w:rsidR="001A7FEF">
              <w:t>CAISO will s</w:t>
            </w:r>
            <w:r w:rsidRPr="00F87F52">
              <w:t>ettle</w:t>
            </w:r>
            <w:r w:rsidR="005F24C1">
              <w:t xml:space="preserve"> WEIM </w:t>
            </w:r>
            <w:r w:rsidRPr="00F87F52">
              <w:t>non-participating load UIE as the algebraic difference between the hourly</w:t>
            </w:r>
            <w:r w:rsidR="000B6D3C">
              <w:t xml:space="preserve"> meter data and the calculated Base S</w:t>
            </w:r>
            <w:r w:rsidRPr="00F87F52">
              <w:t>chedule</w:t>
            </w:r>
            <w:r w:rsidR="00FC30E3">
              <w:t xml:space="preserve"> at the applicable hourly Real-Time</w:t>
            </w:r>
            <w:r w:rsidRPr="00F87F52">
              <w:t xml:space="preserve"> LAP price</w:t>
            </w:r>
            <w:r w:rsidR="001A7FEF">
              <w:t xml:space="preserve"> using v</w:t>
            </w:r>
            <w:r w:rsidR="00C33986" w:rsidRPr="00F87F52">
              <w:t>olumetric</w:t>
            </w:r>
            <w:r w:rsidR="004E5DE0">
              <w:t xml:space="preserve"> weighted average LMP of 15-minute and 5-</w:t>
            </w:r>
            <w:r w:rsidRPr="00F87F52">
              <w:t>minute markets in that hour for the relevant LAP. T</w:t>
            </w:r>
            <w:r w:rsidR="00A479AD">
              <w:t>he weights in the calculation are as follows</w:t>
            </w:r>
            <w:r w:rsidRPr="00F87F52">
              <w:t>:</w:t>
            </w:r>
          </w:p>
          <w:p w14:paraId="019A3335" w14:textId="77777777" w:rsidR="00C076F3" w:rsidRPr="00F87F52" w:rsidRDefault="004E5DE0" w:rsidP="00F87F52">
            <w:r>
              <w:t>For the 15-</w:t>
            </w:r>
            <w:r w:rsidR="00C076F3" w:rsidRPr="00F87F52">
              <w:t xml:space="preserve">minute LMP, </w:t>
            </w:r>
            <w:r>
              <w:t>it is the difference between 15-</w:t>
            </w:r>
            <w:r w:rsidR="00C076F3" w:rsidRPr="00F87F52">
              <w:t xml:space="preserve">minute demand forecast and the demand forecast </w:t>
            </w:r>
            <w:r>
              <w:t xml:space="preserve">that </w:t>
            </w:r>
            <w:r w:rsidR="00C076F3" w:rsidRPr="00F87F52">
              <w:t>was used to calculated base load a</w:t>
            </w:r>
            <w:r>
              <w:t>t T-40 (Load + Loss). For the 5-</w:t>
            </w:r>
            <w:r w:rsidR="00C076F3" w:rsidRPr="00F87F52">
              <w:t>minute LMP,</w:t>
            </w:r>
            <w:r>
              <w:t xml:space="preserve"> it is the difference between 5-minute and 15-</w:t>
            </w:r>
            <w:r w:rsidR="00C076F3" w:rsidRPr="00F87F52">
              <w:t>minute demand forecast. The LMP is bounded by Max/Min LMP over the hour:</w:t>
            </w:r>
          </w:p>
          <w:p w14:paraId="13AB1D7F" w14:textId="77777777" w:rsidR="00C076F3" w:rsidRPr="00F87F52" w:rsidRDefault="00C076F3" w:rsidP="00F87F52">
            <w:r w:rsidRPr="00F87F52">
              <w:t xml:space="preserve">For Hourly LMP , is the sum of (15-minute LMP * 15-minute demand forecast deviation from the demand forecast that was used to </w:t>
            </w:r>
            <w:r w:rsidR="004E5DE0">
              <w:t>calculate the base load at T-40</w:t>
            </w:r>
            <w:r w:rsidRPr="00F87F52">
              <w:t xml:space="preserve">) over four 15-minute intervals + Sum of (5-minute LMP * 5-minute demand forecast  deviation from </w:t>
            </w:r>
            <w:r w:rsidR="004E5DE0">
              <w:t xml:space="preserve">the 15-minute demand forecast) </w:t>
            </w:r>
            <w:r w:rsidRPr="00F87F52">
              <w:t xml:space="preserve">over twelve 5-minute intervals   </w:t>
            </w:r>
          </w:p>
          <w:p w14:paraId="26974F2E" w14:textId="77777777" w:rsidR="00C076F3" w:rsidRPr="00F87F52" w:rsidRDefault="00C076F3" w:rsidP="00F87F52">
            <w:r w:rsidRPr="00F87F52">
              <w:t>divided by</w:t>
            </w:r>
          </w:p>
          <w:p w14:paraId="15C565FA" w14:textId="77777777" w:rsidR="00C076F3" w:rsidRDefault="004E5DE0" w:rsidP="00F87F52">
            <w:r>
              <w:t>The sum of [</w:t>
            </w:r>
            <w:r w:rsidR="00C076F3" w:rsidRPr="00F87F52">
              <w:t>15-minute demand forecast deviation from the demand forecast that was used to calculate base load at T-40   o</w:t>
            </w:r>
            <w:r>
              <w:t>ver four 15-minute intervals + the s</w:t>
            </w:r>
            <w:r w:rsidR="00C076F3" w:rsidRPr="00F87F52">
              <w:t>um of (5-minute demand forecast deviation from the 15-minute demand forecast) over twelve 5-minut</w:t>
            </w:r>
            <w:r>
              <w:t>e intervals</w:t>
            </w:r>
            <w:r w:rsidR="00C076F3" w:rsidRPr="00F87F52">
              <w:t>]</w:t>
            </w:r>
          </w:p>
        </w:tc>
      </w:tr>
      <w:tr w:rsidR="00270D7F" w14:paraId="0745333E" w14:textId="77777777" w:rsidTr="00D23D0F">
        <w:tc>
          <w:tcPr>
            <w:tcW w:w="2448" w:type="dxa"/>
          </w:tcPr>
          <w:p w14:paraId="1E63E57A" w14:textId="77777777" w:rsidR="00270D7F" w:rsidRPr="00D23D0F" w:rsidRDefault="00270D7F" w:rsidP="00D723BF">
            <w:pPr>
              <w:rPr>
                <w:b/>
              </w:rPr>
            </w:pPr>
            <w:r w:rsidRPr="00D23D0F">
              <w:rPr>
                <w:b/>
              </w:rPr>
              <w:t>Non-Participating Resource</w:t>
            </w:r>
          </w:p>
        </w:tc>
        <w:tc>
          <w:tcPr>
            <w:tcW w:w="7128" w:type="dxa"/>
          </w:tcPr>
          <w:p w14:paraId="79673410" w14:textId="24C40685" w:rsidR="00270D7F" w:rsidRDefault="00270D7F" w:rsidP="00D723BF">
            <w:r w:rsidRPr="00F87F52">
              <w:t xml:space="preserve">A resource located within </w:t>
            </w:r>
            <w:r w:rsidR="00153940">
              <w:t>a WEIM</w:t>
            </w:r>
            <w:r w:rsidR="005F24C1">
              <w:t xml:space="preserve"> </w:t>
            </w:r>
            <w:r w:rsidRPr="00F87F52">
              <w:t>Entity that chooses not to make its resource available for dispatchin</w:t>
            </w:r>
            <w:r>
              <w:t>g in the Real-Time Market. The Entity Scheduling C</w:t>
            </w:r>
            <w:r w:rsidRPr="00F87F52">
              <w:t>oordinator must ensure that these resources are accounted</w:t>
            </w:r>
            <w:r>
              <w:t xml:space="preserve"> for when determining balanced Base S</w:t>
            </w:r>
            <w:r w:rsidRPr="00F87F52">
              <w:t>chedules.</w:t>
            </w:r>
          </w:p>
        </w:tc>
      </w:tr>
      <w:tr w:rsidR="00270D7F" w14:paraId="514DF9ED" w14:textId="77777777" w:rsidTr="00D23D0F">
        <w:tc>
          <w:tcPr>
            <w:tcW w:w="2448" w:type="dxa"/>
          </w:tcPr>
          <w:p w14:paraId="04CB7485" w14:textId="77777777" w:rsidR="00270D7F" w:rsidRPr="00190C1B" w:rsidRDefault="00270D7F" w:rsidP="00D723BF">
            <w:pPr>
              <w:rPr>
                <w:b/>
                <w:highlight w:val="yellow"/>
              </w:rPr>
            </w:pPr>
            <w:r w:rsidRPr="0028031A">
              <w:rPr>
                <w:b/>
              </w:rPr>
              <w:t>NSI Forecast</w:t>
            </w:r>
          </w:p>
        </w:tc>
        <w:tc>
          <w:tcPr>
            <w:tcW w:w="7128" w:type="dxa"/>
          </w:tcPr>
          <w:p w14:paraId="0C41BF21" w14:textId="77777777" w:rsidR="00270D7F" w:rsidRPr="00F87F52" w:rsidRDefault="00270D7F" w:rsidP="00D723BF">
            <w:r>
              <w:t>Net-Scheduled Interchange Forecast</w:t>
            </w:r>
          </w:p>
        </w:tc>
      </w:tr>
      <w:tr w:rsidR="00270D7F" w14:paraId="71909696" w14:textId="77777777" w:rsidTr="0052515C">
        <w:tc>
          <w:tcPr>
            <w:tcW w:w="2448" w:type="dxa"/>
            <w:tcBorders>
              <w:top w:val="single" w:sz="4" w:space="0" w:color="auto"/>
              <w:left w:val="single" w:sz="4" w:space="0" w:color="auto"/>
              <w:bottom w:val="single" w:sz="4" w:space="0" w:color="auto"/>
              <w:right w:val="single" w:sz="4" w:space="0" w:color="auto"/>
            </w:tcBorders>
            <w:hideMark/>
          </w:tcPr>
          <w:p w14:paraId="3779E7FE" w14:textId="77777777" w:rsidR="00270D7F" w:rsidRPr="003D2EC1" w:rsidRDefault="00270D7F">
            <w:pPr>
              <w:rPr>
                <w:b/>
              </w:rPr>
            </w:pPr>
            <w:r w:rsidRPr="003D2EC1">
              <w:rPr>
                <w:b/>
              </w:rPr>
              <w:t xml:space="preserve">Operating Day </w:t>
            </w:r>
          </w:p>
        </w:tc>
        <w:tc>
          <w:tcPr>
            <w:tcW w:w="7128" w:type="dxa"/>
            <w:tcBorders>
              <w:top w:val="single" w:sz="4" w:space="0" w:color="auto"/>
              <w:left w:val="single" w:sz="4" w:space="0" w:color="auto"/>
              <w:bottom w:val="single" w:sz="4" w:space="0" w:color="auto"/>
              <w:right w:val="single" w:sz="4" w:space="0" w:color="auto"/>
            </w:tcBorders>
          </w:tcPr>
          <w:p w14:paraId="5AC5CE84" w14:textId="77777777" w:rsidR="00270D7F" w:rsidRPr="003D2EC1" w:rsidRDefault="00270D7F" w:rsidP="003D2EC1">
            <w:pPr>
              <w:widowControl w:val="0"/>
              <w:rPr>
                <w:rFonts w:cs="Arial"/>
              </w:rPr>
            </w:pPr>
            <w:r>
              <w:rPr>
                <w:rFonts w:cs="Arial"/>
                <w:color w:val="000000"/>
              </w:rPr>
              <w:t xml:space="preserve">The day when the Real-Time Market runs and Energy is supplied to </w:t>
            </w:r>
            <w:r>
              <w:rPr>
                <w:rFonts w:cs="Arial"/>
                <w:color w:val="000000"/>
              </w:rPr>
              <w:lastRenderedPageBreak/>
              <w:t>Load.</w:t>
            </w:r>
          </w:p>
        </w:tc>
      </w:tr>
      <w:tr w:rsidR="00270D7F" w14:paraId="776ECDC5" w14:textId="77777777" w:rsidTr="00D23D0F">
        <w:tc>
          <w:tcPr>
            <w:tcW w:w="2448" w:type="dxa"/>
          </w:tcPr>
          <w:p w14:paraId="52EDE344" w14:textId="77777777" w:rsidR="00270D7F" w:rsidRPr="00D23D0F" w:rsidRDefault="00270D7F" w:rsidP="00D723BF">
            <w:pPr>
              <w:rPr>
                <w:b/>
              </w:rPr>
            </w:pPr>
            <w:r w:rsidRPr="00D23D0F">
              <w:rPr>
                <w:b/>
              </w:rPr>
              <w:lastRenderedPageBreak/>
              <w:t>Participating Resource</w:t>
            </w:r>
          </w:p>
        </w:tc>
        <w:tc>
          <w:tcPr>
            <w:tcW w:w="7128" w:type="dxa"/>
          </w:tcPr>
          <w:p w14:paraId="0B347B67" w14:textId="620E04B4" w:rsidR="00270D7F" w:rsidRDefault="00270D7F" w:rsidP="002462E5">
            <w:r>
              <w:t xml:space="preserve">A resource located within </w:t>
            </w:r>
            <w:r w:rsidR="00153940">
              <w:t>a WEIM</w:t>
            </w:r>
            <w:r w:rsidR="005F24C1">
              <w:t xml:space="preserve"> </w:t>
            </w:r>
            <w:r>
              <w:t xml:space="preserve">Entity that elects to participate in the EIM.  Through their Participating Resource Scheduling Coordinator, these resources submit bids to the </w:t>
            </w:r>
            <w:r w:rsidR="002462E5">
              <w:t>CAISO</w:t>
            </w:r>
            <w:r>
              <w:t xml:space="preserve"> which convey their availability in the Real-Time Market.  </w:t>
            </w:r>
          </w:p>
        </w:tc>
      </w:tr>
      <w:tr w:rsidR="00270D7F" w14:paraId="45AEE1DE" w14:textId="77777777" w:rsidTr="00D23D0F">
        <w:tc>
          <w:tcPr>
            <w:tcW w:w="2448" w:type="dxa"/>
          </w:tcPr>
          <w:p w14:paraId="70D8F6F9" w14:textId="77777777" w:rsidR="00270D7F" w:rsidRPr="00D23D0F" w:rsidRDefault="00270D7F" w:rsidP="00D723BF">
            <w:pPr>
              <w:rPr>
                <w:b/>
              </w:rPr>
            </w:pPr>
            <w:r w:rsidRPr="00D23D0F">
              <w:rPr>
                <w:b/>
              </w:rPr>
              <w:t>Participating Resource Scheduling Coordinator</w:t>
            </w:r>
          </w:p>
        </w:tc>
        <w:tc>
          <w:tcPr>
            <w:tcW w:w="7128" w:type="dxa"/>
          </w:tcPr>
          <w:p w14:paraId="4E87AAC3" w14:textId="77777777" w:rsidR="00270D7F" w:rsidRDefault="00270D7F" w:rsidP="00D723BF">
            <w:r>
              <w:t xml:space="preserve">An entity certified by CAISO that submits economic bids and is responsible for financial settlements for one or more Participating Resources.  </w:t>
            </w:r>
          </w:p>
        </w:tc>
      </w:tr>
      <w:tr w:rsidR="00270D7F" w14:paraId="00A076B1" w14:textId="77777777" w:rsidTr="00D23D0F">
        <w:tc>
          <w:tcPr>
            <w:tcW w:w="2448" w:type="dxa"/>
          </w:tcPr>
          <w:p w14:paraId="611BD21F" w14:textId="77777777" w:rsidR="00270D7F" w:rsidRPr="00D23D0F" w:rsidRDefault="00270D7F" w:rsidP="00D723BF">
            <w:pPr>
              <w:rPr>
                <w:b/>
              </w:rPr>
            </w:pPr>
            <w:r w:rsidRPr="00D23D0F">
              <w:rPr>
                <w:b/>
              </w:rPr>
              <w:t xml:space="preserve">Resource Plan  </w:t>
            </w:r>
          </w:p>
        </w:tc>
        <w:tc>
          <w:tcPr>
            <w:tcW w:w="7128" w:type="dxa"/>
          </w:tcPr>
          <w:p w14:paraId="0358CC40" w14:textId="3A6E29A3" w:rsidR="00270D7F" w:rsidRDefault="00270D7F" w:rsidP="00153940">
            <w:r w:rsidRPr="00416BF8">
              <w:t>Hourly resourc</w:t>
            </w:r>
            <w:r>
              <w:t xml:space="preserve">e components </w:t>
            </w:r>
            <w:r w:rsidDel="00CE0F93">
              <w:t xml:space="preserve">must </w:t>
            </w:r>
            <w:r>
              <w:t>may cover up to seven-</w:t>
            </w:r>
            <w:r w:rsidRPr="00416BF8">
              <w:t xml:space="preserve">day horizon beginning with </w:t>
            </w:r>
            <w:r>
              <w:t xml:space="preserve">the </w:t>
            </w:r>
            <w:r w:rsidRPr="00DA34CC">
              <w:rPr>
                <w:rFonts w:cs="Arial"/>
              </w:rPr>
              <w:t xml:space="preserve">Operating Day, </w:t>
            </w:r>
            <w:r w:rsidRPr="00FA595A">
              <w:rPr>
                <w:rFonts w:cs="Arial"/>
              </w:rPr>
              <w:t>and must cover at least five hours.</w:t>
            </w:r>
            <w:r w:rsidRPr="00DA34CC">
              <w:t xml:space="preserve"> The Resource Plan consists of a combination of load Base Schedules</w:t>
            </w:r>
            <w:r>
              <w:t>, generation Base Schedules, interchange Base S</w:t>
            </w:r>
            <w:r w:rsidRPr="00416BF8">
              <w:t>chedules, ancillary services plans of the</w:t>
            </w:r>
            <w:r w:rsidR="005F24C1">
              <w:t xml:space="preserve"> WEIM </w:t>
            </w:r>
            <w:r w:rsidRPr="00DA34CC">
              <w:rPr>
                <w:rFonts w:cs="Arial"/>
              </w:rPr>
              <w:t xml:space="preserve">Entity, </w:t>
            </w:r>
            <w:r w:rsidRPr="00FA595A">
              <w:rPr>
                <w:rFonts w:cs="Arial"/>
              </w:rPr>
              <w:t>transmission available for</w:t>
            </w:r>
            <w:r w:rsidR="005F24C1">
              <w:rPr>
                <w:rFonts w:cs="Arial"/>
              </w:rPr>
              <w:t xml:space="preserve"> WEIM </w:t>
            </w:r>
            <w:r w:rsidRPr="00FA595A">
              <w:rPr>
                <w:rFonts w:cs="Arial"/>
              </w:rPr>
              <w:t xml:space="preserve">Transfers, </w:t>
            </w:r>
            <w:r w:rsidRPr="00DA34CC">
              <w:rPr>
                <w:rFonts w:cs="Arial"/>
              </w:rPr>
              <w:t>and the bid range voluntarily submitted by</w:t>
            </w:r>
            <w:r w:rsidR="005F24C1">
              <w:rPr>
                <w:rFonts w:cs="Arial"/>
              </w:rPr>
              <w:t xml:space="preserve"> WEIM </w:t>
            </w:r>
            <w:r w:rsidRPr="00DA34CC">
              <w:rPr>
                <w:rFonts w:cs="Arial"/>
              </w:rPr>
              <w:t>Participatin</w:t>
            </w:r>
            <w:r>
              <w:t xml:space="preserve">g Resources. Also, if </w:t>
            </w:r>
            <w:r w:rsidR="00153940">
              <w:t>a WEIM</w:t>
            </w:r>
            <w:r w:rsidR="005F24C1">
              <w:t xml:space="preserve"> </w:t>
            </w:r>
            <w:r>
              <w:t>Entity Scheduling C</w:t>
            </w:r>
            <w:r w:rsidRPr="00416BF8">
              <w:t>oordinator is not using CAISO demand forecast, then it incl</w:t>
            </w:r>
            <w:r>
              <w:t>udes demand forecast. Resource P</w:t>
            </w:r>
            <w:r w:rsidRPr="00416BF8">
              <w:t>lans balance demand and supply and are used in the resource sufficiency evaluation.</w:t>
            </w:r>
          </w:p>
        </w:tc>
      </w:tr>
      <w:tr w:rsidR="00270D7F" w14:paraId="4B5D53EC" w14:textId="77777777" w:rsidTr="00C076F3">
        <w:trPr>
          <w:cantSplit/>
        </w:trPr>
        <w:tc>
          <w:tcPr>
            <w:tcW w:w="2448" w:type="dxa"/>
          </w:tcPr>
          <w:p w14:paraId="26F603B3" w14:textId="77777777" w:rsidR="00270D7F" w:rsidRPr="00D23D0F" w:rsidRDefault="00270D7F" w:rsidP="00D723BF">
            <w:pPr>
              <w:rPr>
                <w:b/>
              </w:rPr>
            </w:pPr>
            <w:r w:rsidRPr="00D23D0F">
              <w:rPr>
                <w:b/>
              </w:rPr>
              <w:t>System Resource</w:t>
            </w:r>
          </w:p>
        </w:tc>
        <w:tc>
          <w:tcPr>
            <w:tcW w:w="7128" w:type="dxa"/>
          </w:tcPr>
          <w:p w14:paraId="46F8A1A0" w14:textId="77777777" w:rsidR="00270D7F" w:rsidRDefault="00270D7F" w:rsidP="00D723BF">
            <w:r>
              <w:t xml:space="preserve">A group of resources, single resource, or a portion of a resource located outside of the CAISO Balancing Authority Area, or an allocated portion of a Balancing Authority Area’s portfolio of generating resources </w:t>
            </w:r>
            <w:r>
              <w:rPr>
                <w:rFonts w:cs="Arial"/>
                <w:color w:val="000000"/>
              </w:rPr>
              <w:t>that are either a static Interchange Schedule or directly responsive to that Balancing Authority Area’s Automatic Generation Control (AGC) capable of providing Energy and/or Ancillary Services to the CAISO Balancing Authority Area, provided that if the System Resource is providing Regulation to CAISO it is directly responsive to AGC</w:t>
            </w:r>
            <w:r>
              <w:t>.</w:t>
            </w:r>
          </w:p>
        </w:tc>
      </w:tr>
      <w:tr w:rsidR="00322B45" w14:paraId="7664DD4E" w14:textId="77777777" w:rsidTr="00C076F3">
        <w:trPr>
          <w:cantSplit/>
        </w:trPr>
        <w:tc>
          <w:tcPr>
            <w:tcW w:w="2448" w:type="dxa"/>
          </w:tcPr>
          <w:p w14:paraId="4EAFDBBF" w14:textId="46CE57F4" w:rsidR="00322B45" w:rsidRPr="00322B45" w:rsidRDefault="00322B45" w:rsidP="00322B45">
            <w:pPr>
              <w:rPr>
                <w:b/>
              </w:rPr>
            </w:pPr>
            <w:r w:rsidRPr="00322B45">
              <w:rPr>
                <w:b/>
              </w:rPr>
              <w:lastRenderedPageBreak/>
              <w:t>EIM Reserves to Meet NERC/WECC Contingency Reserves Requirements</w:t>
            </w:r>
          </w:p>
          <w:p w14:paraId="4A6965B3" w14:textId="6DA24F81" w:rsidR="00322B45" w:rsidRPr="00D23D0F" w:rsidRDefault="00322B45" w:rsidP="00322B45">
            <w:pPr>
              <w:rPr>
                <w:b/>
              </w:rPr>
            </w:pPr>
          </w:p>
        </w:tc>
        <w:tc>
          <w:tcPr>
            <w:tcW w:w="7128" w:type="dxa"/>
          </w:tcPr>
          <w:p w14:paraId="486F7193" w14:textId="0565BE52" w:rsidR="00322B45" w:rsidRDefault="00322B45">
            <w:r w:rsidRPr="00877DDB">
              <w:t xml:space="preserve">Any capacity that </w:t>
            </w:r>
            <w:r w:rsidR="00153940">
              <w:t>a WEIM</w:t>
            </w:r>
            <w:r w:rsidR="005F24C1">
              <w:t xml:space="preserve"> </w:t>
            </w:r>
            <w:r w:rsidRPr="00877DDB">
              <w:t>Entity Scheduling Coordinator has designated, in the</w:t>
            </w:r>
            <w:r w:rsidR="005F24C1">
              <w:t xml:space="preserve"> WEIM </w:t>
            </w:r>
            <w:r w:rsidRPr="00877DDB">
              <w:t>Resource Plan, as</w:t>
            </w:r>
            <w:r>
              <w:t xml:space="preserve"> </w:t>
            </w:r>
            <w:r w:rsidRPr="00877DDB">
              <w:t>necessary to meet its NERC/WECC contingency reserves requirements in the applicable Trading Hour</w:t>
            </w:r>
            <w:r>
              <w:t xml:space="preserve"> </w:t>
            </w:r>
            <w:r w:rsidRPr="00877DDB">
              <w:t>and which does not overlap with capacity designated in other parts of the</w:t>
            </w:r>
            <w:r w:rsidR="005F24C1">
              <w:t xml:space="preserve"> WEIM </w:t>
            </w:r>
            <w:r w:rsidRPr="00877DDB">
              <w:t>Resource Plan specified in</w:t>
            </w:r>
            <w:r>
              <w:t xml:space="preserve"> </w:t>
            </w:r>
            <w:r w:rsidRPr="00877DDB">
              <w:t>Section 29.34(e)(3)</w:t>
            </w:r>
            <w:r>
              <w:t xml:space="preserve"> of the CAISO Tariff</w:t>
            </w:r>
            <w:r w:rsidRPr="00877DDB">
              <w:t>.</w:t>
            </w:r>
          </w:p>
        </w:tc>
      </w:tr>
      <w:tr w:rsidR="00322B45" w14:paraId="47BCFE87" w14:textId="77777777" w:rsidTr="00C076F3">
        <w:trPr>
          <w:cantSplit/>
        </w:trPr>
        <w:tc>
          <w:tcPr>
            <w:tcW w:w="2448" w:type="dxa"/>
          </w:tcPr>
          <w:p w14:paraId="6241B286" w14:textId="4BBA4460" w:rsidR="00E520E4" w:rsidRPr="00E520E4" w:rsidRDefault="00E520E4" w:rsidP="00E520E4">
            <w:pPr>
              <w:rPr>
                <w:b/>
              </w:rPr>
            </w:pPr>
            <w:r w:rsidRPr="00E520E4">
              <w:rPr>
                <w:b/>
              </w:rPr>
              <w:t>EIM Downward Available Balancing Capacity</w:t>
            </w:r>
          </w:p>
          <w:p w14:paraId="0F19379A" w14:textId="623B6825" w:rsidR="00322B45" w:rsidRPr="00322B45" w:rsidRDefault="00322B45" w:rsidP="00E520E4">
            <w:pPr>
              <w:rPr>
                <w:b/>
              </w:rPr>
            </w:pPr>
          </w:p>
        </w:tc>
        <w:tc>
          <w:tcPr>
            <w:tcW w:w="7128" w:type="dxa"/>
          </w:tcPr>
          <w:p w14:paraId="5576C052" w14:textId="5A634B7C" w:rsidR="00322B45" w:rsidRPr="00322B45" w:rsidRDefault="00E520E4">
            <w:r w:rsidRPr="00877DDB">
              <w:t xml:space="preserve">Any downward capacity from </w:t>
            </w:r>
            <w:r w:rsidR="00153940">
              <w:t>a WEIM</w:t>
            </w:r>
            <w:r w:rsidR="005F24C1">
              <w:t xml:space="preserve"> </w:t>
            </w:r>
            <w:r w:rsidRPr="00877DDB">
              <w:t xml:space="preserve">Participating Resources or a non-participating resource that </w:t>
            </w:r>
            <w:r w:rsidR="00153940">
              <w:t>a WEIM</w:t>
            </w:r>
            <w:r w:rsidR="005F24C1">
              <w:t xml:space="preserve"> </w:t>
            </w:r>
            <w:r w:rsidRPr="00877DDB">
              <w:t>Entity Scheduling Coordinator has identified in the</w:t>
            </w:r>
            <w:r w:rsidR="005F24C1">
              <w:t xml:space="preserve"> WEIM </w:t>
            </w:r>
            <w:r w:rsidRPr="00877DDB">
              <w:t>Resource Plan as available to address power</w:t>
            </w:r>
            <w:r>
              <w:t xml:space="preserve"> </w:t>
            </w:r>
            <w:r w:rsidRPr="00877DDB">
              <w:t>balance and transmission constraint violations in the</w:t>
            </w:r>
            <w:r w:rsidR="005F24C1">
              <w:t xml:space="preserve"> WEIM </w:t>
            </w:r>
            <w:r w:rsidRPr="00877DDB">
              <w:t>Balancing Authority Area.</w:t>
            </w:r>
          </w:p>
        </w:tc>
      </w:tr>
      <w:tr w:rsidR="00E520E4" w14:paraId="269933C0" w14:textId="77777777" w:rsidTr="00C076F3">
        <w:trPr>
          <w:cantSplit/>
        </w:trPr>
        <w:tc>
          <w:tcPr>
            <w:tcW w:w="2448" w:type="dxa"/>
          </w:tcPr>
          <w:p w14:paraId="03A45C0A" w14:textId="4EFBF4AD" w:rsidR="00E520E4" w:rsidRPr="00E520E4" w:rsidRDefault="00E520E4" w:rsidP="00E520E4">
            <w:pPr>
              <w:rPr>
                <w:b/>
              </w:rPr>
            </w:pPr>
            <w:r w:rsidRPr="00E520E4">
              <w:rPr>
                <w:b/>
              </w:rPr>
              <w:t>EIM Upward Available Balancing Capacity</w:t>
            </w:r>
          </w:p>
          <w:p w14:paraId="7D438C1C" w14:textId="6761EAE5" w:rsidR="00E520E4" w:rsidRPr="00E520E4" w:rsidRDefault="00E520E4" w:rsidP="00E520E4">
            <w:pPr>
              <w:rPr>
                <w:b/>
              </w:rPr>
            </w:pPr>
          </w:p>
        </w:tc>
        <w:tc>
          <w:tcPr>
            <w:tcW w:w="7128" w:type="dxa"/>
          </w:tcPr>
          <w:p w14:paraId="2362F68D" w14:textId="30A55A4A" w:rsidR="00E520E4" w:rsidRPr="00E520E4" w:rsidRDefault="00E520E4">
            <w:r w:rsidRPr="00877DDB">
              <w:t xml:space="preserve">Any upward capacity from </w:t>
            </w:r>
            <w:r w:rsidR="00153940">
              <w:t>a WEIM</w:t>
            </w:r>
            <w:r w:rsidR="005F24C1">
              <w:t xml:space="preserve"> </w:t>
            </w:r>
            <w:r w:rsidRPr="00877DDB">
              <w:t xml:space="preserve">Participating Resources or a non-participating resource that </w:t>
            </w:r>
            <w:r w:rsidR="00153940">
              <w:t>a WEIM</w:t>
            </w:r>
            <w:r w:rsidR="005F24C1">
              <w:t xml:space="preserve"> </w:t>
            </w:r>
            <w:r w:rsidRPr="00877DDB">
              <w:t>Entity Scheduling Coordinator has identified in the</w:t>
            </w:r>
            <w:r w:rsidR="005F24C1">
              <w:t xml:space="preserve"> WEIM </w:t>
            </w:r>
            <w:r w:rsidRPr="00877DDB">
              <w:t>Resource Plan as available to address power balance and transmission violations in the</w:t>
            </w:r>
            <w:r w:rsidR="005F24C1">
              <w:t xml:space="preserve"> WEIM </w:t>
            </w:r>
            <w:r w:rsidRPr="00877DDB">
              <w:t>Balancing Authority Area.</w:t>
            </w:r>
          </w:p>
        </w:tc>
      </w:tr>
    </w:tbl>
    <w:p w14:paraId="56697055" w14:textId="77777777" w:rsidR="00B40FF6" w:rsidRDefault="00B40FF6" w:rsidP="00B40FF6">
      <w:pPr>
        <w:pStyle w:val="Heading1"/>
        <w:numPr>
          <w:ilvl w:val="0"/>
          <w:numId w:val="0"/>
        </w:numPr>
      </w:pPr>
      <w:bookmarkStart w:id="2296" w:name="_Appendix_A"/>
      <w:bookmarkEnd w:id="2296"/>
    </w:p>
    <w:p w14:paraId="2607406D" w14:textId="77777777" w:rsidR="00B40FF6" w:rsidRDefault="00B40FF6" w:rsidP="00B40FF6">
      <w:pPr>
        <w:pStyle w:val="ParaText"/>
        <w:rPr>
          <w:kern w:val="28"/>
          <w:sz w:val="34"/>
        </w:rPr>
      </w:pPr>
      <w:r>
        <w:br w:type="page"/>
      </w:r>
    </w:p>
    <w:p w14:paraId="7F3F5D60" w14:textId="72430F06" w:rsidR="00DB1797" w:rsidRDefault="00DB1797" w:rsidP="00B40FF6">
      <w:pPr>
        <w:pStyle w:val="Heading1"/>
        <w:numPr>
          <w:ilvl w:val="0"/>
          <w:numId w:val="0"/>
        </w:numPr>
        <w:rPr>
          <w:rFonts w:eastAsia="Calibri"/>
        </w:rPr>
      </w:pPr>
      <w:bookmarkStart w:id="2297" w:name="_Toc229054540"/>
      <w:r>
        <w:lastRenderedPageBreak/>
        <w:t xml:space="preserve">Appendix A: </w:t>
      </w:r>
      <w:r>
        <w:rPr>
          <w:rFonts w:eastAsia="Calibri"/>
        </w:rPr>
        <w:t>Mathematical Formulation for</w:t>
      </w:r>
      <w:r w:rsidR="005F24C1">
        <w:rPr>
          <w:rFonts w:eastAsia="Calibri"/>
        </w:rPr>
        <w:t xml:space="preserve"> WEIM </w:t>
      </w:r>
      <w:r>
        <w:rPr>
          <w:rFonts w:eastAsia="Calibri"/>
        </w:rPr>
        <w:t>Transfer</w:t>
      </w:r>
      <w:bookmarkEnd w:id="2297"/>
    </w:p>
    <w:p w14:paraId="3CEE2C87" w14:textId="70595315" w:rsidR="00DB1797" w:rsidRPr="005C7F90" w:rsidRDefault="00DB1797" w:rsidP="00877DDB">
      <w:pPr>
        <w:pStyle w:val="BPM"/>
      </w:pPr>
      <w:r w:rsidRPr="005C7F90">
        <w:t>Energy Transfer Scheduling</w:t>
      </w:r>
      <w:r>
        <w:t xml:space="preserve"> </w:t>
      </w:r>
      <w:r w:rsidRPr="005C7F90">
        <w:t>in</w:t>
      </w:r>
      <w:r>
        <w:t xml:space="preserve"> </w:t>
      </w:r>
      <w:r w:rsidR="005F24C1">
        <w:t>Western Energy Imbalance Market</w:t>
      </w:r>
    </w:p>
    <w:p w14:paraId="182F0C3D" w14:textId="77777777" w:rsidR="00DB1797" w:rsidRDefault="00DB1797" w:rsidP="00F57D97">
      <w:pPr>
        <w:pStyle w:val="Heading5"/>
      </w:pPr>
      <w:r>
        <w:t>Introduction</w:t>
      </w:r>
    </w:p>
    <w:p w14:paraId="5FF547CA" w14:textId="2C21CD3A" w:rsidR="00DB1797" w:rsidRPr="00F57D97" w:rsidRDefault="00DB1797" w:rsidP="00877DDB">
      <w:pPr>
        <w:pStyle w:val="BPM"/>
      </w:pPr>
      <w:r w:rsidRPr="00F57D97">
        <w:t xml:space="preserve">This technical paper describes the calculation of Energy Transfer schedules between Balancing Authority Areas (BAAs) in the </w:t>
      </w:r>
      <w:r w:rsidR="005F24C1">
        <w:t>Western Energy Imbalance Market</w:t>
      </w:r>
      <w:r w:rsidRPr="00F57D97">
        <w:t xml:space="preserve"> (EIM) Area from the optimal</w:t>
      </w:r>
      <w:r w:rsidR="005F24C1">
        <w:t xml:space="preserve"> WEIM </w:t>
      </w:r>
      <w:r w:rsidRPr="00F57D97">
        <w:t>Transfer calculated for each BAA in the</w:t>
      </w:r>
      <w:r w:rsidR="005F24C1">
        <w:t xml:space="preserve"> WEIM </w:t>
      </w:r>
      <w:r w:rsidRPr="00F57D97">
        <w:t>Area by the Real-Time Unit Commitment (RTUC) and the Real-Time Dispatch (RTD) applications. The methodology in this document is general to account an arbitrary network configuration of</w:t>
      </w:r>
      <w:r w:rsidR="005F24C1">
        <w:t xml:space="preserve"> WEIM </w:t>
      </w:r>
      <w:r w:rsidRPr="00F57D97">
        <w:t>and non-EIM BAAs in the Full Network Model (FNM), such as the example shown below:</w:t>
      </w:r>
    </w:p>
    <w:p w14:paraId="5FD00319" w14:textId="77777777" w:rsidR="00DB1797" w:rsidRPr="00F57D97" w:rsidRDefault="00DB1797" w:rsidP="000B754E">
      <w:pPr>
        <w:pStyle w:val="Figure"/>
        <w:rPr>
          <w:rFonts w:ascii="Arial" w:hAnsi="Arial" w:cs="Arial"/>
        </w:rPr>
      </w:pPr>
      <w:r w:rsidRPr="0066107F">
        <w:rPr>
          <w:rFonts w:ascii="Arial" w:hAnsi="Arial" w:cs="Arial"/>
          <w:noProof/>
        </w:rPr>
        <mc:AlternateContent>
          <mc:Choice Requires="wpc">
            <w:drawing>
              <wp:inline distT="0" distB="0" distL="0" distR="0" wp14:anchorId="71744E0D" wp14:editId="15E34B7A">
                <wp:extent cx="5943600" cy="4314825"/>
                <wp:effectExtent l="0" t="0" r="0" b="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 name="Oval 39"/>
                        <wps:cNvSpPr/>
                        <wps:spPr>
                          <a:xfrm>
                            <a:off x="466725" y="198142"/>
                            <a:ext cx="1280160" cy="914400"/>
                          </a:xfrm>
                          <a:prstGeom prst="ellipse">
                            <a:avLst/>
                          </a:prstGeom>
                          <a:solidFill>
                            <a:schemeClr val="tx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ACB66" w14:textId="77777777" w:rsidR="002A2768" w:rsidRPr="00955824" w:rsidRDefault="002A2768" w:rsidP="000B754E">
                              <w:pPr>
                                <w:jc w:val="center"/>
                                <w:rPr>
                                  <w:b/>
                                  <w:color w:val="000000" w:themeColor="text1"/>
                                </w:rPr>
                              </w:pPr>
                              <w:r>
                                <w:rPr>
                                  <w:b/>
                                  <w:color w:val="000000" w:themeColor="text1"/>
                                </w:rPr>
                                <w:t>Non-EIM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466725" y="1674495"/>
                            <a:ext cx="1280160" cy="914400"/>
                          </a:xfrm>
                          <a:prstGeom prst="ellipse">
                            <a:avLst/>
                          </a:prstGeom>
                          <a:solidFill>
                            <a:schemeClr val="accent3">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31AE4" w14:textId="77777777" w:rsidR="002A2768" w:rsidRPr="00A17DC0" w:rsidRDefault="002A2768" w:rsidP="000B754E">
                              <w:pPr>
                                <w:jc w:val="center"/>
                                <w:rPr>
                                  <w:b/>
                                  <w:color w:val="000000" w:themeColor="text1"/>
                                </w:rPr>
                              </w:pPr>
                              <w:r>
                                <w:rPr>
                                  <w:b/>
                                  <w:color w:val="000000" w:themeColor="text1"/>
                                </w:rPr>
                                <w:t>CISO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2295525" y="198142"/>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B12B3"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a:stCxn id="39" idx="6"/>
                          <a:endCxn id="41" idx="2"/>
                        </wps:cNvCnPr>
                        <wps:spPr>
                          <a:xfrm>
                            <a:off x="1746885" y="655342"/>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a:stCxn id="39" idx="4"/>
                          <a:endCxn id="40" idx="0"/>
                        </wps:cNvCnPr>
                        <wps:spPr>
                          <a:xfrm>
                            <a:off x="1106805" y="1112542"/>
                            <a:ext cx="0" cy="561953"/>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 name="Oval 44"/>
                        <wps:cNvSpPr/>
                        <wps:spPr>
                          <a:xfrm>
                            <a:off x="4124325" y="198142"/>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FA291"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a:stCxn id="41" idx="6"/>
                          <a:endCxn id="44" idx="2"/>
                        </wps:cNvCnPr>
                        <wps:spPr>
                          <a:xfrm>
                            <a:off x="3575685" y="655342"/>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6" name="Oval 46"/>
                        <wps:cNvSpPr/>
                        <wps:spPr>
                          <a:xfrm>
                            <a:off x="2295525" y="1674495"/>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93343"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a:stCxn id="40" idx="6"/>
                          <a:endCxn id="46" idx="2"/>
                        </wps:cNvCnPr>
                        <wps:spPr>
                          <a:xfrm>
                            <a:off x="1746885" y="2131695"/>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a:stCxn id="44" idx="3"/>
                          <a:endCxn id="46" idx="7"/>
                        </wps:cNvCnPr>
                        <wps:spPr>
                          <a:xfrm flipH="1">
                            <a:off x="3388210" y="978631"/>
                            <a:ext cx="923590" cy="829775"/>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 name="Oval 49"/>
                        <wps:cNvSpPr/>
                        <wps:spPr>
                          <a:xfrm>
                            <a:off x="4124325" y="1674495"/>
                            <a:ext cx="1280160" cy="914400"/>
                          </a:xfrm>
                          <a:prstGeom prst="ellipse">
                            <a:avLst/>
                          </a:prstGeom>
                          <a:solidFill>
                            <a:schemeClr val="tx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6AA21" w14:textId="77777777" w:rsidR="002A2768" w:rsidRPr="00955824" w:rsidRDefault="002A2768" w:rsidP="000B754E">
                              <w:pPr>
                                <w:jc w:val="center"/>
                                <w:rPr>
                                  <w:b/>
                                  <w:color w:val="000000" w:themeColor="text1"/>
                                </w:rPr>
                              </w:pPr>
                              <w:r>
                                <w:rPr>
                                  <w:b/>
                                  <w:color w:val="000000" w:themeColor="text1"/>
                                </w:rPr>
                                <w:t>Non-EIM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44" idx="4"/>
                          <a:endCxn id="49" idx="0"/>
                        </wps:cNvCnPr>
                        <wps:spPr>
                          <a:xfrm>
                            <a:off x="4764405" y="1112542"/>
                            <a:ext cx="0" cy="561953"/>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a:stCxn id="46" idx="6"/>
                          <a:endCxn id="49" idx="2"/>
                        </wps:cNvCnPr>
                        <wps:spPr>
                          <a:xfrm>
                            <a:off x="3575685" y="2131695"/>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 name="Oval 52"/>
                        <wps:cNvSpPr/>
                        <wps:spPr>
                          <a:xfrm>
                            <a:off x="466725" y="3129915"/>
                            <a:ext cx="1280160" cy="914400"/>
                          </a:xfrm>
                          <a:prstGeom prst="ellipse">
                            <a:avLst/>
                          </a:prstGeom>
                          <a:solidFill>
                            <a:schemeClr val="tx2">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48524" w14:textId="77777777" w:rsidR="002A2768" w:rsidRPr="00955824" w:rsidRDefault="002A2768" w:rsidP="000B754E">
                              <w:pPr>
                                <w:jc w:val="center"/>
                                <w:rPr>
                                  <w:b/>
                                  <w:color w:val="000000" w:themeColor="text1"/>
                                </w:rPr>
                              </w:pPr>
                              <w:r>
                                <w:rPr>
                                  <w:b/>
                                  <w:color w:val="000000" w:themeColor="text1"/>
                                </w:rPr>
                                <w:t>Non-EIM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2295525" y="3129915"/>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9B374"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stCxn id="52" idx="6"/>
                          <a:endCxn id="53" idx="2"/>
                        </wps:cNvCnPr>
                        <wps:spPr>
                          <a:xfrm>
                            <a:off x="1746885" y="3587115"/>
                            <a:ext cx="548640"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a:stCxn id="40" idx="4"/>
                          <a:endCxn id="52" idx="0"/>
                        </wps:cNvCnPr>
                        <wps:spPr>
                          <a:xfrm>
                            <a:off x="1106805" y="2588895"/>
                            <a:ext cx="0" cy="54102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a:off x="3575685" y="1112542"/>
                            <a:ext cx="736116" cy="643868"/>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H="1">
                            <a:off x="3657600" y="548640"/>
                            <a:ext cx="365760" cy="0"/>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cNvPr id="58" name="Group 58"/>
                        <wpg:cNvGrpSpPr/>
                        <wpg:grpSpPr>
                          <a:xfrm>
                            <a:off x="1188720" y="731520"/>
                            <a:ext cx="1005840" cy="842010"/>
                            <a:chOff x="1188720" y="731520"/>
                            <a:chExt cx="1005840" cy="842010"/>
                          </a:xfrm>
                        </wpg:grpSpPr>
                        <wps:wsp>
                          <wps:cNvPr id="59" name="Straight Arrow Connector 59"/>
                          <wps:cNvCnPr/>
                          <wps:spPr>
                            <a:xfrm>
                              <a:off x="1188720" y="139065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flipH="1">
                              <a:off x="1920240" y="73152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flipH="1">
                              <a:off x="1188720" y="73152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g:wgp>
                        <wpg:cNvPr id="62" name="Group 62"/>
                        <wpg:cNvGrpSpPr/>
                        <wpg:grpSpPr>
                          <a:xfrm>
                            <a:off x="1188720" y="2651760"/>
                            <a:ext cx="1005840" cy="842010"/>
                            <a:chOff x="1188720" y="2651760"/>
                            <a:chExt cx="1005840" cy="842010"/>
                          </a:xfrm>
                        </wpg:grpSpPr>
                        <wps:wsp>
                          <wps:cNvPr id="63" name="Straight Arrow Connector 63"/>
                          <wps:cNvCnPr/>
                          <wps:spPr>
                            <a:xfrm flipV="1">
                              <a:off x="1188720" y="265176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H="1" flipV="1">
                              <a:off x="1920240" y="349377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flipH="1" flipV="1">
                              <a:off x="1188720" y="283464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s:wsp>
                        <wps:cNvPr id="66" name="Straight Arrow Connector 66"/>
                        <wps:cNvCnPr/>
                        <wps:spPr>
                          <a:xfrm flipH="1">
                            <a:off x="1828800" y="2213610"/>
                            <a:ext cx="365760" cy="0"/>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cNvPr id="67" name="Group 67"/>
                        <wpg:cNvGrpSpPr/>
                        <wpg:grpSpPr>
                          <a:xfrm flipH="1" flipV="1">
                            <a:off x="3657600" y="1207770"/>
                            <a:ext cx="1005840" cy="842010"/>
                            <a:chOff x="1188720" y="731520"/>
                            <a:chExt cx="1005840" cy="842010"/>
                          </a:xfrm>
                        </wpg:grpSpPr>
                        <wps:wsp>
                          <wps:cNvPr id="68" name="Straight Arrow Connector 68"/>
                          <wps:cNvCnPr/>
                          <wps:spPr>
                            <a:xfrm>
                              <a:off x="1188720" y="139065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H="1">
                              <a:off x="1920240" y="73152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a:off x="1188720" y="73152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s:wsp>
                        <wps:cNvPr id="71" name="Straight Arrow Connector 71"/>
                        <wps:cNvCnPr>
                          <a:stCxn id="46" idx="4"/>
                          <a:endCxn id="53" idx="0"/>
                        </wps:cNvCnPr>
                        <wps:spPr>
                          <a:xfrm>
                            <a:off x="2935605" y="2588895"/>
                            <a:ext cx="0" cy="54102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V="1">
                            <a:off x="3017520" y="2651760"/>
                            <a:ext cx="0" cy="391160"/>
                          </a:xfrm>
                          <a:prstGeom prst="straightConnector1">
                            <a:avLst/>
                          </a:prstGeom>
                          <a:ln w="381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3" name="Oval 73"/>
                        <wps:cNvSpPr/>
                        <wps:spPr>
                          <a:xfrm>
                            <a:off x="4124325" y="3129915"/>
                            <a:ext cx="1280160" cy="914400"/>
                          </a:xfrm>
                          <a:prstGeom prst="ellipse">
                            <a:avLst/>
                          </a:prstGeom>
                          <a:solidFill>
                            <a:schemeClr val="accent6">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FEE7C" w14:textId="77777777" w:rsidR="002A2768" w:rsidRPr="00955824" w:rsidRDefault="002A2768" w:rsidP="000B754E">
                              <w:pPr>
                                <w:jc w:val="center"/>
                                <w:rPr>
                                  <w:b/>
                                  <w:color w:val="000000" w:themeColor="text1"/>
                                </w:rPr>
                              </w:pPr>
                              <w:r>
                                <w:rPr>
                                  <w:b/>
                                  <w:color w:val="000000" w:themeColor="text1"/>
                                </w:rPr>
                                <w:t>EIM 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Arrow Connector 74"/>
                        <wps:cNvCnPr>
                          <a:stCxn id="49" idx="4"/>
                          <a:endCxn id="73" idx="0"/>
                        </wps:cNvCnPr>
                        <wps:spPr>
                          <a:xfrm>
                            <a:off x="4764405" y="2588895"/>
                            <a:ext cx="0" cy="54102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cNvPr id="75" name="Group 75"/>
                        <wpg:cNvGrpSpPr/>
                        <wpg:grpSpPr>
                          <a:xfrm flipH="1">
                            <a:off x="3657600" y="2194560"/>
                            <a:ext cx="1005840" cy="842010"/>
                            <a:chOff x="1188720" y="731520"/>
                            <a:chExt cx="1005840" cy="842010"/>
                          </a:xfrm>
                        </wpg:grpSpPr>
                        <wps:wsp>
                          <wps:cNvPr id="76" name="Straight Arrow Connector 76"/>
                          <wps:cNvCnPr/>
                          <wps:spPr>
                            <a:xfrm>
                              <a:off x="1188720" y="1390650"/>
                              <a:ext cx="0" cy="182880"/>
                            </a:xfrm>
                            <a:prstGeom prst="straightConnector1">
                              <a:avLst/>
                            </a:prstGeom>
                            <a:ln w="3810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flipH="1">
                              <a:off x="1920240" y="731520"/>
                              <a:ext cx="274320" cy="0"/>
                            </a:xfrm>
                            <a:prstGeom prst="straightConnector1">
                              <a:avLst/>
                            </a:prstGeom>
                            <a:ln w="381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flipH="1">
                              <a:off x="1188720" y="731520"/>
                              <a:ext cx="731520" cy="65913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71744E0D" id="Canvas 121" o:spid="_x0000_s1056" editas="canvas" style="width:468pt;height:339.75pt;mso-position-horizontal-relative:char;mso-position-vertical-relative:line" coordsize="59436,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">
                <v:shape id="_x0000_s1057" type="#_x0000_t75" style="position:absolute;width:59436;height:43148;visibility:visible;mso-wrap-style:square">
                  <v:fill o:detectmouseclick="t"/>
                  <v:path o:connecttype="none"/>
                </v:shape>
                <v:oval id="Oval 39" o:spid="_x0000_s1058" style="position:absolute;left:4667;top:1981;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" fillcolor="#c6d9f1 [671]" strokecolor="black [3213]" strokeweight="1.5pt">
                  <v:textbox>
                    <w:txbxContent>
                      <w:p w14:paraId="388ACB66" w14:textId="77777777" w:rsidR="002A2768" w:rsidRPr="00955824" w:rsidRDefault="002A2768" w:rsidP="000B754E">
                        <w:pPr>
                          <w:jc w:val="center"/>
                          <w:rPr>
                            <w:b/>
                            <w:color w:val="000000" w:themeColor="text1"/>
                          </w:rPr>
                        </w:pPr>
                        <w:r>
                          <w:rPr>
                            <w:b/>
                            <w:color w:val="000000" w:themeColor="text1"/>
                          </w:rPr>
                          <w:t>Non-EIM BAA</w:t>
                        </w:r>
                      </w:p>
                    </w:txbxContent>
                  </v:textbox>
                </v:oval>
                <v:oval id="Oval 40" o:spid="_x0000_s1059" style="position:absolute;left:4667;top:16744;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" fillcolor="#d6e3bc [1302]" strokecolor="black [3213]" strokeweight="1.5pt">
                  <v:textbox>
                    <w:txbxContent>
                      <w:p w14:paraId="70F31AE4" w14:textId="77777777" w:rsidR="002A2768" w:rsidRPr="00A17DC0" w:rsidRDefault="002A2768" w:rsidP="000B754E">
                        <w:pPr>
                          <w:jc w:val="center"/>
                          <w:rPr>
                            <w:b/>
                            <w:color w:val="000000" w:themeColor="text1"/>
                          </w:rPr>
                        </w:pPr>
                        <w:r>
                          <w:rPr>
                            <w:b/>
                            <w:color w:val="000000" w:themeColor="text1"/>
                          </w:rPr>
                          <w:t>CISO</w:t>
                        </w:r>
                      </w:p>
                    </w:txbxContent>
                  </v:textbox>
                </v:oval>
                <v:oval id="Oval 41" o:spid="_x0000_s1060" style="position:absolute;left:22955;top:1981;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" fillcolor="#fbd4b4 [1305]" strokecolor="black [3213]" strokeweight="1.5pt">
                  <v:textbox>
                    <w:txbxContent>
                      <w:p w14:paraId="076B12B3"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42" o:spid="_x0000_s1061" type="#_x0000_t32" style="position:absolute;left:17468;top:6553;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" strokecolor="black [3213]" strokeweight="1pt">
                  <v:stroke startarrow="block" endarrow="block"/>
                </v:shape>
                <v:shape id="Straight Arrow Connector 43" o:spid="_x0000_s1062" type="#_x0000_t32" style="position:absolute;left:11068;top:11125;width:0;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" strokecolor="black [3213]" strokeweight="1pt">
                  <v:stroke startarrow="block" endarrow="block"/>
                </v:shape>
                <v:oval id="Oval 44" o:spid="_x0000_s1063" style="position:absolute;left:41243;top:1981;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" fillcolor="#fbd4b4 [1305]" strokecolor="black [3213]" strokeweight="1.5pt">
                  <v:textbox>
                    <w:txbxContent>
                      <w:p w14:paraId="22AFA291"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45" o:spid="_x0000_s1064" type="#_x0000_t32" style="position:absolute;left:35756;top:6553;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" strokecolor="black [3213]" strokeweight="1pt">
                  <v:stroke startarrow="block" endarrow="block"/>
                </v:shape>
                <v:oval id="Oval 46" o:spid="_x0000_s1065" style="position:absolute;left:22955;top:16744;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" fillcolor="#fbd4b4 [1305]" strokecolor="black [3213]" strokeweight="1.5pt">
                  <v:textbox>
                    <w:txbxContent>
                      <w:p w14:paraId="57493343"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47" o:spid="_x0000_s1066" type="#_x0000_t32" style="position:absolute;left:17468;top:21316;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" strokecolor="black [3213]" strokeweight="1pt">
                  <v:stroke startarrow="block" endarrow="block"/>
                </v:shape>
                <v:shape id="Straight Arrow Connector 48" o:spid="_x0000_s1067" type="#_x0000_t32" style="position:absolute;left:33882;top:9786;width:9236;height:82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" strokecolor="black [3213]" strokeweight="1pt">
                  <v:stroke startarrow="block" endarrow="block"/>
                </v:shape>
                <v:oval id="Oval 49" o:spid="_x0000_s1068" style="position:absolute;left:41243;top:16744;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" fillcolor="#c6d9f1 [671]" strokecolor="black [3213]" strokeweight="1.5pt">
                  <v:textbox>
                    <w:txbxContent>
                      <w:p w14:paraId="7956AA21" w14:textId="77777777" w:rsidR="002A2768" w:rsidRPr="00955824" w:rsidRDefault="002A2768" w:rsidP="000B754E">
                        <w:pPr>
                          <w:jc w:val="center"/>
                          <w:rPr>
                            <w:b/>
                            <w:color w:val="000000" w:themeColor="text1"/>
                          </w:rPr>
                        </w:pPr>
                        <w:r>
                          <w:rPr>
                            <w:b/>
                            <w:color w:val="000000" w:themeColor="text1"/>
                          </w:rPr>
                          <w:t>Non-EIM BAA</w:t>
                        </w:r>
                      </w:p>
                    </w:txbxContent>
                  </v:textbox>
                </v:oval>
                <v:shape id="Straight Arrow Connector 50" o:spid="_x0000_s1069" type="#_x0000_t32" style="position:absolute;left:47644;top:11125;width:0;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" strokecolor="black [3213]" strokeweight="1pt">
                  <v:stroke startarrow="block" endarrow="block"/>
                </v:shape>
                <v:shape id="Straight Arrow Connector 51" o:spid="_x0000_s1070" type="#_x0000_t32" style="position:absolute;left:35756;top:21316;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" strokecolor="black [3213]" strokeweight="1pt">
                  <v:stroke startarrow="block" endarrow="block"/>
                </v:shape>
                <v:oval id="Oval 52" o:spid="_x0000_s1071" style="position:absolute;left:4667;top:31299;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" fillcolor="#c6d9f1 [671]" strokecolor="black [3213]" strokeweight="1.5pt">
                  <v:textbox>
                    <w:txbxContent>
                      <w:p w14:paraId="2F048524" w14:textId="77777777" w:rsidR="002A2768" w:rsidRPr="00955824" w:rsidRDefault="002A2768" w:rsidP="000B754E">
                        <w:pPr>
                          <w:jc w:val="center"/>
                          <w:rPr>
                            <w:b/>
                            <w:color w:val="000000" w:themeColor="text1"/>
                          </w:rPr>
                        </w:pPr>
                        <w:r>
                          <w:rPr>
                            <w:b/>
                            <w:color w:val="000000" w:themeColor="text1"/>
                          </w:rPr>
                          <w:t>Non-EIM BAA</w:t>
                        </w:r>
                      </w:p>
                    </w:txbxContent>
                  </v:textbox>
                </v:oval>
                <v:oval id="Oval 53" o:spid="_x0000_s1072" style="position:absolute;left:22955;top:31299;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" fillcolor="#fbd4b4 [1305]" strokecolor="black [3213]" strokeweight="1.5pt">
                  <v:textbox>
                    <w:txbxContent>
                      <w:p w14:paraId="1FB9B374"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54" o:spid="_x0000_s1073" type="#_x0000_t32" style="position:absolute;left:17468;top:35871;width: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" strokecolor="black [3213]" strokeweight="1pt">
                  <v:stroke startarrow="block" endarrow="block"/>
                </v:shape>
                <v:shape id="Straight Arrow Connector 55" o:spid="_x0000_s1074" type="#_x0000_t32" style="position:absolute;left:11068;top:25888;width:0;height:5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" strokecolor="black [3213]" strokeweight="1pt">
                  <v:stroke startarrow="block" endarrow="block"/>
                </v:shape>
                <v:shape id="Straight Arrow Connector 56" o:spid="_x0000_s1075" type="#_x0000_t32" style="position:absolute;left:35756;top:11125;width:7362;height:64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" strokecolor="red" strokeweight="3pt">
                  <v:stroke startarrow="block" endarrow="block"/>
                </v:shape>
                <v:shape id="Straight Arrow Connector 57" o:spid="_x0000_s1076" type="#_x0000_t32" style="position:absolute;left:36576;top:5486;width:36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" strokecolor="red" strokeweight="3pt">
                  <v:stroke startarrow="block" endarrow="block"/>
                </v:shape>
                <v:group id="Group 58" o:spid="_x0000_s1077" style="position:absolute;left:11887;top:7315;width:10058;height:8420" coordorigin="11887,7315"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Straight Arrow Connector 59" o:spid="_x0000_s1078" type="#_x0000_t32" style="position:absolute;left:11887;top:13906;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" strokecolor="red" strokeweight="3pt">
                    <v:stroke endarrow="block"/>
                  </v:shape>
                  <v:shape id="Straight Arrow Connector 60" o:spid="_x0000_s1079" type="#_x0000_t32" style="position:absolute;left:19202;top:7315;width:27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" strokecolor="red" strokeweight="3pt">
                    <v:stroke startarrow="block"/>
                  </v:shape>
                  <v:line id="Straight Connector 61" o:spid="_x0000_s1080" style="position:absolute;flip:x;visibility:visible;mso-wrap-style:square" from="11887,7315" to="19202,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" strokecolor="red" strokeweight="3pt"/>
                </v:group>
                <v:group id="Group 62" o:spid="_x0000_s1081" style="position:absolute;left:11887;top:26517;width:10058;height:8420" coordorigin="11887,26517"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Straight Arrow Connector 63" o:spid="_x0000_s1082" type="#_x0000_t32" style="position:absolute;left:11887;top:26517;width:0;height:18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" strokecolor="red" strokeweight="3pt">
                    <v:stroke endarrow="block"/>
                  </v:shape>
                  <v:shape id="Straight Arrow Connector 64" o:spid="_x0000_s1083" type="#_x0000_t32" style="position:absolute;left:19202;top:34937;width:274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" strokecolor="red" strokeweight="3pt">
                    <v:stroke startarrow="block"/>
                  </v:shape>
                  <v:line id="Straight Connector 65" o:spid="_x0000_s1084" style="position:absolute;flip:x y;visibility:visible;mso-wrap-style:square" from="11887,28346" to="19202,3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" strokecolor="red" strokeweight="3pt"/>
                </v:group>
                <v:shape id="Straight Arrow Connector 66" o:spid="_x0000_s1085" type="#_x0000_t32" style="position:absolute;left:18288;top:22136;width:36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" strokecolor="red" strokeweight="3pt">
                  <v:stroke startarrow="block" endarrow="block"/>
                </v:shape>
                <v:group id="Group 67" o:spid="_x0000_s1086" style="position:absolute;left:36576;top:12077;width:10058;height:8420;flip:x y" coordorigin="11887,7315"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">
                  <v:shape id="Straight Arrow Connector 68" o:spid="_x0000_s1087" type="#_x0000_t32" style="position:absolute;left:11887;top:13906;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" strokecolor="red" strokeweight="3pt">
                    <v:stroke endarrow="block"/>
                  </v:shape>
                  <v:shape id="Straight Arrow Connector 69" o:spid="_x0000_s1088" type="#_x0000_t32" style="position:absolute;left:19202;top:7315;width:27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" strokecolor="red" strokeweight="3pt">
                    <v:stroke startarrow="block"/>
                  </v:shape>
                  <v:line id="Straight Connector 70" o:spid="_x0000_s1089" style="position:absolute;flip:x;visibility:visible;mso-wrap-style:square" from="11887,7315" to="19202,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" strokecolor="red" strokeweight="3pt"/>
                </v:group>
                <v:shape id="Straight Arrow Connector 71" o:spid="_x0000_s1090" type="#_x0000_t32" style="position:absolute;left:29356;top:25888;width:0;height:5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" strokecolor="black [3213]" strokeweight="1pt">
                  <v:stroke startarrow="block" endarrow="block"/>
                </v:shape>
                <v:shape id="Straight Arrow Connector 72" o:spid="_x0000_s1091" type="#_x0000_t32" style="position:absolute;left:30175;top:26517;width:0;height:3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" strokecolor="red" strokeweight="3pt">
                  <v:stroke startarrow="block" endarrow="block"/>
                </v:shape>
                <v:oval id="Oval 73" o:spid="_x0000_s1092" style="position:absolute;left:41243;top:31299;width:1280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" fillcolor="#fbd4b4 [1305]" strokecolor="black [3213]" strokeweight="1.5pt">
                  <v:textbox>
                    <w:txbxContent>
                      <w:p w14:paraId="7D9FEE7C" w14:textId="77777777" w:rsidR="002A2768" w:rsidRPr="00955824" w:rsidRDefault="002A2768" w:rsidP="000B754E">
                        <w:pPr>
                          <w:jc w:val="center"/>
                          <w:rPr>
                            <w:b/>
                            <w:color w:val="000000" w:themeColor="text1"/>
                          </w:rPr>
                        </w:pPr>
                        <w:r>
                          <w:rPr>
                            <w:b/>
                            <w:color w:val="000000" w:themeColor="text1"/>
                          </w:rPr>
                          <w:t>EIM BAA</w:t>
                        </w:r>
                      </w:p>
                    </w:txbxContent>
                  </v:textbox>
                </v:oval>
                <v:shape id="Straight Arrow Connector 74" o:spid="_x0000_s1093" type="#_x0000_t32" style="position:absolute;left:47644;top:25888;width:0;height:5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" strokecolor="black [3213]" strokeweight="1pt">
                  <v:stroke startarrow="block" endarrow="block"/>
                </v:shape>
                <v:group id="Group 75" o:spid="_x0000_s1094" style="position:absolute;left:36576;top:21945;width:10058;height:8420;flip:x" coordorigin="11887,7315" coordsize="1005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">
                  <v:shape id="Straight Arrow Connector 76" o:spid="_x0000_s1095" type="#_x0000_t32" style="position:absolute;left:11887;top:13906;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" strokecolor="red" strokeweight="3pt">
                    <v:stroke endarrow="block"/>
                  </v:shape>
                  <v:shape id="Straight Arrow Connector 118" o:spid="_x0000_s1096" type="#_x0000_t32" style="position:absolute;left:19202;top:7315;width:27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" strokecolor="red" strokeweight="3pt">
                    <v:stroke startarrow="block"/>
                  </v:shape>
                  <v:line id="Straight Connector 120" o:spid="_x0000_s1097" style="position:absolute;flip:x;visibility:visible;mso-wrap-style:square" from="11887,7315" to="19202,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" strokecolor="red" strokeweight="3pt"/>
                </v:group>
                <w10:anchorlock/>
              </v:group>
            </w:pict>
          </mc:Fallback>
        </mc:AlternateContent>
      </w:r>
    </w:p>
    <w:p w14:paraId="4A13B371" w14:textId="695380D0" w:rsidR="00DB1797" w:rsidRPr="00F57D97" w:rsidRDefault="00DB1797" w:rsidP="00877DDB">
      <w:pPr>
        <w:pStyle w:val="BPM"/>
      </w:pPr>
      <w:r w:rsidRPr="00F57D97">
        <w:t>EIM BAAs may be interconnected with the CISO directly, through another</w:t>
      </w:r>
      <w:r w:rsidR="005F24C1">
        <w:t xml:space="preserve"> WEIM </w:t>
      </w:r>
      <w:r w:rsidRPr="00F57D97">
        <w:t>BAA, through a Non-EIM BAA, or a combination thereof. The</w:t>
      </w:r>
      <w:r w:rsidR="005F24C1">
        <w:t xml:space="preserve"> WEIM </w:t>
      </w:r>
      <w:r w:rsidRPr="00F57D97">
        <w:t xml:space="preserve">Entity for </w:t>
      </w:r>
      <w:r w:rsidR="00153940">
        <w:t>a WEIM</w:t>
      </w:r>
      <w:r w:rsidR="005F24C1">
        <w:t xml:space="preserve"> </w:t>
      </w:r>
      <w:r w:rsidRPr="00F57D97">
        <w:t xml:space="preserve">BAA may have made </w:t>
      </w:r>
      <w:r w:rsidRPr="00F57D97">
        <w:lastRenderedPageBreak/>
        <w:t>available transmission rights on a direct interconnection with the CISO, on a direct interconnection with another</w:t>
      </w:r>
      <w:r w:rsidR="005F24C1">
        <w:t xml:space="preserve"> WEIM </w:t>
      </w:r>
      <w:r w:rsidRPr="00F57D97">
        <w:t>BAA, or on an indirect interconnection with the CISO or another</w:t>
      </w:r>
      <w:r w:rsidR="005F24C1">
        <w:t xml:space="preserve"> WEIM </w:t>
      </w:r>
      <w:r w:rsidRPr="00F57D97">
        <w:t>BAA through one or more non-EIM BAAs. The red arrows in the example above illustrate such transmission rights. These transmission rights are essential to the</w:t>
      </w:r>
      <w:r w:rsidR="005F24C1">
        <w:t xml:space="preserve"> WEIM </w:t>
      </w:r>
      <w:r w:rsidRPr="00F57D97">
        <w:t>Transfers for each BAA in the</w:t>
      </w:r>
      <w:r w:rsidR="005F24C1">
        <w:t xml:space="preserve"> WEIM </w:t>
      </w:r>
      <w:r w:rsidRPr="00F57D97">
        <w:t>Area as they both allow and constrain the optimal exchange of imbalance energy among the BAAs in the</w:t>
      </w:r>
      <w:r w:rsidR="005F24C1">
        <w:t xml:space="preserve"> WEIM </w:t>
      </w:r>
      <w:r w:rsidRPr="00F57D97">
        <w:t>Area.</w:t>
      </w:r>
    </w:p>
    <w:p w14:paraId="70D7DC53" w14:textId="2FEA632D" w:rsidR="00DB1797" w:rsidRPr="00F57D97" w:rsidRDefault="00DB1797" w:rsidP="00877DDB">
      <w:pPr>
        <w:pStyle w:val="BPM"/>
      </w:pPr>
      <w:r w:rsidRPr="00F57D97">
        <w:t>The</w:t>
      </w:r>
      <w:r w:rsidR="005F24C1">
        <w:t xml:space="preserve"> WEIM </w:t>
      </w:r>
      <w:r w:rsidRPr="00F57D97">
        <w:t>Transfer is an algebraic quantity (positive for export and negative for import) for the net energy exchange between a given BAA and the remaining BAAs in the</w:t>
      </w:r>
      <w:r w:rsidR="005F24C1">
        <w:t xml:space="preserve"> WEIM </w:t>
      </w:r>
      <w:r w:rsidRPr="00F57D97">
        <w:t>Area. The problem at hand is to determine the Energy Transfer schedules among the</w:t>
      </w:r>
      <w:r w:rsidR="005F24C1">
        <w:t xml:space="preserve"> WEIM </w:t>
      </w:r>
      <w:r w:rsidRPr="00F57D97">
        <w:t>BAAs and the CISO from the optimal</w:t>
      </w:r>
      <w:r w:rsidR="005F24C1">
        <w:t xml:space="preserve"> WEIM </w:t>
      </w:r>
      <w:r w:rsidRPr="00F57D97">
        <w:t>Transfers of the BAAs in the</w:t>
      </w:r>
      <w:r w:rsidR="005F24C1">
        <w:t xml:space="preserve"> WEIM </w:t>
      </w:r>
      <w:r w:rsidRPr="00F57D97">
        <w:t>Area using the available transmission rights without violating them. These Energy Transfer schedules can then be tagged to the relevant interties among the BAAs.</w:t>
      </w:r>
    </w:p>
    <w:p w14:paraId="242C5A09" w14:textId="77777777" w:rsidR="00225179" w:rsidRDefault="00225179" w:rsidP="000B754E">
      <w:pPr>
        <w:pStyle w:val="Paragraph"/>
      </w:pPr>
    </w:p>
    <w:p w14:paraId="5486C4BD" w14:textId="77777777" w:rsidR="00DB1797" w:rsidRDefault="00DB1797" w:rsidP="00F57D97">
      <w:pPr>
        <w:pStyle w:val="Heading5"/>
      </w:pPr>
      <w:r>
        <w:t>Energy Transfer System Resources</w:t>
      </w:r>
    </w:p>
    <w:p w14:paraId="51366CB6" w14:textId="5C01456A" w:rsidR="00DB1797" w:rsidRPr="00F57D97" w:rsidRDefault="00DB1797" w:rsidP="00877DDB">
      <w:pPr>
        <w:pStyle w:val="BPM"/>
      </w:pPr>
      <w:r w:rsidRPr="00F57D97">
        <w:t>Although not necessary for implementation, it is convenient to define dedicated System Resources in each</w:t>
      </w:r>
      <w:r w:rsidR="005F24C1">
        <w:t xml:space="preserve"> WEIM </w:t>
      </w:r>
      <w:r w:rsidRPr="00F57D97">
        <w:t>BAA to anchor the Energy Transfer schedules from that BAA to other BAAs in the</w:t>
      </w:r>
      <w:r w:rsidR="005F24C1">
        <w:t xml:space="preserve"> WEIM </w:t>
      </w:r>
      <w:r w:rsidRPr="00F57D97">
        <w:t>Area for tracking, tagging, and settlement. These Energy Transfer System Resources (ETSRs) are defined as aggregate resources at the</w:t>
      </w:r>
      <w:r w:rsidR="005F24C1">
        <w:t xml:space="preserve"> WEIM </w:t>
      </w:r>
      <w:r w:rsidRPr="00F57D97">
        <w:t xml:space="preserve">BAA Default Generation Aggregation Point (DGAP), which is an aggregation of all supply resources in the BAA. Each ETSR is defined as either an import or an export resource, and it is associated with </w:t>
      </w:r>
      <w:r w:rsidR="00153940">
        <w:t>a WEIM</w:t>
      </w:r>
      <w:r w:rsidR="005F24C1">
        <w:t xml:space="preserve"> </w:t>
      </w:r>
      <w:r w:rsidRPr="00F57D97">
        <w:t>intertie with another</w:t>
      </w:r>
      <w:r w:rsidR="005F24C1">
        <w:t xml:space="preserve"> WEIM </w:t>
      </w:r>
      <w:r w:rsidRPr="00F57D97">
        <w:t>BAA, or a CISO intertie with the CISO. The associated intertie is one where the</w:t>
      </w:r>
      <w:r w:rsidR="005F24C1">
        <w:t xml:space="preserve"> WEIM </w:t>
      </w:r>
      <w:r w:rsidRPr="00F57D97">
        <w:t>Entity for the relevant</w:t>
      </w:r>
      <w:r w:rsidR="005F24C1">
        <w:t xml:space="preserve"> WEIM </w:t>
      </w:r>
      <w:r w:rsidRPr="00F57D97">
        <w:t>BAA has made transmission rights available for scheduling Energy Transfers from/to the other</w:t>
      </w:r>
      <w:r w:rsidR="005F24C1">
        <w:t xml:space="preserve"> WEIM </w:t>
      </w:r>
      <w:r w:rsidRPr="00F57D97">
        <w:t>BAA or the CISO.</w:t>
      </w:r>
    </w:p>
    <w:p w14:paraId="2FF56B18" w14:textId="59BB108D" w:rsidR="00DB1797" w:rsidRPr="00F57D97" w:rsidRDefault="00DB1797" w:rsidP="00877DDB">
      <w:pPr>
        <w:pStyle w:val="BPM"/>
      </w:pPr>
      <w:r w:rsidRPr="00F57D97">
        <w:t>At least two ETSRs must be defined in a BAA for each Energy Transfer schedule with another BAA in the</w:t>
      </w:r>
      <w:r w:rsidR="005F24C1">
        <w:t xml:space="preserve"> WEIM </w:t>
      </w:r>
      <w:r w:rsidRPr="00F57D97">
        <w:t xml:space="preserve">Area: one for import, and the other for export. An aggregate intertie may be used if there are multiple interties under the transmission rights that are made available. It may be necessary to define ETSRs for each intertie separately if the transmission rights are different for each one of them. It may also be necessary to define multiple ETSRs for each Transmission Service Provider (TSP) whose transmission rights are made available. Finally, it may be necessary to define different ETSRs for static 15min Energy Transfer schedules and dynamic 5min Energy </w:t>
      </w:r>
      <w:r w:rsidRPr="00F57D97">
        <w:lastRenderedPageBreak/>
        <w:t>Transfer schedules. The applicable transmission right limits can then be modeled as upper operating limits on the corresponding ETSRs.</w:t>
      </w:r>
    </w:p>
    <w:p w14:paraId="751A3D8D" w14:textId="03EDED3C" w:rsidR="00DB1797" w:rsidRPr="00F57D97" w:rsidRDefault="00DB1797" w:rsidP="00877DDB">
      <w:pPr>
        <w:pStyle w:val="BPM"/>
      </w:pPr>
      <w:r w:rsidRPr="00F57D97">
        <w:t>For Energy Transfer schedules between BAAs in the</w:t>
      </w:r>
      <w:r w:rsidR="005F24C1">
        <w:t xml:space="preserve"> WEIM </w:t>
      </w:r>
      <w:r w:rsidRPr="00F57D97">
        <w:t>Area, the relevant ETSRs in these BAAs must be associated in import-export pairs since an Energy Transfer schedule between the BAAs is an import to one and an export to the other.</w:t>
      </w:r>
    </w:p>
    <w:p w14:paraId="0AB82F28" w14:textId="77777777" w:rsidR="00F57D97" w:rsidRDefault="00F57D97" w:rsidP="000B754E">
      <w:pPr>
        <w:pStyle w:val="Paragraph"/>
      </w:pPr>
    </w:p>
    <w:p w14:paraId="56F5B86B" w14:textId="77777777" w:rsidR="002815A0" w:rsidRDefault="002815A0" w:rsidP="00B96223">
      <w:pPr>
        <w:pStyle w:val="Heading5"/>
      </w:pPr>
      <w:r>
        <w:t>Notation</w:t>
      </w:r>
    </w:p>
    <w:p w14:paraId="2BB0C520" w14:textId="77777777" w:rsidR="002815A0" w:rsidRDefault="002815A0" w:rsidP="002815A0">
      <w:pPr>
        <w:pStyle w:val="Paragraph"/>
      </w:pPr>
      <w:r>
        <w:t>The following mathematical notation is used in this 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8207"/>
      </w:tblGrid>
      <w:tr w:rsidR="002815A0" w14:paraId="78F09D56" w14:textId="77777777" w:rsidTr="00CF1AB9">
        <w:trPr>
          <w:cantSplit/>
        </w:trPr>
        <w:tc>
          <w:tcPr>
            <w:tcW w:w="0" w:type="auto"/>
          </w:tcPr>
          <w:p w14:paraId="378737D0" w14:textId="77777777" w:rsidR="002815A0" w:rsidRPr="003D6191" w:rsidRDefault="002815A0" w:rsidP="00CF1AB9">
            <w:pPr>
              <w:pStyle w:val="Paragraph"/>
              <w:jc w:val="left"/>
              <w:rPr>
                <w:i/>
              </w:rPr>
            </w:pPr>
            <w:r>
              <w:rPr>
                <w:i/>
              </w:rPr>
              <w:t>i</w:t>
            </w:r>
          </w:p>
        </w:tc>
        <w:tc>
          <w:tcPr>
            <w:tcW w:w="0" w:type="auto"/>
          </w:tcPr>
          <w:p w14:paraId="59750293" w14:textId="77777777" w:rsidR="002815A0" w:rsidRDefault="002815A0" w:rsidP="00CF1AB9">
            <w:pPr>
              <w:pStyle w:val="Paragraph"/>
              <w:jc w:val="left"/>
            </w:pPr>
            <w:r>
              <w:t>Node index.</w:t>
            </w:r>
          </w:p>
        </w:tc>
      </w:tr>
      <w:tr w:rsidR="002815A0" w14:paraId="64A1393A" w14:textId="77777777" w:rsidTr="00CF1AB9">
        <w:trPr>
          <w:cantSplit/>
        </w:trPr>
        <w:tc>
          <w:tcPr>
            <w:tcW w:w="0" w:type="auto"/>
          </w:tcPr>
          <w:p w14:paraId="41D0E793" w14:textId="77777777" w:rsidR="002815A0" w:rsidRPr="00E86E57" w:rsidRDefault="002815A0" w:rsidP="00CF1AB9">
            <w:pPr>
              <w:pStyle w:val="Paragraph"/>
              <w:jc w:val="left"/>
              <w:rPr>
                <w:i/>
              </w:rPr>
            </w:pPr>
            <w:r>
              <w:rPr>
                <w:i/>
              </w:rPr>
              <w:t>j</w:t>
            </w:r>
            <w:r>
              <w:t xml:space="preserve">, </w:t>
            </w:r>
            <w:r>
              <w:rPr>
                <w:i/>
              </w:rPr>
              <w:t>k</w:t>
            </w:r>
          </w:p>
        </w:tc>
        <w:tc>
          <w:tcPr>
            <w:tcW w:w="0" w:type="auto"/>
          </w:tcPr>
          <w:p w14:paraId="0650CBA5" w14:textId="77777777" w:rsidR="002815A0" w:rsidRDefault="002815A0" w:rsidP="00CF1AB9">
            <w:pPr>
              <w:pStyle w:val="Paragraph"/>
              <w:jc w:val="left"/>
            </w:pPr>
            <w:r>
              <w:t>BAA indexes; zero (0) is used for the CISO.</w:t>
            </w:r>
          </w:p>
        </w:tc>
      </w:tr>
      <w:tr w:rsidR="002815A0" w14:paraId="0C31445E" w14:textId="77777777" w:rsidTr="00CF1AB9">
        <w:trPr>
          <w:cantSplit/>
        </w:trPr>
        <w:tc>
          <w:tcPr>
            <w:tcW w:w="0" w:type="auto"/>
          </w:tcPr>
          <w:p w14:paraId="181D606E" w14:textId="77777777" w:rsidR="002815A0" w:rsidRDefault="002815A0" w:rsidP="00CF1AB9">
            <w:pPr>
              <w:pStyle w:val="Paragraph"/>
              <w:jc w:val="left"/>
              <w:rPr>
                <w:i/>
              </w:rPr>
            </w:pPr>
            <w:r>
              <w:rPr>
                <w:i/>
              </w:rPr>
              <w:t>l</w:t>
            </w:r>
          </w:p>
        </w:tc>
        <w:tc>
          <w:tcPr>
            <w:tcW w:w="0" w:type="auto"/>
          </w:tcPr>
          <w:p w14:paraId="3A092731" w14:textId="396E8377" w:rsidR="002815A0" w:rsidRDefault="002815A0" w:rsidP="00CF1AB9">
            <w:pPr>
              <w:pStyle w:val="Paragraph"/>
              <w:jc w:val="left"/>
            </w:pPr>
            <w:r>
              <w:t>Intertie or Energy Transfer schedule index; in the latter case, it is the corresponding ETSR index (ETSR pair for Energy Transfers between BAAs in the</w:t>
            </w:r>
            <w:r w:rsidR="005F24C1">
              <w:t xml:space="preserve"> WEIM </w:t>
            </w:r>
            <w:r>
              <w:t>Area).</w:t>
            </w:r>
          </w:p>
        </w:tc>
      </w:tr>
      <w:tr w:rsidR="002815A0" w14:paraId="021AA91C" w14:textId="77777777" w:rsidTr="00CF1AB9">
        <w:trPr>
          <w:cantSplit/>
        </w:trPr>
        <w:tc>
          <w:tcPr>
            <w:tcW w:w="0" w:type="auto"/>
          </w:tcPr>
          <w:p w14:paraId="59187B26" w14:textId="77777777" w:rsidR="002815A0" w:rsidRPr="00F7649B" w:rsidRDefault="00461DCC" w:rsidP="00CF1AB9">
            <w:pPr>
              <w:pStyle w:val="Paragraph"/>
              <w:jc w:val="left"/>
            </w:pPr>
            <m:oMathPara>
              <m:oMathParaPr>
                <m:jc m:val="left"/>
              </m:oMathParaPr>
              <m:oMath>
                <m:acc>
                  <m:accPr>
                    <m:chr m:val="̅"/>
                    <m:ctrlPr>
                      <w:rPr>
                        <w:rFonts w:ascii="Cambria Math" w:hAnsi="Cambria Math"/>
                        <w:i/>
                      </w:rPr>
                    </m:ctrlPr>
                  </m:accPr>
                  <m:e/>
                </m:acc>
              </m:oMath>
            </m:oMathPara>
          </w:p>
        </w:tc>
        <w:tc>
          <w:tcPr>
            <w:tcW w:w="0" w:type="auto"/>
          </w:tcPr>
          <w:p w14:paraId="1B395911" w14:textId="77777777" w:rsidR="002815A0" w:rsidRDefault="002815A0" w:rsidP="00CF1AB9">
            <w:pPr>
              <w:pStyle w:val="Paragraph"/>
              <w:jc w:val="left"/>
            </w:pPr>
            <w:r>
              <w:t>Accent denoting base schedule (RUC schedule for the ISO BAA).</w:t>
            </w:r>
          </w:p>
        </w:tc>
      </w:tr>
      <w:tr w:rsidR="002815A0" w14:paraId="02DB3939" w14:textId="77777777" w:rsidTr="00CF1AB9">
        <w:trPr>
          <w:cantSplit/>
        </w:trPr>
        <w:tc>
          <w:tcPr>
            <w:tcW w:w="0" w:type="auto"/>
          </w:tcPr>
          <w:p w14:paraId="53D65908" w14:textId="77777777" w:rsidR="002815A0" w:rsidRPr="00F7649B" w:rsidRDefault="00461DCC" w:rsidP="00CF1AB9">
            <w:pPr>
              <w:pStyle w:val="Paragraph"/>
              <w:jc w:val="left"/>
            </w:pPr>
            <m:oMathPara>
              <m:oMathParaPr>
                <m:jc m:val="left"/>
              </m:oMathParaPr>
              <m:oMath>
                <m:acc>
                  <m:accPr>
                    <m:ctrlPr>
                      <w:rPr>
                        <w:rFonts w:ascii="Cambria Math" w:hAnsi="Cambria Math"/>
                        <w:i/>
                      </w:rPr>
                    </m:ctrlPr>
                  </m:accPr>
                  <m:e/>
                </m:acc>
              </m:oMath>
            </m:oMathPara>
          </w:p>
        </w:tc>
        <w:tc>
          <w:tcPr>
            <w:tcW w:w="0" w:type="auto"/>
          </w:tcPr>
          <w:p w14:paraId="61227B26" w14:textId="77777777" w:rsidR="002815A0" w:rsidRDefault="002815A0" w:rsidP="00CF1AB9">
            <w:pPr>
              <w:pStyle w:val="Paragraph"/>
              <w:jc w:val="left"/>
            </w:pPr>
            <w:r>
              <w:t>Accent denoting gross tagged or forecasted interchange schedule between non-EIM BAAs.</w:t>
            </w:r>
          </w:p>
        </w:tc>
      </w:tr>
      <w:tr w:rsidR="002815A0" w14:paraId="7D9B6BF8" w14:textId="77777777" w:rsidTr="00CF1AB9">
        <w:trPr>
          <w:cantSplit/>
        </w:trPr>
        <w:tc>
          <w:tcPr>
            <w:tcW w:w="0" w:type="auto"/>
          </w:tcPr>
          <w:p w14:paraId="2F2F0012" w14:textId="77777777" w:rsidR="002815A0" w:rsidRPr="00F7649B" w:rsidRDefault="00461DCC" w:rsidP="00CF1AB9">
            <w:pPr>
              <w:pStyle w:val="Paragraph"/>
              <w:jc w:val="left"/>
            </w:pPr>
            <m:oMathPara>
              <m:oMathParaPr>
                <m:jc m:val="left"/>
              </m:oMathParaPr>
              <m:oMath>
                <m:acc>
                  <m:accPr>
                    <m:chr m:val="̃"/>
                    <m:ctrlPr>
                      <w:rPr>
                        <w:rFonts w:ascii="Cambria Math" w:hAnsi="Cambria Math"/>
                        <w:i/>
                      </w:rPr>
                    </m:ctrlPr>
                  </m:accPr>
                  <m:e/>
                </m:acc>
              </m:oMath>
            </m:oMathPara>
          </w:p>
        </w:tc>
        <w:tc>
          <w:tcPr>
            <w:tcW w:w="0" w:type="auto"/>
          </w:tcPr>
          <w:p w14:paraId="39228D81" w14:textId="77777777" w:rsidR="002815A0" w:rsidRDefault="002815A0" w:rsidP="00CF1AB9">
            <w:pPr>
              <w:pStyle w:val="Paragraph"/>
              <w:jc w:val="left"/>
            </w:pPr>
            <w:r>
              <w:t>Accent denoting initial values from the last AC Power Flow (ACPF) solution.</w:t>
            </w:r>
          </w:p>
        </w:tc>
      </w:tr>
      <w:tr w:rsidR="002815A0" w14:paraId="58979D8B" w14:textId="77777777" w:rsidTr="00CF1AB9">
        <w:trPr>
          <w:cantSplit/>
        </w:trPr>
        <w:tc>
          <w:tcPr>
            <w:tcW w:w="0" w:type="auto"/>
          </w:tcPr>
          <w:p w14:paraId="4E8A0EB1" w14:textId="77777777" w:rsidR="002815A0" w:rsidRPr="00F7649B" w:rsidRDefault="002815A0" w:rsidP="00CF1AB9">
            <w:pPr>
              <w:pStyle w:val="Paragraph"/>
              <w:jc w:val="left"/>
            </w:pPr>
            <w:r>
              <w:sym w:font="Symbol" w:char="F044"/>
            </w:r>
          </w:p>
        </w:tc>
        <w:tc>
          <w:tcPr>
            <w:tcW w:w="0" w:type="auto"/>
          </w:tcPr>
          <w:p w14:paraId="2162710C" w14:textId="77777777" w:rsidR="002815A0" w:rsidRDefault="002815A0" w:rsidP="00CF1AB9">
            <w:pPr>
              <w:pStyle w:val="Paragraph"/>
              <w:jc w:val="left"/>
            </w:pPr>
            <w:r>
              <w:t>Denotes incremental values from the last ACPF solution.</w:t>
            </w:r>
          </w:p>
        </w:tc>
      </w:tr>
      <w:tr w:rsidR="002815A0" w14:paraId="730608FE" w14:textId="77777777" w:rsidTr="00CF1AB9">
        <w:trPr>
          <w:cantSplit/>
        </w:trPr>
        <w:tc>
          <w:tcPr>
            <w:tcW w:w="0" w:type="auto"/>
          </w:tcPr>
          <w:p w14:paraId="4B83C293" w14:textId="77777777" w:rsidR="002815A0" w:rsidRPr="00430730" w:rsidRDefault="002815A0" w:rsidP="00CF1AB9">
            <w:pPr>
              <w:pStyle w:val="Paragraph"/>
              <w:jc w:val="left"/>
            </w:pPr>
            <w:r w:rsidRPr="00430730">
              <w:sym w:font="Symbol" w:char="F022"/>
            </w:r>
          </w:p>
        </w:tc>
        <w:tc>
          <w:tcPr>
            <w:tcW w:w="0" w:type="auto"/>
          </w:tcPr>
          <w:p w14:paraId="18CC5C85" w14:textId="77777777" w:rsidR="002815A0" w:rsidRDefault="002815A0" w:rsidP="00CF1AB9">
            <w:pPr>
              <w:pStyle w:val="Paragraph"/>
              <w:jc w:val="left"/>
            </w:pPr>
            <w:r>
              <w:t>For all…</w:t>
            </w:r>
          </w:p>
        </w:tc>
      </w:tr>
      <w:tr w:rsidR="002815A0" w14:paraId="5F54CB54" w14:textId="77777777" w:rsidTr="00CF1AB9">
        <w:trPr>
          <w:cantSplit/>
        </w:trPr>
        <w:tc>
          <w:tcPr>
            <w:tcW w:w="0" w:type="auto"/>
          </w:tcPr>
          <w:p w14:paraId="4993FEB2" w14:textId="77777777" w:rsidR="002815A0" w:rsidRDefault="002815A0" w:rsidP="00CF1AB9">
            <w:pPr>
              <w:pStyle w:val="Paragraph"/>
              <w:jc w:val="left"/>
            </w:pPr>
            <w:r>
              <w:sym w:font="Symbol" w:char="F0CE"/>
            </w:r>
          </w:p>
        </w:tc>
        <w:tc>
          <w:tcPr>
            <w:tcW w:w="0" w:type="auto"/>
          </w:tcPr>
          <w:p w14:paraId="4D9EC768" w14:textId="77777777" w:rsidR="002815A0" w:rsidRDefault="002815A0" w:rsidP="00CF1AB9">
            <w:pPr>
              <w:pStyle w:val="Paragraph"/>
              <w:jc w:val="left"/>
            </w:pPr>
            <w:r>
              <w:t>Member of…</w:t>
            </w:r>
          </w:p>
        </w:tc>
      </w:tr>
      <w:tr w:rsidR="002815A0" w14:paraId="0927F5ED" w14:textId="77777777" w:rsidTr="00CF1AB9">
        <w:trPr>
          <w:cantSplit/>
        </w:trPr>
        <w:tc>
          <w:tcPr>
            <w:tcW w:w="0" w:type="auto"/>
          </w:tcPr>
          <w:p w14:paraId="53093A98" w14:textId="77777777" w:rsidR="002815A0" w:rsidRDefault="002815A0" w:rsidP="00CF1AB9">
            <w:pPr>
              <w:pStyle w:val="Paragraph"/>
              <w:jc w:val="left"/>
            </w:pPr>
            <w:r>
              <w:sym w:font="Symbol" w:char="F0D9"/>
            </w:r>
          </w:p>
        </w:tc>
        <w:tc>
          <w:tcPr>
            <w:tcW w:w="0" w:type="auto"/>
          </w:tcPr>
          <w:p w14:paraId="2419B455" w14:textId="77777777" w:rsidR="002815A0" w:rsidRDefault="002815A0" w:rsidP="00CF1AB9">
            <w:pPr>
              <w:pStyle w:val="Paragraph"/>
              <w:jc w:val="left"/>
            </w:pPr>
            <w:r>
              <w:t>…and…</w:t>
            </w:r>
          </w:p>
        </w:tc>
      </w:tr>
      <w:tr w:rsidR="002815A0" w14:paraId="3268D438" w14:textId="77777777" w:rsidTr="00CF1AB9">
        <w:trPr>
          <w:cantSplit/>
        </w:trPr>
        <w:tc>
          <w:tcPr>
            <w:tcW w:w="0" w:type="auto"/>
          </w:tcPr>
          <w:p w14:paraId="5D123ECA" w14:textId="77777777" w:rsidR="002815A0" w:rsidRDefault="002815A0" w:rsidP="00CF1AB9">
            <w:pPr>
              <w:pStyle w:val="Paragraph"/>
              <w:jc w:val="left"/>
              <w:rPr>
                <w:i/>
              </w:rPr>
            </w:pPr>
            <w:r>
              <w:rPr>
                <w:i/>
              </w:rPr>
              <w:t>EIM</w:t>
            </w:r>
          </w:p>
        </w:tc>
        <w:tc>
          <w:tcPr>
            <w:tcW w:w="0" w:type="auto"/>
          </w:tcPr>
          <w:p w14:paraId="1FFFC658" w14:textId="700F622C" w:rsidR="002815A0" w:rsidRDefault="002815A0" w:rsidP="00CF1AB9">
            <w:pPr>
              <w:pStyle w:val="Paragraph"/>
              <w:jc w:val="left"/>
            </w:pPr>
            <w:r>
              <w:t>The set of CISO and all</w:t>
            </w:r>
            <w:r w:rsidR="005F24C1">
              <w:t xml:space="preserve"> WEIM </w:t>
            </w:r>
            <w:r>
              <w:t>BAAs.</w:t>
            </w:r>
          </w:p>
        </w:tc>
      </w:tr>
      <w:tr w:rsidR="002815A0" w14:paraId="28D7FA7B" w14:textId="77777777" w:rsidTr="00CF1AB9">
        <w:trPr>
          <w:cantSplit/>
        </w:trPr>
        <w:tc>
          <w:tcPr>
            <w:tcW w:w="0" w:type="auto"/>
          </w:tcPr>
          <w:p w14:paraId="7AA22F4C" w14:textId="77777777" w:rsidR="002815A0" w:rsidRPr="00275705" w:rsidRDefault="002815A0" w:rsidP="00CF1AB9">
            <w:pPr>
              <w:pStyle w:val="Paragraph"/>
              <w:jc w:val="left"/>
              <w:rPr>
                <w:i/>
                <w:vertAlign w:val="subscript"/>
              </w:rPr>
            </w:pPr>
            <w:r>
              <w:rPr>
                <w:i/>
              </w:rPr>
              <w:lastRenderedPageBreak/>
              <w:t>BAA</w:t>
            </w:r>
            <w:r>
              <w:rPr>
                <w:i/>
                <w:vertAlign w:val="subscript"/>
              </w:rPr>
              <w:t>j</w:t>
            </w:r>
          </w:p>
        </w:tc>
        <w:tc>
          <w:tcPr>
            <w:tcW w:w="0" w:type="auto"/>
          </w:tcPr>
          <w:p w14:paraId="3AFD7756" w14:textId="77777777" w:rsidR="002815A0" w:rsidRDefault="002815A0" w:rsidP="00CF1AB9">
            <w:pPr>
              <w:pStyle w:val="Paragraph"/>
              <w:jc w:val="left"/>
            </w:pPr>
            <w:r>
              <w:t xml:space="preserve">The set of nodes in BAA </w:t>
            </w:r>
            <w:r>
              <w:rPr>
                <w:i/>
              </w:rPr>
              <w:t>j</w:t>
            </w:r>
            <w:r>
              <w:t>.</w:t>
            </w:r>
          </w:p>
        </w:tc>
      </w:tr>
      <w:tr w:rsidR="002815A0" w14:paraId="3B0E8280" w14:textId="77777777" w:rsidTr="00CF1AB9">
        <w:trPr>
          <w:cantSplit/>
        </w:trPr>
        <w:tc>
          <w:tcPr>
            <w:tcW w:w="0" w:type="auto"/>
          </w:tcPr>
          <w:p w14:paraId="00B10B2B" w14:textId="77777777" w:rsidR="002815A0" w:rsidRDefault="002815A0" w:rsidP="00CF1AB9">
            <w:pPr>
              <w:pStyle w:val="Paragraph"/>
              <w:jc w:val="left"/>
              <w:rPr>
                <w:i/>
              </w:rPr>
            </w:pPr>
            <w:r>
              <w:rPr>
                <w:i/>
              </w:rPr>
              <w:t>G</w:t>
            </w:r>
            <w:r>
              <w:rPr>
                <w:i/>
                <w:vertAlign w:val="subscript"/>
              </w:rPr>
              <w:t>i</w:t>
            </w:r>
          </w:p>
        </w:tc>
        <w:tc>
          <w:tcPr>
            <w:tcW w:w="0" w:type="auto"/>
          </w:tcPr>
          <w:p w14:paraId="230612DE" w14:textId="77777777" w:rsidR="002815A0" w:rsidRPr="00F7649B" w:rsidRDefault="002815A0" w:rsidP="00CF1AB9">
            <w:pPr>
              <w:pStyle w:val="Paragraph"/>
              <w:jc w:val="left"/>
            </w:pPr>
            <w:r>
              <w:t xml:space="preserve">The generation at node </w:t>
            </w:r>
            <w:r>
              <w:rPr>
                <w:i/>
              </w:rPr>
              <w:t>i</w:t>
            </w:r>
            <w:r>
              <w:t>.</w:t>
            </w:r>
          </w:p>
        </w:tc>
      </w:tr>
      <w:tr w:rsidR="002815A0" w14:paraId="43364564" w14:textId="77777777" w:rsidTr="00CF1AB9">
        <w:trPr>
          <w:cantSplit/>
        </w:trPr>
        <w:tc>
          <w:tcPr>
            <w:tcW w:w="0" w:type="auto"/>
          </w:tcPr>
          <w:p w14:paraId="36B14227" w14:textId="77777777" w:rsidR="002815A0" w:rsidRDefault="002815A0" w:rsidP="00CF1AB9">
            <w:pPr>
              <w:pStyle w:val="Paragraph"/>
              <w:jc w:val="left"/>
              <w:rPr>
                <w:i/>
              </w:rPr>
            </w:pPr>
            <w:r>
              <w:rPr>
                <w:i/>
              </w:rPr>
              <w:t>L</w:t>
            </w:r>
            <w:r>
              <w:rPr>
                <w:i/>
                <w:vertAlign w:val="subscript"/>
              </w:rPr>
              <w:t>i</w:t>
            </w:r>
          </w:p>
        </w:tc>
        <w:tc>
          <w:tcPr>
            <w:tcW w:w="0" w:type="auto"/>
          </w:tcPr>
          <w:p w14:paraId="4943A5A3" w14:textId="77777777" w:rsidR="002815A0" w:rsidRPr="00F7649B" w:rsidRDefault="002815A0" w:rsidP="00CF1AB9">
            <w:pPr>
              <w:pStyle w:val="Paragraph"/>
              <w:jc w:val="left"/>
            </w:pPr>
            <w:r>
              <w:t xml:space="preserve">The load at node </w:t>
            </w:r>
            <w:r>
              <w:rPr>
                <w:i/>
              </w:rPr>
              <w:t>i</w:t>
            </w:r>
            <w:r>
              <w:t>.</w:t>
            </w:r>
          </w:p>
        </w:tc>
      </w:tr>
      <w:tr w:rsidR="002815A0" w14:paraId="28A107F8" w14:textId="77777777" w:rsidTr="00CF1AB9">
        <w:trPr>
          <w:cantSplit/>
        </w:trPr>
        <w:tc>
          <w:tcPr>
            <w:tcW w:w="0" w:type="auto"/>
          </w:tcPr>
          <w:p w14:paraId="1410EBBE" w14:textId="77777777" w:rsidR="002815A0" w:rsidRPr="001A7D38" w:rsidRDefault="002815A0" w:rsidP="00CF1AB9">
            <w:pPr>
              <w:pStyle w:val="Paragraph"/>
              <w:jc w:val="left"/>
              <w:rPr>
                <w:i/>
              </w:rPr>
            </w:pPr>
            <w:r>
              <w:rPr>
                <w:i/>
              </w:rPr>
              <w:t>I</w:t>
            </w:r>
            <w:r>
              <w:rPr>
                <w:i/>
                <w:vertAlign w:val="subscript"/>
              </w:rPr>
              <w:t>j</w:t>
            </w:r>
            <w:r>
              <w:rPr>
                <w:vertAlign w:val="subscript"/>
              </w:rPr>
              <w:t>,</w:t>
            </w:r>
            <w:r>
              <w:rPr>
                <w:i/>
                <w:vertAlign w:val="subscript"/>
              </w:rPr>
              <w:t>k,l</w:t>
            </w:r>
          </w:p>
        </w:tc>
        <w:tc>
          <w:tcPr>
            <w:tcW w:w="0" w:type="auto"/>
          </w:tcPr>
          <w:p w14:paraId="68308667" w14:textId="4D47832B" w:rsidR="002815A0" w:rsidRPr="00F7649B" w:rsidRDefault="002815A0" w:rsidP="00CF1AB9">
            <w:pPr>
              <w:pStyle w:val="Paragraph"/>
              <w:jc w:val="left"/>
            </w:pPr>
            <w:r>
              <w:t xml:space="preserve">The import schedule </w:t>
            </w:r>
            <w:r>
              <w:rPr>
                <w:i/>
              </w:rPr>
              <w:t>l</w:t>
            </w:r>
            <w:r>
              <w:t xml:space="preserve"> into</w:t>
            </w:r>
            <w:r w:rsidR="005F24C1">
              <w:t xml:space="preserve"> WEIM </w:t>
            </w:r>
            <w:r>
              <w:t xml:space="preserve">BAA </w:t>
            </w:r>
            <w:r>
              <w:rPr>
                <w:i/>
              </w:rPr>
              <w:t>j</w:t>
            </w:r>
            <w:r>
              <w:t xml:space="preserve"> from BAA </w:t>
            </w:r>
            <w:r>
              <w:rPr>
                <w:i/>
              </w:rPr>
              <w:t>k</w:t>
            </w:r>
            <w:r>
              <w:t>.</w:t>
            </w:r>
          </w:p>
        </w:tc>
      </w:tr>
      <w:tr w:rsidR="002815A0" w14:paraId="255D7D1C" w14:textId="77777777" w:rsidTr="00CF1AB9">
        <w:trPr>
          <w:cantSplit/>
        </w:trPr>
        <w:tc>
          <w:tcPr>
            <w:tcW w:w="0" w:type="auto"/>
          </w:tcPr>
          <w:p w14:paraId="44BB73CF" w14:textId="77777777" w:rsidR="002815A0" w:rsidRDefault="002815A0" w:rsidP="00CF1AB9">
            <w:pPr>
              <w:pStyle w:val="Paragraph"/>
              <w:jc w:val="left"/>
              <w:rPr>
                <w:i/>
              </w:rPr>
            </w:pPr>
            <w:r>
              <w:rPr>
                <w:i/>
              </w:rPr>
              <w:t>E</w:t>
            </w:r>
            <w:r>
              <w:rPr>
                <w:i/>
                <w:vertAlign w:val="subscript"/>
              </w:rPr>
              <w:t>j</w:t>
            </w:r>
            <w:r>
              <w:rPr>
                <w:vertAlign w:val="subscript"/>
              </w:rPr>
              <w:t>,</w:t>
            </w:r>
            <w:r>
              <w:rPr>
                <w:i/>
                <w:vertAlign w:val="subscript"/>
              </w:rPr>
              <w:t>k,l</w:t>
            </w:r>
          </w:p>
        </w:tc>
        <w:tc>
          <w:tcPr>
            <w:tcW w:w="0" w:type="auto"/>
          </w:tcPr>
          <w:p w14:paraId="6656A74F" w14:textId="069ADDF6" w:rsidR="002815A0" w:rsidRPr="00F7649B" w:rsidRDefault="002815A0" w:rsidP="00CF1AB9">
            <w:pPr>
              <w:pStyle w:val="Paragraph"/>
              <w:jc w:val="left"/>
            </w:pPr>
            <w:r>
              <w:t xml:space="preserve">The export schedule </w:t>
            </w:r>
            <w:r>
              <w:rPr>
                <w:i/>
              </w:rPr>
              <w:t>l</w:t>
            </w:r>
            <w:r>
              <w:t xml:space="preserve"> from</w:t>
            </w:r>
            <w:r w:rsidR="005F24C1">
              <w:t xml:space="preserve"> WEIM </w:t>
            </w:r>
            <w:r>
              <w:t xml:space="preserve">BAA </w:t>
            </w:r>
            <w:r>
              <w:rPr>
                <w:i/>
              </w:rPr>
              <w:t>j</w:t>
            </w:r>
            <w:r>
              <w:t xml:space="preserve"> to BAA </w:t>
            </w:r>
            <w:r>
              <w:rPr>
                <w:i/>
              </w:rPr>
              <w:t>k</w:t>
            </w:r>
            <w:r>
              <w:t>.</w:t>
            </w:r>
          </w:p>
        </w:tc>
      </w:tr>
      <w:tr w:rsidR="002815A0" w14:paraId="30CE3023" w14:textId="77777777" w:rsidTr="00CF1AB9">
        <w:trPr>
          <w:cantSplit/>
        </w:trPr>
        <w:tc>
          <w:tcPr>
            <w:tcW w:w="0" w:type="auto"/>
          </w:tcPr>
          <w:p w14:paraId="0E9554DF" w14:textId="77777777" w:rsidR="002815A0" w:rsidRPr="00F7649B" w:rsidRDefault="002815A0" w:rsidP="00CF1AB9">
            <w:pPr>
              <w:pStyle w:val="Paragraph"/>
              <w:jc w:val="left"/>
              <w:rPr>
                <w:i/>
                <w:vertAlign w:val="subscript"/>
              </w:rPr>
            </w:pPr>
            <w:r>
              <w:rPr>
                <w:i/>
              </w:rPr>
              <w:t>D</w:t>
            </w:r>
            <w:r>
              <w:rPr>
                <w:i/>
                <w:vertAlign w:val="subscript"/>
              </w:rPr>
              <w:t>j</w:t>
            </w:r>
          </w:p>
        </w:tc>
        <w:tc>
          <w:tcPr>
            <w:tcW w:w="0" w:type="auto"/>
          </w:tcPr>
          <w:p w14:paraId="11E59D3F" w14:textId="77777777" w:rsidR="002815A0" w:rsidRDefault="002815A0" w:rsidP="00CF1AB9">
            <w:pPr>
              <w:pStyle w:val="Paragraph"/>
              <w:jc w:val="left"/>
            </w:pPr>
            <w:r>
              <w:t xml:space="preserve">The demand (load plus losses) forecast in BAA </w:t>
            </w:r>
            <w:r>
              <w:rPr>
                <w:i/>
              </w:rPr>
              <w:t>j</w:t>
            </w:r>
            <w:r>
              <w:t>.</w:t>
            </w:r>
          </w:p>
        </w:tc>
      </w:tr>
      <w:tr w:rsidR="002815A0" w14:paraId="17535E12" w14:textId="77777777" w:rsidTr="00CF1AB9">
        <w:trPr>
          <w:cantSplit/>
        </w:trPr>
        <w:tc>
          <w:tcPr>
            <w:tcW w:w="0" w:type="auto"/>
          </w:tcPr>
          <w:p w14:paraId="711975AB" w14:textId="77777777" w:rsidR="002815A0" w:rsidRPr="00F7649B" w:rsidRDefault="002815A0" w:rsidP="00CF1AB9">
            <w:pPr>
              <w:pStyle w:val="Paragraph"/>
              <w:jc w:val="left"/>
              <w:rPr>
                <w:i/>
                <w:vertAlign w:val="subscript"/>
              </w:rPr>
            </w:pPr>
            <w:r>
              <w:rPr>
                <w:i/>
              </w:rPr>
              <w:t>Loss</w:t>
            </w:r>
            <w:r>
              <w:rPr>
                <w:i/>
                <w:vertAlign w:val="subscript"/>
              </w:rPr>
              <w:t>j</w:t>
            </w:r>
          </w:p>
        </w:tc>
        <w:tc>
          <w:tcPr>
            <w:tcW w:w="0" w:type="auto"/>
          </w:tcPr>
          <w:p w14:paraId="78C421D8" w14:textId="77777777" w:rsidR="002815A0" w:rsidRDefault="002815A0" w:rsidP="00CF1AB9">
            <w:pPr>
              <w:pStyle w:val="Paragraph"/>
              <w:jc w:val="left"/>
            </w:pPr>
            <w:r>
              <w:t xml:space="preserve">The transmission loss in BAA </w:t>
            </w:r>
            <w:r>
              <w:rPr>
                <w:i/>
              </w:rPr>
              <w:t>j</w:t>
            </w:r>
            <w:r>
              <w:t>.</w:t>
            </w:r>
          </w:p>
        </w:tc>
      </w:tr>
      <w:tr w:rsidR="002815A0" w14:paraId="6100D67D" w14:textId="77777777" w:rsidTr="00CF1AB9">
        <w:trPr>
          <w:cantSplit/>
        </w:trPr>
        <w:tc>
          <w:tcPr>
            <w:tcW w:w="0" w:type="auto"/>
          </w:tcPr>
          <w:p w14:paraId="744CA317" w14:textId="77777777" w:rsidR="002815A0" w:rsidRPr="00F7649B" w:rsidRDefault="002815A0" w:rsidP="00CF1AB9">
            <w:pPr>
              <w:pStyle w:val="Paragraph"/>
              <w:jc w:val="left"/>
              <w:rPr>
                <w:i/>
                <w:vertAlign w:val="subscript"/>
              </w:rPr>
            </w:pPr>
            <w:r>
              <w:rPr>
                <w:i/>
              </w:rPr>
              <w:t>LPF</w:t>
            </w:r>
            <w:r>
              <w:rPr>
                <w:i/>
                <w:vertAlign w:val="subscript"/>
              </w:rPr>
              <w:t>i</w:t>
            </w:r>
          </w:p>
        </w:tc>
        <w:tc>
          <w:tcPr>
            <w:tcW w:w="0" w:type="auto"/>
          </w:tcPr>
          <w:p w14:paraId="3B199F4B" w14:textId="77777777" w:rsidR="002815A0" w:rsidRDefault="002815A0" w:rsidP="00CF1AB9">
            <w:pPr>
              <w:pStyle w:val="Paragraph"/>
              <w:jc w:val="left"/>
            </w:pPr>
            <w:r>
              <w:t xml:space="preserve">The loss penalty factor at node </w:t>
            </w:r>
            <w:r>
              <w:rPr>
                <w:i/>
              </w:rPr>
              <w:t>i</w:t>
            </w:r>
            <w:r>
              <w:t>.</w:t>
            </w:r>
          </w:p>
        </w:tc>
      </w:tr>
      <w:tr w:rsidR="002815A0" w14:paraId="0F65A460" w14:textId="77777777" w:rsidTr="00CF1AB9">
        <w:trPr>
          <w:cantSplit/>
        </w:trPr>
        <w:tc>
          <w:tcPr>
            <w:tcW w:w="0" w:type="auto"/>
          </w:tcPr>
          <w:p w14:paraId="783155DE" w14:textId="77777777" w:rsidR="002815A0" w:rsidRPr="00F7649B" w:rsidRDefault="002815A0" w:rsidP="00CF1AB9">
            <w:pPr>
              <w:pStyle w:val="Paragraph"/>
              <w:jc w:val="left"/>
              <w:rPr>
                <w:i/>
                <w:vertAlign w:val="subscript"/>
              </w:rPr>
            </w:pPr>
            <w:r>
              <w:rPr>
                <w:i/>
              </w:rPr>
              <w:t>LPF</w:t>
            </w:r>
            <w:r>
              <w:rPr>
                <w:i/>
                <w:vertAlign w:val="subscript"/>
              </w:rPr>
              <w:t>j,k,l</w:t>
            </w:r>
          </w:p>
        </w:tc>
        <w:tc>
          <w:tcPr>
            <w:tcW w:w="0" w:type="auto"/>
          </w:tcPr>
          <w:p w14:paraId="17B82B66" w14:textId="40BC14B7" w:rsidR="002815A0" w:rsidRDefault="002815A0" w:rsidP="00CF1AB9">
            <w:pPr>
              <w:pStyle w:val="Paragraph"/>
              <w:jc w:val="left"/>
            </w:pPr>
            <w:r>
              <w:t xml:space="preserve">The loss penalty factor at the Scheduling Point for intertie schedule </w:t>
            </w:r>
            <w:r w:rsidRPr="00551B0F">
              <w:rPr>
                <w:i/>
              </w:rPr>
              <w:t>l</w:t>
            </w:r>
            <w:r>
              <w:t xml:space="preserve"> between BAA </w:t>
            </w:r>
            <w:r>
              <w:rPr>
                <w:i/>
              </w:rPr>
              <w:t>j</w:t>
            </w:r>
            <w:r>
              <w:t xml:space="preserve"> in the</w:t>
            </w:r>
            <w:r w:rsidR="005F24C1">
              <w:t xml:space="preserve"> WEIM </w:t>
            </w:r>
            <w:r>
              <w:t xml:space="preserve">Area and non-EIM BAA </w:t>
            </w:r>
            <w:r>
              <w:rPr>
                <w:i/>
              </w:rPr>
              <w:t>k</w:t>
            </w:r>
            <w:r>
              <w:t>.</w:t>
            </w:r>
          </w:p>
        </w:tc>
      </w:tr>
      <w:tr w:rsidR="002815A0" w14:paraId="1AF07D2F" w14:textId="77777777" w:rsidTr="00CF1AB9">
        <w:trPr>
          <w:cantSplit/>
        </w:trPr>
        <w:tc>
          <w:tcPr>
            <w:tcW w:w="0" w:type="auto"/>
          </w:tcPr>
          <w:p w14:paraId="495FB2D1" w14:textId="77777777" w:rsidR="002815A0" w:rsidRPr="00F7649B" w:rsidRDefault="002815A0" w:rsidP="00CF1AB9">
            <w:pPr>
              <w:pStyle w:val="Paragraph"/>
              <w:jc w:val="left"/>
              <w:rPr>
                <w:i/>
                <w:vertAlign w:val="subscript"/>
              </w:rPr>
            </w:pPr>
            <w:r>
              <w:rPr>
                <w:i/>
              </w:rPr>
              <w:t>NSI</w:t>
            </w:r>
            <w:r>
              <w:rPr>
                <w:i/>
                <w:vertAlign w:val="subscript"/>
              </w:rPr>
              <w:t>j</w:t>
            </w:r>
          </w:p>
        </w:tc>
        <w:tc>
          <w:tcPr>
            <w:tcW w:w="0" w:type="auto"/>
          </w:tcPr>
          <w:p w14:paraId="775BE1C0" w14:textId="77777777" w:rsidR="002815A0" w:rsidRDefault="002815A0" w:rsidP="00CF1AB9">
            <w:pPr>
              <w:pStyle w:val="Paragraph"/>
              <w:jc w:val="left"/>
            </w:pPr>
            <w:r>
              <w:t xml:space="preserve">The Net Scheduled Interchange of BAA </w:t>
            </w:r>
            <w:r>
              <w:rPr>
                <w:i/>
              </w:rPr>
              <w:t>j</w:t>
            </w:r>
            <w:r>
              <w:t>; positive for export and negative for import.</w:t>
            </w:r>
          </w:p>
        </w:tc>
      </w:tr>
      <w:tr w:rsidR="002815A0" w14:paraId="00E31E8A" w14:textId="77777777" w:rsidTr="00CF1AB9">
        <w:trPr>
          <w:cantSplit/>
        </w:trPr>
        <w:tc>
          <w:tcPr>
            <w:tcW w:w="0" w:type="auto"/>
          </w:tcPr>
          <w:p w14:paraId="16FF466C" w14:textId="77777777" w:rsidR="002815A0" w:rsidRDefault="002815A0" w:rsidP="00CF1AB9">
            <w:pPr>
              <w:pStyle w:val="Paragraph"/>
              <w:jc w:val="left"/>
              <w:rPr>
                <w:i/>
              </w:rPr>
            </w:pPr>
            <w:r>
              <w:rPr>
                <w:i/>
              </w:rPr>
              <w:t>T</w:t>
            </w:r>
            <w:r>
              <w:rPr>
                <w:i/>
                <w:vertAlign w:val="subscript"/>
              </w:rPr>
              <w:t>j</w:t>
            </w:r>
          </w:p>
        </w:tc>
        <w:tc>
          <w:tcPr>
            <w:tcW w:w="0" w:type="auto"/>
          </w:tcPr>
          <w:p w14:paraId="5A3D689C" w14:textId="7324C34B" w:rsidR="002815A0" w:rsidRDefault="002815A0" w:rsidP="00CF1AB9">
            <w:pPr>
              <w:pStyle w:val="Paragraph"/>
              <w:jc w:val="left"/>
            </w:pPr>
            <w:r>
              <w:t>The</w:t>
            </w:r>
            <w:r w:rsidR="005F24C1">
              <w:t xml:space="preserve"> WEIM </w:t>
            </w:r>
            <w:r>
              <w:t>Transfer of</w:t>
            </w:r>
            <w:r w:rsidR="005F24C1">
              <w:t xml:space="preserve"> WEIM </w:t>
            </w:r>
            <w:r>
              <w:t xml:space="preserve">BAA </w:t>
            </w:r>
            <w:r>
              <w:rPr>
                <w:i/>
              </w:rPr>
              <w:t>j</w:t>
            </w:r>
            <w:r>
              <w:t>; positive for export and negative for import.</w:t>
            </w:r>
          </w:p>
        </w:tc>
      </w:tr>
      <w:tr w:rsidR="002815A0" w14:paraId="3C08D77F" w14:textId="77777777" w:rsidTr="00CF1AB9">
        <w:trPr>
          <w:cantSplit/>
        </w:trPr>
        <w:tc>
          <w:tcPr>
            <w:tcW w:w="0" w:type="auto"/>
          </w:tcPr>
          <w:p w14:paraId="24173CE5" w14:textId="77777777" w:rsidR="002815A0" w:rsidRDefault="002815A0" w:rsidP="00CF1AB9">
            <w:pPr>
              <w:pStyle w:val="Paragraph"/>
              <w:jc w:val="left"/>
              <w:rPr>
                <w:i/>
              </w:rPr>
            </w:pPr>
            <w:r>
              <w:rPr>
                <w:i/>
              </w:rPr>
              <w:t>IT</w:t>
            </w:r>
            <w:r>
              <w:rPr>
                <w:i/>
                <w:vertAlign w:val="subscript"/>
              </w:rPr>
              <w:t>j</w:t>
            </w:r>
            <w:r>
              <w:rPr>
                <w:vertAlign w:val="subscript"/>
              </w:rPr>
              <w:t>,</w:t>
            </w:r>
            <w:r>
              <w:rPr>
                <w:i/>
                <w:vertAlign w:val="subscript"/>
              </w:rPr>
              <w:t>k,l</w:t>
            </w:r>
          </w:p>
        </w:tc>
        <w:tc>
          <w:tcPr>
            <w:tcW w:w="0" w:type="auto"/>
          </w:tcPr>
          <w:p w14:paraId="2A87EFD7" w14:textId="47467A56" w:rsidR="002815A0" w:rsidRDefault="002815A0" w:rsidP="00CF1AB9">
            <w:pPr>
              <w:pStyle w:val="Paragraph"/>
              <w:jc w:val="left"/>
            </w:pPr>
            <w:r>
              <w:t xml:space="preserve">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70ABF7DD" w14:textId="77777777" w:rsidTr="00CF1AB9">
        <w:trPr>
          <w:cantSplit/>
        </w:trPr>
        <w:tc>
          <w:tcPr>
            <w:tcW w:w="0" w:type="auto"/>
          </w:tcPr>
          <w:p w14:paraId="3A3FF0CD" w14:textId="77777777" w:rsidR="002815A0" w:rsidRDefault="002815A0" w:rsidP="00CF1AB9">
            <w:pPr>
              <w:pStyle w:val="Paragraph"/>
              <w:jc w:val="left"/>
              <w:rPr>
                <w:i/>
              </w:rPr>
            </w:pPr>
            <w:r>
              <w:rPr>
                <w:i/>
              </w:rPr>
              <w:t>ET</w:t>
            </w:r>
            <w:r>
              <w:rPr>
                <w:i/>
                <w:vertAlign w:val="subscript"/>
              </w:rPr>
              <w:t>j</w:t>
            </w:r>
            <w:r>
              <w:rPr>
                <w:vertAlign w:val="subscript"/>
              </w:rPr>
              <w:t>,</w:t>
            </w:r>
            <w:r>
              <w:rPr>
                <w:i/>
                <w:vertAlign w:val="subscript"/>
              </w:rPr>
              <w:t>k,l</w:t>
            </w:r>
          </w:p>
        </w:tc>
        <w:tc>
          <w:tcPr>
            <w:tcW w:w="0" w:type="auto"/>
          </w:tcPr>
          <w:p w14:paraId="4205B98C" w14:textId="42F771B4" w:rsidR="002815A0" w:rsidRDefault="002815A0" w:rsidP="00CF1AB9">
            <w:pPr>
              <w:pStyle w:val="Paragraph"/>
              <w:jc w:val="left"/>
            </w:pPr>
            <w:r>
              <w:t xml:space="preserve">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42B3B3D7" w14:textId="77777777" w:rsidTr="00CF1AB9">
        <w:trPr>
          <w:cantSplit/>
        </w:trPr>
        <w:tc>
          <w:tcPr>
            <w:tcW w:w="0" w:type="auto"/>
          </w:tcPr>
          <w:p w14:paraId="1050C87B" w14:textId="77777777" w:rsidR="002815A0" w:rsidRDefault="002815A0" w:rsidP="00CF1AB9">
            <w:pPr>
              <w:pStyle w:val="Paragraph"/>
              <w:jc w:val="left"/>
              <w:rPr>
                <w:i/>
              </w:rPr>
            </w:pPr>
            <w:r>
              <w:rPr>
                <w:i/>
              </w:rPr>
              <w:t>IT</w:t>
            </w:r>
            <w:r w:rsidRPr="00882385">
              <w:rPr>
                <w:i/>
                <w:vertAlign w:val="subscript"/>
              </w:rPr>
              <w:t>MAX</w:t>
            </w:r>
            <w:r>
              <w:rPr>
                <w:i/>
                <w:vertAlign w:val="subscript"/>
              </w:rPr>
              <w:t>j</w:t>
            </w:r>
            <w:r>
              <w:rPr>
                <w:vertAlign w:val="subscript"/>
              </w:rPr>
              <w:t>,</w:t>
            </w:r>
            <w:r>
              <w:rPr>
                <w:i/>
                <w:vertAlign w:val="subscript"/>
              </w:rPr>
              <w:t>k,l</w:t>
            </w:r>
          </w:p>
        </w:tc>
        <w:tc>
          <w:tcPr>
            <w:tcW w:w="0" w:type="auto"/>
          </w:tcPr>
          <w:p w14:paraId="0627DF71" w14:textId="5994401B" w:rsidR="002815A0" w:rsidRDefault="002815A0" w:rsidP="00CF1AB9">
            <w:pPr>
              <w:pStyle w:val="Paragraph"/>
              <w:jc w:val="left"/>
            </w:pPr>
            <w:r>
              <w:t xml:space="preserve">The applicable limit of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3535C5F8" w14:textId="77777777" w:rsidTr="00CF1AB9">
        <w:trPr>
          <w:cantSplit/>
        </w:trPr>
        <w:tc>
          <w:tcPr>
            <w:tcW w:w="0" w:type="auto"/>
          </w:tcPr>
          <w:p w14:paraId="03070505" w14:textId="77777777" w:rsidR="002815A0" w:rsidRDefault="002815A0" w:rsidP="00CF1AB9">
            <w:pPr>
              <w:pStyle w:val="Paragraph"/>
              <w:jc w:val="left"/>
              <w:rPr>
                <w:i/>
              </w:rPr>
            </w:pPr>
            <w:r>
              <w:rPr>
                <w:i/>
              </w:rPr>
              <w:t>ET</w:t>
            </w:r>
            <w:r w:rsidRPr="00882385">
              <w:rPr>
                <w:i/>
                <w:vertAlign w:val="subscript"/>
              </w:rPr>
              <w:t>MAX</w:t>
            </w:r>
            <w:r>
              <w:rPr>
                <w:i/>
                <w:vertAlign w:val="subscript"/>
              </w:rPr>
              <w:t>j</w:t>
            </w:r>
            <w:r>
              <w:rPr>
                <w:vertAlign w:val="subscript"/>
              </w:rPr>
              <w:t>,</w:t>
            </w:r>
            <w:r>
              <w:rPr>
                <w:i/>
                <w:vertAlign w:val="subscript"/>
              </w:rPr>
              <w:t>k,l</w:t>
            </w:r>
          </w:p>
        </w:tc>
        <w:tc>
          <w:tcPr>
            <w:tcW w:w="0" w:type="auto"/>
          </w:tcPr>
          <w:p w14:paraId="3F582FFD" w14:textId="678EFEC1" w:rsidR="002815A0" w:rsidRDefault="002815A0" w:rsidP="00CF1AB9">
            <w:pPr>
              <w:pStyle w:val="Paragraph"/>
              <w:jc w:val="left"/>
            </w:pPr>
            <w:r>
              <w:t xml:space="preserve">The applicable limit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4BEB3C5D" w14:textId="77777777" w:rsidTr="00CF1AB9">
        <w:trPr>
          <w:cantSplit/>
        </w:trPr>
        <w:tc>
          <w:tcPr>
            <w:tcW w:w="0" w:type="auto"/>
          </w:tcPr>
          <w:p w14:paraId="6AF88964" w14:textId="77777777" w:rsidR="002815A0" w:rsidRDefault="002815A0" w:rsidP="00CF1AB9">
            <w:pPr>
              <w:pStyle w:val="Paragraph"/>
              <w:jc w:val="left"/>
              <w:rPr>
                <w:i/>
              </w:rPr>
            </w:pPr>
            <w:r>
              <w:rPr>
                <w:i/>
              </w:rPr>
              <w:t>IT</w:t>
            </w:r>
            <w:r>
              <w:rPr>
                <w:i/>
                <w:vertAlign w:val="subscript"/>
              </w:rPr>
              <w:t>TRj</w:t>
            </w:r>
            <w:r>
              <w:rPr>
                <w:vertAlign w:val="subscript"/>
              </w:rPr>
              <w:t>,</w:t>
            </w:r>
            <w:r>
              <w:rPr>
                <w:i/>
                <w:vertAlign w:val="subscript"/>
              </w:rPr>
              <w:t>k,l</w:t>
            </w:r>
          </w:p>
        </w:tc>
        <w:tc>
          <w:tcPr>
            <w:tcW w:w="0" w:type="auto"/>
          </w:tcPr>
          <w:p w14:paraId="5BBBBA69" w14:textId="4010CACC" w:rsidR="002815A0" w:rsidRDefault="002815A0" w:rsidP="00CF1AB9">
            <w:pPr>
              <w:pStyle w:val="Paragraph"/>
              <w:jc w:val="left"/>
            </w:pPr>
            <w:r>
              <w:t xml:space="preserve">The transmission right for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4ECB1AAD" w14:textId="77777777" w:rsidTr="00CF1AB9">
        <w:trPr>
          <w:cantSplit/>
        </w:trPr>
        <w:tc>
          <w:tcPr>
            <w:tcW w:w="0" w:type="auto"/>
          </w:tcPr>
          <w:p w14:paraId="1A779D0B" w14:textId="77777777" w:rsidR="002815A0" w:rsidRDefault="002815A0" w:rsidP="00CF1AB9">
            <w:pPr>
              <w:pStyle w:val="Paragraph"/>
              <w:jc w:val="left"/>
              <w:rPr>
                <w:i/>
              </w:rPr>
            </w:pPr>
            <w:r>
              <w:rPr>
                <w:i/>
              </w:rPr>
              <w:lastRenderedPageBreak/>
              <w:t>ET</w:t>
            </w:r>
            <w:r>
              <w:rPr>
                <w:i/>
                <w:vertAlign w:val="subscript"/>
              </w:rPr>
              <w:t>TRj</w:t>
            </w:r>
            <w:r>
              <w:rPr>
                <w:vertAlign w:val="subscript"/>
              </w:rPr>
              <w:t>,</w:t>
            </w:r>
            <w:r>
              <w:rPr>
                <w:i/>
                <w:vertAlign w:val="subscript"/>
              </w:rPr>
              <w:t>k,l</w:t>
            </w:r>
          </w:p>
        </w:tc>
        <w:tc>
          <w:tcPr>
            <w:tcW w:w="0" w:type="auto"/>
          </w:tcPr>
          <w:p w14:paraId="79D07FFE" w14:textId="5B286092" w:rsidR="002815A0" w:rsidRDefault="002815A0" w:rsidP="00CF1AB9">
            <w:pPr>
              <w:pStyle w:val="Paragraph"/>
              <w:jc w:val="left"/>
            </w:pPr>
            <w:r>
              <w:t xml:space="preserve">The transmission right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023ED9DF" w14:textId="77777777" w:rsidTr="00CF1AB9">
        <w:trPr>
          <w:cantSplit/>
        </w:trPr>
        <w:tc>
          <w:tcPr>
            <w:tcW w:w="0" w:type="auto"/>
          </w:tcPr>
          <w:p w14:paraId="60CB2BCC" w14:textId="77777777" w:rsidR="002815A0" w:rsidRDefault="002815A0" w:rsidP="00CF1AB9">
            <w:pPr>
              <w:pStyle w:val="Paragraph"/>
              <w:jc w:val="left"/>
              <w:rPr>
                <w:i/>
              </w:rPr>
            </w:pPr>
            <w:r>
              <w:rPr>
                <w:i/>
              </w:rPr>
              <w:t>IT</w:t>
            </w:r>
            <w:r>
              <w:rPr>
                <w:i/>
                <w:vertAlign w:val="subscript"/>
              </w:rPr>
              <w:t>MAX15j</w:t>
            </w:r>
            <w:r>
              <w:rPr>
                <w:vertAlign w:val="subscript"/>
              </w:rPr>
              <w:t>,</w:t>
            </w:r>
            <w:r>
              <w:rPr>
                <w:i/>
                <w:vertAlign w:val="subscript"/>
              </w:rPr>
              <w:t>k,l</w:t>
            </w:r>
          </w:p>
        </w:tc>
        <w:tc>
          <w:tcPr>
            <w:tcW w:w="0" w:type="auto"/>
          </w:tcPr>
          <w:p w14:paraId="6D5C1FDA" w14:textId="7529ECDE" w:rsidR="002815A0" w:rsidRDefault="002815A0" w:rsidP="00CF1AB9">
            <w:pPr>
              <w:pStyle w:val="Paragraph"/>
              <w:jc w:val="left"/>
            </w:pPr>
            <w:r>
              <w:t xml:space="preserve">The static limit for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38523CEE" w14:textId="77777777" w:rsidTr="00CF1AB9">
        <w:trPr>
          <w:cantSplit/>
        </w:trPr>
        <w:tc>
          <w:tcPr>
            <w:tcW w:w="0" w:type="auto"/>
          </w:tcPr>
          <w:p w14:paraId="4038F43D" w14:textId="77777777" w:rsidR="002815A0" w:rsidRDefault="002815A0" w:rsidP="00CF1AB9">
            <w:pPr>
              <w:pStyle w:val="Paragraph"/>
              <w:jc w:val="left"/>
              <w:rPr>
                <w:i/>
              </w:rPr>
            </w:pPr>
            <w:r>
              <w:rPr>
                <w:i/>
              </w:rPr>
              <w:t>ET</w:t>
            </w:r>
            <w:r>
              <w:rPr>
                <w:i/>
                <w:vertAlign w:val="subscript"/>
              </w:rPr>
              <w:t>MAX15j</w:t>
            </w:r>
            <w:r>
              <w:rPr>
                <w:vertAlign w:val="subscript"/>
              </w:rPr>
              <w:t>,</w:t>
            </w:r>
            <w:r>
              <w:rPr>
                <w:i/>
                <w:vertAlign w:val="subscript"/>
              </w:rPr>
              <w:t>k,l</w:t>
            </w:r>
          </w:p>
        </w:tc>
        <w:tc>
          <w:tcPr>
            <w:tcW w:w="0" w:type="auto"/>
          </w:tcPr>
          <w:p w14:paraId="63FE92CA" w14:textId="6727E986" w:rsidR="002815A0" w:rsidRDefault="002815A0" w:rsidP="00CF1AB9">
            <w:pPr>
              <w:pStyle w:val="Paragraph"/>
              <w:jc w:val="left"/>
            </w:pPr>
            <w:r>
              <w:t xml:space="preserve">The static limit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295DF70B" w14:textId="77777777" w:rsidTr="00CF1AB9">
        <w:trPr>
          <w:cantSplit/>
        </w:trPr>
        <w:tc>
          <w:tcPr>
            <w:tcW w:w="0" w:type="auto"/>
          </w:tcPr>
          <w:p w14:paraId="45F83F5E" w14:textId="77777777" w:rsidR="002815A0" w:rsidRDefault="002815A0" w:rsidP="00CF1AB9">
            <w:pPr>
              <w:pStyle w:val="Paragraph"/>
              <w:jc w:val="left"/>
              <w:rPr>
                <w:i/>
              </w:rPr>
            </w:pPr>
            <w:r>
              <w:rPr>
                <w:i/>
              </w:rPr>
              <w:t>IT</w:t>
            </w:r>
            <w:r>
              <w:rPr>
                <w:i/>
                <w:vertAlign w:val="subscript"/>
              </w:rPr>
              <w:t>MAX5j</w:t>
            </w:r>
            <w:r>
              <w:rPr>
                <w:vertAlign w:val="subscript"/>
              </w:rPr>
              <w:t>,</w:t>
            </w:r>
            <w:r>
              <w:rPr>
                <w:i/>
                <w:vertAlign w:val="subscript"/>
              </w:rPr>
              <w:t>k,l</w:t>
            </w:r>
          </w:p>
        </w:tc>
        <w:tc>
          <w:tcPr>
            <w:tcW w:w="0" w:type="auto"/>
          </w:tcPr>
          <w:p w14:paraId="5FA3C8DF" w14:textId="53A74718" w:rsidR="002815A0" w:rsidRDefault="002815A0" w:rsidP="00CF1AB9">
            <w:pPr>
              <w:pStyle w:val="Paragraph"/>
              <w:jc w:val="left"/>
            </w:pPr>
            <w:r>
              <w:t xml:space="preserve">The dynamic incremental limit for the import Energy Transfer schedule </w:t>
            </w:r>
            <w:r>
              <w:rPr>
                <w:i/>
              </w:rPr>
              <w:t>l</w:t>
            </w:r>
            <w:r>
              <w:t xml:space="preserve"> of</w:t>
            </w:r>
            <w:r w:rsidR="005F24C1">
              <w:t xml:space="preserve"> WEIM </w:t>
            </w:r>
            <w:r>
              <w:t xml:space="preserve">BAA </w:t>
            </w:r>
            <w:r>
              <w:rPr>
                <w:i/>
              </w:rPr>
              <w:t>j</w:t>
            </w:r>
            <w:r>
              <w:t xml:space="preserve"> from BAA </w:t>
            </w:r>
            <w:r>
              <w:rPr>
                <w:i/>
              </w:rPr>
              <w:t>k</w:t>
            </w:r>
            <w:r>
              <w:t xml:space="preserve"> in the</w:t>
            </w:r>
            <w:r w:rsidR="005F24C1">
              <w:t xml:space="preserve"> WEIM </w:t>
            </w:r>
            <w:r>
              <w:t>Area.</w:t>
            </w:r>
          </w:p>
        </w:tc>
      </w:tr>
      <w:tr w:rsidR="002815A0" w14:paraId="3645C76F" w14:textId="77777777" w:rsidTr="00CF1AB9">
        <w:trPr>
          <w:cantSplit/>
        </w:trPr>
        <w:tc>
          <w:tcPr>
            <w:tcW w:w="0" w:type="auto"/>
          </w:tcPr>
          <w:p w14:paraId="14DB2748" w14:textId="77777777" w:rsidR="002815A0" w:rsidRDefault="002815A0" w:rsidP="00CF1AB9">
            <w:pPr>
              <w:pStyle w:val="Paragraph"/>
              <w:jc w:val="left"/>
              <w:rPr>
                <w:i/>
              </w:rPr>
            </w:pPr>
            <w:r>
              <w:rPr>
                <w:i/>
              </w:rPr>
              <w:t>ET</w:t>
            </w:r>
            <w:r>
              <w:rPr>
                <w:i/>
                <w:vertAlign w:val="subscript"/>
              </w:rPr>
              <w:t>MAX5j</w:t>
            </w:r>
            <w:r>
              <w:rPr>
                <w:vertAlign w:val="subscript"/>
              </w:rPr>
              <w:t>,</w:t>
            </w:r>
            <w:r>
              <w:rPr>
                <w:i/>
                <w:vertAlign w:val="subscript"/>
              </w:rPr>
              <w:t>k,l</w:t>
            </w:r>
          </w:p>
        </w:tc>
        <w:tc>
          <w:tcPr>
            <w:tcW w:w="0" w:type="auto"/>
          </w:tcPr>
          <w:p w14:paraId="367EB72B" w14:textId="2773BBBA" w:rsidR="002815A0" w:rsidRDefault="002815A0" w:rsidP="00CF1AB9">
            <w:pPr>
              <w:pStyle w:val="Paragraph"/>
              <w:jc w:val="left"/>
            </w:pPr>
            <w:r>
              <w:t xml:space="preserve">The dynamic incremental limit of the export Energy Transfer schedule </w:t>
            </w:r>
            <w:r>
              <w:rPr>
                <w:i/>
              </w:rPr>
              <w:t>l</w:t>
            </w:r>
            <w:r>
              <w:t xml:space="preserve"> of</w:t>
            </w:r>
            <w:r w:rsidR="005F24C1">
              <w:t xml:space="preserve"> WEIM </w:t>
            </w:r>
            <w:r>
              <w:t xml:space="preserve">BAA </w:t>
            </w:r>
            <w:r>
              <w:rPr>
                <w:i/>
              </w:rPr>
              <w:t>j</w:t>
            </w:r>
            <w:r>
              <w:t xml:space="preserve"> to BAA </w:t>
            </w:r>
            <w:r>
              <w:rPr>
                <w:i/>
              </w:rPr>
              <w:t>k</w:t>
            </w:r>
            <w:r>
              <w:t xml:space="preserve"> in the</w:t>
            </w:r>
            <w:r w:rsidR="005F24C1">
              <w:t xml:space="preserve"> WEIM </w:t>
            </w:r>
            <w:r>
              <w:t>Area.</w:t>
            </w:r>
          </w:p>
        </w:tc>
      </w:tr>
      <w:tr w:rsidR="002815A0" w14:paraId="2EB85E8B" w14:textId="77777777" w:rsidTr="00CF1AB9">
        <w:trPr>
          <w:cantSplit/>
        </w:trPr>
        <w:tc>
          <w:tcPr>
            <w:tcW w:w="0" w:type="auto"/>
          </w:tcPr>
          <w:p w14:paraId="2E00CCDC" w14:textId="77777777" w:rsidR="002815A0" w:rsidRDefault="002815A0" w:rsidP="00CF1AB9">
            <w:pPr>
              <w:pStyle w:val="Paragraph"/>
              <w:jc w:val="left"/>
              <w:rPr>
                <w:i/>
              </w:rPr>
            </w:pPr>
            <w:r>
              <w:rPr>
                <w:i/>
              </w:rPr>
              <w:t>C</w:t>
            </w:r>
            <w:r>
              <w:rPr>
                <w:i/>
                <w:vertAlign w:val="subscript"/>
              </w:rPr>
              <w:t>j</w:t>
            </w:r>
            <w:r>
              <w:rPr>
                <w:vertAlign w:val="subscript"/>
              </w:rPr>
              <w:t>,</w:t>
            </w:r>
            <w:r>
              <w:rPr>
                <w:i/>
                <w:vertAlign w:val="subscript"/>
              </w:rPr>
              <w:t>k</w:t>
            </w:r>
          </w:p>
        </w:tc>
        <w:tc>
          <w:tcPr>
            <w:tcW w:w="0" w:type="auto"/>
          </w:tcPr>
          <w:p w14:paraId="6FBFDE19" w14:textId="162E4E81" w:rsidR="002815A0" w:rsidRDefault="002815A0" w:rsidP="00CF1AB9">
            <w:pPr>
              <w:pStyle w:val="Paragraph"/>
              <w:jc w:val="left"/>
            </w:pPr>
            <w:r>
              <w:t>The transmission cost of the Energy Transfer schedules of</w:t>
            </w:r>
            <w:r w:rsidR="005F24C1">
              <w:t xml:space="preserve"> WEIM </w:t>
            </w:r>
            <w:r>
              <w:t xml:space="preserve">BAA </w:t>
            </w:r>
            <w:r>
              <w:rPr>
                <w:i/>
              </w:rPr>
              <w:t>j</w:t>
            </w:r>
            <w:r>
              <w:t xml:space="preserve"> from/to BAA </w:t>
            </w:r>
            <w:r>
              <w:rPr>
                <w:i/>
              </w:rPr>
              <w:t>k</w:t>
            </w:r>
            <w:r>
              <w:t xml:space="preserve"> in the</w:t>
            </w:r>
            <w:r w:rsidR="005F24C1">
              <w:t xml:space="preserve"> WEIM </w:t>
            </w:r>
            <w:r>
              <w:t>Area.</w:t>
            </w:r>
          </w:p>
        </w:tc>
      </w:tr>
      <w:tr w:rsidR="00F57D97" w14:paraId="7B8575AA" w14:textId="77777777" w:rsidTr="00CF1AB9">
        <w:trPr>
          <w:cantSplit/>
        </w:trPr>
        <w:tc>
          <w:tcPr>
            <w:tcW w:w="0" w:type="auto"/>
          </w:tcPr>
          <w:p w14:paraId="720FBEE7" w14:textId="77777777" w:rsidR="00F57D97" w:rsidRDefault="00F57D97" w:rsidP="00CF1AB9">
            <w:pPr>
              <w:pStyle w:val="Paragraph"/>
              <w:jc w:val="left"/>
              <w:rPr>
                <w:i/>
              </w:rPr>
            </w:pPr>
          </w:p>
        </w:tc>
        <w:tc>
          <w:tcPr>
            <w:tcW w:w="0" w:type="auto"/>
          </w:tcPr>
          <w:p w14:paraId="611B9DE6" w14:textId="77777777" w:rsidR="00F57D97" w:rsidRDefault="00F57D97" w:rsidP="00CF1AB9">
            <w:pPr>
              <w:pStyle w:val="Paragraph"/>
              <w:jc w:val="left"/>
            </w:pPr>
          </w:p>
        </w:tc>
      </w:tr>
    </w:tbl>
    <w:p w14:paraId="49FFF74A" w14:textId="77777777" w:rsidR="002815A0" w:rsidRDefault="002815A0" w:rsidP="00B96223">
      <w:pPr>
        <w:pStyle w:val="Heading5"/>
      </w:pPr>
      <w:r>
        <w:t>Mathematical Formulation</w:t>
      </w:r>
    </w:p>
    <w:p w14:paraId="7BBEA786" w14:textId="77777777" w:rsidR="002815A0" w:rsidRPr="00F57D97" w:rsidRDefault="002815A0" w:rsidP="00877DDB">
      <w:pPr>
        <w:pStyle w:val="BPM"/>
      </w:pPr>
      <w:r w:rsidRPr="00F57D97">
        <w:t>This section describes the relevant calculations and mathematical formulae.</w:t>
      </w:r>
    </w:p>
    <w:p w14:paraId="5C2DB11F" w14:textId="77777777" w:rsidR="00F57D97" w:rsidRDefault="00F57D97" w:rsidP="00B96223">
      <w:pPr>
        <w:pStyle w:val="Heading6"/>
      </w:pPr>
    </w:p>
    <w:p w14:paraId="5FF0CC66" w14:textId="77777777" w:rsidR="002815A0" w:rsidRPr="000D137E" w:rsidRDefault="002815A0" w:rsidP="00B96223">
      <w:pPr>
        <w:pStyle w:val="Heading6"/>
      </w:pPr>
      <w:r>
        <w:t>Base Schedules</w:t>
      </w:r>
    </w:p>
    <w:p w14:paraId="33DE529A" w14:textId="02C2363D" w:rsidR="002815A0" w:rsidRDefault="002815A0" w:rsidP="00877DDB">
      <w:pPr>
        <w:pStyle w:val="BPM"/>
      </w:pPr>
      <w:r>
        <w:t>The base Energy Transfer schedules between</w:t>
      </w:r>
      <w:r w:rsidR="005F24C1">
        <w:t xml:space="preserve"> WEIM </w:t>
      </w:r>
      <w:r>
        <w:t>BAAs are submitted along with the generation and intertie base schedules ahead of the market run. The base Energy Transfer schedules between</w:t>
      </w:r>
      <w:r w:rsidR="005F24C1">
        <w:t xml:space="preserve"> WEIM </w:t>
      </w:r>
      <w:r>
        <w:t>BAAs and the CISO are the corresponding intertie schedules from the Residual Unit Commitment (RUC)</w:t>
      </w:r>
      <w:r>
        <w:rPr>
          <w:rStyle w:val="FootnoteReference"/>
        </w:rPr>
        <w:footnoteReference w:id="6"/>
      </w:r>
      <w:r>
        <w:t xml:space="preserve"> and need not be submitted since they are known:</w:t>
      </w:r>
    </w:p>
    <w:p w14:paraId="7313A6D9" w14:textId="77777777" w:rsidR="002815A0" w:rsidRDefault="00461DCC">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j,0,l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0,j,l</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j,0,l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0,j,l</m:t>
                        </m:r>
                      </m:sub>
                    </m:sSub>
                  </m:e>
                </m:mr>
              </m:m>
            </m:e>
          </m:d>
          <m:r>
            <w:rPr>
              <w:rFonts w:ascii="Cambria Math" w:hAnsi="Cambria Math"/>
            </w:rPr>
            <m:t xml:space="preserve">  ∀j∈EIM∧j&gt;0</m:t>
          </m:r>
        </m:oMath>
      </m:oMathPara>
    </w:p>
    <w:p w14:paraId="53F4C8EB" w14:textId="03A11F31" w:rsidR="002815A0" w:rsidRDefault="002815A0" w:rsidP="00877DDB">
      <w:pPr>
        <w:pStyle w:val="BPM"/>
      </w:pPr>
      <w:r>
        <w:t>The base Energy Transfer schedules between</w:t>
      </w:r>
      <w:r w:rsidR="005F24C1">
        <w:t xml:space="preserve"> WEIM </w:t>
      </w:r>
      <w:r>
        <w:t>BAAs on the same intertie must be matching:</w:t>
      </w:r>
    </w:p>
    <w:p w14:paraId="70CCC366" w14:textId="77777777" w:rsidR="002815A0"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k,j,l</m:t>
              </m:r>
            </m:sub>
          </m:sSub>
          <m:r>
            <w:rPr>
              <w:rFonts w:ascii="Cambria Math" w:hAnsi="Cambria Math"/>
            </w:rPr>
            <m:t xml:space="preserve">  ∀j,k∈EIM∧j≠k∧j,k&gt;0</m:t>
          </m:r>
        </m:oMath>
      </m:oMathPara>
    </w:p>
    <w:p w14:paraId="7A710CB3" w14:textId="6990C82A" w:rsidR="002815A0" w:rsidRDefault="002815A0" w:rsidP="00877DDB">
      <w:pPr>
        <w:pStyle w:val="BPM"/>
      </w:pPr>
      <w:r>
        <w:t>The base Energy Transfer schedules on a given intertie between two BAAs are submitted only for the ETSRs of one BAA, whereas the base Energy Transfer schedules for their ETSR counterparts of the other BAA are set to match. An ETSR attribute in the Master File is used to designate the ETSRs for which base Energy Transfer schedules are submitted and used for tagging, as explained in §</w:t>
      </w:r>
      <w:r w:rsidR="002957E6">
        <w:t>11.1.5</w:t>
      </w:r>
      <w:r>
        <w:t>.</w:t>
      </w:r>
    </w:p>
    <w:p w14:paraId="5E01178D" w14:textId="77777777" w:rsidR="002815A0" w:rsidRDefault="002815A0" w:rsidP="00877DDB">
      <w:pPr>
        <w:pStyle w:val="BPM"/>
      </w:pPr>
      <w:r>
        <w:t>It is assumed that the base Energy Transfer schedules are feasible:</w:t>
      </w:r>
    </w:p>
    <w:p w14:paraId="6AF1650C" w14:textId="77777777" w:rsidR="002815A0" w:rsidRDefault="00461DCC">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r>
                      <w:rPr>
                        <w:rFonts w:ascii="Cambria Math" w:hAnsi="Cambria Math"/>
                      </w:rPr>
                      <m:t>0≤</m:t>
                    </m:r>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MAXj,k,l</m:t>
                        </m:r>
                      </m:sub>
                    </m:sSub>
                  </m:e>
                </m:mr>
                <m:mr>
                  <m:e>
                    <m:r>
                      <w:rPr>
                        <w:rFonts w:ascii="Cambria Math" w:hAnsi="Cambria Math"/>
                      </w:rPr>
                      <m:t>0≤</m:t>
                    </m:r>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MAXj,k,l</m:t>
                        </m:r>
                      </m:sub>
                    </m:sSub>
                  </m:e>
                </m:mr>
              </m:m>
            </m:e>
          </m:d>
          <m:r>
            <w:rPr>
              <w:rFonts w:ascii="Cambria Math" w:hAnsi="Cambria Math"/>
            </w:rPr>
            <m:t xml:space="preserve">  ∀j,k∈EIM∧j≠k∧j&gt;0</m:t>
          </m:r>
        </m:oMath>
      </m:oMathPara>
    </w:p>
    <w:p w14:paraId="49BE5B9E" w14:textId="77777777" w:rsidR="002815A0" w:rsidRDefault="002815A0" w:rsidP="00877DDB">
      <w:pPr>
        <w:pStyle w:val="BPM"/>
      </w:pPr>
      <w:r>
        <w:t>For efficiency, there should not be both an import and an export base Energy Transfer schedule on a given intertie; at least one of them ought to be zero.</w:t>
      </w:r>
    </w:p>
    <w:p w14:paraId="26CDA9B8" w14:textId="14B6D001" w:rsidR="002815A0" w:rsidRDefault="002815A0" w:rsidP="00877DDB">
      <w:pPr>
        <w:pStyle w:val="BPM"/>
      </w:pPr>
      <w:r>
        <w:t>The base</w:t>
      </w:r>
      <w:r w:rsidR="005F24C1">
        <w:t xml:space="preserve"> WEIM </w:t>
      </w:r>
      <w:r>
        <w:t>Transfer for each</w:t>
      </w:r>
      <w:r w:rsidR="005F24C1">
        <w:t xml:space="preserve"> WEIM </w:t>
      </w:r>
      <w:r>
        <w:t>BAA is the net of all base Energy Transfer schedules:</w:t>
      </w:r>
    </w:p>
    <w:p w14:paraId="3AF4D235" w14:textId="77777777" w:rsidR="002815A0" w:rsidRPr="00726F7E"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k∈EIM</m:t>
                    </m:r>
                  </m:e>
                </m:mr>
                <m:mr>
                  <m:e>
                    <m:r>
                      <w:rPr>
                        <w:rFonts w:ascii="Cambria Math" w:hAnsi="Cambria Math"/>
                      </w:rPr>
                      <m:t>k≠j</m:t>
                    </m:r>
                  </m:e>
                </m:mr>
              </m:m>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ET</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IT</m:t>
                              </m:r>
                            </m:e>
                          </m:acc>
                        </m:e>
                        <m:sub>
                          <m:r>
                            <w:rPr>
                              <w:rFonts w:ascii="Cambria Math" w:hAnsi="Cambria Math"/>
                            </w:rPr>
                            <m:t>j,k,l</m:t>
                          </m:r>
                        </m:sub>
                      </m:sSub>
                    </m:e>
                  </m:d>
                </m:e>
              </m:nary>
            </m:e>
          </m:nary>
          <m:r>
            <w:rPr>
              <w:rFonts w:ascii="Cambria Math" w:hAnsi="Cambria Math"/>
            </w:rPr>
            <m:t xml:space="preserve">  ∀j∈EIM∧j&gt;0</m:t>
          </m:r>
        </m:oMath>
      </m:oMathPara>
    </w:p>
    <w:p w14:paraId="5D311757" w14:textId="3164608F" w:rsidR="002815A0" w:rsidRDefault="002815A0" w:rsidP="00877DDB">
      <w:pPr>
        <w:pStyle w:val="BPM"/>
      </w:pPr>
      <w:r>
        <w:t>The base</w:t>
      </w:r>
      <w:r w:rsidR="005F24C1">
        <w:t xml:space="preserve"> WEIM </w:t>
      </w:r>
      <w:r>
        <w:t>Transfer for the CISO is simply the negative sum of the base</w:t>
      </w:r>
      <w:r w:rsidR="005F24C1">
        <w:t xml:space="preserve"> WEIM </w:t>
      </w:r>
      <w:r>
        <w:t>Transfers of all</w:t>
      </w:r>
      <w:r w:rsidR="005F24C1">
        <w:t xml:space="preserve"> WEIM </w:t>
      </w:r>
      <w:r>
        <w:t>BAAs:</w:t>
      </w:r>
      <w:r w:rsidRPr="001E6D71">
        <w:rPr>
          <w:vertAlign w:val="superscript"/>
        </w:rPr>
        <w:t>1</w:t>
      </w:r>
    </w:p>
    <w:p w14:paraId="3F594783" w14:textId="77777777" w:rsidR="002815A0" w:rsidRPr="00726F7E"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j∈EIM</m:t>
                    </m:r>
                  </m:e>
                </m:mr>
                <m:mr>
                  <m:e>
                    <m:r>
                      <w:rPr>
                        <w:rFonts w:ascii="Cambria Math" w:hAnsi="Cambria Math"/>
                      </w:rPr>
                      <m:t>j&gt;0</m:t>
                    </m:r>
                  </m:e>
                </m:mr>
              </m:m>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j</m:t>
                  </m:r>
                </m:sub>
              </m:sSub>
            </m:e>
          </m:nary>
        </m:oMath>
      </m:oMathPara>
    </w:p>
    <w:p w14:paraId="5F193D70" w14:textId="60DB0179" w:rsidR="002815A0" w:rsidRDefault="002815A0" w:rsidP="00877DDB">
      <w:pPr>
        <w:pStyle w:val="BPM"/>
      </w:pPr>
      <w:r>
        <w:lastRenderedPageBreak/>
        <w:t>The base NSI</w:t>
      </w:r>
      <w:r w:rsidRPr="00726F7E">
        <w:t xml:space="preserve"> </w:t>
      </w:r>
      <w:r>
        <w:t>for each</w:t>
      </w:r>
      <w:r w:rsidR="005F24C1">
        <w:t xml:space="preserve"> WEIM </w:t>
      </w:r>
      <w:r>
        <w:t>BAA is the net of the</w:t>
      </w:r>
      <w:r w:rsidR="005F24C1">
        <w:t xml:space="preserve"> WEIM </w:t>
      </w:r>
      <w:r>
        <w:t>Transfer and the submitted base intertie schedules with non-EIM BAAs:</w:t>
      </w:r>
    </w:p>
    <w:p w14:paraId="6656CB26" w14:textId="77777777" w:rsidR="002815A0"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k∉EIM</m:t>
              </m:r>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j,k,l</m:t>
                          </m:r>
                        </m:sub>
                      </m:sSub>
                    </m:e>
                  </m:d>
                </m:e>
              </m:nary>
            </m:e>
          </m:nary>
          <m:r>
            <w:rPr>
              <w:rFonts w:ascii="Cambria Math" w:hAnsi="Cambria Math"/>
            </w:rPr>
            <m:t xml:space="preserve">  ∀j∈EIM∧j&gt;0</m:t>
          </m:r>
        </m:oMath>
      </m:oMathPara>
    </w:p>
    <w:p w14:paraId="2ABC6C5D" w14:textId="0E3EE3A8" w:rsidR="002815A0" w:rsidRDefault="002815A0" w:rsidP="00877DDB">
      <w:pPr>
        <w:pStyle w:val="BPM"/>
      </w:pPr>
      <w:r>
        <w:t>The base demand in each</w:t>
      </w:r>
      <w:r w:rsidR="005F24C1">
        <w:t xml:space="preserve"> WEIM </w:t>
      </w:r>
      <w:r>
        <w:t>BAA is derived to achieve power balance with the submitted base generation schedules and the base NSI:</w:t>
      </w:r>
    </w:p>
    <w:p w14:paraId="1995F36B" w14:textId="77777777" w:rsidR="002815A0"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e>
          </m:nary>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 xml:space="preserve">  ∀j∈EIM∧j&gt;0</m:t>
          </m:r>
        </m:oMath>
      </m:oMathPara>
    </w:p>
    <w:p w14:paraId="28A81C3A" w14:textId="13364F97" w:rsidR="002815A0" w:rsidRDefault="002815A0" w:rsidP="00877DDB">
      <w:pPr>
        <w:pStyle w:val="BPM"/>
      </w:pPr>
      <w:r>
        <w:t>The base load in each</w:t>
      </w:r>
      <w:r w:rsidR="005F24C1">
        <w:t xml:space="preserve"> WEIM </w:t>
      </w:r>
      <w:r>
        <w:t>BAA is obtained initially by reducing the base demand with an assumed initial transmission loss and then distributing it to the load nodes in the BAA using Load Distribution Factors (LDFs); the base load is then adjusted to absorb the loss error by an AC Power Flow (ACPF) using distributed load slack and Area Interchange Control (AIC) to maintain the base NSI:</w:t>
      </w:r>
    </w:p>
    <w:p w14:paraId="544F9411" w14:textId="77777777" w:rsidR="002815A0"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L</m:t>
                      </m:r>
                    </m:e>
                  </m:acc>
                </m:e>
                <m:sub>
                  <m:r>
                    <w:rPr>
                      <w:rFonts w:ascii="Cambria Math" w:hAnsi="Cambria Math"/>
                    </w:rPr>
                    <m:t>i</m:t>
                  </m:r>
                </m:sub>
              </m:sSub>
            </m:e>
          </m:nary>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Loss</m:t>
                  </m:r>
                </m:e>
              </m:acc>
            </m:e>
            <m:sub>
              <m:r>
                <w:rPr>
                  <w:rFonts w:ascii="Cambria Math" w:hAnsi="Cambria Math"/>
                </w:rPr>
                <m:t>j</m:t>
              </m:r>
            </m:sub>
          </m:sSub>
          <m:r>
            <w:rPr>
              <w:rFonts w:ascii="Cambria Math" w:hAnsi="Cambria Math"/>
            </w:rPr>
            <m:t xml:space="preserve">  ∀j∈EIM∧j&gt;0</m:t>
          </m:r>
        </m:oMath>
      </m:oMathPara>
    </w:p>
    <w:p w14:paraId="0BF03675" w14:textId="77777777" w:rsidR="002815A0" w:rsidRDefault="002815A0" w:rsidP="00877DDB">
      <w:pPr>
        <w:pStyle w:val="BPM"/>
      </w:pPr>
      <w:r>
        <w:t>The base generation and load for the CISO are initialized at the RUC schedules; the CISO base load is also adjusted in the ACPF to account for generation and transmission outages occurred after RUC, and to absorb loss error as the CISO base NSI is maintained.</w:t>
      </w:r>
    </w:p>
    <w:p w14:paraId="1965D7A9" w14:textId="015592C5" w:rsidR="002815A0" w:rsidRDefault="002815A0" w:rsidP="00877DDB">
      <w:pPr>
        <w:pStyle w:val="BPM"/>
      </w:pPr>
      <w:r>
        <w:t>The base load for</w:t>
      </w:r>
      <w:r w:rsidR="005F24C1">
        <w:t xml:space="preserve"> WEIM </w:t>
      </w:r>
      <w:r>
        <w:t>BAAs is significant because it is used as a reference for imbalance energy settlement; however, the base load for the CISO is not important since for the CISO the reference for imbalance energy settlement is the day-ahead schedules from the Integrated Forward Market (IFM); nevertheless, it is used in the ACPF to balance the CISO, and the FNM overall, for calculating the power flows on</w:t>
      </w:r>
      <w:r w:rsidR="005F24C1">
        <w:t xml:space="preserve"> WEIM </w:t>
      </w:r>
      <w:r>
        <w:t>BAA transmission branches to identify any transmission limit violations for the feasibility test.</w:t>
      </w:r>
    </w:p>
    <w:p w14:paraId="730F27DD" w14:textId="0E6634BF" w:rsidR="002815A0" w:rsidRDefault="002815A0" w:rsidP="00877DDB">
      <w:pPr>
        <w:pStyle w:val="BPM"/>
      </w:pPr>
      <w:r>
        <w:t>For the same reason, base schedules are also calculated for non-EIM BAAs to model unscheduled loop flow through the</w:t>
      </w:r>
      <w:r w:rsidR="005F24C1">
        <w:t xml:space="preserve"> WEIM </w:t>
      </w:r>
      <w:r>
        <w:t xml:space="preserve">Area. The approach for the non-EIM BAA base schedules is somewhat different because they are not submitted; instead, the demand forecast and the tagged or forecasted interchange schedules with other non-EIM BAAs are used to </w:t>
      </w:r>
      <w:r>
        <w:lastRenderedPageBreak/>
        <w:t>supplement the information available for the</w:t>
      </w:r>
      <w:r w:rsidR="005F24C1">
        <w:t xml:space="preserve"> WEIM </w:t>
      </w:r>
      <w:r>
        <w:t>BAAs and the CISO. Specifically, the base NSI for non-EIM BAAs is derived as follows:</w:t>
      </w:r>
    </w:p>
    <w:p w14:paraId="27792F57" w14:textId="77777777" w:rsidR="002815A0"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k∉EIM</m:t>
                    </m:r>
                  </m:e>
                </m:mr>
                <m:mr>
                  <m:e>
                    <m:r>
                      <w:rPr>
                        <w:rFonts w:ascii="Cambria Math" w:hAnsi="Cambria Math"/>
                      </w:rPr>
                      <m:t>k≠j</m:t>
                    </m:r>
                  </m:e>
                </m:mr>
              </m:m>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E</m:t>
                              </m:r>
                            </m:e>
                          </m:acc>
                        </m:e>
                        <m:sub>
                          <m:r>
                            <w:rPr>
                              <w:rFonts w:ascii="Cambria Math" w:hAnsi="Cambria Math"/>
                            </w:rPr>
                            <m:t>j,k,l</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I</m:t>
                              </m:r>
                            </m:e>
                          </m:acc>
                        </m:e>
                        <m:sub>
                          <m:r>
                            <w:rPr>
                              <w:rFonts w:ascii="Cambria Math" w:hAnsi="Cambria Math"/>
                            </w:rPr>
                            <m:t>j,k,l</m:t>
                          </m:r>
                        </m:sub>
                      </m:sSub>
                    </m:e>
                  </m:d>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k∈EIM</m:t>
              </m:r>
            </m:sub>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k,j,l</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k,j,l</m:t>
                      </m:r>
                    </m:sub>
                  </m:sSub>
                </m:e>
              </m:d>
            </m:e>
          </m:nary>
          <m:r>
            <w:rPr>
              <w:rFonts w:ascii="Cambria Math" w:hAnsi="Cambria Math"/>
            </w:rPr>
            <m:t xml:space="preserve">  ∀j∉EIM</m:t>
          </m:r>
        </m:oMath>
      </m:oMathPara>
    </w:p>
    <w:p w14:paraId="6F19DF5D" w14:textId="77777777" w:rsidR="002815A0" w:rsidRDefault="002815A0" w:rsidP="00877DDB">
      <w:pPr>
        <w:pStyle w:val="BPM"/>
      </w:pPr>
      <w:r>
        <w:t>The base generation in each non-EIM BAA is derived as the sum of the demand forecast</w:t>
      </w:r>
      <w:r w:rsidRPr="006828A6">
        <w:t xml:space="preserve"> </w:t>
      </w:r>
      <w:r>
        <w:t>and the base NSI, and it is distributed to the generating resources in the BAA using Generation Distribution Factors (GDFs), renormalized for generation outages:</w:t>
      </w:r>
    </w:p>
    <w:p w14:paraId="4E9AECEB" w14:textId="77777777" w:rsidR="002815A0" w:rsidRDefault="00461DCC">
      <w:pPr>
        <w:pStyle w:val="Equation"/>
      </w:pPr>
      <m:oMathPara>
        <m:oMath>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e>
          </m:nary>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j</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 xml:space="preserve">  ∀j∉EIM</m:t>
          </m:r>
        </m:oMath>
      </m:oMathPara>
    </w:p>
    <w:p w14:paraId="287FD036" w14:textId="2AB785AF" w:rsidR="002815A0" w:rsidRDefault="002815A0" w:rsidP="00877DDB">
      <w:pPr>
        <w:pStyle w:val="BPM"/>
      </w:pPr>
      <w:r>
        <w:t>The base load in each non-EIM BAA is calculated similarly to the base load in</w:t>
      </w:r>
      <w:r w:rsidR="005F24C1">
        <w:t xml:space="preserve"> WEIM </w:t>
      </w:r>
      <w:r>
        <w:t>BAAs.</w:t>
      </w:r>
    </w:p>
    <w:p w14:paraId="4A635D1E" w14:textId="77777777" w:rsidR="002815A0" w:rsidRDefault="002815A0" w:rsidP="00877DDB">
      <w:pPr>
        <w:pStyle w:val="BPM"/>
      </w:pPr>
      <w:r>
        <w:t>The base NSI for the CISO is simply the negative sum of the base NSIs of all BAAs in the FNM:</w:t>
      </w:r>
    </w:p>
    <w:p w14:paraId="60F815E6" w14:textId="77777777" w:rsidR="002815A0" w:rsidRDefault="00461DCC">
      <w:pPr>
        <w:pStyle w:val="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j&gt;0</m:t>
              </m:r>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e>
          </m:nary>
        </m:oMath>
      </m:oMathPara>
    </w:p>
    <w:p w14:paraId="286CF5C4" w14:textId="025019E7" w:rsidR="002815A0" w:rsidRDefault="002815A0" w:rsidP="00F60F2C">
      <w:pPr>
        <w:pStyle w:val="Heading6"/>
      </w:pPr>
      <w:r>
        <w:t>Optimal NSI and</w:t>
      </w:r>
      <w:r w:rsidR="005F24C1">
        <w:t xml:space="preserve"> WEIM </w:t>
      </w:r>
      <w:r>
        <w:t>Transfers</w:t>
      </w:r>
    </w:p>
    <w:p w14:paraId="771D388A" w14:textId="18EAC20E" w:rsidR="002815A0" w:rsidRDefault="002815A0" w:rsidP="00877DDB">
      <w:pPr>
        <w:pStyle w:val="BPM"/>
      </w:pPr>
      <w:r>
        <w:t>The optimal NSI for each BAA in the</w:t>
      </w:r>
      <w:r w:rsidR="005F24C1">
        <w:t xml:space="preserve"> WEIM </w:t>
      </w:r>
      <w:r>
        <w:t>Area, as calculated by RTUC and RTD, is the result of the optimal dispatch of resources within the BAA:</w:t>
      </w:r>
    </w:p>
    <w:p w14:paraId="370F0C41" w14:textId="77777777" w:rsidR="002815A0" w:rsidRPr="00A56EF7" w:rsidRDefault="00461DCC">
      <w:pPr>
        <w:pStyle w:val="Equation"/>
      </w:pPr>
      <m:oMathPara>
        <m:oMathParaPr>
          <m:jc m:val="center"/>
        </m:oMathParaPr>
        <m:oMath>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d>
                <m:dPr>
                  <m:ctrlPr>
                    <w:rPr>
                      <w:rFonts w:ascii="Cambria Math" w:hAnsi="Cambria Math" w:cs="Calibri"/>
                    </w:rPr>
                  </m:ctrlPr>
                </m:dPr>
                <m:e>
                  <m:sSub>
                    <m:sSubPr>
                      <m:ctrlPr>
                        <w:rPr>
                          <w:rFonts w:ascii="Cambria Math" w:hAnsi="Cambria Math" w:cs="Calibri"/>
                        </w:rPr>
                      </m:ctrlPr>
                    </m:sSubPr>
                    <m:e>
                      <m:r>
                        <w:rPr>
                          <w:rFonts w:ascii="Cambria Math" w:hAnsi="Cambria Math"/>
                        </w:rPr>
                        <m:t>G</m:t>
                      </m:r>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r>
                        <w:rPr>
                          <w:rFonts w:ascii="Cambria Math" w:hAnsi="Cambria Math"/>
                        </w:rPr>
                        <m:t>L</m:t>
                      </m:r>
                    </m:e>
                    <m:sub>
                      <m:r>
                        <w:rPr>
                          <w:rFonts w:ascii="Cambria Math" w:hAnsi="Cambria Math"/>
                        </w:rPr>
                        <m:t>i</m:t>
                      </m:r>
                    </m:sub>
                  </m:sSub>
                </m:e>
              </m:d>
            </m:e>
          </m:nary>
          <m:r>
            <m:rPr>
              <m:sty m:val="p"/>
            </m:rPr>
            <w:rPr>
              <w:rFonts w:ascii="Cambria Math" w:hAnsi="Cambria Math"/>
            </w:rPr>
            <m:t>-</m:t>
          </m:r>
          <m:sSub>
            <m:sSubPr>
              <m:ctrlPr>
                <w:rPr>
                  <w:rFonts w:ascii="Cambria Math" w:hAnsi="Cambria Math"/>
                  <w:i/>
                </w:rPr>
              </m:ctrlPr>
            </m:sSubPr>
            <m:e>
              <m:r>
                <w:rPr>
                  <w:rFonts w:ascii="Cambria Math" w:hAnsi="Cambria Math"/>
                </w:rPr>
                <m:t>Loss</m:t>
              </m:r>
            </m:e>
            <m:sub>
              <m:r>
                <w:rPr>
                  <w:rFonts w:ascii="Cambria Math" w:hAnsi="Cambria Math"/>
                </w:rPr>
                <m:t>j</m:t>
              </m:r>
            </m:sub>
          </m:sSub>
          <m:r>
            <w:rPr>
              <w:rFonts w:ascii="Cambria Math" w:hAnsi="Cambria Math"/>
            </w:rPr>
            <m:t xml:space="preserve">  ∀j∈EIM∧j&gt;0</m:t>
          </m:r>
        </m:oMath>
      </m:oMathPara>
    </w:p>
    <w:p w14:paraId="5755F8D9" w14:textId="77777777" w:rsidR="002815A0" w:rsidRPr="00A56EF7" w:rsidRDefault="002815A0" w:rsidP="00877DDB">
      <w:pPr>
        <w:pStyle w:val="BPM"/>
      </w:pPr>
      <w:r>
        <w:t>Linearizing from the previous ACPF solution:</w:t>
      </w:r>
    </w:p>
    <w:p w14:paraId="18387181" w14:textId="77777777" w:rsidR="002815A0" w:rsidRPr="00A56EF7" w:rsidRDefault="00461DCC">
      <w:pPr>
        <w:pStyle w:val="Equation"/>
      </w:pPr>
      <m:oMathPara>
        <m:oMathParaPr>
          <m:jc m:val="center"/>
        </m:oMathParaPr>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NSI</m:t>
                            </m:r>
                          </m:e>
                        </m:acc>
                      </m:e>
                      <m:sub>
                        <m:r>
                          <w:rPr>
                            <w:rFonts w:ascii="Cambria Math" w:hAnsi="Cambria Math" w:cs="Calibri"/>
                          </w:rPr>
                          <m:t>j</m:t>
                        </m:r>
                      </m:sub>
                    </m:sSub>
                    <m:r>
                      <m:rPr>
                        <m:sty m:val="p"/>
                      </m:rPr>
                      <w:rPr>
                        <w:rFonts w:ascii="Cambria Math" w:hAnsi="Cambria Math"/>
                      </w:rPr>
                      <m:t>+∆</m:t>
                    </m:r>
                    <m:sSub>
                      <m:sSubPr>
                        <m:ctrlPr>
                          <w:rPr>
                            <w:rFonts w:ascii="Cambria Math" w:hAnsi="Cambria Math"/>
                            <w:i/>
                          </w:rPr>
                        </m:ctrlPr>
                      </m:sSubPr>
                      <m:e>
                        <m:r>
                          <w:rPr>
                            <w:rFonts w:ascii="Cambria Math" w:hAnsi="Cambria Math"/>
                          </w:rPr>
                          <m:t>NSI</m:t>
                        </m:r>
                      </m:e>
                      <m:sub>
                        <m:r>
                          <w:rPr>
                            <w:rFonts w:ascii="Cambria Math" w:hAnsi="Cambria Math"/>
                          </w:rPr>
                          <m:t>j</m:t>
                        </m:r>
                      </m:sub>
                    </m:sSub>
                  </m:e>
                </m:mr>
                <m:mr>
                  <m:e>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NSI</m:t>
                            </m:r>
                          </m:e>
                        </m:acc>
                      </m:e>
                      <m:sub>
                        <m:r>
                          <w:rPr>
                            <w:rFonts w:ascii="Cambria Math" w:hAnsi="Cambria Math" w:cs="Calibri"/>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d>
                          <m:dPr>
                            <m:ctrlPr>
                              <w:rPr>
                                <w:rFonts w:ascii="Cambria Math" w:hAnsi="Cambria Math" w:cs="Calibri"/>
                              </w:rPr>
                            </m:ctrlPr>
                          </m:dPr>
                          <m:e>
                            <m:sSub>
                              <m:sSubPr>
                                <m:ctrlPr>
                                  <w:rPr>
                                    <w:rFonts w:ascii="Cambria Math" w:hAnsi="Cambria Math" w:cs="Calibr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i/>
                                      </w:rPr>
                                    </m:ctrlPr>
                                  </m:accPr>
                                  <m:e>
                                    <m:r>
                                      <w:rPr>
                                        <w:rFonts w:ascii="Cambria Math" w:hAnsi="Cambria Math"/>
                                      </w:rPr>
                                      <m:t>L</m:t>
                                    </m:r>
                                  </m:e>
                                </m:acc>
                              </m:e>
                              <m:sub>
                                <m:r>
                                  <w:rPr>
                                    <w:rFonts w:ascii="Cambria Math" w:hAnsi="Cambria Math"/>
                                  </w:rPr>
                                  <m:t>i</m:t>
                                </m:r>
                              </m:sub>
                            </m:sSub>
                          </m:e>
                        </m:d>
                      </m:e>
                    </m:nary>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Loss</m:t>
                            </m:r>
                          </m:e>
                        </m:acc>
                      </m:e>
                      <m:sub>
                        <m:r>
                          <w:rPr>
                            <w:rFonts w:ascii="Cambria Math" w:hAnsi="Cambria Math"/>
                          </w:rPr>
                          <m:t>j</m:t>
                        </m:r>
                      </m:sub>
                    </m:sSub>
                  </m:e>
                </m:mr>
                <m:mr>
                  <m:e>
                    <m:r>
                      <m:rPr>
                        <m:sty m:val="p"/>
                      </m:rPr>
                      <w:rPr>
                        <w:rFonts w:ascii="Cambria Math" w:hAnsi="Cambria Math"/>
                      </w:rPr>
                      <m:t>∆</m:t>
                    </m:r>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f>
                          <m:fPr>
                            <m:ctrlPr>
                              <w:rPr>
                                <w:rFonts w:ascii="Cambria Math" w:hAnsi="Cambria Math" w:cs="Calibri"/>
                              </w:rPr>
                            </m:ctrlPr>
                          </m:fPr>
                          <m:num>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G</m:t>
                                    </m:r>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r>
                                      <w:rPr>
                                        <w:rFonts w:ascii="Cambria Math" w:hAnsi="Cambria Math"/>
                                      </w:rPr>
                                      <m:t>L</m:t>
                                    </m:r>
                                  </m:e>
                                  <m:sub>
                                    <m:r>
                                      <w:rPr>
                                        <w:rFonts w:ascii="Cambria Math" w:hAnsi="Cambria Math"/>
                                      </w:rPr>
                                      <m:t>i</m:t>
                                    </m:r>
                                  </m:sub>
                                </m:sSub>
                              </m:e>
                            </m:d>
                          </m:num>
                          <m:den>
                            <m:sSub>
                              <m:sSubPr>
                                <m:ctrlPr>
                                  <w:rPr>
                                    <w:rFonts w:ascii="Cambria Math" w:hAnsi="Cambria Math" w:cs="Calibri"/>
                                  </w:rPr>
                                </m:ctrlPr>
                              </m:sSubPr>
                              <m:e>
                                <m:r>
                                  <w:rPr>
                                    <w:rFonts w:ascii="Cambria Math" w:hAnsi="Cambria Math"/>
                                  </w:rPr>
                                  <m:t>LPF</m:t>
                                </m:r>
                              </m:e>
                              <m:sub>
                                <m:r>
                                  <w:rPr>
                                    <w:rFonts w:ascii="Cambria Math" w:hAnsi="Cambria Math"/>
                                  </w:rPr>
                                  <m:t>i</m:t>
                                </m:r>
                              </m:sub>
                            </m:sSub>
                          </m:den>
                        </m:f>
                      </m:e>
                    </m:nary>
                  </m:e>
                </m:mr>
              </m:m>
            </m:e>
          </m:d>
          <m:r>
            <w:rPr>
              <w:rFonts w:ascii="Cambria Math" w:hAnsi="Cambria Math"/>
            </w:rPr>
            <m:t xml:space="preserve"> ∀j∈EIM</m:t>
          </m:r>
        </m:oMath>
      </m:oMathPara>
    </w:p>
    <w:p w14:paraId="48671F14" w14:textId="77777777" w:rsidR="002815A0" w:rsidRDefault="002815A0" w:rsidP="00877DDB">
      <w:pPr>
        <w:pStyle w:val="BPM"/>
      </w:pPr>
      <w:r>
        <w:lastRenderedPageBreak/>
        <w:t>Where the optimal changes in generation and load are adjusted for marginal losses. Note that the load is not dispatched unless there is an outage or it is a dispatchable load, e.g., a hydro pump.</w:t>
      </w:r>
    </w:p>
    <w:p w14:paraId="37202B77" w14:textId="355F1E25" w:rsidR="002815A0" w:rsidRDefault="002815A0" w:rsidP="00877DDB">
      <w:pPr>
        <w:pStyle w:val="BPM"/>
      </w:pPr>
      <w:r>
        <w:t>The optimal</w:t>
      </w:r>
      <w:r w:rsidR="005F24C1">
        <w:t xml:space="preserve"> WEIM </w:t>
      </w:r>
      <w:r>
        <w:t>Transfer</w:t>
      </w:r>
      <w:r w:rsidRPr="005A13DF">
        <w:t xml:space="preserve"> </w:t>
      </w:r>
      <w:r>
        <w:t>for each</w:t>
      </w:r>
      <w:r w:rsidR="005F24C1">
        <w:t xml:space="preserve"> WEIM </w:t>
      </w:r>
      <w:r>
        <w:t>BAA is derived from the optimal NSI by subtracting the next export interchange with non-EIM BAAs:</w:t>
      </w:r>
    </w:p>
    <w:p w14:paraId="68304EF7" w14:textId="77777777" w:rsidR="002815A0" w:rsidRPr="00607FAC" w:rsidRDefault="00461DCC">
      <w:pPr>
        <w:pStyle w:val="Equation"/>
      </w:pPr>
      <m:oMathPara>
        <m:oMathParaPr>
          <m:jc m:val="center"/>
        </m:oMathParaPr>
        <m:oMath>
          <m:sSub>
            <m:sSubPr>
              <m:ctrlPr>
                <w:rPr>
                  <w:rFonts w:ascii="Cambria Math" w:hAnsi="Cambria Math"/>
                  <w:i/>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i/>
                </w:rPr>
              </m:ctrlPr>
            </m:sSubPr>
            <m:e>
              <m:r>
                <w:rPr>
                  <w:rFonts w:ascii="Cambria Math" w:hAnsi="Cambria Math"/>
                </w:rPr>
                <m:t>NSI</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d>
                    <m:dPr>
                      <m:ctrlPr>
                        <w:rPr>
                          <w:rFonts w:ascii="Cambria Math" w:hAnsi="Cambria Math" w:cs="Calibri"/>
                        </w:rPr>
                      </m:ctrlPr>
                    </m:dPr>
                    <m:e>
                      <m:sSub>
                        <m:sSubPr>
                          <m:ctrlPr>
                            <w:rPr>
                              <w:rFonts w:ascii="Cambria Math" w:hAnsi="Cambria Math" w:cs="Calibri"/>
                            </w:rPr>
                          </m:ctrlPr>
                        </m:sSubPr>
                        <m:e>
                          <m:r>
                            <w:rPr>
                              <w:rFonts w:ascii="Cambria Math" w:hAnsi="Cambria Math"/>
                            </w:rPr>
                            <m:t>E</m:t>
                          </m:r>
                        </m:e>
                        <m:sub>
                          <m:r>
                            <w:rPr>
                              <w:rFonts w:ascii="Cambria Math" w:hAnsi="Cambria Math"/>
                            </w:rPr>
                            <m:t>j,k,l</m:t>
                          </m:r>
                        </m:sub>
                      </m:sSub>
                      <m:r>
                        <m:rPr>
                          <m:sty m:val="p"/>
                        </m:rPr>
                        <w:rPr>
                          <w:rFonts w:ascii="Cambria Math" w:hAnsi="Cambria Math"/>
                        </w:rPr>
                        <m:t>-</m:t>
                      </m:r>
                      <m:sSub>
                        <m:sSubPr>
                          <m:ctrlPr>
                            <w:rPr>
                              <w:rFonts w:ascii="Cambria Math" w:hAnsi="Cambria Math" w:cs="Calibri"/>
                            </w:rPr>
                          </m:ctrlPr>
                        </m:sSubPr>
                        <m:e>
                          <m:r>
                            <w:rPr>
                              <w:rFonts w:ascii="Cambria Math" w:hAnsi="Cambria Math"/>
                            </w:rPr>
                            <m:t>I</m:t>
                          </m:r>
                        </m:e>
                        <m:sub>
                          <m:r>
                            <w:rPr>
                              <w:rFonts w:ascii="Cambria Math" w:hAnsi="Cambria Math"/>
                            </w:rPr>
                            <m:t>j,k,l</m:t>
                          </m:r>
                        </m:sub>
                      </m:sSub>
                    </m:e>
                  </m:d>
                </m:e>
              </m:nary>
            </m:e>
          </m:nary>
          <m:r>
            <w:rPr>
              <w:rFonts w:ascii="Cambria Math" w:hAnsi="Cambria Math"/>
            </w:rPr>
            <m:t xml:space="preserve">  ∀j∈EIM∧j&gt;0</m:t>
          </m:r>
        </m:oMath>
      </m:oMathPara>
    </w:p>
    <w:p w14:paraId="205258A9" w14:textId="77777777" w:rsidR="002815A0" w:rsidRPr="00A56EF7" w:rsidRDefault="002815A0" w:rsidP="00877DDB">
      <w:pPr>
        <w:pStyle w:val="BPM"/>
      </w:pPr>
      <w:r>
        <w:t>Linearizing from the previous ACPF solution:</w:t>
      </w:r>
    </w:p>
    <w:p w14:paraId="122019B3" w14:textId="77777777" w:rsidR="002815A0" w:rsidRPr="00A56EF7" w:rsidRDefault="00461DCC">
      <w:pPr>
        <w:pStyle w:val="Equation"/>
      </w:pPr>
      <m:oMathPara>
        <m:oMathParaPr>
          <m:jc m:val="center"/>
        </m:oMathParaPr>
        <m:oMath>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T</m:t>
                            </m:r>
                          </m:e>
                        </m:acc>
                      </m:e>
                      <m:sub>
                        <m:r>
                          <w:rPr>
                            <w:rFonts w:ascii="Cambria Math" w:hAnsi="Cambria Math" w:cs="Calibri"/>
                          </w:rPr>
                          <m:t>j</m:t>
                        </m:r>
                      </m:sub>
                    </m:sSub>
                    <m:r>
                      <m:rPr>
                        <m:sty m:val="p"/>
                      </m:rP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j</m:t>
                        </m:r>
                      </m:sub>
                    </m:sSub>
                  </m:e>
                </m:mr>
                <m:mr>
                  <m:e>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T</m:t>
                            </m:r>
                          </m:e>
                        </m:acc>
                      </m:e>
                      <m:sub>
                        <m:r>
                          <w:rPr>
                            <w:rFonts w:ascii="Cambria Math" w:hAnsi="Cambria Math" w:cs="Calibri"/>
                          </w:rPr>
                          <m:t>j</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rPr>
                              <m:t>NSI</m:t>
                            </m:r>
                          </m:e>
                        </m:acc>
                      </m:e>
                      <m:sub>
                        <m:r>
                          <w:rPr>
                            <w:rFonts w:ascii="Cambria Math" w:hAnsi="Cambria Math" w:cs="Calibri"/>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d>
                              <m:dPr>
                                <m:ctrlPr>
                                  <w:rPr>
                                    <w:rFonts w:ascii="Cambria Math" w:hAnsi="Cambria Math" w:cs="Calibri"/>
                                  </w:rPr>
                                </m:ctrlPr>
                              </m:dPr>
                              <m:e>
                                <m:sSub>
                                  <m:sSubPr>
                                    <m:ctrlPr>
                                      <w:rPr>
                                        <w:rFonts w:ascii="Cambria Math" w:hAnsi="Cambria Math" w:cs="Calibri"/>
                                      </w:rPr>
                                    </m:ctrlPr>
                                  </m:sSubPr>
                                  <m:e>
                                    <m:acc>
                                      <m:accPr>
                                        <m:chr m:val="̃"/>
                                        <m:ctrlPr>
                                          <w:rPr>
                                            <w:rFonts w:ascii="Cambria Math" w:hAnsi="Cambria Math"/>
                                            <w:i/>
                                          </w:rPr>
                                        </m:ctrlPr>
                                      </m:accPr>
                                      <m:e>
                                        <m:r>
                                          <w:rPr>
                                            <w:rFonts w:ascii="Cambria Math" w:hAnsi="Cambria Math"/>
                                          </w:rPr>
                                          <m:t>E</m:t>
                                        </m:r>
                                      </m:e>
                                    </m:acc>
                                  </m:e>
                                  <m:sub>
                                    <m:r>
                                      <w:rPr>
                                        <w:rFonts w:ascii="Cambria Math" w:hAnsi="Cambria Math"/>
                                      </w:rPr>
                                      <m:t>j,k,l</m:t>
                                    </m:r>
                                  </m:sub>
                                </m:sSub>
                                <m:r>
                                  <m:rPr>
                                    <m:sty m:val="p"/>
                                  </m:rPr>
                                  <w:rPr>
                                    <w:rFonts w:ascii="Cambria Math" w:hAnsi="Cambria Math"/>
                                  </w:rPr>
                                  <m:t>-</m:t>
                                </m:r>
                                <m:sSub>
                                  <m:sSubPr>
                                    <m:ctrlPr>
                                      <w:rPr>
                                        <w:rFonts w:ascii="Cambria Math" w:hAnsi="Cambria Math" w:cs="Calibri"/>
                                      </w:rPr>
                                    </m:ctrlPr>
                                  </m:sSubPr>
                                  <m:e>
                                    <m:acc>
                                      <m:accPr>
                                        <m:chr m:val="̃"/>
                                        <m:ctrlPr>
                                          <w:rPr>
                                            <w:rFonts w:ascii="Cambria Math" w:hAnsi="Cambria Math"/>
                                            <w:i/>
                                          </w:rPr>
                                        </m:ctrlPr>
                                      </m:accPr>
                                      <m:e>
                                        <m:r>
                                          <w:rPr>
                                            <w:rFonts w:ascii="Cambria Math" w:hAnsi="Cambria Math"/>
                                          </w:rPr>
                                          <m:t>I</m:t>
                                        </m:r>
                                      </m:e>
                                    </m:acc>
                                  </m:e>
                                  <m:sub>
                                    <m:r>
                                      <w:rPr>
                                        <w:rFonts w:ascii="Cambria Math" w:hAnsi="Cambria Math"/>
                                      </w:rPr>
                                      <m:t>j,k,l</m:t>
                                    </m:r>
                                  </m:sub>
                                </m:sSub>
                              </m:e>
                            </m:d>
                          </m:e>
                        </m:nary>
                      </m:e>
                    </m:nary>
                  </m:e>
                </m:mr>
                <m:mr>
                  <m:e>
                    <m:r>
                      <m:rPr>
                        <m:sty m:val="p"/>
                      </m:rP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f>
                          <m:fPr>
                            <m:ctrlPr>
                              <w:rPr>
                                <w:rFonts w:ascii="Cambria Math" w:hAnsi="Cambria Math" w:cs="Calibri"/>
                              </w:rPr>
                            </m:ctrlPr>
                          </m:fPr>
                          <m:num>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G</m:t>
                                    </m:r>
                                  </m:e>
                                  <m:sub>
                                    <m:r>
                                      <w:rPr>
                                        <w:rFonts w:ascii="Cambria Math" w:hAnsi="Cambria Math"/>
                                      </w:rPr>
                                      <m:t>i</m:t>
                                    </m:r>
                                  </m:sub>
                                </m:sSub>
                                <m:r>
                                  <m:rPr>
                                    <m:sty m:val="p"/>
                                  </m:rPr>
                                  <w:rPr>
                                    <w:rFonts w:ascii="Cambria Math" w:hAnsi="Cambria Math"/>
                                  </w:rPr>
                                  <m:t>-∆</m:t>
                                </m:r>
                                <m:sSub>
                                  <m:sSubPr>
                                    <m:ctrlPr>
                                      <w:rPr>
                                        <w:rFonts w:ascii="Cambria Math" w:hAnsi="Cambria Math" w:cs="Calibri"/>
                                      </w:rPr>
                                    </m:ctrlPr>
                                  </m:sSubPr>
                                  <m:e>
                                    <m:r>
                                      <w:rPr>
                                        <w:rFonts w:ascii="Cambria Math" w:hAnsi="Cambria Math"/>
                                      </w:rPr>
                                      <m:t>L</m:t>
                                    </m:r>
                                  </m:e>
                                  <m:sub>
                                    <m:r>
                                      <w:rPr>
                                        <w:rFonts w:ascii="Cambria Math" w:hAnsi="Cambria Math"/>
                                      </w:rPr>
                                      <m:t>i</m:t>
                                    </m:r>
                                  </m:sub>
                                </m:sSub>
                              </m:e>
                            </m:d>
                          </m:num>
                          <m:den>
                            <m:sSub>
                              <m:sSubPr>
                                <m:ctrlPr>
                                  <w:rPr>
                                    <w:rFonts w:ascii="Cambria Math" w:hAnsi="Cambria Math" w:cs="Calibri"/>
                                  </w:rPr>
                                </m:ctrlPr>
                              </m:sSubPr>
                              <m:e>
                                <m:r>
                                  <w:rPr>
                                    <w:rFonts w:ascii="Cambria Math" w:hAnsi="Cambria Math"/>
                                  </w:rPr>
                                  <m:t>LPF</m:t>
                                </m:r>
                              </m:e>
                              <m:sub>
                                <m:r>
                                  <w:rPr>
                                    <w:rFonts w:ascii="Cambria Math" w:hAnsi="Cambria Math"/>
                                  </w:rPr>
                                  <m:t>i</m:t>
                                </m:r>
                              </m:sub>
                            </m:sSub>
                          </m:den>
                        </m:f>
                      </m:e>
                    </m:nary>
                    <m:r>
                      <m:rPr>
                        <m:sty m:val="p"/>
                      </m:rP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f>
                              <m:fPr>
                                <m:ctrlPr>
                                  <w:rPr>
                                    <w:rFonts w:ascii="Cambria Math" w:hAnsi="Cambria Math" w:cs="Calibri"/>
                                  </w:rPr>
                                </m:ctrlPr>
                              </m:fPr>
                              <m:num>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E</m:t>
                                        </m:r>
                                      </m:e>
                                      <m:sub>
                                        <m:r>
                                          <w:rPr>
                                            <w:rFonts w:ascii="Cambria Math" w:hAnsi="Cambria Math"/>
                                          </w:rPr>
                                          <m:t>j,k,l</m:t>
                                        </m:r>
                                      </m:sub>
                                    </m:sSub>
                                    <m:r>
                                      <m:rPr>
                                        <m:sty m:val="p"/>
                                      </m:rPr>
                                      <w:rPr>
                                        <w:rFonts w:ascii="Cambria Math" w:hAnsi="Cambria Math"/>
                                      </w:rPr>
                                      <m:t>-∆</m:t>
                                    </m:r>
                                    <m:sSub>
                                      <m:sSubPr>
                                        <m:ctrlPr>
                                          <w:rPr>
                                            <w:rFonts w:ascii="Cambria Math" w:hAnsi="Cambria Math" w:cs="Calibri"/>
                                          </w:rPr>
                                        </m:ctrlPr>
                                      </m:sSubPr>
                                      <m:e>
                                        <m:r>
                                          <w:rPr>
                                            <w:rFonts w:ascii="Cambria Math" w:hAnsi="Cambria Math"/>
                                          </w:rPr>
                                          <m:t>I</m:t>
                                        </m:r>
                                      </m:e>
                                      <m:sub>
                                        <m:r>
                                          <w:rPr>
                                            <w:rFonts w:ascii="Cambria Math" w:hAnsi="Cambria Math"/>
                                          </w:rPr>
                                          <m:t>j,k,l</m:t>
                                        </m:r>
                                      </m:sub>
                                    </m:sSub>
                                  </m:e>
                                </m:d>
                              </m:num>
                              <m:den>
                                <m:sSub>
                                  <m:sSubPr>
                                    <m:ctrlPr>
                                      <w:rPr>
                                        <w:rFonts w:ascii="Cambria Math" w:hAnsi="Cambria Math" w:cs="Calibri"/>
                                      </w:rPr>
                                    </m:ctrlPr>
                                  </m:sSubPr>
                                  <m:e>
                                    <m:r>
                                      <w:rPr>
                                        <w:rFonts w:ascii="Cambria Math" w:hAnsi="Cambria Math"/>
                                      </w:rPr>
                                      <m:t>LPF</m:t>
                                    </m:r>
                                  </m:e>
                                  <m:sub>
                                    <m:r>
                                      <w:rPr>
                                        <w:rFonts w:ascii="Cambria Math" w:hAnsi="Cambria Math"/>
                                      </w:rPr>
                                      <m:t>j,k,l</m:t>
                                    </m:r>
                                  </m:sub>
                                </m:sSub>
                              </m:den>
                            </m:f>
                          </m:e>
                        </m:nary>
                      </m:e>
                    </m:nary>
                  </m:e>
                </m:mr>
              </m:m>
            </m:e>
          </m:d>
          <m:r>
            <w:rPr>
              <w:rFonts w:ascii="Cambria Math" w:hAnsi="Cambria Math"/>
            </w:rPr>
            <m:t xml:space="preserve"> ∀j∈EIM∧j&gt;0</m:t>
          </m:r>
        </m:oMath>
      </m:oMathPara>
    </w:p>
    <w:p w14:paraId="74869462" w14:textId="2981CE01" w:rsidR="002815A0" w:rsidRDefault="002815A0" w:rsidP="00877DDB">
      <w:pPr>
        <w:pStyle w:val="BPM"/>
      </w:pPr>
      <w:r>
        <w:t>Note that marginal loss contributions from network branches external to the</w:t>
      </w:r>
      <w:r w:rsidR="005F24C1">
        <w:t xml:space="preserve"> WEIM </w:t>
      </w:r>
      <w:r>
        <w:t>Area are ignored in the Loss Penalty Factors; consequently, the effect of intertie schedules between non-EIM BAAs and BAAs in the</w:t>
      </w:r>
      <w:r w:rsidR="005F24C1">
        <w:t xml:space="preserve"> WEIM </w:t>
      </w:r>
      <w:r>
        <w:t>Area on the</w:t>
      </w:r>
      <w:r w:rsidR="005F24C1">
        <w:t xml:space="preserve"> WEIM </w:t>
      </w:r>
      <w:r>
        <w:t>Area losses is the same as if the energy was generated or consumed at the</w:t>
      </w:r>
      <w:r w:rsidR="005F24C1">
        <w:t xml:space="preserve"> WEIM </w:t>
      </w:r>
      <w:r>
        <w:t>Area boundary.</w:t>
      </w:r>
    </w:p>
    <w:p w14:paraId="69F761D2" w14:textId="310AB69A" w:rsidR="002815A0" w:rsidRDefault="002815A0" w:rsidP="00877DDB">
      <w:pPr>
        <w:pStyle w:val="BPM"/>
      </w:pPr>
      <w:r>
        <w:t>The optimal</w:t>
      </w:r>
      <w:r w:rsidR="005F24C1">
        <w:t xml:space="preserve"> WEIM </w:t>
      </w:r>
      <w:r>
        <w:t>Transfer for the CISO is simply the negative sum of the optimal</w:t>
      </w:r>
      <w:r w:rsidR="005F24C1">
        <w:t xml:space="preserve"> WEIM </w:t>
      </w:r>
      <w:r>
        <w:t>Transfers of all</w:t>
      </w:r>
      <w:r w:rsidR="005F24C1">
        <w:t xml:space="preserve"> WEIM </w:t>
      </w:r>
      <w:r>
        <w:t>BAAs:</w:t>
      </w:r>
    </w:p>
    <w:p w14:paraId="5270969F" w14:textId="77777777" w:rsidR="002815A0" w:rsidRPr="00726F7E" w:rsidRDefault="00461DCC">
      <w:pPr>
        <w:pStyle w:val="Equation"/>
      </w:pPr>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j∈EIM</m:t>
                    </m:r>
                  </m:e>
                </m:mr>
                <m:mr>
                  <m:e>
                    <m:r>
                      <w:rPr>
                        <w:rFonts w:ascii="Cambria Math" w:hAnsi="Cambria Math"/>
                      </w:rPr>
                      <m:t>j&gt;0</m:t>
                    </m:r>
                  </m:e>
                </m:mr>
              </m:m>
            </m:sub>
            <m:sup/>
            <m:e>
              <m:sSub>
                <m:sSubPr>
                  <m:ctrlPr>
                    <w:rPr>
                      <w:rFonts w:ascii="Cambria Math" w:hAnsi="Cambria Math"/>
                      <w:i/>
                    </w:rPr>
                  </m:ctrlPr>
                </m:sSubPr>
                <m:e>
                  <m:r>
                    <w:rPr>
                      <w:rFonts w:ascii="Cambria Math" w:hAnsi="Cambria Math"/>
                    </w:rPr>
                    <m:t>T</m:t>
                  </m:r>
                </m:e>
                <m:sub>
                  <m:r>
                    <w:rPr>
                      <w:rFonts w:ascii="Cambria Math" w:hAnsi="Cambria Math"/>
                    </w:rPr>
                    <m:t>j</m:t>
                  </m:r>
                </m:sub>
              </m:sSub>
            </m:e>
          </m:nary>
        </m:oMath>
      </m:oMathPara>
    </w:p>
    <w:p w14:paraId="444F29BA" w14:textId="77777777" w:rsidR="002815A0" w:rsidRDefault="002815A0" w:rsidP="00877DDB">
      <w:pPr>
        <w:pStyle w:val="BPM"/>
      </w:pPr>
      <w:r>
        <w:t>The aggregate interchange dispatch</w:t>
      </w:r>
      <w:r w:rsidRPr="00607FAC">
        <w:t xml:space="preserve"> </w:t>
      </w:r>
      <w:r>
        <w:t>at non-EIM BAA Scheduling Points/Hubs determines the NSI deviation (from the base NSI) of non-EIM BAAs and it is distributed to the generating resources</w:t>
      </w:r>
      <w:r w:rsidRPr="00C81B79">
        <w:t xml:space="preserve"> </w:t>
      </w:r>
      <w:r>
        <w:t>of the relevant Generation Aggregation Point (GAP) using the applicable GDFs:</w:t>
      </w:r>
    </w:p>
    <w:p w14:paraId="2C00A7DA" w14:textId="77777777" w:rsidR="002815A0" w:rsidRDefault="00461DCC">
      <w:pPr>
        <w:pStyle w:val="Equation"/>
      </w:pPr>
      <m:oMathPara>
        <m:oMath>
          <m:sSub>
            <m:sSubPr>
              <m:ctrlPr>
                <w:rPr>
                  <w:rFonts w:ascii="Cambria Math" w:hAnsi="Cambria Math"/>
                  <w:i/>
                </w:rPr>
              </m:ctrlPr>
            </m:sSubPr>
            <m:e>
              <m:r>
                <w:rPr>
                  <w:rFonts w:ascii="Cambria Math" w:hAnsi="Cambria Math"/>
                </w:rPr>
                <m:t>NSI</m:t>
              </m:r>
            </m:e>
            <m:sub>
              <m:r>
                <w:rPr>
                  <w:rFonts w:ascii="Cambria Math" w:hAnsi="Cambria Math"/>
                </w:rPr>
                <m:t>j</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NSI</m:t>
                  </m:r>
                </m:e>
              </m:acc>
            </m:e>
            <m:sub>
              <m:r>
                <w:rPr>
                  <w:rFonts w:ascii="Cambria Math" w:hAnsi="Cambria Math"/>
                </w:rPr>
                <m:t>j</m:t>
              </m:r>
            </m:sub>
          </m:sSub>
          <m:r>
            <w:rPr>
              <w:rFonts w:ascii="Cambria Math" w:hAnsi="Cambria Math"/>
            </w:rPr>
            <m:t>=-</m:t>
          </m:r>
          <m:nary>
            <m:naryPr>
              <m:chr m:val="∑"/>
              <m:limLoc m:val="undOvr"/>
              <m:supHide m:val="1"/>
              <m:ctrlPr>
                <w:rPr>
                  <w:rFonts w:ascii="Cambria Math" w:hAnsi="Cambria Math" w:cs="Calibri"/>
                </w:rPr>
              </m:ctrlPr>
            </m:naryPr>
            <m:sub>
              <m:r>
                <w:rPr>
                  <w:rFonts w:ascii="Cambria Math" w:hAnsi="Cambria Math"/>
                </w:rPr>
                <m:t>k∈EIM</m:t>
              </m:r>
            </m:sub>
            <m:sup/>
            <m:e>
              <m:nary>
                <m:naryPr>
                  <m:chr m:val="∑"/>
                  <m:limLoc m:val="undOvr"/>
                  <m:supHide m:val="1"/>
                  <m:ctrlPr>
                    <w:rPr>
                      <w:rFonts w:ascii="Cambria Math" w:hAnsi="Cambria Math" w:cs="Calibri"/>
                    </w:rPr>
                  </m:ctrlPr>
                </m:naryPr>
                <m:sub>
                  <m:r>
                    <w:rPr>
                      <w:rFonts w:ascii="Cambria Math" w:hAnsi="Cambria Math" w:cs="Calibri"/>
                    </w:rPr>
                    <m:t>l</m:t>
                  </m:r>
                </m:sub>
                <m:sup/>
                <m:e>
                  <m:d>
                    <m:dPr>
                      <m:ctrlPr>
                        <w:rPr>
                          <w:rFonts w:ascii="Cambria Math" w:hAnsi="Cambria Math" w:cs="Calibri"/>
                        </w:rPr>
                      </m:ctrlPr>
                    </m:dPr>
                    <m:e>
                      <m:r>
                        <m:rPr>
                          <m:sty m:val="p"/>
                        </m:rPr>
                        <w:rPr>
                          <w:rFonts w:ascii="Cambria Math" w:hAnsi="Cambria Math"/>
                        </w:rPr>
                        <m:t>∆</m:t>
                      </m:r>
                      <m:sSub>
                        <m:sSubPr>
                          <m:ctrlPr>
                            <w:rPr>
                              <w:rFonts w:ascii="Cambria Math" w:hAnsi="Cambria Math" w:cs="Calibri"/>
                            </w:rPr>
                          </m:ctrlPr>
                        </m:sSubPr>
                        <m:e>
                          <m:r>
                            <w:rPr>
                              <w:rFonts w:ascii="Cambria Math" w:hAnsi="Cambria Math"/>
                            </w:rPr>
                            <m:t>E</m:t>
                          </m:r>
                        </m:e>
                        <m:sub>
                          <m:r>
                            <w:rPr>
                              <w:rFonts w:ascii="Cambria Math" w:hAnsi="Cambria Math"/>
                            </w:rPr>
                            <m:t>k,j,l</m:t>
                          </m:r>
                        </m:sub>
                      </m:sSub>
                      <m:r>
                        <m:rPr>
                          <m:sty m:val="p"/>
                        </m:rPr>
                        <w:rPr>
                          <w:rFonts w:ascii="Cambria Math" w:hAnsi="Cambria Math"/>
                        </w:rPr>
                        <m:t>-∆</m:t>
                      </m:r>
                      <m:sSub>
                        <m:sSubPr>
                          <m:ctrlPr>
                            <w:rPr>
                              <w:rFonts w:ascii="Cambria Math" w:hAnsi="Cambria Math" w:cs="Calibri"/>
                            </w:rPr>
                          </m:ctrlPr>
                        </m:sSubPr>
                        <m:e>
                          <m:r>
                            <w:rPr>
                              <w:rFonts w:ascii="Cambria Math" w:hAnsi="Cambria Math"/>
                            </w:rPr>
                            <m:t>I</m:t>
                          </m:r>
                        </m:e>
                        <m:sub>
                          <m:r>
                            <w:rPr>
                              <w:rFonts w:ascii="Cambria Math" w:hAnsi="Cambria Math"/>
                            </w:rPr>
                            <m:t>k,j,l</m:t>
                          </m:r>
                        </m:sub>
                      </m:sSub>
                    </m:e>
                  </m:d>
                </m:e>
              </m:nary>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BAA</m:t>
                  </m:r>
                </m:e>
                <m:sub>
                  <m:r>
                    <w:rPr>
                      <w:rFonts w:ascii="Cambria Math" w:hAnsi="Cambria Math"/>
                    </w:rPr>
                    <m:t>j</m:t>
                  </m:r>
                </m:sub>
              </m:sSub>
            </m:sub>
            <m:sup/>
            <m:e>
              <m:d>
                <m:dPr>
                  <m:ctrlPr>
                    <w:rPr>
                      <w:rFonts w:ascii="Cambria Math" w:hAnsi="Cambria Math"/>
                      <w:i/>
                    </w:rPr>
                  </m:ctrlPr>
                </m:dPr>
                <m:e>
                  <m:sSub>
                    <m:sSubPr>
                      <m:ctrlPr>
                        <w:rPr>
                          <w:rFonts w:ascii="Cambria Math" w:hAnsi="Cambria Math" w:cs="Calibri"/>
                        </w:rPr>
                      </m:ctrlPr>
                    </m:sSubPr>
                    <m:e>
                      <m:r>
                        <w:rPr>
                          <w:rFonts w:ascii="Cambria Math" w:hAnsi="Cambria Math"/>
                        </w:rPr>
                        <m:t>G</m:t>
                      </m:r>
                    </m:e>
                    <m:sub>
                      <m:r>
                        <w:rPr>
                          <w:rFonts w:ascii="Cambria Math" w:hAnsi="Cambria Math"/>
                        </w:rPr>
                        <m:t>i</m:t>
                      </m:r>
                    </m:sub>
                  </m:sSub>
                  <m:r>
                    <w:rPr>
                      <w:rFonts w:ascii="Cambria Math" w:hAnsi="Cambria Math" w:cs="Calibri"/>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G</m:t>
                          </m:r>
                        </m:e>
                      </m:acc>
                    </m:e>
                    <m:sub>
                      <m:r>
                        <w:rPr>
                          <w:rFonts w:ascii="Cambria Math" w:hAnsi="Cambria Math"/>
                        </w:rPr>
                        <m:t>i</m:t>
                      </m:r>
                    </m:sub>
                  </m:sSub>
                </m:e>
              </m:d>
            </m:e>
          </m:nary>
          <m:r>
            <w:rPr>
              <w:rFonts w:ascii="Cambria Math" w:hAnsi="Cambria Math"/>
            </w:rPr>
            <m:t xml:space="preserve">  ∀j∉EIM</m:t>
          </m:r>
        </m:oMath>
      </m:oMathPara>
    </w:p>
    <w:p w14:paraId="30342386" w14:textId="34D6BABA" w:rsidR="002815A0" w:rsidRDefault="002815A0" w:rsidP="00877DDB">
      <w:pPr>
        <w:pStyle w:val="BPM"/>
      </w:pPr>
      <w:r>
        <w:lastRenderedPageBreak/>
        <w:t>The NSI is maintained for each BAA in the ACPF by adjusting the load using distributed load slack and AIC. Therefore, the NSI,</w:t>
      </w:r>
      <w:r w:rsidR="005F24C1">
        <w:t xml:space="preserve"> WEIM </w:t>
      </w:r>
      <w:r>
        <w:t>Transfer, and generation for</w:t>
      </w:r>
      <w:r w:rsidR="005F24C1">
        <w:t xml:space="preserve"> WEIM </w:t>
      </w:r>
      <w:r>
        <w:t>BAAs in the ACPF solution are always equal to the optimal solution in the last iteration.</w:t>
      </w:r>
    </w:p>
    <w:p w14:paraId="5B43908A" w14:textId="77777777" w:rsidR="00713C13" w:rsidRDefault="00713C13">
      <w:pPr>
        <w:pStyle w:val="Paragraph"/>
      </w:pPr>
    </w:p>
    <w:p w14:paraId="4A0CD533" w14:textId="77777777" w:rsidR="002815A0" w:rsidRDefault="002815A0" w:rsidP="00F60F2C">
      <w:pPr>
        <w:pStyle w:val="Heading6"/>
      </w:pPr>
      <w:r>
        <w:t>Energy Transfer Schedules</w:t>
      </w:r>
    </w:p>
    <w:p w14:paraId="695BE1E9" w14:textId="557CDEAD" w:rsidR="002815A0" w:rsidRDefault="002815A0" w:rsidP="00877DDB">
      <w:pPr>
        <w:pStyle w:val="BPM"/>
      </w:pPr>
      <w:r>
        <w:t>The</w:t>
      </w:r>
      <w:r w:rsidR="005F24C1">
        <w:t xml:space="preserve"> WEIM </w:t>
      </w:r>
      <w:r>
        <w:t>Transfer for each</w:t>
      </w:r>
      <w:r w:rsidR="005F24C1">
        <w:t xml:space="preserve"> WEIM </w:t>
      </w:r>
      <w:r>
        <w:t>BAA is distributed optimally to the applicable Energy Transfer Schedules:</w:t>
      </w:r>
    </w:p>
    <w:p w14:paraId="04F6A66D" w14:textId="77777777" w:rsidR="002815A0" w:rsidRPr="00DC1056" w:rsidRDefault="00461DCC">
      <w:pPr>
        <w:pStyle w:val="Equation"/>
      </w:pPr>
      <m:oMathPara>
        <m:oMath>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k∈EIM</m:t>
                    </m:r>
                  </m:e>
                </m:mr>
                <m:mr>
                  <m:e>
                    <m:r>
                      <w:rPr>
                        <w:rFonts w:ascii="Cambria Math" w:hAnsi="Cambria Math"/>
                      </w:rPr>
                      <m:t>k≠j</m:t>
                    </m:r>
                  </m:e>
                </m:mr>
              </m:m>
            </m:sub>
            <m:sup/>
            <m:e>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-IT</m:t>
                          </m:r>
                        </m:e>
                        <m:sub>
                          <m:r>
                            <w:rPr>
                              <w:rFonts w:ascii="Cambria Math" w:hAnsi="Cambria Math"/>
                            </w:rPr>
                            <m:t>j,k,l</m:t>
                          </m:r>
                        </m:sub>
                      </m:sSub>
                    </m:e>
                  </m:d>
                </m:e>
              </m:nary>
            </m:e>
          </m:nary>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 xml:space="preserve">  ∀j∈EIM∧j&gt;0</m:t>
          </m:r>
        </m:oMath>
      </m:oMathPara>
    </w:p>
    <w:p w14:paraId="055B63F7" w14:textId="77777777" w:rsidR="002815A0" w:rsidRPr="00DC1056" w:rsidRDefault="002815A0" w:rsidP="00877DDB">
      <w:pPr>
        <w:pStyle w:val="BPM"/>
      </w:pPr>
      <w:r>
        <w:t>Where:</w:t>
      </w:r>
    </w:p>
    <w:p w14:paraId="1E16AF55" w14:textId="77777777" w:rsidR="002815A0" w:rsidRDefault="00461DCC">
      <w:pPr>
        <w:pStyle w:val="Equation"/>
      </w:pPr>
      <m:oMathPara>
        <m:oMath>
          <m:sSub>
            <m:sSubPr>
              <m:ctrlPr>
                <w:rPr>
                  <w:rFonts w:ascii="Cambria Math" w:hAnsi="Cambria Math"/>
                  <w:i/>
                </w:rPr>
              </m:ctrlPr>
            </m:sSubPr>
            <m:e>
              <m:r>
                <w:rPr>
                  <w:rFonts w:ascii="Cambria Math" w:hAnsi="Cambria Math"/>
                </w:rPr>
                <m:t>IT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k,j,l</m:t>
              </m:r>
            </m:sub>
          </m:sSub>
          <m:r>
            <w:rPr>
              <w:rFonts w:ascii="Cambria Math" w:hAnsi="Cambria Math"/>
            </w:rPr>
            <m:t xml:space="preserve">  ∀j,k∈EIM∧j≠k∧j,k&gt;0</m:t>
          </m:r>
        </m:oMath>
      </m:oMathPara>
    </w:p>
    <w:p w14:paraId="675116FC" w14:textId="77777777" w:rsidR="002815A0" w:rsidRDefault="002815A0" w:rsidP="00877DDB">
      <w:pPr>
        <w:pStyle w:val="BPM"/>
      </w:pPr>
      <w:r>
        <w:t>Without violating the applicable transmission right limits:</w:t>
      </w:r>
    </w:p>
    <w:p w14:paraId="2CEBA9D9" w14:textId="77777777" w:rsidR="002815A0" w:rsidRPr="00DC1056" w:rsidRDefault="00461DCC">
      <w:pPr>
        <w:pStyle w:val="Equation"/>
      </w:pPr>
      <m:oMathPara>
        <m:oMath>
          <m:d>
            <m:dPr>
              <m:begChr m:val=""/>
              <m:endChr m:val="}"/>
              <m:ctrlPr>
                <w:rPr>
                  <w:rFonts w:ascii="Cambria Math" w:hAnsi="Cambria Math"/>
                  <w:i/>
                </w:rPr>
              </m:ctrlPr>
            </m:dPr>
            <m:e>
              <m:m>
                <m:mPr>
                  <m:mcs>
                    <m:mc>
                      <m:mcPr>
                        <m:count m:val="1"/>
                        <m:mcJc m:val="left"/>
                      </m:mcPr>
                    </m:mc>
                  </m:mcs>
                  <m:ctrlPr>
                    <w:rPr>
                      <w:rFonts w:ascii="Cambria Math" w:hAnsi="Cambria Math"/>
                      <w:i/>
                    </w:rPr>
                  </m:ctrlPr>
                </m:mPr>
                <m:mr>
                  <m:e>
                    <m:r>
                      <w:rPr>
                        <w:rFonts w:ascii="Cambria Math" w:hAnsi="Cambria Math"/>
                      </w:rPr>
                      <m:t>0≤</m:t>
                    </m:r>
                    <m:sSub>
                      <m:sSubPr>
                        <m:ctrlPr>
                          <w:rPr>
                            <w:rFonts w:ascii="Cambria Math" w:hAnsi="Cambria Math"/>
                            <w:i/>
                          </w:rPr>
                        </m:ctrlPr>
                      </m:sSubPr>
                      <m:e>
                        <m:r>
                          <w:rPr>
                            <w:rFonts w:ascii="Cambria Math" w:hAnsi="Cambria Math"/>
                          </w:rPr>
                          <m:t>IT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MAXj,k,l</m:t>
                        </m:r>
                      </m:sub>
                    </m:sSub>
                  </m:e>
                </m:mr>
                <m:mr>
                  <m:e>
                    <m:r>
                      <w:rPr>
                        <w:rFonts w:ascii="Cambria Math" w:hAnsi="Cambria Math"/>
                      </w:rPr>
                      <m:t>0≤</m:t>
                    </m:r>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MAXj,k,l</m:t>
                        </m:r>
                      </m:sub>
                    </m:sSub>
                  </m:e>
                </m:mr>
              </m:m>
            </m:e>
          </m:d>
          <m:r>
            <w:rPr>
              <w:rFonts w:ascii="Cambria Math" w:hAnsi="Cambria Math"/>
            </w:rPr>
            <m:t xml:space="preserve">  ∀j,k∈EIM∧j≠k∧j&gt;0</m:t>
          </m:r>
        </m:oMath>
      </m:oMathPara>
    </w:p>
    <w:p w14:paraId="67DFBDAD" w14:textId="77777777" w:rsidR="002815A0" w:rsidRDefault="002815A0" w:rsidP="00877DDB">
      <w:pPr>
        <w:pStyle w:val="BPM"/>
      </w:pPr>
      <w:r>
        <w:t>For efficiency, there should not be both an import and an export Energy Transfer schedule on a given intertie; at least one of them should be zero.</w:t>
      </w:r>
    </w:p>
    <w:p w14:paraId="0D7C7981" w14:textId="77777777" w:rsidR="002815A0" w:rsidRPr="00DC1056" w:rsidRDefault="002815A0" w:rsidP="00877DDB">
      <w:pPr>
        <w:pStyle w:val="BPM"/>
      </w:pPr>
      <w:r>
        <w:t>It is assumed that the transmission limits are symmetric:</w:t>
      </w:r>
    </w:p>
    <w:p w14:paraId="7B4E13AA" w14:textId="77777777" w:rsidR="002815A0" w:rsidRDefault="00461DCC">
      <w:pPr>
        <w:pStyle w:val="Equation"/>
      </w:pPr>
      <m:oMathPara>
        <m:oMath>
          <m:sSub>
            <m:sSubPr>
              <m:ctrlPr>
                <w:rPr>
                  <w:rFonts w:ascii="Cambria Math" w:hAnsi="Cambria Math"/>
                  <w:i/>
                </w:rPr>
              </m:ctrlPr>
            </m:sSubPr>
            <m:e>
              <m:r>
                <w:rPr>
                  <w:rFonts w:ascii="Cambria Math" w:hAnsi="Cambria Math"/>
                </w:rPr>
                <m:t>IT</m:t>
              </m:r>
            </m:e>
            <m:sub>
              <m:r>
                <w:rPr>
                  <w:rFonts w:ascii="Cambria Math" w:hAnsi="Cambria Math"/>
                </w:rPr>
                <m:t>MAXj,k,l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MAXk,j,l</m:t>
              </m:r>
            </m:sub>
          </m:sSub>
          <m:r>
            <w:rPr>
              <w:rFonts w:ascii="Cambria Math" w:hAnsi="Cambria Math"/>
            </w:rPr>
            <m:t xml:space="preserve">  ∀j,k∈EIM∧j≠k∧j,k&gt;0</m:t>
          </m:r>
        </m:oMath>
      </m:oMathPara>
    </w:p>
    <w:p w14:paraId="7D555DBC" w14:textId="77777777" w:rsidR="002815A0" w:rsidRDefault="002815A0" w:rsidP="00877DDB">
      <w:pPr>
        <w:pStyle w:val="BPM"/>
      </w:pPr>
      <w:r>
        <w:t xml:space="preserve">To clarify, Energy Transfer schedules are variables in the market optimization calculated optimally subject to the above constraints. The base Energy Transfer schedule is included in the optimal Energy Transfer schedule; in other words, the optimal Energy Transfer schedule on any given intertie may completely back down a base Energy Transfer schedule and the energy transfer may reverse, resulting in efficient use of interconnecting transmission capacity. </w:t>
      </w:r>
    </w:p>
    <w:p w14:paraId="4EF9F499" w14:textId="15074BFC" w:rsidR="002815A0" w:rsidRDefault="002815A0" w:rsidP="00877DDB">
      <w:pPr>
        <w:pStyle w:val="BPM"/>
      </w:pPr>
      <w:r>
        <w:t xml:space="preserve">To reduce the problem dimensionality and potential degeneracy, for Energy Transfer schedules between two BAAs on a given intertie, only the ETSRs of one BAA are included in the problem </w:t>
      </w:r>
      <w:r>
        <w:lastRenderedPageBreak/>
        <w:t>formulation; their ETSR counterparts of the other BAA can be eliminated. An ETSR attribute in the Master File is used to designate the ETSRs that are optimized and used for tagging, as explained in §</w:t>
      </w:r>
      <w:r w:rsidR="002957E6">
        <w:t>11.1.5</w:t>
      </w:r>
      <w:r>
        <w:t>.</w:t>
      </w:r>
    </w:p>
    <w:p w14:paraId="15BE0A4F" w14:textId="2EAD9548" w:rsidR="00EE2BF7" w:rsidRDefault="00EE2BF7" w:rsidP="005F7ABA">
      <w:pPr>
        <w:pStyle w:val="BPM"/>
      </w:pPr>
      <w:r>
        <w:t>Note: When calculating ETSR schedules where one of the associated BAAs is the ISO BAA, the</w:t>
      </w:r>
      <w:r w:rsidR="005F24C1">
        <w:t xml:space="preserve"> WEIM </w:t>
      </w:r>
      <w:r>
        <w:t>Entity/Entities should not submit pre-hour or after-the-fact interchange schedules.  As these are tags with the ISO BAA, the CAISO will use the tag to determine the scheduled quantities needed.</w:t>
      </w:r>
    </w:p>
    <w:p w14:paraId="662982CC" w14:textId="77777777" w:rsidR="002815A0" w:rsidRDefault="002815A0" w:rsidP="00F60F2C">
      <w:pPr>
        <w:pStyle w:val="Heading6"/>
      </w:pPr>
      <w:r>
        <w:t>Energy Transfer Schedule Limits</w:t>
      </w:r>
    </w:p>
    <w:p w14:paraId="618BB78E" w14:textId="77777777" w:rsidR="002815A0" w:rsidRPr="00EA7E69" w:rsidRDefault="002815A0" w:rsidP="00877DDB">
      <w:pPr>
        <w:pStyle w:val="BPM"/>
      </w:pPr>
      <w:r>
        <w:t>Normally, Energy Transfer schedules are dynamic and the same ETSRs and transmission limits are used in both RTUC and RTD. However, if some Energy Transfer schedules must be differentiated between RTUC and RTD, static ETSRs will be used for the 15min Energy Transfer schedules in RTUC and dynamic ETSRs will be used for the incremental 5min Energy Transfer schedules in RTD. In this case, the base Energy Transfer schedule is included in the 15min Energy Transfer schedule, and the transmission limit for the 5min Energy Transfer schedule is zero in RTUC and incremental (from the optimal 15min Energy Transfer schedule) in RTD. For a uniform treatment of all ETSRs to simplify implementation, the applicable Energy Transfer schedule limits in RTUC and RTD can be derived from the transmission right, static limit, and incremental dynamic limit, as follows:</w:t>
      </w:r>
    </w:p>
    <w:p w14:paraId="480DAE8F" w14:textId="77777777" w:rsidR="002815A0" w:rsidRPr="00EA7E69" w:rsidRDefault="002815A0">
      <w:pPr>
        <w:pStyle w:val="Equation"/>
      </w:pPr>
      <m:oMathPara>
        <m:oMath>
          <m:r>
            <m:rPr>
              <m:nor/>
            </m:rPr>
            <w:rPr>
              <w:rFonts w:ascii="Cambria Math" w:hAnsi="Cambria Math"/>
            </w:rPr>
            <m:t xml:space="preserve">RTUC: </m:t>
          </m:r>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IT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IT</m:t>
                                </m:r>
                              </m:e>
                              <m:sub>
                                <m:r>
                                  <w:rPr>
                                    <w:rFonts w:ascii="Cambria Math" w:hAnsi="Cambria Math"/>
                                  </w:rPr>
                                  <m:t>TRj,k,l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MAX15j,k,l</m:t>
                                </m:r>
                              </m:sub>
                            </m:sSub>
                          </m:e>
                        </m:d>
                      </m:e>
                    </m:func>
                  </m:e>
                </m:mr>
                <m:mr>
                  <m:e>
                    <m:sSub>
                      <m:sSubPr>
                        <m:ctrlPr>
                          <w:rPr>
                            <w:rFonts w:ascii="Cambria Math" w:hAnsi="Cambria Math"/>
                            <w:i/>
                          </w:rPr>
                        </m:ctrlPr>
                      </m:sSubPr>
                      <m:e>
                        <m:r>
                          <w:rPr>
                            <w:rFonts w:ascii="Cambria Math" w:hAnsi="Cambria Math"/>
                          </w:rPr>
                          <m:t>ET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ET</m:t>
                                </m:r>
                              </m:e>
                              <m:sub>
                                <m:r>
                                  <w:rPr>
                                    <w:rFonts w:ascii="Cambria Math" w:hAnsi="Cambria Math"/>
                                  </w:rPr>
                                  <m:t>TRj,k,l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MAX15j,k,l</m:t>
                                </m:r>
                              </m:sub>
                            </m:sSub>
                          </m:e>
                        </m:d>
                      </m:e>
                    </m:func>
                  </m:e>
                </m:mr>
              </m:m>
            </m:e>
          </m:d>
          <m:r>
            <w:rPr>
              <w:rFonts w:ascii="Cambria Math" w:hAnsi="Cambria Math"/>
            </w:rPr>
            <m:t xml:space="preserve"> ∀j,k∈EIM∧j≠k∧j&gt;0</m:t>
          </m:r>
          <m:r>
            <m:rPr>
              <m:sty m:val="p"/>
            </m:rPr>
            <w:rPr>
              <w:rFonts w:ascii="Cambria Math" w:hAnsi="Cambria Math"/>
            </w:rPr>
            <w:br/>
          </m:r>
        </m:oMath>
        <m:oMath>
          <m:r>
            <m:rPr>
              <m:nor/>
            </m:rPr>
            <w:rPr>
              <w:rFonts w:ascii="Cambria Math" w:hAnsi="Cambria Math"/>
            </w:rPr>
            <m:t xml:space="preserve">RTD: </m:t>
          </m:r>
          <m:d>
            <m:dPr>
              <m:begChr m:val="{"/>
              <m:endChr m:val="}"/>
              <m:ctrlPr>
                <w:rPr>
                  <w:rFonts w:ascii="Cambria Math" w:hAnsi="Cambria Math"/>
                  <w:i/>
                </w:rPr>
              </m:ctrlPr>
            </m:dPr>
            <m:e>
              <m:m>
                <m:mPr>
                  <m:mcs>
                    <m:mc>
                      <m:mcPr>
                        <m:count m:val="1"/>
                        <m:mcJc m:val="left"/>
                      </m:mcPr>
                    </m:mc>
                  </m:mcs>
                  <m:ctrlPr>
                    <w:rPr>
                      <w:rFonts w:ascii="Cambria Math" w:hAnsi="Cambria Math"/>
                      <w:i/>
                    </w:rPr>
                  </m:ctrlPr>
                </m:mPr>
                <m:mr>
                  <m:e>
                    <m:sSub>
                      <m:sSubPr>
                        <m:ctrlPr>
                          <w:rPr>
                            <w:rFonts w:ascii="Cambria Math" w:hAnsi="Cambria Math"/>
                            <w:i/>
                          </w:rPr>
                        </m:ctrlPr>
                      </m:sSubPr>
                      <m:e>
                        <m:r>
                          <w:rPr>
                            <w:rFonts w:ascii="Cambria Math" w:hAnsi="Cambria Math"/>
                          </w:rPr>
                          <m:t>IT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IT</m:t>
                                </m:r>
                              </m:e>
                              <m:sub>
                                <m:r>
                                  <w:rPr>
                                    <w:rFonts w:ascii="Cambria Math" w:hAnsi="Cambria Math"/>
                                  </w:rPr>
                                  <m:t>TRj,k,l</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IT</m:t>
                                    </m:r>
                                  </m:e>
                                  <m:sub>
                                    <m:r>
                                      <w:rPr>
                                        <w:rFonts w:ascii="Cambria Math" w:hAnsi="Cambria Math"/>
                                      </w:rPr>
                                      <m:t>j,k,l</m:t>
                                    </m:r>
                                  </m:sub>
                                </m:sSub>
                                <m:r>
                                  <w:rPr>
                                    <w:rFonts w:ascii="Cambria Math" w:hAnsi="Cambria Math"/>
                                  </w:rPr>
                                  <m:t>+IT</m:t>
                                </m:r>
                              </m:e>
                              <m:sub>
                                <m:r>
                                  <w:rPr>
                                    <w:rFonts w:ascii="Cambria Math" w:hAnsi="Cambria Math"/>
                                  </w:rPr>
                                  <m:t>MAX5j,k,l</m:t>
                                </m:r>
                              </m:sub>
                            </m:sSub>
                          </m:e>
                        </m:d>
                      </m:e>
                    </m:func>
                  </m:e>
                </m:mr>
                <m:mr>
                  <m:e>
                    <m:sSub>
                      <m:sSubPr>
                        <m:ctrlPr>
                          <w:rPr>
                            <w:rFonts w:ascii="Cambria Math" w:hAnsi="Cambria Math"/>
                            <w:i/>
                          </w:rPr>
                        </m:ctrlPr>
                      </m:sSubPr>
                      <m:e>
                        <m:r>
                          <w:rPr>
                            <w:rFonts w:ascii="Cambria Math" w:hAnsi="Cambria Math"/>
                          </w:rPr>
                          <m:t>ET</m:t>
                        </m:r>
                      </m:e>
                      <m:sub>
                        <m:r>
                          <w:rPr>
                            <w:rFonts w:ascii="Cambria Math" w:hAnsi="Cambria Math"/>
                          </w:rPr>
                          <m:t>MAXj,k,l</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ET</m:t>
                                </m:r>
                              </m:e>
                              <m:sub>
                                <m:r>
                                  <w:rPr>
                                    <w:rFonts w:ascii="Cambria Math" w:hAnsi="Cambria Math"/>
                                  </w:rPr>
                                  <m:t>TRj,k,l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MAX5j,k,l</m:t>
                                </m:r>
                              </m:sub>
                            </m:sSub>
                          </m:e>
                        </m:d>
                      </m:e>
                    </m:func>
                  </m:e>
                </m:mr>
              </m:m>
            </m:e>
          </m:d>
          <m:r>
            <w:rPr>
              <w:rFonts w:ascii="Cambria Math" w:hAnsi="Cambria Math"/>
            </w:rPr>
            <m:t xml:space="preserve"> ∀j,k∈EIM∧j≠k∧j&gt;0</m:t>
          </m:r>
        </m:oMath>
      </m:oMathPara>
    </w:p>
    <w:p w14:paraId="4FEE73F9" w14:textId="77777777" w:rsidR="002815A0" w:rsidRDefault="002815A0" w:rsidP="00877DDB">
      <w:pPr>
        <w:pStyle w:val="BPM"/>
      </w:pPr>
      <w:r>
        <w:t>Where the Energy Transfer schedules used in the calculation of the applicable Energy Transfer schedule limit in RTD are the optimal 15min Energy Transfer schedules from RTUC. With these generic formulae, the static limit is what is made available from the transmission right in RTUC, and the dynamic limit is additional transmission capacity that can be used in RTD. If there is no distinction between static and dynamic Energy Transfer schedules, both static and dynamic limits should be equal to the transmission right to maximize transmission capacity use across RTUC and RTD.</w:t>
      </w:r>
    </w:p>
    <w:p w14:paraId="09E3F100" w14:textId="6A0781AE" w:rsidR="002815A0" w:rsidRDefault="002815A0" w:rsidP="00877DDB">
      <w:pPr>
        <w:pStyle w:val="BPM"/>
      </w:pPr>
      <w:r>
        <w:lastRenderedPageBreak/>
        <w:t>For Energy Transfer schedules between two BAAs on a given intertie, the Energy Transfer schedule limits are submitted only for the ETSRs of one BAA. The</w:t>
      </w:r>
      <w:r w:rsidR="005F24C1">
        <w:t xml:space="preserve"> WEIM </w:t>
      </w:r>
      <w:r>
        <w:t>Entity of that BAA is responsible for submitting base Energy Transfer schedules and the associated Energy Transfer schedule limits, as well as for tagging base and optimal Energy transfer schedules between the relevant BAAs. An ETSR attribute in the Master File is used to designate the ETSRs that are used for tagging and for which Energy Transfer schedule limits are submitted, as explained in §</w:t>
      </w:r>
      <w:r w:rsidR="002957E6">
        <w:t>11.1.5</w:t>
      </w:r>
      <w:r>
        <w:t>.</w:t>
      </w:r>
    </w:p>
    <w:p w14:paraId="08A142CD" w14:textId="77777777" w:rsidR="00F57D97" w:rsidRDefault="00F57D97" w:rsidP="00F60F2C">
      <w:pPr>
        <w:pStyle w:val="Heading6"/>
      </w:pPr>
      <w:bookmarkStart w:id="2298" w:name="_Ref409597401"/>
    </w:p>
    <w:p w14:paraId="2D8C75FC" w14:textId="77777777" w:rsidR="002815A0" w:rsidRDefault="002815A0" w:rsidP="00F60F2C">
      <w:pPr>
        <w:pStyle w:val="Heading6"/>
      </w:pPr>
      <w:r>
        <w:t>Energy Transfer Schedule Tags</w:t>
      </w:r>
      <w:bookmarkEnd w:id="2298"/>
    </w:p>
    <w:p w14:paraId="00971147" w14:textId="38E73C84" w:rsidR="007671EB" w:rsidRPr="001B6889" w:rsidRDefault="002815A0" w:rsidP="00877DDB">
      <w:pPr>
        <w:pStyle w:val="BPM"/>
      </w:pPr>
      <w:r w:rsidRPr="001B6889">
        <w:t xml:space="preserve">The base and optimal Energy Transfer schedules are assigned to the corresponding ETSRs and are tagged </w:t>
      </w:r>
      <w:r w:rsidR="00851C51" w:rsidRPr="001B6889">
        <w:t>by the</w:t>
      </w:r>
      <w:r w:rsidR="005F24C1">
        <w:t xml:space="preserve"> WEIM </w:t>
      </w:r>
      <w:r w:rsidR="00851C51" w:rsidRPr="001B6889">
        <w:t xml:space="preserve">Entity Scheduling Coordinator </w:t>
      </w:r>
      <w:r w:rsidRPr="001B6889">
        <w:t xml:space="preserve">to the associated intertie using the corresponding ETSR identification. </w:t>
      </w:r>
      <w:r w:rsidR="002B4954" w:rsidRPr="001B6889">
        <w:t>The</w:t>
      </w:r>
      <w:r w:rsidR="005F24C1">
        <w:t xml:space="preserve"> WEIM </w:t>
      </w:r>
      <w:r w:rsidR="002B4954" w:rsidRPr="001B6889">
        <w:t>Entity Scheduling Coordinator should obtain a unique identifier to list as the “Purchasing Selling Entity” if at all possible.  If that is not possible, d</w:t>
      </w:r>
      <w:r w:rsidR="00851C51" w:rsidRPr="001B6889">
        <w:t>esignated agents</w:t>
      </w:r>
      <w:r w:rsidR="00B62472" w:rsidRPr="001B6889">
        <w:t>, e.g., the</w:t>
      </w:r>
      <w:r w:rsidR="005F24C1">
        <w:t xml:space="preserve"> WEIM </w:t>
      </w:r>
      <w:r w:rsidR="00B62472" w:rsidRPr="001B6889">
        <w:t>Entity Scheduling Coordinator,</w:t>
      </w:r>
      <w:r w:rsidR="00851C51" w:rsidRPr="001B6889">
        <w:t xml:space="preserve"> may </w:t>
      </w:r>
      <w:r w:rsidR="002719B4" w:rsidRPr="001B6889">
        <w:t xml:space="preserve">list </w:t>
      </w:r>
      <w:r w:rsidR="00851C51" w:rsidRPr="001B6889">
        <w:t>the</w:t>
      </w:r>
      <w:r w:rsidR="005F24C1">
        <w:t xml:space="preserve"> WEIM </w:t>
      </w:r>
      <w:r w:rsidR="00851C51" w:rsidRPr="001B6889">
        <w:t xml:space="preserve">Entity as the “Purchasing </w:t>
      </w:r>
      <w:r w:rsidR="002719B4" w:rsidRPr="001B6889">
        <w:t xml:space="preserve">Selling Entity” on such tags </w:t>
      </w:r>
      <w:r w:rsidR="00B62472" w:rsidRPr="001B6889">
        <w:t xml:space="preserve">for convenience </w:t>
      </w:r>
      <w:r w:rsidR="002719B4" w:rsidRPr="001B6889">
        <w:t>provided the</w:t>
      </w:r>
      <w:r w:rsidR="005F24C1">
        <w:t xml:space="preserve"> WEIM </w:t>
      </w:r>
      <w:r w:rsidR="002719B4" w:rsidRPr="001B6889">
        <w:t xml:space="preserve">Entity </w:t>
      </w:r>
      <w:r w:rsidR="00FF5A89" w:rsidRPr="001B6889">
        <w:t xml:space="preserve">has authorized its agent </w:t>
      </w:r>
      <w:r w:rsidR="002719B4" w:rsidRPr="001B6889">
        <w:t xml:space="preserve">to do so and the tag </w:t>
      </w:r>
      <w:r w:rsidR="00D200FC" w:rsidRPr="001B6889">
        <w:t>identifies th</w:t>
      </w:r>
      <w:r w:rsidR="00FF5A89" w:rsidRPr="001B6889">
        <w:t>at</w:t>
      </w:r>
      <w:r w:rsidR="00D200FC" w:rsidRPr="001B6889">
        <w:t xml:space="preserve"> </w:t>
      </w:r>
      <w:r w:rsidR="002719B4" w:rsidRPr="001B6889">
        <w:t>relationship</w:t>
      </w:r>
      <w:r w:rsidR="00FF5A89" w:rsidRPr="001B6889">
        <w:t xml:space="preserve"> as the basis for doing so</w:t>
      </w:r>
      <w:r w:rsidR="002719B4" w:rsidRPr="001B6889">
        <w:t xml:space="preserve">.  </w:t>
      </w:r>
    </w:p>
    <w:p w14:paraId="3E7E8445" w14:textId="5A15C3A5" w:rsidR="002815A0" w:rsidRPr="003D1045" w:rsidRDefault="002815A0" w:rsidP="00877DDB">
      <w:pPr>
        <w:pStyle w:val="BPM"/>
      </w:pPr>
      <w:r w:rsidRPr="001B6889">
        <w:t>For static ETSRs, the tag is a static 15</w:t>
      </w:r>
      <w:r w:rsidR="002B4954" w:rsidRPr="001B6889">
        <w:t>-</w:t>
      </w:r>
      <w:r w:rsidRPr="001B6889">
        <w:t>min</w:t>
      </w:r>
      <w:r w:rsidR="002B4954" w:rsidRPr="001B6889">
        <w:t>ute</w:t>
      </w:r>
      <w:r w:rsidRPr="001B6889">
        <w:t xml:space="preserve"> tag that includes the base Energy Transfer. For dynamic ETSRs, the tag is a dynamic 5</w:t>
      </w:r>
      <w:r w:rsidR="002B4954" w:rsidRPr="001B6889">
        <w:t>-</w:t>
      </w:r>
      <w:r w:rsidRPr="001B6889">
        <w:t>min</w:t>
      </w:r>
      <w:r w:rsidR="002B4954" w:rsidRPr="001B6889">
        <w:t>ute</w:t>
      </w:r>
      <w:r w:rsidRPr="001B6889">
        <w:t xml:space="preserve"> tag; if there is no distinction between static and dynamic Energy Transfers on a given intertie, there is no static tag and the base Energy Transfer schedule is included in the dynamic 5</w:t>
      </w:r>
      <w:r w:rsidR="002B4954" w:rsidRPr="001B6889">
        <w:t>-</w:t>
      </w:r>
      <w:r w:rsidRPr="001B6889">
        <w:t>min</w:t>
      </w:r>
      <w:r w:rsidR="002B4954" w:rsidRPr="001B6889">
        <w:t>ute</w:t>
      </w:r>
      <w:r w:rsidRPr="001B6889">
        <w:t xml:space="preserve"> tag. Because the Energy </w:t>
      </w:r>
      <w:r w:rsidR="00851C51" w:rsidRPr="001B6889">
        <w:t>T</w:t>
      </w:r>
      <w:r w:rsidRPr="001B6889">
        <w:t>ransfer schedules between two</w:t>
      </w:r>
      <w:r w:rsidR="005F24C1">
        <w:t xml:space="preserve"> WEIM </w:t>
      </w:r>
      <w:r w:rsidRPr="001B6889">
        <w:t>BAAs are duplicated as import and export counterparts seen from each</w:t>
      </w:r>
      <w:r w:rsidR="005F24C1">
        <w:t xml:space="preserve"> WEIM </w:t>
      </w:r>
      <w:r w:rsidRPr="001B6889">
        <w:t>BAA, only the ETSRs of one</w:t>
      </w:r>
      <w:r w:rsidR="005F24C1">
        <w:t xml:space="preserve"> WEIM </w:t>
      </w:r>
      <w:r w:rsidRPr="001B6889">
        <w:t>BAA will be tagged between the two</w:t>
      </w:r>
      <w:r w:rsidR="005F24C1">
        <w:t xml:space="preserve"> WEIM </w:t>
      </w:r>
      <w:r w:rsidRPr="001B6889">
        <w:t>BAAs. An ETSR attribute in the Master File is used to designate the ETSRs that are used for tagging. The same attribute is used to indicate the ETSRs for which base Energy Transfer schedules and limits are submitted, as well as the ones that are included in the problem formulation</w:t>
      </w:r>
      <w:r>
        <w:t>.</w:t>
      </w:r>
    </w:p>
    <w:p w14:paraId="16A51CBE" w14:textId="77777777" w:rsidR="004B5C2B" w:rsidRDefault="004B5C2B" w:rsidP="00F60F2C">
      <w:pPr>
        <w:pStyle w:val="Heading6"/>
      </w:pPr>
    </w:p>
    <w:p w14:paraId="574C6383" w14:textId="77777777" w:rsidR="002815A0" w:rsidRPr="005F0214" w:rsidRDefault="002815A0" w:rsidP="00F60F2C">
      <w:pPr>
        <w:pStyle w:val="Heading6"/>
      </w:pPr>
      <w:r>
        <w:t>Intertie Transmission Cost</w:t>
      </w:r>
    </w:p>
    <w:p w14:paraId="2892852A" w14:textId="55FDBD53" w:rsidR="002815A0" w:rsidRDefault="002815A0" w:rsidP="00877DDB">
      <w:pPr>
        <w:pStyle w:val="BPM"/>
      </w:pPr>
      <w:r>
        <w:t>The distribution of the Energy Transfer for a BAA over the various interties to adjacent BAAs in the</w:t>
      </w:r>
      <w:r w:rsidR="005F24C1">
        <w:t xml:space="preserve"> WEIM </w:t>
      </w:r>
      <w:r>
        <w:t xml:space="preserve">Area is not influenced by network impedance or transmission losses, and as such it </w:t>
      </w:r>
      <w:r>
        <w:lastRenderedPageBreak/>
        <w:t>does not represent actual power flows on these interties; it resembles the classical problem of transferring goods from supply centers to demand centers over a road network. The Energy Transfer schedule limits are scheduling limits and they resemble road throughput capacity. Physical intertie limits need to be enforced separately to constrain actual power flows on the interties, including loop flow contributions from base schedules in non-EIM BAAs.</w:t>
      </w:r>
    </w:p>
    <w:p w14:paraId="180B574E" w14:textId="77777777" w:rsidR="002815A0" w:rsidRDefault="002815A0" w:rsidP="00877DDB">
      <w:pPr>
        <w:pStyle w:val="BPM"/>
      </w:pPr>
      <w:r>
        <w:t>In a problem like that, there is often not a unique solution, particularly if many intertie scheduling limits are not binding, i.e., there may be multiple ways to transfer the goods from the supply centers to the demand centers without violating any road constraints. To obtain a robust and efficient solution without circulating Energy Transfer schedules, a small nominal cost should be included in the objective function for each ETSR, as follows:</w:t>
      </w:r>
    </w:p>
    <w:p w14:paraId="062103E9" w14:textId="77777777" w:rsidR="002815A0" w:rsidRDefault="00461DCC">
      <w:pPr>
        <w:pStyle w:val="Equation"/>
      </w:pPr>
      <m:oMathPara>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m:t>
                  </m:r>
                  <m:nary>
                    <m:naryPr>
                      <m:chr m:val="∑"/>
                      <m:limLoc m:val="undOvr"/>
                      <m:supHide m:val="1"/>
                      <m:ctrlPr>
                        <w:rPr>
                          <w:rFonts w:ascii="Cambria Math" w:hAnsi="Cambria Math"/>
                          <w:i/>
                        </w:rPr>
                      </m:ctrlPr>
                    </m:naryPr>
                    <m:sub>
                      <m:m>
                        <m:mPr>
                          <m:mcs>
                            <m:mc>
                              <m:mcPr>
                                <m:count m:val="1"/>
                                <m:mcJc m:val="center"/>
                              </m:mcPr>
                            </m:mc>
                          </m:mcs>
                          <m:ctrlPr>
                            <w:rPr>
                              <w:rFonts w:ascii="Cambria Math" w:hAnsi="Cambria Math"/>
                              <w:i/>
                            </w:rPr>
                          </m:ctrlPr>
                        </m:mPr>
                        <m:mr>
                          <m:e>
                            <m:r>
                              <w:rPr>
                                <w:rFonts w:ascii="Cambria Math" w:hAnsi="Cambria Math"/>
                              </w:rPr>
                              <m:t>j,k∈EIM</m:t>
                            </m:r>
                          </m:e>
                        </m:mr>
                        <m:mr>
                          <m:e>
                            <m:r>
                              <w:rPr>
                                <w:rFonts w:ascii="Cambria Math" w:hAnsi="Cambria Math"/>
                              </w:rPr>
                              <m:t>k≠j</m:t>
                            </m:r>
                            <m:ctrlPr>
                              <w:rPr>
                                <w:rFonts w:ascii="Cambria Math" w:eastAsia="Cambria Math" w:hAnsi="Cambria Math" w:cs="Cambria Math"/>
                                <w:i/>
                              </w:rPr>
                            </m:ctrlPr>
                          </m:e>
                        </m:mr>
                        <m:mr>
                          <m:e>
                            <m:r>
                              <w:rPr>
                                <w:rFonts w:ascii="Cambria Math" w:eastAsia="Cambria Math" w:hAnsi="Cambria Math" w:cs="Cambria Math"/>
                              </w:rPr>
                              <m:t>j&gt;0</m:t>
                            </m:r>
                          </m:e>
                        </m:mr>
                      </m:m>
                    </m:sub>
                    <m:sup/>
                    <m:e>
                      <m:sSub>
                        <m:sSubPr>
                          <m:ctrlPr>
                            <w:rPr>
                              <w:rFonts w:ascii="Cambria Math" w:hAnsi="Cambria Math"/>
                              <w:i/>
                            </w:rPr>
                          </m:ctrlPr>
                        </m:sSubPr>
                        <m:e>
                          <m:r>
                            <w:rPr>
                              <w:rFonts w:ascii="Cambria Math" w:hAnsi="Cambria Math"/>
                            </w:rPr>
                            <m:t>C</m:t>
                          </m:r>
                        </m:e>
                        <m:sub>
                          <m:r>
                            <w:rPr>
                              <w:rFonts w:ascii="Cambria Math" w:hAnsi="Cambria Math"/>
                            </w:rPr>
                            <m:t>j,k</m:t>
                          </m:r>
                        </m:sub>
                      </m:sSub>
                      <m:nary>
                        <m:naryPr>
                          <m:chr m:val="∑"/>
                          <m:limLoc m:val="undOvr"/>
                          <m:supHide m:val="1"/>
                          <m:ctrlPr>
                            <w:rPr>
                              <w:rFonts w:ascii="Cambria Math" w:hAnsi="Cambria Math"/>
                              <w:i/>
                            </w:rPr>
                          </m:ctrlPr>
                        </m:naryPr>
                        <m:sub>
                          <m:r>
                            <w:rPr>
                              <w:rFonts w:ascii="Cambria Math" w:hAnsi="Cambria Math"/>
                            </w:rPr>
                            <m:t>l</m:t>
                          </m:r>
                        </m:sub>
                        <m:sup/>
                        <m:e>
                          <m:d>
                            <m:dPr>
                              <m:ctrlPr>
                                <w:rPr>
                                  <w:rFonts w:ascii="Cambria Math" w:hAnsi="Cambria Math"/>
                                  <w:i/>
                                </w:rPr>
                              </m:ctrlPr>
                            </m:dPr>
                            <m:e>
                              <m:sSub>
                                <m:sSubPr>
                                  <m:ctrlPr>
                                    <w:rPr>
                                      <w:rFonts w:ascii="Cambria Math" w:hAnsi="Cambria Math"/>
                                      <w:i/>
                                    </w:rPr>
                                  </m:ctrlPr>
                                </m:sSubPr>
                                <m:e>
                                  <m:r>
                                    <w:rPr>
                                      <w:rFonts w:ascii="Cambria Math" w:hAnsi="Cambria Math"/>
                                    </w:rPr>
                                    <m:t>ET</m:t>
                                  </m:r>
                                </m:e>
                                <m:sub>
                                  <m:r>
                                    <w:rPr>
                                      <w:rFonts w:ascii="Cambria Math" w:hAnsi="Cambria Math"/>
                                    </w:rPr>
                                    <m:t>j,k,l</m:t>
                                  </m:r>
                                </m:sub>
                              </m:sSub>
                              <m:r>
                                <w:rPr>
                                  <w:rFonts w:ascii="Cambria Math" w:hAnsi="Cambria Math"/>
                                </w:rPr>
                                <m:t>+</m:t>
                              </m:r>
                              <m:sSub>
                                <m:sSubPr>
                                  <m:ctrlPr>
                                    <w:rPr>
                                      <w:rFonts w:ascii="Cambria Math" w:hAnsi="Cambria Math"/>
                                      <w:i/>
                                    </w:rPr>
                                  </m:ctrlPr>
                                </m:sSubPr>
                                <m:e>
                                  <m:r>
                                    <w:rPr>
                                      <w:rFonts w:ascii="Cambria Math" w:hAnsi="Cambria Math"/>
                                    </w:rPr>
                                    <m:t>IT</m:t>
                                  </m:r>
                                </m:e>
                                <m:sub>
                                  <m:r>
                                    <w:rPr>
                                      <w:rFonts w:ascii="Cambria Math" w:hAnsi="Cambria Math"/>
                                    </w:rPr>
                                    <m:t>j,k,l</m:t>
                                  </m:r>
                                </m:sub>
                              </m:sSub>
                            </m:e>
                          </m:d>
                        </m:e>
                      </m:nary>
                    </m:e>
                  </m:nary>
                </m:e>
              </m:d>
            </m:e>
          </m:func>
        </m:oMath>
      </m:oMathPara>
    </w:p>
    <w:p w14:paraId="3B9FBA71" w14:textId="6983184F" w:rsidR="002815A0" w:rsidRDefault="002815A0" w:rsidP="00877DDB">
      <w:pPr>
        <w:pStyle w:val="BPM"/>
      </w:pPr>
      <w:r>
        <w:t>This cost resembles tolls paid on the roads connecting the supply and demand centers. Introducing this cost will also guarantee that Energy Transfer schedules between two BAAs in the</w:t>
      </w:r>
      <w:r w:rsidR="005F24C1">
        <w:t xml:space="preserve"> WEIM </w:t>
      </w:r>
      <w:r>
        <w:t>Area will always be unidirectional, i.e., either the export or the import will take value, but never both. This cost may ultimately reflect applicable wheeling or transmission access</w:t>
      </w:r>
      <w:r w:rsidRPr="005F0214">
        <w:t xml:space="preserve"> </w:t>
      </w:r>
      <w:r>
        <w:t>fees depending on agreed transmission pricing methods among the BAAs in the</w:t>
      </w:r>
      <w:r w:rsidR="005F24C1">
        <w:t xml:space="preserve"> WEIM </w:t>
      </w:r>
      <w:r>
        <w:t>Area.</w:t>
      </w:r>
    </w:p>
    <w:p w14:paraId="79C04EC0" w14:textId="77777777" w:rsidR="00823235" w:rsidRDefault="00823235" w:rsidP="00823235">
      <w:pPr>
        <w:pStyle w:val="Heading6"/>
      </w:pPr>
    </w:p>
    <w:p w14:paraId="619A0373" w14:textId="77777777" w:rsidR="002815A0" w:rsidRDefault="002815A0" w:rsidP="00823235">
      <w:pPr>
        <w:pStyle w:val="Heading6"/>
      </w:pPr>
      <w:r>
        <w:t xml:space="preserve">Energy Transfer </w:t>
      </w:r>
      <w:r w:rsidR="00085157">
        <w:rPr>
          <w:rFonts w:cs="Arial"/>
        </w:rPr>
        <w:t>F</w:t>
      </w:r>
      <w:r w:rsidR="00085157" w:rsidRPr="00CA47FC">
        <w:rPr>
          <w:rFonts w:cs="Arial"/>
        </w:rPr>
        <w:t>inancial</w:t>
      </w:r>
      <w:r w:rsidR="00085157" w:rsidRPr="00CA47FC" w:rsidDel="00085157">
        <w:rPr>
          <w:sz w:val="40"/>
        </w:rPr>
        <w:t xml:space="preserve"> </w:t>
      </w:r>
      <w:r>
        <w:t>Value</w:t>
      </w:r>
    </w:p>
    <w:p w14:paraId="6C833B9A" w14:textId="0F9B75F8" w:rsidR="002815A0" w:rsidRDefault="002815A0" w:rsidP="00877DDB">
      <w:pPr>
        <w:pStyle w:val="BPM"/>
      </w:pPr>
      <w:r>
        <w:t xml:space="preserve">In calculating real-time neutrality by BAA, </w:t>
      </w:r>
      <w:r w:rsidR="00DA1271">
        <w:t>a</w:t>
      </w:r>
      <w:r>
        <w:t xml:space="preserve"> </w:t>
      </w:r>
      <w:r w:rsidR="00085157">
        <w:rPr>
          <w:rFonts w:cs="Arial"/>
        </w:rPr>
        <w:t>financial</w:t>
      </w:r>
      <w:r w:rsidR="00085157" w:rsidDel="00085157">
        <w:t xml:space="preserve"> </w:t>
      </w:r>
      <w:r>
        <w:t xml:space="preserve">value is required for the Energy Transfer, which must be considered to balance the BAA. Currently, the </w:t>
      </w:r>
      <w:r w:rsidR="00085157">
        <w:rPr>
          <w:rFonts w:cs="Arial"/>
        </w:rPr>
        <w:t>financial</w:t>
      </w:r>
      <w:r w:rsidR="00085157" w:rsidDel="00085157">
        <w:t xml:space="preserve"> </w:t>
      </w:r>
      <w:r>
        <w:t>value is determined by pricing the</w:t>
      </w:r>
      <w:r w:rsidR="005F24C1">
        <w:t xml:space="preserve"> WEIM </w:t>
      </w:r>
      <w:r>
        <w:t>Transfer at the LMP of the metered end of the intertie used for tagging the relevant</w:t>
      </w:r>
      <w:r w:rsidR="005F24C1">
        <w:t xml:space="preserve"> WEIM </w:t>
      </w:r>
      <w:r>
        <w:t xml:space="preserve">Transfer schedule. With the introduction of multiple interties (multiple ETSRs) for a given BAA where the Energy Transfer can be optimally distributed based on the presented methodology, a more robust and uniform price </w:t>
      </w:r>
      <w:r w:rsidR="00CA47FC">
        <w:t>is</w:t>
      </w:r>
      <w:r>
        <w:t xml:space="preserve"> the System Marginal Energy Cost (SMEC), which is the same in any location in the network and does not include the marginal cost of </w:t>
      </w:r>
      <w:r>
        <w:lastRenderedPageBreak/>
        <w:t>losses or congestion. This is a more appropriate price because it is independent from the particular way an Energy Transfer is distributed to Energy Transfer schedules on the various interties.</w:t>
      </w:r>
    </w:p>
    <w:p w14:paraId="01926136" w14:textId="77777777" w:rsidR="00204905" w:rsidRDefault="00204905" w:rsidP="002815A0">
      <w:pPr>
        <w:pStyle w:val="Paragraph"/>
      </w:pPr>
    </w:p>
    <w:p w14:paraId="67A7F535" w14:textId="77777777" w:rsidR="00204905" w:rsidRPr="00823235" w:rsidRDefault="00204905" w:rsidP="002815A0">
      <w:pPr>
        <w:pStyle w:val="Paragraph"/>
        <w:rPr>
          <w:b/>
          <w:sz w:val="32"/>
          <w:szCs w:val="32"/>
        </w:rPr>
      </w:pPr>
      <w:r w:rsidRPr="00823235">
        <w:rPr>
          <w:b/>
          <w:sz w:val="32"/>
          <w:szCs w:val="32"/>
        </w:rPr>
        <w:t>Examples</w:t>
      </w:r>
    </w:p>
    <w:p w14:paraId="3176F2FC" w14:textId="77777777" w:rsidR="00204905" w:rsidRDefault="00204905" w:rsidP="002815A0">
      <w:pPr>
        <w:pStyle w:val="Paragraph"/>
        <w:rPr>
          <w:b/>
        </w:rPr>
      </w:pPr>
    </w:p>
    <w:p w14:paraId="3B546EBC" w14:textId="77777777" w:rsidR="00204905" w:rsidRPr="00823235" w:rsidRDefault="00204905" w:rsidP="00204905">
      <w:pPr>
        <w:jc w:val="center"/>
        <w:rPr>
          <w:b/>
        </w:rPr>
      </w:pPr>
      <w:r w:rsidRPr="00823235">
        <w:rPr>
          <w:b/>
        </w:rPr>
        <w:t xml:space="preserve">EIM Transfer Constraint Congested/Intertie Scheduling Limit Not Congested </w:t>
      </w:r>
    </w:p>
    <w:p w14:paraId="3128FD30" w14:textId="77777777" w:rsidR="00204905" w:rsidRDefault="00204905" w:rsidP="00204905"/>
    <w:p w14:paraId="0C85DA94" w14:textId="77777777" w:rsidR="00204905" w:rsidRDefault="00204905" w:rsidP="00204905">
      <w:r>
        <w:rPr>
          <w:noProof/>
        </w:rPr>
        <mc:AlternateContent>
          <mc:Choice Requires="wps">
            <w:drawing>
              <wp:anchor distT="0" distB="0" distL="114300" distR="114300" simplePos="0" relativeHeight="251658242" behindDoc="0" locked="0" layoutInCell="1" allowOverlap="1" wp14:anchorId="4BD33972" wp14:editId="014FB81D">
                <wp:simplePos x="0" y="0"/>
                <wp:positionH relativeFrom="margin">
                  <wp:align>right</wp:align>
                </wp:positionH>
                <wp:positionV relativeFrom="paragraph">
                  <wp:posOffset>9525</wp:posOffset>
                </wp:positionV>
                <wp:extent cx="2023730" cy="2157573"/>
                <wp:effectExtent l="0" t="0" r="15240" b="14605"/>
                <wp:wrapNone/>
                <wp:docPr id="37" name="Flowchart: Connector 37"/>
                <wp:cNvGraphicFramePr/>
                <a:graphic xmlns:a="http://schemas.openxmlformats.org/drawingml/2006/main">
                  <a:graphicData uri="http://schemas.microsoft.com/office/word/2010/wordprocessingShape">
                    <wps:wsp>
                      <wps:cNvSpPr/>
                      <wps:spPr>
                        <a:xfrm>
                          <a:off x="0" y="0"/>
                          <a:ext cx="2023730" cy="2157573"/>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6277A5" w14:textId="77777777" w:rsidR="002A2768" w:rsidRDefault="002A2768" w:rsidP="00204905">
                            <w:pPr>
                              <w:jc w:val="center"/>
                            </w:pPr>
                            <w:r>
                              <w:t>EIM1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3397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7" o:spid="_x0000_s1098" type="#_x0000_t120" style="position:absolute;margin-left:108.15pt;margin-top:.75pt;width:159.35pt;height:169.9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" fillcolor="#4f81bd [3204]" strokecolor="#243f60 [1604]" strokeweight="2pt">
                <v:textbox>
                  <w:txbxContent>
                    <w:p w14:paraId="6E6277A5" w14:textId="77777777" w:rsidR="002A2768" w:rsidRDefault="002A2768" w:rsidP="00204905">
                      <w:pPr>
                        <w:jc w:val="center"/>
                      </w:pPr>
                      <w:r>
                        <w:t>EIM1</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A56E103" wp14:editId="22031DF0">
                <wp:simplePos x="0" y="0"/>
                <wp:positionH relativeFrom="margin">
                  <wp:align>left</wp:align>
                </wp:positionH>
                <wp:positionV relativeFrom="paragraph">
                  <wp:posOffset>19949</wp:posOffset>
                </wp:positionV>
                <wp:extent cx="2126750" cy="2137025"/>
                <wp:effectExtent l="0" t="0" r="26035" b="15875"/>
                <wp:wrapNone/>
                <wp:docPr id="38" name="Oval 38"/>
                <wp:cNvGraphicFramePr/>
                <a:graphic xmlns:a="http://schemas.openxmlformats.org/drawingml/2006/main">
                  <a:graphicData uri="http://schemas.microsoft.com/office/word/2010/wordprocessingShape">
                    <wps:wsp>
                      <wps:cNvSpPr/>
                      <wps:spPr>
                        <a:xfrm>
                          <a:off x="0" y="0"/>
                          <a:ext cx="2126750" cy="2137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E3F154" w14:textId="77777777" w:rsidR="002A2768" w:rsidRDefault="002A2768" w:rsidP="00204905">
                            <w:pPr>
                              <w:jc w:val="center"/>
                            </w:pPr>
                            <w:r>
                              <w:t>CISO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6E103" id="Oval 38" o:spid="_x0000_s1099" style="position:absolute;margin-left:0;margin-top:1.55pt;width:167.45pt;height:168.25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" fillcolor="#4f81bd [3204]" strokecolor="#243f60 [1604]" strokeweight="2pt">
                <v:textbox>
                  <w:txbxContent>
                    <w:p w14:paraId="35E3F154" w14:textId="77777777" w:rsidR="002A2768" w:rsidRDefault="002A2768" w:rsidP="00204905">
                      <w:pPr>
                        <w:jc w:val="center"/>
                      </w:pPr>
                      <w:r>
                        <w:t>CISO</w:t>
                      </w:r>
                    </w:p>
                  </w:txbxContent>
                </v:textbox>
                <w10:wrap anchorx="margin"/>
              </v:oval>
            </w:pict>
          </mc:Fallback>
        </mc:AlternateContent>
      </w:r>
    </w:p>
    <w:p w14:paraId="061F25D4" w14:textId="77777777" w:rsidR="00204905" w:rsidRDefault="00204905" w:rsidP="00204905"/>
    <w:p w14:paraId="73FAE31F" w14:textId="77777777" w:rsidR="00204905" w:rsidRDefault="00204905" w:rsidP="00204905"/>
    <w:p w14:paraId="7AE8036F" w14:textId="77777777" w:rsidR="00204905" w:rsidRDefault="00204905" w:rsidP="00204905"/>
    <w:p w14:paraId="31D8BE2C" w14:textId="77777777" w:rsidR="00204905" w:rsidRDefault="00204905" w:rsidP="00204905">
      <w:r>
        <w:rPr>
          <w:noProof/>
        </w:rPr>
        <mc:AlternateContent>
          <mc:Choice Requires="wps">
            <w:drawing>
              <wp:anchor distT="0" distB="0" distL="114300" distR="114300" simplePos="0" relativeHeight="251658243" behindDoc="0" locked="0" layoutInCell="1" allowOverlap="1" wp14:anchorId="6CA04A10" wp14:editId="5C464BC3">
                <wp:simplePos x="0" y="0"/>
                <wp:positionH relativeFrom="margin">
                  <wp:posOffset>1815957</wp:posOffset>
                </wp:positionH>
                <wp:positionV relativeFrom="paragraph">
                  <wp:posOffset>48374</wp:posOffset>
                </wp:positionV>
                <wp:extent cx="1849334" cy="729465"/>
                <wp:effectExtent l="57150" t="38100" r="74930" b="90170"/>
                <wp:wrapNone/>
                <wp:docPr id="77" name="Left Arrow 77"/>
                <wp:cNvGraphicFramePr/>
                <a:graphic xmlns:a="http://schemas.openxmlformats.org/drawingml/2006/main">
                  <a:graphicData uri="http://schemas.microsoft.com/office/word/2010/wordprocessingShape">
                    <wps:wsp>
                      <wps:cNvSpPr/>
                      <wps:spPr>
                        <a:xfrm>
                          <a:off x="0" y="0"/>
                          <a:ext cx="1849334" cy="729465"/>
                        </a:xfrm>
                        <a:prstGeom prst="leftArrow">
                          <a:avLst/>
                        </a:prstGeom>
                      </wps:spPr>
                      <wps:style>
                        <a:lnRef idx="1">
                          <a:schemeClr val="accent2"/>
                        </a:lnRef>
                        <a:fillRef idx="2">
                          <a:schemeClr val="accent2"/>
                        </a:fillRef>
                        <a:effectRef idx="1">
                          <a:schemeClr val="accent2"/>
                        </a:effectRef>
                        <a:fontRef idx="minor">
                          <a:schemeClr val="dk1"/>
                        </a:fontRef>
                      </wps:style>
                      <wps:txbx>
                        <w:txbxContent>
                          <w:p w14:paraId="2241F935" w14:textId="77777777" w:rsidR="002A2768" w:rsidRPr="00F3574D" w:rsidRDefault="002A2768" w:rsidP="00204905">
                            <w:pPr>
                              <w:jc w:val="center"/>
                              <w:rPr>
                                <w:sz w:val="20"/>
                              </w:rPr>
                            </w:pPr>
                            <w:r w:rsidRPr="00F3574D">
                              <w:rPr>
                                <w:sz w:val="20"/>
                              </w:rPr>
                              <w:t>EIM Transfer ATC Limit (100 MW)</w:t>
                            </w:r>
                          </w:p>
                          <w:p w14:paraId="5802227F" w14:textId="77777777" w:rsidR="002A2768" w:rsidRPr="00836232" w:rsidRDefault="002A2768" w:rsidP="002049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04A1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7" o:spid="_x0000_s1100" type="#_x0000_t66" style="position:absolute;margin-left:143pt;margin-top:3.8pt;width:145.6pt;height:57.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" adj="4260" fillcolor="#dfa7a6 [1621]" strokecolor="#bc4542 [3045]">
                <v:fill color2="#f5e4e4 [501]" rotate="t" angle="180" colors="0 #ffa2a1;22938f #ffbebd;1 #ffe5e5" focus="100%" type="gradient"/>
                <v:shadow on="t" color="black" opacity="24903f" origin=",.5" offset="0,.55556mm"/>
                <v:textbox>
                  <w:txbxContent>
                    <w:p w14:paraId="2241F935" w14:textId="77777777" w:rsidR="002A2768" w:rsidRPr="00F3574D" w:rsidRDefault="002A2768" w:rsidP="00204905">
                      <w:pPr>
                        <w:jc w:val="center"/>
                        <w:rPr>
                          <w:sz w:val="20"/>
                        </w:rPr>
                      </w:pPr>
                      <w:r w:rsidRPr="00F3574D">
                        <w:rPr>
                          <w:sz w:val="20"/>
                        </w:rPr>
                        <w:t>EIM Transfer ATC Limit (100 MW)</w:t>
                      </w:r>
                    </w:p>
                    <w:p w14:paraId="5802227F" w14:textId="77777777" w:rsidR="002A2768" w:rsidRPr="00836232" w:rsidRDefault="002A2768" w:rsidP="00204905">
                      <w:pPr>
                        <w:jc w:val="center"/>
                      </w:pPr>
                    </w:p>
                  </w:txbxContent>
                </v:textbox>
                <w10:wrap anchorx="margin"/>
              </v:shape>
            </w:pict>
          </mc:Fallback>
        </mc:AlternateContent>
      </w:r>
    </w:p>
    <w:p w14:paraId="630479C5" w14:textId="77777777" w:rsidR="00204905" w:rsidRDefault="00204905" w:rsidP="00204905"/>
    <w:p w14:paraId="3DC067F6" w14:textId="77777777" w:rsidR="00204905" w:rsidRDefault="00204905" w:rsidP="00204905"/>
    <w:p w14:paraId="196129B4" w14:textId="77777777" w:rsidR="00204905" w:rsidRDefault="00204905" w:rsidP="00204905"/>
    <w:p w14:paraId="3F898FFE" w14:textId="77777777" w:rsidR="00204905" w:rsidRDefault="00204905" w:rsidP="00204905"/>
    <w:p w14:paraId="1B65E68E" w14:textId="77777777" w:rsidR="00204905" w:rsidRDefault="00204905" w:rsidP="00204905"/>
    <w:p w14:paraId="2F4AA2EA" w14:textId="77777777" w:rsidR="00204905" w:rsidRDefault="00204905" w:rsidP="00204905"/>
    <w:p w14:paraId="5D58AFDE" w14:textId="77777777" w:rsidR="00204905" w:rsidRDefault="00204905" w:rsidP="00204905"/>
    <w:p w14:paraId="2E5FAEB7" w14:textId="77777777" w:rsidR="00204905" w:rsidRDefault="00204905" w:rsidP="00204905"/>
    <w:p w14:paraId="27BE7EDE" w14:textId="6309027B" w:rsidR="00204905" w:rsidRPr="00875E26" w:rsidRDefault="00204905" w:rsidP="00877DDB">
      <w:pPr>
        <w:pStyle w:val="BPM"/>
      </w:pPr>
      <w:r w:rsidRPr="00875E26">
        <w:t xml:space="preserve">In the example presented below, the Real Time Market receives Bids from EIM1 Generator and CISO Generator in order to serve EIM1 Load and CISO Load. The Real Time Market Conditions have determined that there is 100 MWs Available Transmission Capacity between EIM1 and CISO with </w:t>
      </w:r>
      <w:r w:rsidR="00153940">
        <w:t>a WEIM</w:t>
      </w:r>
      <w:r w:rsidR="005F24C1">
        <w:t xml:space="preserve"> </w:t>
      </w:r>
      <w:r w:rsidRPr="00875E26">
        <w:t xml:space="preserve">Transfer Cost of $0.01.  Based upon these conditions, the Real Time Market has dispatched a Generator in the EIM1 Balancing Authority Area (BAA) to serve 50 MWs of </w:t>
      </w:r>
      <w:r w:rsidRPr="00875E26">
        <w:lastRenderedPageBreak/>
        <w:t>EIM1 Load and 100 MWs of CISO Load. The Real Time Market also dispatched a Generator in the CISO BAA to serve an additional 100 MWs of internal Load. Market Conditions has determined that marginal unit is CISO Generator, the</w:t>
      </w:r>
      <w:r w:rsidR="005F24C1">
        <w:t xml:space="preserve"> WEIM </w:t>
      </w:r>
      <w:r w:rsidRPr="00875E26">
        <w:t xml:space="preserve">Transfer Constraint is congested, and the Intertie scheduling Limit Constraint is not congested.     </w:t>
      </w:r>
    </w:p>
    <w:p w14:paraId="5215E310" w14:textId="77777777" w:rsidR="00204905" w:rsidRPr="00875E26" w:rsidRDefault="00204905" w:rsidP="00877DDB">
      <w:pPr>
        <w:pStyle w:val="BPM"/>
      </w:pPr>
      <w:r w:rsidRPr="00875E26">
        <w:t xml:space="preserve"> Based upon the above mentioned Market Conditions, Settlement calculations will be as follows:</w:t>
      </w:r>
    </w:p>
    <w:p w14:paraId="2CB4C38A" w14:textId="77777777" w:rsidR="00204905" w:rsidRPr="00875E26" w:rsidRDefault="00204905" w:rsidP="00204905">
      <w:pPr>
        <w:ind w:firstLine="720"/>
      </w:pPr>
    </w:p>
    <w:p w14:paraId="2DBE6019" w14:textId="77777777" w:rsidR="00204905" w:rsidRPr="00875E26" w:rsidRDefault="00204905" w:rsidP="00204905">
      <w:r w:rsidRPr="00875E26">
        <w:t>Bids</w:t>
      </w:r>
    </w:p>
    <w:tbl>
      <w:tblPr>
        <w:tblW w:w="8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1739"/>
        <w:gridCol w:w="1739"/>
        <w:gridCol w:w="1713"/>
      </w:tblGrid>
      <w:tr w:rsidR="00204905" w:rsidRPr="00875E26" w14:paraId="386F4AC5" w14:textId="77777777" w:rsidTr="00954C07">
        <w:trPr>
          <w:trHeight w:val="602"/>
        </w:trPr>
        <w:tc>
          <w:tcPr>
            <w:tcW w:w="1662" w:type="dxa"/>
            <w:noWrap/>
            <w:vAlign w:val="bottom"/>
            <w:hideMark/>
          </w:tcPr>
          <w:p w14:paraId="7B796630" w14:textId="77777777" w:rsidR="00204905" w:rsidRPr="00875E26" w:rsidRDefault="00204905" w:rsidP="00954C07">
            <w:pPr>
              <w:jc w:val="center"/>
              <w:rPr>
                <w:color w:val="000000"/>
              </w:rPr>
            </w:pPr>
            <w:r w:rsidRPr="00875E26">
              <w:rPr>
                <w:color w:val="000000"/>
              </w:rPr>
              <w:t>Resource</w:t>
            </w:r>
          </w:p>
        </w:tc>
        <w:tc>
          <w:tcPr>
            <w:tcW w:w="1892" w:type="dxa"/>
            <w:noWrap/>
            <w:vAlign w:val="bottom"/>
            <w:hideMark/>
          </w:tcPr>
          <w:p w14:paraId="7B5227BC" w14:textId="77777777" w:rsidR="00204905" w:rsidRPr="00875E26" w:rsidRDefault="00204905" w:rsidP="00954C07">
            <w:pPr>
              <w:jc w:val="center"/>
              <w:rPr>
                <w:color w:val="000000"/>
              </w:rPr>
            </w:pPr>
            <w:r w:rsidRPr="00875E26">
              <w:rPr>
                <w:color w:val="000000"/>
              </w:rPr>
              <w:t>Quantity (MW)</w:t>
            </w:r>
          </w:p>
        </w:tc>
        <w:tc>
          <w:tcPr>
            <w:tcW w:w="1739" w:type="dxa"/>
            <w:vAlign w:val="bottom"/>
            <w:hideMark/>
          </w:tcPr>
          <w:p w14:paraId="19CB5182" w14:textId="77777777" w:rsidR="00204905" w:rsidRPr="00875E26" w:rsidRDefault="00204905" w:rsidP="00954C07">
            <w:pPr>
              <w:jc w:val="center"/>
              <w:rPr>
                <w:color w:val="000000"/>
              </w:rPr>
            </w:pPr>
            <w:r w:rsidRPr="00875E26">
              <w:rPr>
                <w:color w:val="000000"/>
              </w:rPr>
              <w:t>Energy Bid</w:t>
            </w:r>
            <w:r w:rsidRPr="00875E26">
              <w:rPr>
                <w:color w:val="000000"/>
              </w:rPr>
              <w:br/>
              <w:t>Price ($/MW)</w:t>
            </w:r>
          </w:p>
        </w:tc>
        <w:tc>
          <w:tcPr>
            <w:tcW w:w="1739" w:type="dxa"/>
            <w:vAlign w:val="bottom"/>
            <w:hideMark/>
          </w:tcPr>
          <w:p w14:paraId="2802A598" w14:textId="77777777" w:rsidR="00204905" w:rsidRPr="00875E26" w:rsidRDefault="00204905" w:rsidP="00954C07">
            <w:pPr>
              <w:jc w:val="center"/>
              <w:rPr>
                <w:color w:val="000000"/>
              </w:rPr>
            </w:pPr>
            <w:r w:rsidRPr="00875E26">
              <w:rPr>
                <w:color w:val="000000"/>
              </w:rPr>
              <w:t>GHG Bid</w:t>
            </w:r>
            <w:r w:rsidRPr="00875E26">
              <w:rPr>
                <w:color w:val="000000"/>
              </w:rPr>
              <w:br/>
              <w:t>Price ($/MW)</w:t>
            </w:r>
          </w:p>
        </w:tc>
        <w:tc>
          <w:tcPr>
            <w:tcW w:w="1713" w:type="dxa"/>
            <w:vAlign w:val="bottom"/>
            <w:hideMark/>
          </w:tcPr>
          <w:p w14:paraId="089788FF" w14:textId="77777777" w:rsidR="00204905" w:rsidRPr="00875E26" w:rsidRDefault="00204905" w:rsidP="00954C07">
            <w:pPr>
              <w:jc w:val="center"/>
              <w:rPr>
                <w:color w:val="000000"/>
              </w:rPr>
            </w:pPr>
            <w:r w:rsidRPr="00875E26">
              <w:rPr>
                <w:color w:val="000000"/>
              </w:rPr>
              <w:t>All-in Bid</w:t>
            </w:r>
            <w:r w:rsidRPr="00875E26">
              <w:rPr>
                <w:color w:val="000000"/>
              </w:rPr>
              <w:br/>
              <w:t>Price ($/MW)</w:t>
            </w:r>
          </w:p>
        </w:tc>
      </w:tr>
      <w:tr w:rsidR="00204905" w:rsidRPr="00875E26" w14:paraId="2515E1E0" w14:textId="77777777" w:rsidTr="00954C07">
        <w:trPr>
          <w:trHeight w:val="313"/>
        </w:trPr>
        <w:tc>
          <w:tcPr>
            <w:tcW w:w="1662" w:type="dxa"/>
            <w:noWrap/>
            <w:vAlign w:val="bottom"/>
          </w:tcPr>
          <w:p w14:paraId="209440E2" w14:textId="77777777" w:rsidR="00204905" w:rsidRPr="00875E26" w:rsidRDefault="00204905" w:rsidP="00954C07">
            <w:pPr>
              <w:rPr>
                <w:color w:val="000000"/>
              </w:rPr>
            </w:pPr>
            <w:r w:rsidRPr="00875E26">
              <w:rPr>
                <w:color w:val="000000"/>
              </w:rPr>
              <w:t>EIM1Gen</w:t>
            </w:r>
          </w:p>
        </w:tc>
        <w:tc>
          <w:tcPr>
            <w:tcW w:w="1892" w:type="dxa"/>
            <w:noWrap/>
            <w:vAlign w:val="bottom"/>
          </w:tcPr>
          <w:p w14:paraId="7289E55B" w14:textId="77777777" w:rsidR="00204905" w:rsidRPr="00875E26" w:rsidRDefault="00204905" w:rsidP="00954C07">
            <w:pPr>
              <w:jc w:val="right"/>
              <w:rPr>
                <w:color w:val="000000"/>
              </w:rPr>
            </w:pPr>
            <w:r w:rsidRPr="00875E26">
              <w:rPr>
                <w:color w:val="000000"/>
              </w:rPr>
              <w:t>200</w:t>
            </w:r>
          </w:p>
        </w:tc>
        <w:tc>
          <w:tcPr>
            <w:tcW w:w="1739" w:type="dxa"/>
            <w:noWrap/>
            <w:vAlign w:val="bottom"/>
          </w:tcPr>
          <w:p w14:paraId="2F30CA4C" w14:textId="77777777" w:rsidR="00204905" w:rsidRPr="00875E26" w:rsidRDefault="00204905" w:rsidP="00954C07">
            <w:pPr>
              <w:rPr>
                <w:color w:val="000000"/>
              </w:rPr>
            </w:pPr>
            <w:r w:rsidRPr="00875E26">
              <w:rPr>
                <w:color w:val="000000"/>
              </w:rPr>
              <w:t xml:space="preserve"> $         35.00 </w:t>
            </w:r>
          </w:p>
        </w:tc>
        <w:tc>
          <w:tcPr>
            <w:tcW w:w="1739" w:type="dxa"/>
            <w:noWrap/>
            <w:vAlign w:val="bottom"/>
          </w:tcPr>
          <w:p w14:paraId="7DCD915C" w14:textId="77777777" w:rsidR="00204905" w:rsidRPr="00875E26" w:rsidRDefault="00204905" w:rsidP="00954C07">
            <w:pPr>
              <w:rPr>
                <w:color w:val="000000"/>
              </w:rPr>
            </w:pPr>
            <w:r w:rsidRPr="00875E26">
              <w:rPr>
                <w:color w:val="000000"/>
              </w:rPr>
              <w:t xml:space="preserve"> $              -   </w:t>
            </w:r>
          </w:p>
        </w:tc>
        <w:tc>
          <w:tcPr>
            <w:tcW w:w="1713" w:type="dxa"/>
            <w:noWrap/>
            <w:vAlign w:val="bottom"/>
          </w:tcPr>
          <w:p w14:paraId="524E68C3" w14:textId="77777777" w:rsidR="00204905" w:rsidRPr="00875E26" w:rsidRDefault="00204905" w:rsidP="00954C07">
            <w:pPr>
              <w:rPr>
                <w:color w:val="000000"/>
              </w:rPr>
            </w:pPr>
            <w:r w:rsidRPr="00875E26">
              <w:rPr>
                <w:color w:val="000000"/>
              </w:rPr>
              <w:t xml:space="preserve"> $         35.00 </w:t>
            </w:r>
          </w:p>
        </w:tc>
      </w:tr>
      <w:tr w:rsidR="00204905" w:rsidRPr="00875E26" w14:paraId="78D0D210" w14:textId="77777777" w:rsidTr="00954C07">
        <w:trPr>
          <w:trHeight w:val="313"/>
        </w:trPr>
        <w:tc>
          <w:tcPr>
            <w:tcW w:w="1662" w:type="dxa"/>
            <w:noWrap/>
            <w:vAlign w:val="bottom"/>
          </w:tcPr>
          <w:p w14:paraId="53870A77" w14:textId="77777777" w:rsidR="00204905" w:rsidRPr="00875E26" w:rsidRDefault="00204905" w:rsidP="00954C07">
            <w:pPr>
              <w:rPr>
                <w:color w:val="000000"/>
              </w:rPr>
            </w:pPr>
            <w:r w:rsidRPr="00875E26">
              <w:rPr>
                <w:color w:val="000000"/>
              </w:rPr>
              <w:t>CISOGen</w:t>
            </w:r>
          </w:p>
        </w:tc>
        <w:tc>
          <w:tcPr>
            <w:tcW w:w="1892" w:type="dxa"/>
            <w:noWrap/>
            <w:vAlign w:val="bottom"/>
          </w:tcPr>
          <w:p w14:paraId="7EA96AFE" w14:textId="77777777" w:rsidR="00204905" w:rsidRPr="00875E26" w:rsidRDefault="00204905" w:rsidP="00954C07">
            <w:pPr>
              <w:jc w:val="right"/>
              <w:rPr>
                <w:color w:val="000000"/>
              </w:rPr>
            </w:pPr>
            <w:r w:rsidRPr="00875E26">
              <w:rPr>
                <w:color w:val="000000"/>
              </w:rPr>
              <w:t>300</w:t>
            </w:r>
          </w:p>
        </w:tc>
        <w:tc>
          <w:tcPr>
            <w:tcW w:w="1739" w:type="dxa"/>
            <w:noWrap/>
            <w:vAlign w:val="bottom"/>
          </w:tcPr>
          <w:p w14:paraId="447A8477" w14:textId="77777777" w:rsidR="00204905" w:rsidRPr="00875E26" w:rsidRDefault="00204905" w:rsidP="00954C07">
            <w:pPr>
              <w:rPr>
                <w:color w:val="000000"/>
              </w:rPr>
            </w:pPr>
            <w:r w:rsidRPr="00875E26">
              <w:rPr>
                <w:color w:val="000000"/>
              </w:rPr>
              <w:t xml:space="preserve"> $         50.00 </w:t>
            </w:r>
          </w:p>
        </w:tc>
        <w:tc>
          <w:tcPr>
            <w:tcW w:w="1739" w:type="dxa"/>
            <w:noWrap/>
            <w:vAlign w:val="bottom"/>
          </w:tcPr>
          <w:p w14:paraId="2B389C2D" w14:textId="77777777" w:rsidR="00204905" w:rsidRPr="00875E26" w:rsidRDefault="00204905" w:rsidP="00954C07">
            <w:pPr>
              <w:rPr>
                <w:color w:val="000000"/>
              </w:rPr>
            </w:pPr>
            <w:r w:rsidRPr="00875E26">
              <w:rPr>
                <w:color w:val="000000"/>
              </w:rPr>
              <w:t xml:space="preserve"> $              -   </w:t>
            </w:r>
          </w:p>
        </w:tc>
        <w:tc>
          <w:tcPr>
            <w:tcW w:w="1713" w:type="dxa"/>
            <w:noWrap/>
            <w:vAlign w:val="bottom"/>
          </w:tcPr>
          <w:p w14:paraId="35CC471C" w14:textId="77777777" w:rsidR="00204905" w:rsidRPr="00875E26" w:rsidRDefault="00204905" w:rsidP="00954C07">
            <w:pPr>
              <w:rPr>
                <w:color w:val="000000"/>
              </w:rPr>
            </w:pPr>
            <w:r w:rsidRPr="00875E26">
              <w:rPr>
                <w:color w:val="000000"/>
              </w:rPr>
              <w:t xml:space="preserve"> $         50.00 </w:t>
            </w:r>
          </w:p>
        </w:tc>
      </w:tr>
    </w:tbl>
    <w:p w14:paraId="7E17A84B" w14:textId="77777777" w:rsidR="00204905" w:rsidRPr="00875E26" w:rsidRDefault="00204905" w:rsidP="00204905"/>
    <w:p w14:paraId="6CA04871" w14:textId="77777777" w:rsidR="00204905" w:rsidRPr="00875E26" w:rsidRDefault="00204905" w:rsidP="00204905">
      <w:r w:rsidRPr="00875E26">
        <w:t>Load Forecast</w:t>
      </w:r>
    </w:p>
    <w:tbl>
      <w:tblPr>
        <w:tblW w:w="3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tblGrid>
      <w:tr w:rsidR="00204905" w:rsidRPr="00875E26" w14:paraId="3F8F40B8" w14:textId="77777777" w:rsidTr="00954C07">
        <w:trPr>
          <w:trHeight w:val="341"/>
        </w:trPr>
        <w:tc>
          <w:tcPr>
            <w:tcW w:w="1662" w:type="dxa"/>
            <w:noWrap/>
            <w:vAlign w:val="bottom"/>
            <w:hideMark/>
          </w:tcPr>
          <w:p w14:paraId="5C08195A" w14:textId="77777777" w:rsidR="00204905" w:rsidRPr="00875E26" w:rsidRDefault="00204905" w:rsidP="00954C07">
            <w:pPr>
              <w:jc w:val="center"/>
              <w:rPr>
                <w:color w:val="000000"/>
              </w:rPr>
            </w:pPr>
            <w:r w:rsidRPr="00875E26">
              <w:rPr>
                <w:color w:val="000000"/>
              </w:rPr>
              <w:t>Resource</w:t>
            </w:r>
          </w:p>
        </w:tc>
        <w:tc>
          <w:tcPr>
            <w:tcW w:w="1892" w:type="dxa"/>
            <w:noWrap/>
            <w:vAlign w:val="bottom"/>
            <w:hideMark/>
          </w:tcPr>
          <w:p w14:paraId="3DC166BD" w14:textId="77777777" w:rsidR="00204905" w:rsidRPr="00875E26" w:rsidRDefault="00204905" w:rsidP="00954C07">
            <w:pPr>
              <w:jc w:val="center"/>
              <w:rPr>
                <w:color w:val="000000"/>
              </w:rPr>
            </w:pPr>
            <w:r w:rsidRPr="00875E26">
              <w:rPr>
                <w:color w:val="000000"/>
              </w:rPr>
              <w:t>Quantity (MW)</w:t>
            </w:r>
          </w:p>
        </w:tc>
      </w:tr>
      <w:tr w:rsidR="00204905" w:rsidRPr="00875E26" w14:paraId="42EB60EE" w14:textId="77777777" w:rsidTr="00954C07">
        <w:trPr>
          <w:trHeight w:val="313"/>
        </w:trPr>
        <w:tc>
          <w:tcPr>
            <w:tcW w:w="1662" w:type="dxa"/>
            <w:noWrap/>
            <w:vAlign w:val="bottom"/>
          </w:tcPr>
          <w:p w14:paraId="75B2A76F" w14:textId="77777777" w:rsidR="00204905" w:rsidRPr="00875E26" w:rsidRDefault="00204905" w:rsidP="00954C07">
            <w:pPr>
              <w:rPr>
                <w:color w:val="000000"/>
              </w:rPr>
            </w:pPr>
            <w:r w:rsidRPr="00875E26">
              <w:rPr>
                <w:color w:val="000000"/>
              </w:rPr>
              <w:t>EIM1Load</w:t>
            </w:r>
          </w:p>
        </w:tc>
        <w:tc>
          <w:tcPr>
            <w:tcW w:w="1892" w:type="dxa"/>
            <w:noWrap/>
            <w:vAlign w:val="bottom"/>
          </w:tcPr>
          <w:p w14:paraId="61CE504C" w14:textId="77777777" w:rsidR="00204905" w:rsidRPr="00875E26" w:rsidRDefault="00204905" w:rsidP="00954C07">
            <w:pPr>
              <w:jc w:val="right"/>
              <w:rPr>
                <w:color w:val="000000"/>
              </w:rPr>
            </w:pPr>
            <w:r w:rsidRPr="00875E26">
              <w:rPr>
                <w:color w:val="000000"/>
              </w:rPr>
              <w:t>50</w:t>
            </w:r>
          </w:p>
        </w:tc>
      </w:tr>
      <w:tr w:rsidR="00204905" w:rsidRPr="00875E26" w14:paraId="0C920B92" w14:textId="77777777" w:rsidTr="00954C07">
        <w:trPr>
          <w:trHeight w:val="313"/>
        </w:trPr>
        <w:tc>
          <w:tcPr>
            <w:tcW w:w="1662" w:type="dxa"/>
            <w:noWrap/>
            <w:vAlign w:val="bottom"/>
          </w:tcPr>
          <w:p w14:paraId="5AF264D3" w14:textId="77777777" w:rsidR="00204905" w:rsidRPr="00875E26" w:rsidRDefault="00204905" w:rsidP="00954C07">
            <w:pPr>
              <w:rPr>
                <w:color w:val="000000"/>
              </w:rPr>
            </w:pPr>
            <w:r w:rsidRPr="00875E26">
              <w:rPr>
                <w:color w:val="000000"/>
              </w:rPr>
              <w:t>CISOLoad</w:t>
            </w:r>
          </w:p>
        </w:tc>
        <w:tc>
          <w:tcPr>
            <w:tcW w:w="1892" w:type="dxa"/>
            <w:noWrap/>
            <w:vAlign w:val="bottom"/>
          </w:tcPr>
          <w:p w14:paraId="2012CEBE" w14:textId="77777777" w:rsidR="00204905" w:rsidRPr="00875E26" w:rsidRDefault="00204905" w:rsidP="00954C07">
            <w:pPr>
              <w:jc w:val="right"/>
              <w:rPr>
                <w:color w:val="000000"/>
              </w:rPr>
            </w:pPr>
            <w:r w:rsidRPr="00875E26">
              <w:rPr>
                <w:color w:val="000000"/>
              </w:rPr>
              <w:t>200</w:t>
            </w:r>
          </w:p>
        </w:tc>
      </w:tr>
    </w:tbl>
    <w:p w14:paraId="59D28A86" w14:textId="77777777" w:rsidR="00204905" w:rsidRPr="00875E26" w:rsidRDefault="00204905" w:rsidP="00204905"/>
    <w:p w14:paraId="7D191024" w14:textId="77777777" w:rsidR="00204905" w:rsidRPr="00875E26" w:rsidRDefault="00204905" w:rsidP="00204905">
      <w:r w:rsidRPr="00875E26">
        <w:t>Market Dispatch (RTD)</w:t>
      </w:r>
    </w:p>
    <w:tbl>
      <w:tblPr>
        <w:tblW w:w="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2026"/>
      </w:tblGrid>
      <w:tr w:rsidR="00204905" w:rsidRPr="00875E26" w14:paraId="6FB28353" w14:textId="77777777" w:rsidTr="00954C07">
        <w:trPr>
          <w:trHeight w:val="368"/>
        </w:trPr>
        <w:tc>
          <w:tcPr>
            <w:tcW w:w="1662" w:type="dxa"/>
            <w:noWrap/>
            <w:vAlign w:val="bottom"/>
            <w:hideMark/>
          </w:tcPr>
          <w:p w14:paraId="458D30A3" w14:textId="77777777" w:rsidR="00204905" w:rsidRPr="00875E26" w:rsidRDefault="00204905" w:rsidP="00954C07">
            <w:pPr>
              <w:jc w:val="center"/>
              <w:rPr>
                <w:color w:val="000000"/>
              </w:rPr>
            </w:pPr>
            <w:r w:rsidRPr="00875E26">
              <w:rPr>
                <w:color w:val="000000"/>
              </w:rPr>
              <w:t>Resource</w:t>
            </w:r>
          </w:p>
        </w:tc>
        <w:tc>
          <w:tcPr>
            <w:tcW w:w="1892" w:type="dxa"/>
            <w:noWrap/>
            <w:vAlign w:val="bottom"/>
            <w:hideMark/>
          </w:tcPr>
          <w:p w14:paraId="548FA4EC" w14:textId="77777777" w:rsidR="00204905" w:rsidRPr="00875E26" w:rsidRDefault="00204905" w:rsidP="00954C07">
            <w:pPr>
              <w:jc w:val="center"/>
              <w:rPr>
                <w:color w:val="000000"/>
              </w:rPr>
            </w:pPr>
            <w:r w:rsidRPr="00875E26">
              <w:rPr>
                <w:color w:val="000000"/>
              </w:rPr>
              <w:t>Quantity (MW)</w:t>
            </w:r>
          </w:p>
        </w:tc>
        <w:tc>
          <w:tcPr>
            <w:tcW w:w="2026" w:type="dxa"/>
            <w:vAlign w:val="bottom"/>
            <w:hideMark/>
          </w:tcPr>
          <w:p w14:paraId="25B6C50E" w14:textId="77777777" w:rsidR="00204905" w:rsidRPr="00875E26" w:rsidRDefault="00204905" w:rsidP="00954C07">
            <w:pPr>
              <w:jc w:val="center"/>
              <w:rPr>
                <w:color w:val="000000"/>
              </w:rPr>
            </w:pPr>
            <w:r w:rsidRPr="00875E26">
              <w:rPr>
                <w:color w:val="000000"/>
              </w:rPr>
              <w:t>LMP</w:t>
            </w:r>
          </w:p>
        </w:tc>
      </w:tr>
      <w:tr w:rsidR="00204905" w:rsidRPr="00875E26" w14:paraId="77CC772A" w14:textId="77777777" w:rsidTr="00954C07">
        <w:trPr>
          <w:trHeight w:val="313"/>
        </w:trPr>
        <w:tc>
          <w:tcPr>
            <w:tcW w:w="1662" w:type="dxa"/>
            <w:noWrap/>
            <w:vAlign w:val="bottom"/>
            <w:hideMark/>
          </w:tcPr>
          <w:p w14:paraId="2E64EDCE" w14:textId="77777777" w:rsidR="00204905" w:rsidRPr="00875E26" w:rsidRDefault="00204905" w:rsidP="00954C07">
            <w:pPr>
              <w:rPr>
                <w:color w:val="000000"/>
              </w:rPr>
            </w:pPr>
            <w:r w:rsidRPr="00875E26">
              <w:rPr>
                <w:color w:val="000000"/>
              </w:rPr>
              <w:t>EIM1Gen</w:t>
            </w:r>
          </w:p>
        </w:tc>
        <w:tc>
          <w:tcPr>
            <w:tcW w:w="1892" w:type="dxa"/>
            <w:noWrap/>
            <w:vAlign w:val="bottom"/>
            <w:hideMark/>
          </w:tcPr>
          <w:p w14:paraId="7103CBFA" w14:textId="77777777" w:rsidR="00204905" w:rsidRPr="00875E26" w:rsidRDefault="00204905" w:rsidP="00954C07">
            <w:pPr>
              <w:jc w:val="right"/>
              <w:rPr>
                <w:color w:val="000000"/>
              </w:rPr>
            </w:pPr>
            <w:r w:rsidRPr="00875E26">
              <w:rPr>
                <w:color w:val="000000"/>
              </w:rPr>
              <w:t>150</w:t>
            </w:r>
          </w:p>
        </w:tc>
        <w:tc>
          <w:tcPr>
            <w:tcW w:w="2026" w:type="dxa"/>
            <w:noWrap/>
            <w:vAlign w:val="bottom"/>
            <w:hideMark/>
          </w:tcPr>
          <w:p w14:paraId="39B53559" w14:textId="77777777" w:rsidR="00204905" w:rsidRPr="00875E26" w:rsidRDefault="00204905" w:rsidP="00954C07">
            <w:pPr>
              <w:rPr>
                <w:color w:val="000000"/>
              </w:rPr>
            </w:pPr>
            <w:r w:rsidRPr="00875E26">
              <w:rPr>
                <w:color w:val="000000"/>
              </w:rPr>
              <w:t xml:space="preserve"> $              34.99   </w:t>
            </w:r>
          </w:p>
        </w:tc>
      </w:tr>
      <w:tr w:rsidR="00204905" w:rsidRPr="00875E26" w14:paraId="7A1868CA" w14:textId="77777777" w:rsidTr="00954C07">
        <w:trPr>
          <w:trHeight w:val="313"/>
        </w:trPr>
        <w:tc>
          <w:tcPr>
            <w:tcW w:w="1662" w:type="dxa"/>
            <w:noWrap/>
            <w:vAlign w:val="bottom"/>
          </w:tcPr>
          <w:p w14:paraId="7A046C4F" w14:textId="77777777" w:rsidR="00204905" w:rsidRPr="00875E26" w:rsidRDefault="00204905" w:rsidP="00954C07">
            <w:pPr>
              <w:rPr>
                <w:color w:val="000000"/>
              </w:rPr>
            </w:pPr>
            <w:r w:rsidRPr="00875E26">
              <w:rPr>
                <w:color w:val="000000"/>
              </w:rPr>
              <w:t>CISOGen</w:t>
            </w:r>
          </w:p>
        </w:tc>
        <w:tc>
          <w:tcPr>
            <w:tcW w:w="1892" w:type="dxa"/>
            <w:noWrap/>
            <w:vAlign w:val="bottom"/>
          </w:tcPr>
          <w:p w14:paraId="16BBFBD4" w14:textId="77777777" w:rsidR="00204905" w:rsidRPr="00875E26" w:rsidRDefault="00204905" w:rsidP="00954C07">
            <w:pPr>
              <w:jc w:val="right"/>
              <w:rPr>
                <w:color w:val="000000"/>
              </w:rPr>
            </w:pPr>
            <w:r w:rsidRPr="00875E26">
              <w:rPr>
                <w:color w:val="000000"/>
              </w:rPr>
              <w:t>100</w:t>
            </w:r>
          </w:p>
        </w:tc>
        <w:tc>
          <w:tcPr>
            <w:tcW w:w="2026" w:type="dxa"/>
            <w:noWrap/>
            <w:vAlign w:val="bottom"/>
          </w:tcPr>
          <w:p w14:paraId="44B8A17F" w14:textId="77777777" w:rsidR="00204905" w:rsidRPr="00875E26" w:rsidRDefault="00204905" w:rsidP="00954C07">
            <w:pPr>
              <w:rPr>
                <w:color w:val="000000"/>
              </w:rPr>
            </w:pPr>
            <w:r w:rsidRPr="00875E26">
              <w:rPr>
                <w:color w:val="000000"/>
              </w:rPr>
              <w:t xml:space="preserve"> $              50.00  </w:t>
            </w:r>
          </w:p>
        </w:tc>
      </w:tr>
    </w:tbl>
    <w:p w14:paraId="1578FD8E" w14:textId="77777777" w:rsidR="00204905" w:rsidRPr="00875E26" w:rsidRDefault="00204905" w:rsidP="00204905"/>
    <w:p w14:paraId="5DA3E0EA" w14:textId="77777777" w:rsidR="00204905" w:rsidRDefault="00204905" w:rsidP="00204905">
      <w:r w:rsidRPr="00875E26">
        <w:t xml:space="preserve">  </w:t>
      </w:r>
    </w:p>
    <w:p w14:paraId="72F850EA" w14:textId="77777777" w:rsidR="00204905" w:rsidRDefault="00204905" w:rsidP="00204905"/>
    <w:p w14:paraId="3B450E07" w14:textId="77777777" w:rsidR="00204905" w:rsidRPr="00875E26" w:rsidRDefault="00204905" w:rsidP="00204905"/>
    <w:p w14:paraId="63380778" w14:textId="77777777" w:rsidR="00204905" w:rsidRPr="00875E26" w:rsidRDefault="00204905" w:rsidP="00204905">
      <w:r w:rsidRPr="00875E26">
        <w:lastRenderedPageBreak/>
        <w:t>Location Marginal Pricing (RTD)</w:t>
      </w:r>
    </w:p>
    <w:tbl>
      <w:tblPr>
        <w:tblW w:w="8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40"/>
        <w:gridCol w:w="1425"/>
        <w:gridCol w:w="1360"/>
        <w:gridCol w:w="1340"/>
        <w:gridCol w:w="1260"/>
      </w:tblGrid>
      <w:tr w:rsidR="00204905" w:rsidRPr="00875E26" w14:paraId="131AEF70" w14:textId="77777777" w:rsidTr="00954C07">
        <w:trPr>
          <w:trHeight w:val="464"/>
        </w:trPr>
        <w:tc>
          <w:tcPr>
            <w:tcW w:w="1440" w:type="dxa"/>
            <w:noWrap/>
            <w:vAlign w:val="bottom"/>
            <w:hideMark/>
          </w:tcPr>
          <w:p w14:paraId="77837A21" w14:textId="77777777" w:rsidR="00204905" w:rsidRPr="00875E26" w:rsidRDefault="00204905" w:rsidP="00954C07">
            <w:pPr>
              <w:rPr>
                <w:color w:val="000000"/>
              </w:rPr>
            </w:pPr>
            <w:r w:rsidRPr="00875E26">
              <w:rPr>
                <w:color w:val="000000"/>
              </w:rPr>
              <w:t>Location</w:t>
            </w:r>
          </w:p>
        </w:tc>
        <w:tc>
          <w:tcPr>
            <w:tcW w:w="1340" w:type="dxa"/>
            <w:noWrap/>
            <w:vAlign w:val="bottom"/>
            <w:hideMark/>
          </w:tcPr>
          <w:p w14:paraId="09F147A4" w14:textId="77777777" w:rsidR="00204905" w:rsidRPr="00875E26" w:rsidRDefault="00204905" w:rsidP="00954C07">
            <w:pPr>
              <w:rPr>
                <w:color w:val="000000"/>
              </w:rPr>
            </w:pPr>
            <w:r w:rsidRPr="00875E26">
              <w:rPr>
                <w:color w:val="000000"/>
              </w:rPr>
              <w:t>Energy</w:t>
            </w:r>
          </w:p>
        </w:tc>
        <w:tc>
          <w:tcPr>
            <w:tcW w:w="1360" w:type="dxa"/>
            <w:noWrap/>
            <w:vAlign w:val="bottom"/>
            <w:hideMark/>
          </w:tcPr>
          <w:p w14:paraId="0856179A" w14:textId="77777777" w:rsidR="00204905" w:rsidRPr="00875E26" w:rsidRDefault="00204905" w:rsidP="00954C07">
            <w:pPr>
              <w:rPr>
                <w:color w:val="000000"/>
              </w:rPr>
            </w:pPr>
            <w:r w:rsidRPr="00875E26">
              <w:rPr>
                <w:color w:val="000000"/>
              </w:rPr>
              <w:t>Congestion*</w:t>
            </w:r>
          </w:p>
        </w:tc>
        <w:tc>
          <w:tcPr>
            <w:tcW w:w="1360" w:type="dxa"/>
            <w:noWrap/>
            <w:vAlign w:val="bottom"/>
            <w:hideMark/>
          </w:tcPr>
          <w:p w14:paraId="69D42B2F" w14:textId="77777777" w:rsidR="00204905" w:rsidRPr="00875E26" w:rsidRDefault="00204905" w:rsidP="00954C07">
            <w:pPr>
              <w:rPr>
                <w:color w:val="000000"/>
              </w:rPr>
            </w:pPr>
            <w:r w:rsidRPr="00875E26">
              <w:rPr>
                <w:color w:val="000000"/>
              </w:rPr>
              <w:t>Losses</w:t>
            </w:r>
          </w:p>
        </w:tc>
        <w:tc>
          <w:tcPr>
            <w:tcW w:w="1340" w:type="dxa"/>
            <w:noWrap/>
            <w:vAlign w:val="bottom"/>
            <w:hideMark/>
          </w:tcPr>
          <w:p w14:paraId="0B89ABC7" w14:textId="77777777" w:rsidR="00204905" w:rsidRPr="00875E26" w:rsidRDefault="00204905" w:rsidP="00954C07">
            <w:pPr>
              <w:rPr>
                <w:color w:val="000000"/>
              </w:rPr>
            </w:pPr>
            <w:r w:rsidRPr="00875E26">
              <w:rPr>
                <w:color w:val="000000"/>
              </w:rPr>
              <w:t>GHG</w:t>
            </w:r>
          </w:p>
        </w:tc>
        <w:tc>
          <w:tcPr>
            <w:tcW w:w="1260" w:type="dxa"/>
            <w:noWrap/>
            <w:vAlign w:val="bottom"/>
            <w:hideMark/>
          </w:tcPr>
          <w:p w14:paraId="3B8FB4E1" w14:textId="77777777" w:rsidR="00204905" w:rsidRPr="00875E26" w:rsidRDefault="00204905" w:rsidP="00954C07">
            <w:pPr>
              <w:rPr>
                <w:color w:val="000000"/>
              </w:rPr>
            </w:pPr>
            <w:r w:rsidRPr="00875E26">
              <w:rPr>
                <w:color w:val="000000"/>
              </w:rPr>
              <w:t>Price</w:t>
            </w:r>
          </w:p>
        </w:tc>
      </w:tr>
      <w:tr w:rsidR="00204905" w:rsidRPr="00875E26" w14:paraId="2FE99ADA" w14:textId="77777777" w:rsidTr="00954C07">
        <w:trPr>
          <w:trHeight w:val="464"/>
        </w:trPr>
        <w:tc>
          <w:tcPr>
            <w:tcW w:w="1440" w:type="dxa"/>
            <w:noWrap/>
            <w:vAlign w:val="bottom"/>
            <w:hideMark/>
          </w:tcPr>
          <w:p w14:paraId="0B604B0C" w14:textId="77777777" w:rsidR="00204905" w:rsidRPr="00875E26" w:rsidRDefault="00204905" w:rsidP="00954C07">
            <w:pPr>
              <w:rPr>
                <w:color w:val="000000"/>
              </w:rPr>
            </w:pPr>
            <w:r w:rsidRPr="00875E26">
              <w:rPr>
                <w:color w:val="000000"/>
              </w:rPr>
              <w:t>EIM1Gen</w:t>
            </w:r>
          </w:p>
        </w:tc>
        <w:tc>
          <w:tcPr>
            <w:tcW w:w="1340" w:type="dxa"/>
            <w:noWrap/>
            <w:vAlign w:val="bottom"/>
            <w:hideMark/>
          </w:tcPr>
          <w:p w14:paraId="082BB70C" w14:textId="77777777" w:rsidR="00204905" w:rsidRPr="00875E26" w:rsidRDefault="00204905" w:rsidP="00954C07">
            <w:pPr>
              <w:jc w:val="right"/>
              <w:rPr>
                <w:color w:val="000000"/>
              </w:rPr>
            </w:pPr>
            <w:r w:rsidRPr="00875E26">
              <w:rPr>
                <w:color w:val="000000"/>
              </w:rPr>
              <w:t>50</w:t>
            </w:r>
          </w:p>
        </w:tc>
        <w:tc>
          <w:tcPr>
            <w:tcW w:w="1360" w:type="dxa"/>
            <w:noWrap/>
            <w:vAlign w:val="bottom"/>
            <w:hideMark/>
          </w:tcPr>
          <w:p w14:paraId="1019F6DE" w14:textId="77777777" w:rsidR="00204905" w:rsidRPr="00875E26" w:rsidRDefault="00204905" w:rsidP="00954C07">
            <w:pPr>
              <w:jc w:val="right"/>
              <w:rPr>
                <w:color w:val="000000"/>
              </w:rPr>
            </w:pPr>
            <w:r w:rsidRPr="00875E26">
              <w:rPr>
                <w:color w:val="000000"/>
              </w:rPr>
              <w:t xml:space="preserve">      (15.01)</w:t>
            </w:r>
          </w:p>
        </w:tc>
        <w:tc>
          <w:tcPr>
            <w:tcW w:w="1360" w:type="dxa"/>
            <w:noWrap/>
            <w:vAlign w:val="bottom"/>
            <w:hideMark/>
          </w:tcPr>
          <w:p w14:paraId="4F205C45"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278090B2"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0A3BB709" w14:textId="77777777" w:rsidR="00204905" w:rsidRPr="00875E26" w:rsidRDefault="00204905" w:rsidP="00954C07">
            <w:pPr>
              <w:jc w:val="right"/>
              <w:rPr>
                <w:color w:val="000000"/>
              </w:rPr>
            </w:pPr>
            <w:r w:rsidRPr="00875E26">
              <w:rPr>
                <w:color w:val="000000"/>
              </w:rPr>
              <w:t xml:space="preserve">       34.99 </w:t>
            </w:r>
          </w:p>
        </w:tc>
      </w:tr>
      <w:tr w:rsidR="00204905" w:rsidRPr="00875E26" w14:paraId="14198078" w14:textId="77777777" w:rsidTr="00954C07">
        <w:trPr>
          <w:trHeight w:val="464"/>
        </w:trPr>
        <w:tc>
          <w:tcPr>
            <w:tcW w:w="1440" w:type="dxa"/>
            <w:noWrap/>
            <w:vAlign w:val="bottom"/>
            <w:hideMark/>
          </w:tcPr>
          <w:p w14:paraId="2FE67B15" w14:textId="77777777" w:rsidR="00204905" w:rsidRPr="00875E26" w:rsidRDefault="00204905" w:rsidP="00954C07">
            <w:pPr>
              <w:rPr>
                <w:color w:val="000000"/>
              </w:rPr>
            </w:pPr>
            <w:r w:rsidRPr="00875E26">
              <w:rPr>
                <w:color w:val="000000"/>
              </w:rPr>
              <w:t>CISOGen</w:t>
            </w:r>
          </w:p>
        </w:tc>
        <w:tc>
          <w:tcPr>
            <w:tcW w:w="1340" w:type="dxa"/>
            <w:noWrap/>
            <w:vAlign w:val="bottom"/>
            <w:hideMark/>
          </w:tcPr>
          <w:p w14:paraId="380C9EF5"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hideMark/>
          </w:tcPr>
          <w:p w14:paraId="573AFE09" w14:textId="77777777" w:rsidR="00204905" w:rsidRPr="00875E26" w:rsidRDefault="00204905" w:rsidP="00954C07">
            <w:pPr>
              <w:jc w:val="right"/>
              <w:rPr>
                <w:color w:val="000000"/>
              </w:rPr>
            </w:pPr>
            <w:r w:rsidRPr="00875E26">
              <w:rPr>
                <w:color w:val="000000"/>
              </w:rPr>
              <w:t xml:space="preserve">                 -   </w:t>
            </w:r>
          </w:p>
        </w:tc>
        <w:tc>
          <w:tcPr>
            <w:tcW w:w="1360" w:type="dxa"/>
            <w:noWrap/>
            <w:vAlign w:val="bottom"/>
            <w:hideMark/>
          </w:tcPr>
          <w:p w14:paraId="0D3081BB"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18ED89F9"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6BD2E148" w14:textId="77777777" w:rsidR="00204905" w:rsidRPr="00875E26" w:rsidRDefault="00204905" w:rsidP="00954C07">
            <w:pPr>
              <w:jc w:val="right"/>
              <w:rPr>
                <w:color w:val="000000"/>
              </w:rPr>
            </w:pPr>
            <w:r w:rsidRPr="00875E26">
              <w:rPr>
                <w:color w:val="000000"/>
              </w:rPr>
              <w:t xml:space="preserve"> 50 </w:t>
            </w:r>
          </w:p>
        </w:tc>
      </w:tr>
      <w:tr w:rsidR="00204905" w:rsidRPr="00875E26" w14:paraId="4C40472E" w14:textId="77777777" w:rsidTr="00954C07">
        <w:trPr>
          <w:trHeight w:val="464"/>
        </w:trPr>
        <w:tc>
          <w:tcPr>
            <w:tcW w:w="1440" w:type="dxa"/>
            <w:noWrap/>
            <w:vAlign w:val="bottom"/>
            <w:hideMark/>
          </w:tcPr>
          <w:p w14:paraId="31623211" w14:textId="77777777" w:rsidR="00204905" w:rsidRPr="00875E26" w:rsidRDefault="00204905" w:rsidP="00954C07">
            <w:pPr>
              <w:rPr>
                <w:color w:val="000000"/>
              </w:rPr>
            </w:pPr>
            <w:r w:rsidRPr="00875E26">
              <w:rPr>
                <w:color w:val="000000"/>
              </w:rPr>
              <w:t>PACLoad</w:t>
            </w:r>
          </w:p>
        </w:tc>
        <w:tc>
          <w:tcPr>
            <w:tcW w:w="1340" w:type="dxa"/>
            <w:noWrap/>
            <w:vAlign w:val="bottom"/>
            <w:hideMark/>
          </w:tcPr>
          <w:p w14:paraId="1F27920A"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hideMark/>
          </w:tcPr>
          <w:p w14:paraId="4C1A57A2" w14:textId="77777777" w:rsidR="00204905" w:rsidRPr="00875E26" w:rsidRDefault="00204905" w:rsidP="00954C07">
            <w:pPr>
              <w:jc w:val="right"/>
              <w:rPr>
                <w:color w:val="000000"/>
              </w:rPr>
            </w:pPr>
            <w:r w:rsidRPr="00875E26">
              <w:rPr>
                <w:color w:val="000000"/>
              </w:rPr>
              <w:t xml:space="preserve"> (15.01)</w:t>
            </w:r>
          </w:p>
        </w:tc>
        <w:tc>
          <w:tcPr>
            <w:tcW w:w="1360" w:type="dxa"/>
            <w:noWrap/>
            <w:vAlign w:val="bottom"/>
            <w:hideMark/>
          </w:tcPr>
          <w:p w14:paraId="29A0BF10"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16CEA128"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100934EE" w14:textId="77777777" w:rsidR="00204905" w:rsidRPr="00875E26" w:rsidRDefault="00204905" w:rsidP="00954C07">
            <w:pPr>
              <w:jc w:val="right"/>
              <w:rPr>
                <w:color w:val="000000"/>
              </w:rPr>
            </w:pPr>
            <w:r w:rsidRPr="00875E26">
              <w:rPr>
                <w:color w:val="000000"/>
              </w:rPr>
              <w:t xml:space="preserve">        34.99 </w:t>
            </w:r>
          </w:p>
        </w:tc>
      </w:tr>
      <w:tr w:rsidR="00204905" w:rsidRPr="00875E26" w14:paraId="5DD7EEB6" w14:textId="77777777" w:rsidTr="00954C07">
        <w:trPr>
          <w:trHeight w:val="464"/>
        </w:trPr>
        <w:tc>
          <w:tcPr>
            <w:tcW w:w="1440" w:type="dxa"/>
            <w:noWrap/>
            <w:vAlign w:val="bottom"/>
            <w:hideMark/>
          </w:tcPr>
          <w:p w14:paraId="58F79CCE" w14:textId="77777777" w:rsidR="00204905" w:rsidRPr="00875E26" w:rsidRDefault="00204905" w:rsidP="00954C07">
            <w:pPr>
              <w:rPr>
                <w:color w:val="000000"/>
              </w:rPr>
            </w:pPr>
            <w:r w:rsidRPr="00875E26">
              <w:rPr>
                <w:color w:val="000000"/>
              </w:rPr>
              <w:t>CISOLoad</w:t>
            </w:r>
          </w:p>
        </w:tc>
        <w:tc>
          <w:tcPr>
            <w:tcW w:w="1340" w:type="dxa"/>
            <w:noWrap/>
            <w:vAlign w:val="bottom"/>
            <w:hideMark/>
          </w:tcPr>
          <w:p w14:paraId="2E4776A9"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hideMark/>
          </w:tcPr>
          <w:p w14:paraId="069FF37C" w14:textId="77777777" w:rsidR="00204905" w:rsidRPr="00875E26" w:rsidRDefault="00204905" w:rsidP="00954C07">
            <w:pPr>
              <w:jc w:val="right"/>
              <w:rPr>
                <w:color w:val="000000"/>
              </w:rPr>
            </w:pPr>
            <w:r w:rsidRPr="00875E26">
              <w:rPr>
                <w:color w:val="000000"/>
              </w:rPr>
              <w:t xml:space="preserve">                 -   </w:t>
            </w:r>
          </w:p>
        </w:tc>
        <w:tc>
          <w:tcPr>
            <w:tcW w:w="1360" w:type="dxa"/>
            <w:noWrap/>
            <w:vAlign w:val="bottom"/>
            <w:hideMark/>
          </w:tcPr>
          <w:p w14:paraId="414C9777"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hideMark/>
          </w:tcPr>
          <w:p w14:paraId="325B8BA5"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hideMark/>
          </w:tcPr>
          <w:p w14:paraId="7D09037E" w14:textId="77777777" w:rsidR="00204905" w:rsidRPr="00875E26" w:rsidRDefault="00204905" w:rsidP="00954C07">
            <w:pPr>
              <w:jc w:val="right"/>
              <w:rPr>
                <w:color w:val="000000"/>
              </w:rPr>
            </w:pPr>
            <w:r w:rsidRPr="00875E26">
              <w:rPr>
                <w:color w:val="000000"/>
              </w:rPr>
              <w:t xml:space="preserve">          50 </w:t>
            </w:r>
          </w:p>
        </w:tc>
      </w:tr>
      <w:tr w:rsidR="00204905" w:rsidRPr="00875E26" w14:paraId="0442B5C3" w14:textId="77777777" w:rsidTr="00954C07">
        <w:trPr>
          <w:trHeight w:val="464"/>
        </w:trPr>
        <w:tc>
          <w:tcPr>
            <w:tcW w:w="1440" w:type="dxa"/>
            <w:noWrap/>
            <w:vAlign w:val="bottom"/>
          </w:tcPr>
          <w:p w14:paraId="3FED925C" w14:textId="77777777" w:rsidR="00204905" w:rsidRPr="00875E26" w:rsidRDefault="00204905" w:rsidP="00954C07">
            <w:pPr>
              <w:rPr>
                <w:color w:val="000000"/>
              </w:rPr>
            </w:pPr>
            <w:r w:rsidRPr="00875E26">
              <w:rPr>
                <w:color w:val="000000"/>
              </w:rPr>
              <w:t>EIM Transfer</w:t>
            </w:r>
          </w:p>
        </w:tc>
        <w:tc>
          <w:tcPr>
            <w:tcW w:w="1340" w:type="dxa"/>
            <w:noWrap/>
            <w:vAlign w:val="bottom"/>
          </w:tcPr>
          <w:p w14:paraId="1814AFE3" w14:textId="77777777" w:rsidR="00204905" w:rsidRPr="00875E26" w:rsidRDefault="00204905" w:rsidP="00954C07">
            <w:pPr>
              <w:jc w:val="right"/>
              <w:rPr>
                <w:color w:val="000000"/>
              </w:rPr>
            </w:pPr>
            <w:r w:rsidRPr="00875E26">
              <w:rPr>
                <w:color w:val="000000"/>
              </w:rPr>
              <w:t xml:space="preserve">                50 </w:t>
            </w:r>
          </w:p>
        </w:tc>
        <w:tc>
          <w:tcPr>
            <w:tcW w:w="1360" w:type="dxa"/>
            <w:noWrap/>
            <w:vAlign w:val="bottom"/>
          </w:tcPr>
          <w:p w14:paraId="6CAC507C" w14:textId="77777777" w:rsidR="00204905" w:rsidRPr="00875E26" w:rsidRDefault="00204905" w:rsidP="00954C07">
            <w:pPr>
              <w:jc w:val="right"/>
              <w:rPr>
                <w:color w:val="000000"/>
              </w:rPr>
            </w:pPr>
            <w:r w:rsidRPr="00875E26">
              <w:rPr>
                <w:color w:val="000000"/>
              </w:rPr>
              <w:t xml:space="preserve">                 -   </w:t>
            </w:r>
          </w:p>
        </w:tc>
        <w:tc>
          <w:tcPr>
            <w:tcW w:w="1360" w:type="dxa"/>
            <w:noWrap/>
            <w:vAlign w:val="bottom"/>
          </w:tcPr>
          <w:p w14:paraId="299887A7" w14:textId="77777777" w:rsidR="00204905" w:rsidRPr="00875E26" w:rsidRDefault="00204905" w:rsidP="00954C07">
            <w:pPr>
              <w:jc w:val="right"/>
              <w:rPr>
                <w:color w:val="000000"/>
              </w:rPr>
            </w:pPr>
            <w:r w:rsidRPr="00875E26">
              <w:rPr>
                <w:color w:val="000000"/>
              </w:rPr>
              <w:t xml:space="preserve">                -   </w:t>
            </w:r>
          </w:p>
        </w:tc>
        <w:tc>
          <w:tcPr>
            <w:tcW w:w="1340" w:type="dxa"/>
            <w:noWrap/>
            <w:vAlign w:val="bottom"/>
          </w:tcPr>
          <w:p w14:paraId="5B98ED01" w14:textId="77777777" w:rsidR="00204905" w:rsidRPr="00875E26" w:rsidRDefault="00204905" w:rsidP="00954C07">
            <w:pPr>
              <w:jc w:val="right"/>
              <w:rPr>
                <w:color w:val="000000"/>
              </w:rPr>
            </w:pPr>
            <w:r w:rsidRPr="00875E26">
              <w:rPr>
                <w:color w:val="000000"/>
              </w:rPr>
              <w:t xml:space="preserve">                -   </w:t>
            </w:r>
          </w:p>
        </w:tc>
        <w:tc>
          <w:tcPr>
            <w:tcW w:w="1260" w:type="dxa"/>
            <w:noWrap/>
            <w:vAlign w:val="bottom"/>
          </w:tcPr>
          <w:p w14:paraId="14C92951" w14:textId="77777777" w:rsidR="00204905" w:rsidRPr="00875E26" w:rsidRDefault="00204905" w:rsidP="00954C07">
            <w:pPr>
              <w:jc w:val="right"/>
              <w:rPr>
                <w:color w:val="000000"/>
              </w:rPr>
            </w:pPr>
            <w:r w:rsidRPr="00875E26">
              <w:rPr>
                <w:color w:val="000000"/>
              </w:rPr>
              <w:t xml:space="preserve">          50 </w:t>
            </w:r>
          </w:p>
        </w:tc>
      </w:tr>
    </w:tbl>
    <w:p w14:paraId="0E43A933" w14:textId="7E2A34CE" w:rsidR="00204905" w:rsidRPr="00875E26" w:rsidRDefault="00204905" w:rsidP="00204905">
      <w:pPr>
        <w:rPr>
          <w:sz w:val="18"/>
        </w:rPr>
      </w:pPr>
      <w:r w:rsidRPr="00875E26">
        <w:rPr>
          <w:sz w:val="18"/>
        </w:rPr>
        <w:t>* Congestion is based upon the</w:t>
      </w:r>
      <w:r w:rsidR="005F24C1">
        <w:rPr>
          <w:sz w:val="18"/>
        </w:rPr>
        <w:t xml:space="preserve"> WEIM </w:t>
      </w:r>
      <w:r w:rsidRPr="00875E26">
        <w:rPr>
          <w:sz w:val="18"/>
        </w:rPr>
        <w:t>Constraint ($15) plus Intertie Scheduling Limit ($0) plus the</w:t>
      </w:r>
      <w:r w:rsidR="005F24C1">
        <w:rPr>
          <w:sz w:val="18"/>
        </w:rPr>
        <w:t xml:space="preserve"> WEIM </w:t>
      </w:r>
      <w:r w:rsidRPr="00875E26">
        <w:rPr>
          <w:sz w:val="18"/>
        </w:rPr>
        <w:t xml:space="preserve">Transfer Costs ($0.01).  </w:t>
      </w:r>
    </w:p>
    <w:p w14:paraId="54BEB536" w14:textId="77777777" w:rsidR="00204905" w:rsidRPr="00875E26" w:rsidRDefault="00204905" w:rsidP="00204905"/>
    <w:p w14:paraId="333AAE7C" w14:textId="77777777" w:rsidR="00204905" w:rsidRPr="00875E26" w:rsidRDefault="00204905" w:rsidP="00204905">
      <w:r w:rsidRPr="00875E26">
        <w:t>Settlement:</w:t>
      </w:r>
    </w:p>
    <w:tbl>
      <w:tblPr>
        <w:tblW w:w="8100" w:type="dxa"/>
        <w:tblInd w:w="-5" w:type="dxa"/>
        <w:tblLook w:val="04A0" w:firstRow="1" w:lastRow="0" w:firstColumn="1" w:lastColumn="0" w:noHBand="0" w:noVBand="1"/>
      </w:tblPr>
      <w:tblGrid>
        <w:gridCol w:w="2140"/>
        <w:gridCol w:w="1190"/>
        <w:gridCol w:w="1088"/>
        <w:gridCol w:w="1572"/>
        <w:gridCol w:w="2118"/>
      </w:tblGrid>
      <w:tr w:rsidR="00204905" w:rsidRPr="00875E26" w14:paraId="43512760"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D44AB07" w14:textId="77777777" w:rsidR="00204905" w:rsidRPr="00875E26" w:rsidRDefault="00204905" w:rsidP="00954C07">
            <w:pPr>
              <w:rPr>
                <w:color w:val="000000"/>
              </w:rPr>
            </w:pPr>
            <w:r w:rsidRPr="00875E26">
              <w:rPr>
                <w:color w:val="000000"/>
              </w:rPr>
              <w:t>Charge Code</w:t>
            </w:r>
          </w:p>
        </w:tc>
        <w:tc>
          <w:tcPr>
            <w:tcW w:w="1182" w:type="dxa"/>
            <w:tcBorders>
              <w:top w:val="single" w:sz="4" w:space="0" w:color="auto"/>
              <w:left w:val="nil"/>
              <w:bottom w:val="single" w:sz="4" w:space="0" w:color="auto"/>
              <w:right w:val="single" w:sz="4" w:space="0" w:color="auto"/>
            </w:tcBorders>
            <w:noWrap/>
            <w:vAlign w:val="bottom"/>
            <w:hideMark/>
          </w:tcPr>
          <w:p w14:paraId="7E621F87" w14:textId="77777777" w:rsidR="00204905" w:rsidRPr="00875E26" w:rsidRDefault="00204905" w:rsidP="00954C07">
            <w:pPr>
              <w:rPr>
                <w:color w:val="000000"/>
              </w:rPr>
            </w:pPr>
            <w:r w:rsidRPr="00875E26">
              <w:rPr>
                <w:color w:val="000000"/>
              </w:rPr>
              <w:t>Resource</w:t>
            </w:r>
          </w:p>
        </w:tc>
        <w:tc>
          <w:tcPr>
            <w:tcW w:w="1088" w:type="dxa"/>
            <w:tcBorders>
              <w:top w:val="single" w:sz="4" w:space="0" w:color="auto"/>
              <w:left w:val="nil"/>
              <w:bottom w:val="single" w:sz="4" w:space="0" w:color="auto"/>
              <w:right w:val="single" w:sz="4" w:space="0" w:color="auto"/>
            </w:tcBorders>
            <w:noWrap/>
            <w:vAlign w:val="bottom"/>
            <w:hideMark/>
          </w:tcPr>
          <w:p w14:paraId="15608524" w14:textId="77777777" w:rsidR="00204905" w:rsidRPr="00875E26" w:rsidRDefault="00204905" w:rsidP="00954C07">
            <w:pPr>
              <w:rPr>
                <w:color w:val="000000"/>
              </w:rPr>
            </w:pPr>
            <w:r w:rsidRPr="00875E26">
              <w:rPr>
                <w:color w:val="000000"/>
              </w:rPr>
              <w:t>Qty</w:t>
            </w:r>
          </w:p>
        </w:tc>
        <w:tc>
          <w:tcPr>
            <w:tcW w:w="1572" w:type="dxa"/>
            <w:tcBorders>
              <w:top w:val="single" w:sz="4" w:space="0" w:color="auto"/>
              <w:left w:val="nil"/>
              <w:bottom w:val="single" w:sz="4" w:space="0" w:color="auto"/>
              <w:right w:val="single" w:sz="4" w:space="0" w:color="auto"/>
            </w:tcBorders>
            <w:noWrap/>
            <w:vAlign w:val="bottom"/>
            <w:hideMark/>
          </w:tcPr>
          <w:p w14:paraId="32E07CBD" w14:textId="77777777" w:rsidR="00204905" w:rsidRPr="00875E26" w:rsidRDefault="00204905" w:rsidP="00954C07">
            <w:pPr>
              <w:rPr>
                <w:color w:val="000000"/>
              </w:rPr>
            </w:pPr>
            <w:r w:rsidRPr="00875E26">
              <w:rPr>
                <w:color w:val="000000"/>
              </w:rPr>
              <w:t>Price</w:t>
            </w:r>
          </w:p>
        </w:tc>
        <w:tc>
          <w:tcPr>
            <w:tcW w:w="2118" w:type="dxa"/>
            <w:tcBorders>
              <w:top w:val="single" w:sz="4" w:space="0" w:color="auto"/>
              <w:left w:val="nil"/>
              <w:bottom w:val="single" w:sz="4" w:space="0" w:color="auto"/>
              <w:right w:val="single" w:sz="4" w:space="0" w:color="auto"/>
            </w:tcBorders>
            <w:noWrap/>
            <w:vAlign w:val="bottom"/>
            <w:hideMark/>
          </w:tcPr>
          <w:p w14:paraId="691E1D26" w14:textId="77777777" w:rsidR="00204905" w:rsidRPr="00875E26" w:rsidRDefault="00204905" w:rsidP="00954C07">
            <w:pPr>
              <w:rPr>
                <w:color w:val="000000"/>
              </w:rPr>
            </w:pPr>
            <w:r w:rsidRPr="00875E26">
              <w:rPr>
                <w:color w:val="000000"/>
              </w:rPr>
              <w:t>(Payment)/Charge</w:t>
            </w:r>
          </w:p>
        </w:tc>
      </w:tr>
      <w:tr w:rsidR="00204905" w:rsidRPr="00875E26" w14:paraId="0783A2D9"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1B606F49" w14:textId="77777777" w:rsidR="00204905" w:rsidRPr="00875E26" w:rsidRDefault="00204905" w:rsidP="00954C07">
            <w:pPr>
              <w:rPr>
                <w:color w:val="000000"/>
              </w:rPr>
            </w:pPr>
            <w:r w:rsidRPr="00875E26">
              <w:rPr>
                <w:color w:val="000000"/>
              </w:rPr>
              <w:t>CC 64700</w:t>
            </w:r>
          </w:p>
        </w:tc>
        <w:tc>
          <w:tcPr>
            <w:tcW w:w="1182" w:type="dxa"/>
            <w:tcBorders>
              <w:top w:val="nil"/>
              <w:left w:val="nil"/>
              <w:bottom w:val="single" w:sz="4" w:space="0" w:color="auto"/>
              <w:right w:val="single" w:sz="4" w:space="0" w:color="auto"/>
            </w:tcBorders>
            <w:noWrap/>
            <w:vAlign w:val="bottom"/>
            <w:hideMark/>
          </w:tcPr>
          <w:p w14:paraId="5D99FC17" w14:textId="77777777" w:rsidR="00204905" w:rsidRPr="00875E26" w:rsidRDefault="00204905" w:rsidP="00954C07">
            <w:pPr>
              <w:rPr>
                <w:color w:val="000000"/>
              </w:rPr>
            </w:pPr>
            <w:r w:rsidRPr="00875E26">
              <w:rPr>
                <w:color w:val="000000"/>
              </w:rPr>
              <w:t>EIM1Gen</w:t>
            </w:r>
          </w:p>
        </w:tc>
        <w:tc>
          <w:tcPr>
            <w:tcW w:w="1088" w:type="dxa"/>
            <w:tcBorders>
              <w:top w:val="nil"/>
              <w:left w:val="nil"/>
              <w:bottom w:val="single" w:sz="4" w:space="0" w:color="auto"/>
              <w:right w:val="single" w:sz="4" w:space="0" w:color="auto"/>
            </w:tcBorders>
            <w:noWrap/>
            <w:vAlign w:val="bottom"/>
            <w:hideMark/>
          </w:tcPr>
          <w:p w14:paraId="7768DD83" w14:textId="77777777" w:rsidR="00204905" w:rsidRPr="00875E26" w:rsidRDefault="00204905" w:rsidP="00954C07">
            <w:pPr>
              <w:jc w:val="right"/>
              <w:rPr>
                <w:color w:val="000000"/>
              </w:rPr>
            </w:pPr>
            <w:r w:rsidRPr="00875E26">
              <w:rPr>
                <w:color w:val="000000"/>
              </w:rPr>
              <w:t>150</w:t>
            </w:r>
          </w:p>
        </w:tc>
        <w:tc>
          <w:tcPr>
            <w:tcW w:w="1572" w:type="dxa"/>
            <w:tcBorders>
              <w:top w:val="nil"/>
              <w:left w:val="nil"/>
              <w:bottom w:val="single" w:sz="4" w:space="0" w:color="auto"/>
              <w:right w:val="single" w:sz="4" w:space="0" w:color="auto"/>
            </w:tcBorders>
            <w:noWrap/>
            <w:vAlign w:val="bottom"/>
            <w:hideMark/>
          </w:tcPr>
          <w:p w14:paraId="0D06DEA8" w14:textId="77777777" w:rsidR="00204905" w:rsidRPr="00875E26" w:rsidRDefault="00204905" w:rsidP="00954C07">
            <w:pPr>
              <w:rPr>
                <w:color w:val="000000"/>
              </w:rPr>
            </w:pPr>
            <w:r w:rsidRPr="00875E26">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5B989471" w14:textId="77777777" w:rsidR="00204905" w:rsidRPr="00875E26" w:rsidRDefault="00204905" w:rsidP="00954C07">
            <w:pPr>
              <w:rPr>
                <w:color w:val="000000"/>
              </w:rPr>
            </w:pPr>
            <w:r w:rsidRPr="00875E26">
              <w:rPr>
                <w:color w:val="000000"/>
              </w:rPr>
              <w:t xml:space="preserve"> $          (5,248.50)</w:t>
            </w:r>
          </w:p>
        </w:tc>
      </w:tr>
      <w:tr w:rsidR="00204905" w:rsidRPr="00875E26" w14:paraId="0B58F7C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00B129B" w14:textId="77777777" w:rsidR="00204905" w:rsidRPr="00875E26" w:rsidRDefault="00204905" w:rsidP="00954C07">
            <w:pPr>
              <w:rPr>
                <w:color w:val="000000"/>
              </w:rPr>
            </w:pPr>
            <w:r w:rsidRPr="00875E26">
              <w:rPr>
                <w:color w:val="000000"/>
              </w:rPr>
              <w:t>CC 6470</w:t>
            </w:r>
          </w:p>
        </w:tc>
        <w:tc>
          <w:tcPr>
            <w:tcW w:w="1182" w:type="dxa"/>
            <w:tcBorders>
              <w:top w:val="nil"/>
              <w:left w:val="nil"/>
              <w:bottom w:val="single" w:sz="4" w:space="0" w:color="auto"/>
              <w:right w:val="single" w:sz="4" w:space="0" w:color="auto"/>
            </w:tcBorders>
            <w:noWrap/>
            <w:vAlign w:val="bottom"/>
            <w:hideMark/>
          </w:tcPr>
          <w:p w14:paraId="23D5B1DB" w14:textId="77777777" w:rsidR="00204905" w:rsidRPr="00875E26" w:rsidRDefault="00204905" w:rsidP="00954C07">
            <w:pPr>
              <w:rPr>
                <w:color w:val="000000"/>
              </w:rPr>
            </w:pPr>
            <w:r w:rsidRPr="00875E26">
              <w:rPr>
                <w:color w:val="000000"/>
              </w:rPr>
              <w:t>CISOGen</w:t>
            </w:r>
          </w:p>
        </w:tc>
        <w:tc>
          <w:tcPr>
            <w:tcW w:w="1088" w:type="dxa"/>
            <w:tcBorders>
              <w:top w:val="nil"/>
              <w:left w:val="nil"/>
              <w:bottom w:val="single" w:sz="4" w:space="0" w:color="auto"/>
              <w:right w:val="single" w:sz="4" w:space="0" w:color="auto"/>
            </w:tcBorders>
            <w:noWrap/>
            <w:vAlign w:val="bottom"/>
            <w:hideMark/>
          </w:tcPr>
          <w:p w14:paraId="5814E776" w14:textId="77777777" w:rsidR="00204905" w:rsidRPr="00875E26" w:rsidRDefault="00204905" w:rsidP="00954C07">
            <w:pPr>
              <w:jc w:val="right"/>
              <w:rPr>
                <w:color w:val="000000"/>
              </w:rPr>
            </w:pPr>
            <w:r w:rsidRPr="00875E26">
              <w:rPr>
                <w:color w:val="000000"/>
              </w:rPr>
              <w:t>100</w:t>
            </w:r>
          </w:p>
        </w:tc>
        <w:tc>
          <w:tcPr>
            <w:tcW w:w="1572" w:type="dxa"/>
            <w:tcBorders>
              <w:top w:val="nil"/>
              <w:left w:val="nil"/>
              <w:bottom w:val="single" w:sz="4" w:space="0" w:color="auto"/>
              <w:right w:val="single" w:sz="4" w:space="0" w:color="auto"/>
            </w:tcBorders>
            <w:noWrap/>
            <w:vAlign w:val="bottom"/>
            <w:hideMark/>
          </w:tcPr>
          <w:p w14:paraId="35008FF5" w14:textId="77777777" w:rsidR="00204905" w:rsidRPr="00875E26" w:rsidRDefault="00204905" w:rsidP="00954C07">
            <w:pPr>
              <w:rPr>
                <w:color w:val="000000"/>
              </w:rPr>
            </w:pPr>
            <w:r w:rsidRPr="00875E26">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719F67AB" w14:textId="77777777" w:rsidR="00204905" w:rsidRPr="00875E26" w:rsidRDefault="00204905" w:rsidP="00954C07">
            <w:pPr>
              <w:rPr>
                <w:color w:val="000000"/>
              </w:rPr>
            </w:pPr>
            <w:r w:rsidRPr="00875E26">
              <w:rPr>
                <w:color w:val="000000"/>
              </w:rPr>
              <w:t xml:space="preserve"> $          (5,000.00)</w:t>
            </w:r>
          </w:p>
        </w:tc>
      </w:tr>
      <w:tr w:rsidR="00204905" w:rsidRPr="00875E26" w14:paraId="4214D142"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F2602BA" w14:textId="77777777" w:rsidR="00204905" w:rsidRPr="00875E26" w:rsidRDefault="00204905" w:rsidP="00954C07">
            <w:pPr>
              <w:rPr>
                <w:color w:val="000000"/>
              </w:rPr>
            </w:pPr>
            <w:r w:rsidRPr="00875E26">
              <w:rPr>
                <w:color w:val="000000"/>
              </w:rPr>
              <w:t>CC 64750</w:t>
            </w:r>
          </w:p>
        </w:tc>
        <w:tc>
          <w:tcPr>
            <w:tcW w:w="1182" w:type="dxa"/>
            <w:tcBorders>
              <w:top w:val="nil"/>
              <w:left w:val="nil"/>
              <w:bottom w:val="single" w:sz="4" w:space="0" w:color="auto"/>
              <w:right w:val="single" w:sz="4" w:space="0" w:color="auto"/>
            </w:tcBorders>
            <w:noWrap/>
            <w:vAlign w:val="bottom"/>
            <w:hideMark/>
          </w:tcPr>
          <w:p w14:paraId="20438253" w14:textId="77777777" w:rsidR="00204905" w:rsidRPr="00875E26" w:rsidRDefault="00204905" w:rsidP="00954C07">
            <w:pPr>
              <w:rPr>
                <w:color w:val="000000"/>
              </w:rPr>
            </w:pPr>
            <w:r w:rsidRPr="00875E26">
              <w:rPr>
                <w:color w:val="000000"/>
              </w:rPr>
              <w:t>EIM1Load</w:t>
            </w:r>
          </w:p>
        </w:tc>
        <w:tc>
          <w:tcPr>
            <w:tcW w:w="1088" w:type="dxa"/>
            <w:tcBorders>
              <w:top w:val="nil"/>
              <w:left w:val="nil"/>
              <w:bottom w:val="single" w:sz="4" w:space="0" w:color="auto"/>
              <w:right w:val="single" w:sz="4" w:space="0" w:color="auto"/>
            </w:tcBorders>
            <w:noWrap/>
            <w:vAlign w:val="bottom"/>
            <w:hideMark/>
          </w:tcPr>
          <w:p w14:paraId="58EB5B3B" w14:textId="77777777" w:rsidR="00204905" w:rsidRPr="00875E26" w:rsidRDefault="00204905" w:rsidP="00954C07">
            <w:pPr>
              <w:jc w:val="right"/>
              <w:rPr>
                <w:color w:val="000000"/>
              </w:rPr>
            </w:pPr>
            <w:r w:rsidRPr="00875E26">
              <w:rPr>
                <w:color w:val="000000"/>
              </w:rPr>
              <w:t>50</w:t>
            </w:r>
          </w:p>
        </w:tc>
        <w:tc>
          <w:tcPr>
            <w:tcW w:w="1572" w:type="dxa"/>
            <w:tcBorders>
              <w:top w:val="nil"/>
              <w:left w:val="nil"/>
              <w:bottom w:val="single" w:sz="4" w:space="0" w:color="auto"/>
              <w:right w:val="single" w:sz="4" w:space="0" w:color="auto"/>
            </w:tcBorders>
            <w:noWrap/>
            <w:vAlign w:val="bottom"/>
            <w:hideMark/>
          </w:tcPr>
          <w:p w14:paraId="5817BF4C" w14:textId="77777777" w:rsidR="00204905" w:rsidRPr="00875E26" w:rsidRDefault="00204905" w:rsidP="00954C07">
            <w:pPr>
              <w:rPr>
                <w:color w:val="000000"/>
              </w:rPr>
            </w:pPr>
            <w:r w:rsidRPr="00875E26">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2212B0C9" w14:textId="77777777" w:rsidR="00204905" w:rsidRPr="00875E26" w:rsidRDefault="00204905" w:rsidP="00954C07">
            <w:pPr>
              <w:rPr>
                <w:color w:val="000000"/>
              </w:rPr>
            </w:pPr>
            <w:r w:rsidRPr="00875E26">
              <w:rPr>
                <w:color w:val="000000"/>
              </w:rPr>
              <w:t xml:space="preserve"> $            1,749.50 </w:t>
            </w:r>
          </w:p>
        </w:tc>
      </w:tr>
      <w:tr w:rsidR="00204905" w:rsidRPr="00875E26" w14:paraId="631A7EF7"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33AC9A55" w14:textId="77777777" w:rsidR="00204905" w:rsidRPr="00875E26" w:rsidRDefault="00204905" w:rsidP="00954C07">
            <w:pPr>
              <w:rPr>
                <w:color w:val="000000"/>
              </w:rPr>
            </w:pPr>
            <w:r w:rsidRPr="00875E26">
              <w:rPr>
                <w:color w:val="000000"/>
              </w:rPr>
              <w:t>CC 6475</w:t>
            </w:r>
          </w:p>
        </w:tc>
        <w:tc>
          <w:tcPr>
            <w:tcW w:w="1182" w:type="dxa"/>
            <w:tcBorders>
              <w:top w:val="nil"/>
              <w:left w:val="nil"/>
              <w:bottom w:val="single" w:sz="4" w:space="0" w:color="auto"/>
              <w:right w:val="single" w:sz="4" w:space="0" w:color="auto"/>
            </w:tcBorders>
            <w:noWrap/>
            <w:vAlign w:val="bottom"/>
            <w:hideMark/>
          </w:tcPr>
          <w:p w14:paraId="7FA9820C" w14:textId="77777777" w:rsidR="00204905" w:rsidRPr="00875E26" w:rsidRDefault="00204905" w:rsidP="00954C07">
            <w:pPr>
              <w:rPr>
                <w:color w:val="000000"/>
              </w:rPr>
            </w:pPr>
            <w:r w:rsidRPr="00875E26">
              <w:rPr>
                <w:color w:val="000000"/>
              </w:rPr>
              <w:t>CISOLoad</w:t>
            </w:r>
          </w:p>
        </w:tc>
        <w:tc>
          <w:tcPr>
            <w:tcW w:w="1088" w:type="dxa"/>
            <w:tcBorders>
              <w:top w:val="nil"/>
              <w:left w:val="nil"/>
              <w:bottom w:val="single" w:sz="4" w:space="0" w:color="auto"/>
              <w:right w:val="single" w:sz="4" w:space="0" w:color="auto"/>
            </w:tcBorders>
            <w:noWrap/>
            <w:vAlign w:val="bottom"/>
            <w:hideMark/>
          </w:tcPr>
          <w:p w14:paraId="24EEF807" w14:textId="77777777" w:rsidR="00204905" w:rsidRPr="00875E26" w:rsidRDefault="00204905" w:rsidP="00954C07">
            <w:pPr>
              <w:jc w:val="right"/>
              <w:rPr>
                <w:color w:val="000000"/>
              </w:rPr>
            </w:pPr>
            <w:r w:rsidRPr="00875E26">
              <w:rPr>
                <w:color w:val="000000"/>
              </w:rPr>
              <w:t>200</w:t>
            </w:r>
          </w:p>
        </w:tc>
        <w:tc>
          <w:tcPr>
            <w:tcW w:w="1572" w:type="dxa"/>
            <w:tcBorders>
              <w:top w:val="nil"/>
              <w:left w:val="nil"/>
              <w:bottom w:val="single" w:sz="4" w:space="0" w:color="auto"/>
              <w:right w:val="single" w:sz="4" w:space="0" w:color="auto"/>
            </w:tcBorders>
            <w:noWrap/>
            <w:vAlign w:val="bottom"/>
            <w:hideMark/>
          </w:tcPr>
          <w:p w14:paraId="7EADED25" w14:textId="77777777" w:rsidR="00204905" w:rsidRPr="00875E26" w:rsidRDefault="00204905" w:rsidP="00954C07">
            <w:pPr>
              <w:rPr>
                <w:color w:val="000000"/>
              </w:rPr>
            </w:pPr>
            <w:r w:rsidRPr="00875E26">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716FA504" w14:textId="77777777" w:rsidR="00204905" w:rsidRPr="00875E26" w:rsidRDefault="00204905" w:rsidP="00954C07">
            <w:pPr>
              <w:rPr>
                <w:color w:val="000000"/>
              </w:rPr>
            </w:pPr>
            <w:r w:rsidRPr="00875E26">
              <w:rPr>
                <w:color w:val="000000"/>
              </w:rPr>
              <w:t xml:space="preserve"> $          10,000.00 </w:t>
            </w:r>
          </w:p>
        </w:tc>
      </w:tr>
    </w:tbl>
    <w:p w14:paraId="0A85B4F5" w14:textId="77777777" w:rsidR="00204905" w:rsidRPr="00875E26" w:rsidRDefault="00204905" w:rsidP="00204905"/>
    <w:tbl>
      <w:tblPr>
        <w:tblW w:w="9151" w:type="dxa"/>
        <w:tblLook w:val="04A0" w:firstRow="1" w:lastRow="0" w:firstColumn="1" w:lastColumn="0" w:noHBand="0" w:noVBand="1"/>
      </w:tblPr>
      <w:tblGrid>
        <w:gridCol w:w="2140"/>
        <w:gridCol w:w="830"/>
        <w:gridCol w:w="1620"/>
        <w:gridCol w:w="1440"/>
        <w:gridCol w:w="1800"/>
        <w:gridCol w:w="1334"/>
      </w:tblGrid>
      <w:tr w:rsidR="00204905" w:rsidRPr="00875E26" w14:paraId="25955C8B" w14:textId="77777777" w:rsidTr="00954C07">
        <w:trPr>
          <w:trHeight w:val="300"/>
        </w:trPr>
        <w:tc>
          <w:tcPr>
            <w:tcW w:w="2140" w:type="dxa"/>
            <w:tcBorders>
              <w:top w:val="nil"/>
              <w:left w:val="nil"/>
              <w:bottom w:val="nil"/>
              <w:right w:val="nil"/>
            </w:tcBorders>
            <w:noWrap/>
            <w:vAlign w:val="bottom"/>
            <w:hideMark/>
          </w:tcPr>
          <w:p w14:paraId="467BCBB5" w14:textId="77777777" w:rsidR="00204905" w:rsidRPr="00875E26" w:rsidRDefault="00204905" w:rsidP="00954C07">
            <w:pPr>
              <w:rPr>
                <w:color w:val="000000"/>
              </w:rPr>
            </w:pPr>
            <w:r w:rsidRPr="00875E26">
              <w:rPr>
                <w:color w:val="000000"/>
              </w:rPr>
              <w:t>RTCO Calculation</w:t>
            </w:r>
          </w:p>
        </w:tc>
        <w:tc>
          <w:tcPr>
            <w:tcW w:w="830" w:type="dxa"/>
            <w:tcBorders>
              <w:top w:val="nil"/>
              <w:left w:val="nil"/>
              <w:bottom w:val="nil"/>
              <w:right w:val="nil"/>
            </w:tcBorders>
            <w:noWrap/>
            <w:vAlign w:val="bottom"/>
            <w:hideMark/>
          </w:tcPr>
          <w:p w14:paraId="1642BB25" w14:textId="77777777" w:rsidR="00204905" w:rsidRPr="00875E26" w:rsidRDefault="00204905" w:rsidP="00954C07">
            <w:pPr>
              <w:rPr>
                <w:color w:val="000000"/>
              </w:rPr>
            </w:pPr>
            <w:r w:rsidRPr="00875E26">
              <w:rPr>
                <w:color w:val="000000"/>
              </w:rPr>
              <w:t>QTY</w:t>
            </w:r>
          </w:p>
        </w:tc>
        <w:tc>
          <w:tcPr>
            <w:tcW w:w="1620" w:type="dxa"/>
            <w:tcBorders>
              <w:top w:val="nil"/>
              <w:left w:val="nil"/>
              <w:bottom w:val="nil"/>
              <w:right w:val="nil"/>
            </w:tcBorders>
            <w:noWrap/>
            <w:vAlign w:val="bottom"/>
            <w:hideMark/>
          </w:tcPr>
          <w:p w14:paraId="19122C7F" w14:textId="77777777" w:rsidR="00204905" w:rsidRPr="00875E26" w:rsidRDefault="00204905" w:rsidP="00954C07">
            <w:pPr>
              <w:rPr>
                <w:color w:val="000000"/>
              </w:rPr>
            </w:pPr>
            <w:r w:rsidRPr="00875E26">
              <w:rPr>
                <w:color w:val="000000"/>
              </w:rPr>
              <w:t>MCC(EIM1)*</w:t>
            </w:r>
          </w:p>
        </w:tc>
        <w:tc>
          <w:tcPr>
            <w:tcW w:w="1440" w:type="dxa"/>
            <w:tcBorders>
              <w:top w:val="nil"/>
              <w:left w:val="nil"/>
              <w:bottom w:val="nil"/>
              <w:right w:val="nil"/>
            </w:tcBorders>
            <w:noWrap/>
            <w:vAlign w:val="bottom"/>
            <w:hideMark/>
          </w:tcPr>
          <w:p w14:paraId="6941C47F" w14:textId="77777777" w:rsidR="00204905" w:rsidRPr="00875E26" w:rsidRDefault="00204905" w:rsidP="00954C07">
            <w:pPr>
              <w:rPr>
                <w:color w:val="000000"/>
              </w:rPr>
            </w:pPr>
            <w:r w:rsidRPr="00875E26">
              <w:rPr>
                <w:color w:val="000000"/>
              </w:rPr>
              <w:t>Amount</w:t>
            </w:r>
          </w:p>
        </w:tc>
        <w:tc>
          <w:tcPr>
            <w:tcW w:w="1800" w:type="dxa"/>
            <w:tcBorders>
              <w:top w:val="nil"/>
              <w:left w:val="nil"/>
              <w:bottom w:val="nil"/>
              <w:right w:val="nil"/>
            </w:tcBorders>
            <w:noWrap/>
            <w:vAlign w:val="bottom"/>
            <w:hideMark/>
          </w:tcPr>
          <w:p w14:paraId="1B1C3D77" w14:textId="77777777" w:rsidR="00204905" w:rsidRPr="00875E26" w:rsidRDefault="00204905" w:rsidP="00954C07">
            <w:pPr>
              <w:rPr>
                <w:color w:val="000000"/>
              </w:rPr>
            </w:pPr>
            <w:r w:rsidRPr="00875E26">
              <w:rPr>
                <w:color w:val="000000"/>
              </w:rPr>
              <w:t>MCC(CISO)</w:t>
            </w:r>
          </w:p>
        </w:tc>
        <w:tc>
          <w:tcPr>
            <w:tcW w:w="1321" w:type="dxa"/>
            <w:tcBorders>
              <w:top w:val="nil"/>
              <w:left w:val="nil"/>
              <w:bottom w:val="nil"/>
              <w:right w:val="nil"/>
            </w:tcBorders>
            <w:noWrap/>
            <w:vAlign w:val="bottom"/>
            <w:hideMark/>
          </w:tcPr>
          <w:p w14:paraId="256EC557" w14:textId="77777777" w:rsidR="00204905" w:rsidRPr="00875E26" w:rsidRDefault="00204905" w:rsidP="00954C07">
            <w:pPr>
              <w:rPr>
                <w:color w:val="000000"/>
              </w:rPr>
            </w:pPr>
            <w:r w:rsidRPr="00875E26">
              <w:rPr>
                <w:color w:val="000000"/>
              </w:rPr>
              <w:t>Amount</w:t>
            </w:r>
          </w:p>
        </w:tc>
      </w:tr>
      <w:tr w:rsidR="00204905" w:rsidRPr="00875E26" w14:paraId="0DDB1D0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E0C1457" w14:textId="77777777" w:rsidR="00204905" w:rsidRPr="00875E26" w:rsidRDefault="00204905" w:rsidP="00954C07">
            <w:pPr>
              <w:rPr>
                <w:color w:val="000000"/>
              </w:rPr>
            </w:pPr>
            <w:r w:rsidRPr="00875E26">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60753142" w14:textId="77777777" w:rsidR="00204905" w:rsidRPr="00875E26" w:rsidRDefault="00204905" w:rsidP="00954C07">
            <w:pPr>
              <w:jc w:val="right"/>
              <w:rPr>
                <w:color w:val="000000"/>
              </w:rPr>
            </w:pPr>
            <w:r w:rsidRPr="00875E26">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0AEFA14C" w14:textId="77777777" w:rsidR="00204905" w:rsidRPr="00875E26" w:rsidRDefault="00204905" w:rsidP="00954C07">
            <w:pPr>
              <w:rPr>
                <w:color w:val="000000"/>
              </w:rPr>
            </w:pPr>
            <w:r w:rsidRPr="00875E26">
              <w:rPr>
                <w:color w:val="000000"/>
              </w:rPr>
              <w:t xml:space="preserve"> $          (15.01)</w:t>
            </w:r>
          </w:p>
        </w:tc>
        <w:tc>
          <w:tcPr>
            <w:tcW w:w="1440" w:type="dxa"/>
            <w:tcBorders>
              <w:top w:val="single" w:sz="4" w:space="0" w:color="auto"/>
              <w:left w:val="nil"/>
              <w:bottom w:val="single" w:sz="4" w:space="0" w:color="auto"/>
              <w:right w:val="single" w:sz="4" w:space="0" w:color="auto"/>
            </w:tcBorders>
            <w:noWrap/>
            <w:vAlign w:val="bottom"/>
            <w:hideMark/>
          </w:tcPr>
          <w:p w14:paraId="260B9ECD" w14:textId="77777777" w:rsidR="00204905" w:rsidRPr="00875E26" w:rsidRDefault="00204905" w:rsidP="00954C07">
            <w:pPr>
              <w:rPr>
                <w:color w:val="000000"/>
              </w:rPr>
            </w:pPr>
            <w:r w:rsidRPr="00875E26">
              <w:rPr>
                <w:color w:val="000000"/>
              </w:rPr>
              <w:t xml:space="preserve"> $  2,251.50 </w:t>
            </w:r>
          </w:p>
        </w:tc>
        <w:tc>
          <w:tcPr>
            <w:tcW w:w="1800" w:type="dxa"/>
            <w:tcBorders>
              <w:top w:val="single" w:sz="4" w:space="0" w:color="auto"/>
              <w:left w:val="nil"/>
              <w:bottom w:val="single" w:sz="4" w:space="0" w:color="auto"/>
              <w:right w:val="single" w:sz="4" w:space="0" w:color="auto"/>
            </w:tcBorders>
            <w:noWrap/>
            <w:vAlign w:val="bottom"/>
            <w:hideMark/>
          </w:tcPr>
          <w:p w14:paraId="26D7EF2C" w14:textId="77777777" w:rsidR="00204905" w:rsidRPr="00875E26" w:rsidRDefault="00204905" w:rsidP="00954C07">
            <w:pPr>
              <w:rPr>
                <w:color w:val="000000"/>
              </w:rPr>
            </w:pPr>
            <w:r w:rsidRPr="00875E26">
              <w:rPr>
                <w:color w:val="000000"/>
              </w:rPr>
              <w:t xml:space="preserve"> $                     -   </w:t>
            </w:r>
          </w:p>
        </w:tc>
        <w:tc>
          <w:tcPr>
            <w:tcW w:w="1321" w:type="dxa"/>
            <w:tcBorders>
              <w:top w:val="single" w:sz="4" w:space="0" w:color="auto"/>
              <w:left w:val="nil"/>
              <w:bottom w:val="single" w:sz="4" w:space="0" w:color="auto"/>
              <w:right w:val="single" w:sz="4" w:space="0" w:color="auto"/>
            </w:tcBorders>
            <w:noWrap/>
            <w:vAlign w:val="bottom"/>
            <w:hideMark/>
          </w:tcPr>
          <w:p w14:paraId="44FF3683" w14:textId="77777777" w:rsidR="00204905" w:rsidRPr="00875E26" w:rsidRDefault="00204905" w:rsidP="00954C07">
            <w:pPr>
              <w:rPr>
                <w:color w:val="000000"/>
              </w:rPr>
            </w:pPr>
            <w:r w:rsidRPr="00875E26">
              <w:rPr>
                <w:color w:val="000000"/>
              </w:rPr>
              <w:t xml:space="preserve"> $           -   </w:t>
            </w:r>
          </w:p>
        </w:tc>
      </w:tr>
      <w:tr w:rsidR="00204905" w:rsidRPr="00875E26" w14:paraId="0524BE07"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9F55C6D" w14:textId="77777777" w:rsidR="00204905" w:rsidRPr="00875E26" w:rsidRDefault="00204905" w:rsidP="00954C07">
            <w:pPr>
              <w:rPr>
                <w:color w:val="000000"/>
              </w:rPr>
            </w:pPr>
            <w:r w:rsidRPr="00875E26">
              <w:rPr>
                <w:color w:val="000000"/>
              </w:rPr>
              <w:t>CISOGen</w:t>
            </w:r>
          </w:p>
        </w:tc>
        <w:tc>
          <w:tcPr>
            <w:tcW w:w="830" w:type="dxa"/>
            <w:tcBorders>
              <w:top w:val="nil"/>
              <w:left w:val="nil"/>
              <w:bottom w:val="single" w:sz="4" w:space="0" w:color="auto"/>
              <w:right w:val="single" w:sz="4" w:space="0" w:color="auto"/>
            </w:tcBorders>
            <w:noWrap/>
            <w:vAlign w:val="bottom"/>
            <w:hideMark/>
          </w:tcPr>
          <w:p w14:paraId="44E794FE" w14:textId="77777777" w:rsidR="00204905" w:rsidRPr="00875E26" w:rsidRDefault="00204905" w:rsidP="00954C07">
            <w:pPr>
              <w:jc w:val="right"/>
              <w:rPr>
                <w:color w:val="000000"/>
              </w:rPr>
            </w:pPr>
            <w:r w:rsidRPr="00875E26">
              <w:rPr>
                <w:color w:val="000000"/>
              </w:rPr>
              <w:t>100</w:t>
            </w:r>
          </w:p>
        </w:tc>
        <w:tc>
          <w:tcPr>
            <w:tcW w:w="1620" w:type="dxa"/>
            <w:tcBorders>
              <w:top w:val="nil"/>
              <w:left w:val="nil"/>
              <w:bottom w:val="single" w:sz="4" w:space="0" w:color="auto"/>
              <w:right w:val="single" w:sz="4" w:space="0" w:color="auto"/>
            </w:tcBorders>
            <w:noWrap/>
            <w:vAlign w:val="bottom"/>
            <w:hideMark/>
          </w:tcPr>
          <w:p w14:paraId="034BB47C"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0A57B538"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61CFD35A"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7CEC0264" w14:textId="77777777" w:rsidR="00204905" w:rsidRPr="00875E26" w:rsidRDefault="00204905" w:rsidP="00954C07">
            <w:pPr>
              <w:rPr>
                <w:color w:val="000000"/>
              </w:rPr>
            </w:pPr>
            <w:r w:rsidRPr="00875E26">
              <w:rPr>
                <w:color w:val="000000"/>
              </w:rPr>
              <w:t xml:space="preserve"> $           -   </w:t>
            </w:r>
          </w:p>
        </w:tc>
      </w:tr>
      <w:tr w:rsidR="00204905" w:rsidRPr="00875E26" w14:paraId="00BD19C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D9AC438" w14:textId="77777777" w:rsidR="00204905" w:rsidRPr="00875E26" w:rsidRDefault="00204905" w:rsidP="00954C07">
            <w:pPr>
              <w:rPr>
                <w:color w:val="000000"/>
              </w:rPr>
            </w:pPr>
            <w:r w:rsidRPr="00875E26">
              <w:rPr>
                <w:color w:val="000000"/>
              </w:rPr>
              <w:t>EIM1Load</w:t>
            </w:r>
          </w:p>
        </w:tc>
        <w:tc>
          <w:tcPr>
            <w:tcW w:w="830" w:type="dxa"/>
            <w:tcBorders>
              <w:top w:val="nil"/>
              <w:left w:val="nil"/>
              <w:bottom w:val="single" w:sz="4" w:space="0" w:color="auto"/>
              <w:right w:val="single" w:sz="4" w:space="0" w:color="auto"/>
            </w:tcBorders>
            <w:noWrap/>
            <w:vAlign w:val="bottom"/>
            <w:hideMark/>
          </w:tcPr>
          <w:p w14:paraId="65668297" w14:textId="77777777" w:rsidR="00204905" w:rsidRPr="00875E26" w:rsidRDefault="00204905" w:rsidP="00954C07">
            <w:pPr>
              <w:jc w:val="right"/>
              <w:rPr>
                <w:color w:val="000000"/>
              </w:rPr>
            </w:pPr>
            <w:r w:rsidRPr="00875E26">
              <w:rPr>
                <w:color w:val="000000"/>
              </w:rPr>
              <w:t>-50</w:t>
            </w:r>
          </w:p>
        </w:tc>
        <w:tc>
          <w:tcPr>
            <w:tcW w:w="1620" w:type="dxa"/>
            <w:tcBorders>
              <w:top w:val="nil"/>
              <w:left w:val="nil"/>
              <w:bottom w:val="single" w:sz="4" w:space="0" w:color="auto"/>
              <w:right w:val="single" w:sz="4" w:space="0" w:color="auto"/>
            </w:tcBorders>
            <w:noWrap/>
            <w:vAlign w:val="bottom"/>
            <w:hideMark/>
          </w:tcPr>
          <w:p w14:paraId="28ACCA93" w14:textId="77777777" w:rsidR="00204905" w:rsidRPr="00875E26" w:rsidRDefault="00204905" w:rsidP="00954C07">
            <w:pPr>
              <w:rPr>
                <w:color w:val="000000"/>
              </w:rPr>
            </w:pPr>
            <w:r w:rsidRPr="00875E26">
              <w:rPr>
                <w:color w:val="000000"/>
              </w:rPr>
              <w:t xml:space="preserve"> $          (15.01)</w:t>
            </w:r>
          </w:p>
        </w:tc>
        <w:tc>
          <w:tcPr>
            <w:tcW w:w="1440" w:type="dxa"/>
            <w:tcBorders>
              <w:top w:val="nil"/>
              <w:left w:val="nil"/>
              <w:bottom w:val="single" w:sz="4" w:space="0" w:color="auto"/>
              <w:right w:val="single" w:sz="4" w:space="0" w:color="auto"/>
            </w:tcBorders>
            <w:noWrap/>
            <w:vAlign w:val="bottom"/>
            <w:hideMark/>
          </w:tcPr>
          <w:p w14:paraId="07E43C94" w14:textId="77777777" w:rsidR="00204905" w:rsidRPr="00875E26" w:rsidRDefault="00204905" w:rsidP="00954C07">
            <w:pPr>
              <w:rPr>
                <w:color w:val="000000"/>
              </w:rPr>
            </w:pPr>
            <w:r w:rsidRPr="00875E26">
              <w:rPr>
                <w:color w:val="000000"/>
              </w:rPr>
              <w:t xml:space="preserve"> $   (750.50)</w:t>
            </w:r>
          </w:p>
        </w:tc>
        <w:tc>
          <w:tcPr>
            <w:tcW w:w="1800" w:type="dxa"/>
            <w:tcBorders>
              <w:top w:val="nil"/>
              <w:left w:val="nil"/>
              <w:bottom w:val="single" w:sz="4" w:space="0" w:color="auto"/>
              <w:right w:val="single" w:sz="4" w:space="0" w:color="auto"/>
            </w:tcBorders>
            <w:noWrap/>
            <w:vAlign w:val="bottom"/>
            <w:hideMark/>
          </w:tcPr>
          <w:p w14:paraId="59F49EB4"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18794E4A" w14:textId="77777777" w:rsidR="00204905" w:rsidRPr="00875E26" w:rsidRDefault="00204905" w:rsidP="00954C07">
            <w:pPr>
              <w:rPr>
                <w:color w:val="000000"/>
              </w:rPr>
            </w:pPr>
            <w:r w:rsidRPr="00875E26">
              <w:rPr>
                <w:color w:val="000000"/>
              </w:rPr>
              <w:t xml:space="preserve"> $           -   </w:t>
            </w:r>
          </w:p>
        </w:tc>
      </w:tr>
      <w:tr w:rsidR="00204905" w:rsidRPr="00875E26" w14:paraId="42FC01B2"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71924679" w14:textId="77777777" w:rsidR="00204905" w:rsidRPr="00875E26" w:rsidRDefault="00204905" w:rsidP="00954C07">
            <w:pPr>
              <w:rPr>
                <w:color w:val="000000"/>
              </w:rPr>
            </w:pPr>
            <w:r w:rsidRPr="00875E26">
              <w:rPr>
                <w:color w:val="000000"/>
              </w:rPr>
              <w:t>CISOLoad</w:t>
            </w:r>
          </w:p>
        </w:tc>
        <w:tc>
          <w:tcPr>
            <w:tcW w:w="830" w:type="dxa"/>
            <w:tcBorders>
              <w:top w:val="nil"/>
              <w:left w:val="nil"/>
              <w:bottom w:val="nil"/>
              <w:right w:val="single" w:sz="4" w:space="0" w:color="auto"/>
            </w:tcBorders>
            <w:noWrap/>
            <w:vAlign w:val="bottom"/>
            <w:hideMark/>
          </w:tcPr>
          <w:p w14:paraId="13A67ABC" w14:textId="77777777" w:rsidR="00204905" w:rsidRPr="00875E26" w:rsidRDefault="00204905" w:rsidP="00954C07">
            <w:pPr>
              <w:jc w:val="right"/>
              <w:rPr>
                <w:color w:val="000000"/>
              </w:rPr>
            </w:pPr>
            <w:r w:rsidRPr="00875E26">
              <w:rPr>
                <w:color w:val="000000"/>
              </w:rPr>
              <w:t>-200</w:t>
            </w:r>
          </w:p>
        </w:tc>
        <w:tc>
          <w:tcPr>
            <w:tcW w:w="1620" w:type="dxa"/>
            <w:tcBorders>
              <w:top w:val="nil"/>
              <w:left w:val="nil"/>
              <w:bottom w:val="nil"/>
              <w:right w:val="single" w:sz="4" w:space="0" w:color="auto"/>
            </w:tcBorders>
            <w:noWrap/>
            <w:vAlign w:val="bottom"/>
            <w:hideMark/>
          </w:tcPr>
          <w:p w14:paraId="74BF372A"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66B4414A"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nil"/>
              <w:right w:val="single" w:sz="4" w:space="0" w:color="auto"/>
            </w:tcBorders>
            <w:noWrap/>
            <w:vAlign w:val="bottom"/>
            <w:hideMark/>
          </w:tcPr>
          <w:p w14:paraId="2C39979D"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387A32CF" w14:textId="77777777" w:rsidR="00204905" w:rsidRPr="00875E26" w:rsidRDefault="00204905" w:rsidP="00954C07">
            <w:pPr>
              <w:rPr>
                <w:color w:val="000000"/>
              </w:rPr>
            </w:pPr>
            <w:r w:rsidRPr="00875E26">
              <w:rPr>
                <w:color w:val="000000"/>
              </w:rPr>
              <w:t xml:space="preserve"> $           -   </w:t>
            </w:r>
          </w:p>
        </w:tc>
      </w:tr>
      <w:tr w:rsidR="00204905" w:rsidRPr="00875E26" w14:paraId="0266CED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58D9E2FA" w14:textId="77777777" w:rsidR="00204905" w:rsidRPr="00875E26" w:rsidRDefault="00204905" w:rsidP="00954C07">
            <w:pPr>
              <w:rPr>
                <w:color w:val="000000"/>
              </w:rPr>
            </w:pPr>
            <w:r w:rsidRPr="00875E26">
              <w:rPr>
                <w:color w:val="000000"/>
              </w:rPr>
              <w:t>Total</w:t>
            </w:r>
          </w:p>
        </w:tc>
        <w:tc>
          <w:tcPr>
            <w:tcW w:w="830" w:type="dxa"/>
            <w:tcBorders>
              <w:top w:val="single" w:sz="4" w:space="0" w:color="auto"/>
              <w:left w:val="nil"/>
              <w:bottom w:val="single" w:sz="4" w:space="0" w:color="auto"/>
              <w:right w:val="nil"/>
            </w:tcBorders>
            <w:noWrap/>
            <w:vAlign w:val="bottom"/>
            <w:hideMark/>
          </w:tcPr>
          <w:p w14:paraId="39E57E71" w14:textId="77777777" w:rsidR="00204905" w:rsidRPr="00875E26" w:rsidRDefault="00204905" w:rsidP="00954C07">
            <w:pPr>
              <w:rPr>
                <w:color w:val="000000"/>
              </w:rPr>
            </w:pPr>
            <w:r w:rsidRPr="00875E26">
              <w:rPr>
                <w:color w:val="000000"/>
              </w:rPr>
              <w:t> </w:t>
            </w:r>
          </w:p>
        </w:tc>
        <w:tc>
          <w:tcPr>
            <w:tcW w:w="1620" w:type="dxa"/>
            <w:tcBorders>
              <w:top w:val="single" w:sz="4" w:space="0" w:color="auto"/>
              <w:left w:val="nil"/>
              <w:bottom w:val="single" w:sz="4" w:space="0" w:color="auto"/>
              <w:right w:val="nil"/>
            </w:tcBorders>
            <w:noWrap/>
            <w:vAlign w:val="bottom"/>
            <w:hideMark/>
          </w:tcPr>
          <w:p w14:paraId="343084ED" w14:textId="77777777" w:rsidR="00204905" w:rsidRPr="00875E26" w:rsidRDefault="00204905" w:rsidP="00954C07">
            <w:pPr>
              <w:rPr>
                <w:color w:val="000000"/>
              </w:rPr>
            </w:pPr>
            <w:r w:rsidRPr="00875E26">
              <w:rPr>
                <w:color w:val="000000"/>
              </w:rPr>
              <w:t> </w:t>
            </w:r>
          </w:p>
        </w:tc>
        <w:tc>
          <w:tcPr>
            <w:tcW w:w="1440" w:type="dxa"/>
            <w:tcBorders>
              <w:top w:val="nil"/>
              <w:left w:val="nil"/>
              <w:bottom w:val="single" w:sz="4" w:space="0" w:color="auto"/>
              <w:right w:val="nil"/>
            </w:tcBorders>
            <w:noWrap/>
            <w:vAlign w:val="bottom"/>
            <w:hideMark/>
          </w:tcPr>
          <w:p w14:paraId="446843B3" w14:textId="77777777" w:rsidR="00204905" w:rsidRPr="00875E26" w:rsidRDefault="00204905" w:rsidP="00954C07">
            <w:pPr>
              <w:rPr>
                <w:color w:val="000000"/>
              </w:rPr>
            </w:pPr>
            <w:r w:rsidRPr="00875E26">
              <w:rPr>
                <w:color w:val="000000"/>
              </w:rPr>
              <w:t xml:space="preserve"> $  1,501.00 </w:t>
            </w:r>
          </w:p>
        </w:tc>
        <w:tc>
          <w:tcPr>
            <w:tcW w:w="1800" w:type="dxa"/>
            <w:tcBorders>
              <w:top w:val="single" w:sz="4" w:space="0" w:color="auto"/>
              <w:left w:val="nil"/>
              <w:bottom w:val="single" w:sz="4" w:space="0" w:color="auto"/>
              <w:right w:val="nil"/>
            </w:tcBorders>
            <w:noWrap/>
            <w:vAlign w:val="bottom"/>
            <w:hideMark/>
          </w:tcPr>
          <w:p w14:paraId="6EFA0E6E" w14:textId="77777777" w:rsidR="00204905" w:rsidRPr="00875E26" w:rsidRDefault="00204905" w:rsidP="00954C07">
            <w:pPr>
              <w:rPr>
                <w:color w:val="000000"/>
              </w:rPr>
            </w:pPr>
            <w:r w:rsidRPr="00875E26">
              <w:rPr>
                <w:color w:val="000000"/>
              </w:rPr>
              <w:t> </w:t>
            </w:r>
          </w:p>
        </w:tc>
        <w:tc>
          <w:tcPr>
            <w:tcW w:w="1321" w:type="dxa"/>
            <w:tcBorders>
              <w:top w:val="nil"/>
              <w:left w:val="nil"/>
              <w:bottom w:val="single" w:sz="4" w:space="0" w:color="auto"/>
              <w:right w:val="single" w:sz="4" w:space="0" w:color="auto"/>
            </w:tcBorders>
            <w:noWrap/>
            <w:vAlign w:val="bottom"/>
            <w:hideMark/>
          </w:tcPr>
          <w:p w14:paraId="0A087B17" w14:textId="77777777" w:rsidR="00204905" w:rsidRPr="00875E26" w:rsidRDefault="00204905" w:rsidP="00954C07">
            <w:pPr>
              <w:rPr>
                <w:color w:val="000000"/>
              </w:rPr>
            </w:pPr>
            <w:r w:rsidRPr="00875E26">
              <w:rPr>
                <w:color w:val="000000"/>
              </w:rPr>
              <w:t xml:space="preserve"> $           -   </w:t>
            </w:r>
          </w:p>
        </w:tc>
      </w:tr>
      <w:tr w:rsidR="00204905" w:rsidRPr="00875E26" w14:paraId="4D899A50" w14:textId="77777777" w:rsidTr="00954C07">
        <w:trPr>
          <w:trHeight w:val="300"/>
        </w:trPr>
        <w:tc>
          <w:tcPr>
            <w:tcW w:w="2140" w:type="dxa"/>
            <w:tcBorders>
              <w:top w:val="nil"/>
              <w:left w:val="nil"/>
              <w:bottom w:val="nil"/>
              <w:right w:val="nil"/>
            </w:tcBorders>
            <w:noWrap/>
            <w:vAlign w:val="bottom"/>
            <w:hideMark/>
          </w:tcPr>
          <w:p w14:paraId="3D19CB66" w14:textId="77777777" w:rsidR="00204905" w:rsidRPr="00875E26" w:rsidRDefault="00204905" w:rsidP="00954C07">
            <w:pPr>
              <w:rPr>
                <w:color w:val="000000"/>
              </w:rPr>
            </w:pPr>
          </w:p>
        </w:tc>
        <w:tc>
          <w:tcPr>
            <w:tcW w:w="830" w:type="dxa"/>
            <w:tcBorders>
              <w:top w:val="nil"/>
              <w:left w:val="nil"/>
              <w:bottom w:val="nil"/>
              <w:right w:val="nil"/>
            </w:tcBorders>
            <w:noWrap/>
            <w:vAlign w:val="bottom"/>
            <w:hideMark/>
          </w:tcPr>
          <w:p w14:paraId="219CD1DD" w14:textId="77777777" w:rsidR="00204905" w:rsidRPr="00875E26" w:rsidRDefault="00204905" w:rsidP="00954C07"/>
        </w:tc>
        <w:tc>
          <w:tcPr>
            <w:tcW w:w="1620" w:type="dxa"/>
            <w:tcBorders>
              <w:top w:val="nil"/>
              <w:left w:val="nil"/>
              <w:bottom w:val="nil"/>
              <w:right w:val="nil"/>
            </w:tcBorders>
            <w:noWrap/>
            <w:vAlign w:val="bottom"/>
            <w:hideMark/>
          </w:tcPr>
          <w:p w14:paraId="182BD28B" w14:textId="77777777" w:rsidR="00204905" w:rsidRPr="00875E26" w:rsidRDefault="00204905" w:rsidP="00954C07"/>
        </w:tc>
        <w:tc>
          <w:tcPr>
            <w:tcW w:w="1440" w:type="dxa"/>
            <w:tcBorders>
              <w:top w:val="nil"/>
              <w:left w:val="nil"/>
              <w:bottom w:val="nil"/>
              <w:right w:val="nil"/>
            </w:tcBorders>
            <w:noWrap/>
            <w:vAlign w:val="bottom"/>
            <w:hideMark/>
          </w:tcPr>
          <w:p w14:paraId="6438EE5E" w14:textId="77777777" w:rsidR="00204905" w:rsidRPr="00875E26" w:rsidRDefault="00204905" w:rsidP="00954C07"/>
        </w:tc>
        <w:tc>
          <w:tcPr>
            <w:tcW w:w="1800" w:type="dxa"/>
            <w:tcBorders>
              <w:top w:val="nil"/>
              <w:left w:val="nil"/>
              <w:bottom w:val="nil"/>
              <w:right w:val="nil"/>
            </w:tcBorders>
            <w:noWrap/>
            <w:vAlign w:val="bottom"/>
            <w:hideMark/>
          </w:tcPr>
          <w:p w14:paraId="771D7E1D" w14:textId="77777777" w:rsidR="00204905" w:rsidRPr="00875E26" w:rsidRDefault="00204905" w:rsidP="00954C07"/>
        </w:tc>
        <w:tc>
          <w:tcPr>
            <w:tcW w:w="1321" w:type="dxa"/>
            <w:tcBorders>
              <w:top w:val="nil"/>
              <w:left w:val="nil"/>
              <w:bottom w:val="nil"/>
              <w:right w:val="nil"/>
            </w:tcBorders>
            <w:noWrap/>
            <w:vAlign w:val="bottom"/>
            <w:hideMark/>
          </w:tcPr>
          <w:p w14:paraId="417C02F0" w14:textId="77777777" w:rsidR="00204905" w:rsidRPr="00875E26" w:rsidRDefault="00204905" w:rsidP="00954C07"/>
        </w:tc>
      </w:tr>
      <w:tr w:rsidR="00204905" w:rsidRPr="00875E26" w14:paraId="1B1D8A4C" w14:textId="77777777" w:rsidTr="00954C07">
        <w:trPr>
          <w:trHeight w:val="300"/>
        </w:trPr>
        <w:tc>
          <w:tcPr>
            <w:tcW w:w="2140" w:type="dxa"/>
            <w:tcBorders>
              <w:top w:val="nil"/>
              <w:left w:val="nil"/>
              <w:bottom w:val="nil"/>
              <w:right w:val="nil"/>
            </w:tcBorders>
            <w:noWrap/>
            <w:vAlign w:val="bottom"/>
            <w:hideMark/>
          </w:tcPr>
          <w:p w14:paraId="32F1C2D5" w14:textId="77777777" w:rsidR="00204905" w:rsidRPr="00875E26" w:rsidRDefault="00204905" w:rsidP="00954C07">
            <w:pPr>
              <w:rPr>
                <w:color w:val="000000"/>
              </w:rPr>
            </w:pPr>
            <w:r w:rsidRPr="00875E26">
              <w:rPr>
                <w:color w:val="000000"/>
              </w:rPr>
              <w:lastRenderedPageBreak/>
              <w:t>RTCO Allocation</w:t>
            </w:r>
          </w:p>
        </w:tc>
        <w:tc>
          <w:tcPr>
            <w:tcW w:w="830" w:type="dxa"/>
            <w:tcBorders>
              <w:top w:val="nil"/>
              <w:left w:val="nil"/>
              <w:bottom w:val="nil"/>
              <w:right w:val="nil"/>
            </w:tcBorders>
            <w:noWrap/>
            <w:vAlign w:val="bottom"/>
            <w:hideMark/>
          </w:tcPr>
          <w:p w14:paraId="7FCC4210" w14:textId="77777777" w:rsidR="00204905" w:rsidRPr="00875E26" w:rsidRDefault="00204905" w:rsidP="00954C07">
            <w:pPr>
              <w:rPr>
                <w:color w:val="000000"/>
              </w:rPr>
            </w:pPr>
            <w:r w:rsidRPr="00875E26">
              <w:rPr>
                <w:color w:val="000000"/>
              </w:rPr>
              <w:t>QTY</w:t>
            </w:r>
          </w:p>
        </w:tc>
        <w:tc>
          <w:tcPr>
            <w:tcW w:w="1620" w:type="dxa"/>
            <w:tcBorders>
              <w:top w:val="nil"/>
              <w:left w:val="nil"/>
              <w:bottom w:val="nil"/>
              <w:right w:val="nil"/>
            </w:tcBorders>
            <w:noWrap/>
            <w:vAlign w:val="bottom"/>
            <w:hideMark/>
          </w:tcPr>
          <w:p w14:paraId="5A0F541A" w14:textId="77777777" w:rsidR="00204905" w:rsidRPr="00875E26" w:rsidRDefault="00204905" w:rsidP="00954C07">
            <w:pPr>
              <w:rPr>
                <w:color w:val="000000"/>
              </w:rPr>
            </w:pPr>
            <w:r w:rsidRPr="00875E26">
              <w:rPr>
                <w:color w:val="000000"/>
              </w:rPr>
              <w:t>MCC(EIM1)**</w:t>
            </w:r>
          </w:p>
        </w:tc>
        <w:tc>
          <w:tcPr>
            <w:tcW w:w="1440" w:type="dxa"/>
            <w:tcBorders>
              <w:top w:val="nil"/>
              <w:left w:val="nil"/>
              <w:bottom w:val="nil"/>
              <w:right w:val="nil"/>
            </w:tcBorders>
            <w:noWrap/>
            <w:vAlign w:val="bottom"/>
            <w:hideMark/>
          </w:tcPr>
          <w:p w14:paraId="191A3FB1" w14:textId="77777777" w:rsidR="00204905" w:rsidRPr="00875E26" w:rsidRDefault="00204905" w:rsidP="00954C07">
            <w:pPr>
              <w:rPr>
                <w:color w:val="000000"/>
              </w:rPr>
            </w:pPr>
            <w:r w:rsidRPr="00875E26">
              <w:rPr>
                <w:color w:val="000000"/>
              </w:rPr>
              <w:t>Amount</w:t>
            </w:r>
          </w:p>
        </w:tc>
        <w:tc>
          <w:tcPr>
            <w:tcW w:w="1800" w:type="dxa"/>
            <w:tcBorders>
              <w:top w:val="nil"/>
              <w:left w:val="nil"/>
              <w:bottom w:val="nil"/>
              <w:right w:val="nil"/>
            </w:tcBorders>
            <w:noWrap/>
            <w:vAlign w:val="bottom"/>
            <w:hideMark/>
          </w:tcPr>
          <w:p w14:paraId="1F0A1F67" w14:textId="77777777" w:rsidR="00204905" w:rsidRPr="00875E26" w:rsidRDefault="00204905" w:rsidP="00954C07">
            <w:pPr>
              <w:rPr>
                <w:color w:val="000000"/>
              </w:rPr>
            </w:pPr>
            <w:r w:rsidRPr="00875E26">
              <w:rPr>
                <w:color w:val="000000"/>
              </w:rPr>
              <w:t>MCC(CISO)**</w:t>
            </w:r>
          </w:p>
        </w:tc>
        <w:tc>
          <w:tcPr>
            <w:tcW w:w="1321" w:type="dxa"/>
            <w:tcBorders>
              <w:top w:val="nil"/>
              <w:left w:val="nil"/>
              <w:bottom w:val="nil"/>
              <w:right w:val="nil"/>
            </w:tcBorders>
            <w:noWrap/>
            <w:vAlign w:val="bottom"/>
            <w:hideMark/>
          </w:tcPr>
          <w:p w14:paraId="62636B70" w14:textId="77777777" w:rsidR="00204905" w:rsidRPr="00875E26" w:rsidRDefault="00204905" w:rsidP="00954C07">
            <w:pPr>
              <w:rPr>
                <w:color w:val="000000"/>
              </w:rPr>
            </w:pPr>
            <w:r w:rsidRPr="00875E26">
              <w:rPr>
                <w:color w:val="000000"/>
              </w:rPr>
              <w:t>Amount</w:t>
            </w:r>
          </w:p>
        </w:tc>
      </w:tr>
      <w:tr w:rsidR="00204905" w:rsidRPr="00875E26" w14:paraId="6270F6C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574F3A95" w14:textId="77777777" w:rsidR="00204905" w:rsidRPr="00875E26" w:rsidRDefault="00204905" w:rsidP="00954C07">
            <w:pPr>
              <w:rPr>
                <w:color w:val="000000"/>
              </w:rPr>
            </w:pPr>
            <w:r w:rsidRPr="00875E26">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15875015" w14:textId="77777777" w:rsidR="00204905" w:rsidRPr="00875E26" w:rsidRDefault="00204905" w:rsidP="00954C07">
            <w:pPr>
              <w:jc w:val="right"/>
              <w:rPr>
                <w:color w:val="000000"/>
              </w:rPr>
            </w:pPr>
            <w:r w:rsidRPr="00875E26">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0317E2F7" w14:textId="77777777" w:rsidR="00204905" w:rsidRPr="00875E26" w:rsidRDefault="00204905" w:rsidP="00954C07">
            <w:pPr>
              <w:rPr>
                <w:color w:val="000000"/>
              </w:rPr>
            </w:pPr>
            <w:r w:rsidRPr="00875E26">
              <w:rPr>
                <w:color w:val="000000"/>
              </w:rPr>
              <w:t xml:space="preserve"> $         (7.51)</w:t>
            </w:r>
          </w:p>
        </w:tc>
        <w:tc>
          <w:tcPr>
            <w:tcW w:w="1440" w:type="dxa"/>
            <w:tcBorders>
              <w:top w:val="single" w:sz="4" w:space="0" w:color="auto"/>
              <w:left w:val="nil"/>
              <w:bottom w:val="single" w:sz="4" w:space="0" w:color="auto"/>
              <w:right w:val="single" w:sz="4" w:space="0" w:color="auto"/>
            </w:tcBorders>
            <w:noWrap/>
            <w:vAlign w:val="bottom"/>
            <w:hideMark/>
          </w:tcPr>
          <w:p w14:paraId="466ACD16" w14:textId="77777777" w:rsidR="00204905" w:rsidRPr="00875E26" w:rsidRDefault="00204905" w:rsidP="00954C07">
            <w:pPr>
              <w:rPr>
                <w:color w:val="000000"/>
              </w:rPr>
            </w:pPr>
            <w:r w:rsidRPr="00875E26">
              <w:rPr>
                <w:color w:val="000000"/>
              </w:rPr>
              <w:t xml:space="preserve"> $(1,125.75)</w:t>
            </w:r>
          </w:p>
        </w:tc>
        <w:tc>
          <w:tcPr>
            <w:tcW w:w="1800" w:type="dxa"/>
            <w:tcBorders>
              <w:top w:val="single" w:sz="4" w:space="0" w:color="auto"/>
              <w:left w:val="nil"/>
              <w:bottom w:val="single" w:sz="4" w:space="0" w:color="auto"/>
              <w:right w:val="single" w:sz="4" w:space="0" w:color="auto"/>
            </w:tcBorders>
            <w:noWrap/>
            <w:vAlign w:val="bottom"/>
            <w:hideMark/>
          </w:tcPr>
          <w:p w14:paraId="0A4A970B" w14:textId="77777777" w:rsidR="00204905" w:rsidRPr="00875E26" w:rsidRDefault="00204905" w:rsidP="00954C07">
            <w:pPr>
              <w:rPr>
                <w:color w:val="000000"/>
              </w:rPr>
            </w:pPr>
            <w:r w:rsidRPr="00875E26">
              <w:rPr>
                <w:color w:val="000000"/>
              </w:rPr>
              <w:t>$         (7.51)</w:t>
            </w:r>
          </w:p>
        </w:tc>
        <w:tc>
          <w:tcPr>
            <w:tcW w:w="1321" w:type="dxa"/>
            <w:tcBorders>
              <w:top w:val="single" w:sz="4" w:space="0" w:color="auto"/>
              <w:left w:val="nil"/>
              <w:bottom w:val="single" w:sz="4" w:space="0" w:color="auto"/>
              <w:right w:val="single" w:sz="4" w:space="0" w:color="auto"/>
            </w:tcBorders>
            <w:noWrap/>
            <w:vAlign w:val="bottom"/>
            <w:hideMark/>
          </w:tcPr>
          <w:p w14:paraId="6A914780" w14:textId="77777777" w:rsidR="00204905" w:rsidRPr="00875E26" w:rsidRDefault="00204905" w:rsidP="00954C07">
            <w:pPr>
              <w:rPr>
                <w:color w:val="000000"/>
              </w:rPr>
            </w:pPr>
            <w:r w:rsidRPr="00875E26">
              <w:rPr>
                <w:color w:val="000000"/>
              </w:rPr>
              <w:t>$(1,125.75)</w:t>
            </w:r>
          </w:p>
        </w:tc>
      </w:tr>
      <w:tr w:rsidR="00204905" w:rsidRPr="00875E26" w14:paraId="08DFDD2D"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2B8251C" w14:textId="77777777" w:rsidR="00204905" w:rsidRPr="00875E26" w:rsidRDefault="00204905" w:rsidP="00954C07">
            <w:pPr>
              <w:rPr>
                <w:color w:val="000000"/>
              </w:rPr>
            </w:pPr>
            <w:r w:rsidRPr="00875E26">
              <w:rPr>
                <w:color w:val="000000"/>
              </w:rPr>
              <w:t>CISOGen</w:t>
            </w:r>
          </w:p>
        </w:tc>
        <w:tc>
          <w:tcPr>
            <w:tcW w:w="830" w:type="dxa"/>
            <w:tcBorders>
              <w:top w:val="nil"/>
              <w:left w:val="nil"/>
              <w:bottom w:val="single" w:sz="4" w:space="0" w:color="auto"/>
              <w:right w:val="single" w:sz="4" w:space="0" w:color="auto"/>
            </w:tcBorders>
            <w:noWrap/>
            <w:vAlign w:val="bottom"/>
            <w:hideMark/>
          </w:tcPr>
          <w:p w14:paraId="0D745D78" w14:textId="77777777" w:rsidR="00204905" w:rsidRPr="00875E26" w:rsidRDefault="00204905" w:rsidP="00954C07">
            <w:pPr>
              <w:jc w:val="right"/>
              <w:rPr>
                <w:color w:val="000000"/>
              </w:rPr>
            </w:pPr>
            <w:r w:rsidRPr="00875E26">
              <w:rPr>
                <w:color w:val="000000"/>
              </w:rPr>
              <w:t>100</w:t>
            </w:r>
          </w:p>
        </w:tc>
        <w:tc>
          <w:tcPr>
            <w:tcW w:w="1620" w:type="dxa"/>
            <w:tcBorders>
              <w:top w:val="nil"/>
              <w:left w:val="nil"/>
              <w:bottom w:val="single" w:sz="4" w:space="0" w:color="auto"/>
              <w:right w:val="single" w:sz="4" w:space="0" w:color="auto"/>
            </w:tcBorders>
            <w:noWrap/>
            <w:vAlign w:val="bottom"/>
            <w:hideMark/>
          </w:tcPr>
          <w:p w14:paraId="44328435"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6106C742"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5C171F4B"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7E1864CC" w14:textId="77777777" w:rsidR="00204905" w:rsidRPr="00875E26" w:rsidRDefault="00204905" w:rsidP="00954C07">
            <w:pPr>
              <w:rPr>
                <w:color w:val="000000"/>
              </w:rPr>
            </w:pPr>
            <w:r w:rsidRPr="00875E26">
              <w:rPr>
                <w:color w:val="000000"/>
              </w:rPr>
              <w:t xml:space="preserve"> $           -   </w:t>
            </w:r>
          </w:p>
        </w:tc>
      </w:tr>
      <w:tr w:rsidR="00204905" w:rsidRPr="00875E26" w14:paraId="5D4969B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0F34AC97" w14:textId="77777777" w:rsidR="00204905" w:rsidRPr="00875E26" w:rsidRDefault="00204905" w:rsidP="00954C07">
            <w:pPr>
              <w:rPr>
                <w:color w:val="000000"/>
              </w:rPr>
            </w:pPr>
            <w:r w:rsidRPr="00875E26">
              <w:rPr>
                <w:color w:val="000000"/>
              </w:rPr>
              <w:t>EIM1Load</w:t>
            </w:r>
          </w:p>
        </w:tc>
        <w:tc>
          <w:tcPr>
            <w:tcW w:w="830" w:type="dxa"/>
            <w:tcBorders>
              <w:top w:val="nil"/>
              <w:left w:val="nil"/>
              <w:bottom w:val="single" w:sz="4" w:space="0" w:color="auto"/>
              <w:right w:val="single" w:sz="4" w:space="0" w:color="auto"/>
            </w:tcBorders>
            <w:noWrap/>
            <w:vAlign w:val="bottom"/>
            <w:hideMark/>
          </w:tcPr>
          <w:p w14:paraId="72CDDAE5" w14:textId="77777777" w:rsidR="00204905" w:rsidRPr="00875E26" w:rsidRDefault="00204905" w:rsidP="00954C07">
            <w:pPr>
              <w:jc w:val="right"/>
              <w:rPr>
                <w:color w:val="000000"/>
              </w:rPr>
            </w:pPr>
            <w:r w:rsidRPr="00875E26">
              <w:rPr>
                <w:color w:val="000000"/>
              </w:rPr>
              <w:t>-50</w:t>
            </w:r>
          </w:p>
        </w:tc>
        <w:tc>
          <w:tcPr>
            <w:tcW w:w="1620" w:type="dxa"/>
            <w:tcBorders>
              <w:top w:val="nil"/>
              <w:left w:val="nil"/>
              <w:bottom w:val="single" w:sz="4" w:space="0" w:color="auto"/>
              <w:right w:val="single" w:sz="4" w:space="0" w:color="auto"/>
            </w:tcBorders>
            <w:noWrap/>
            <w:vAlign w:val="bottom"/>
            <w:hideMark/>
          </w:tcPr>
          <w:p w14:paraId="5E536C50" w14:textId="77777777" w:rsidR="00204905" w:rsidRPr="00875E26" w:rsidRDefault="00204905" w:rsidP="00954C07">
            <w:pPr>
              <w:rPr>
                <w:color w:val="000000"/>
              </w:rPr>
            </w:pPr>
            <w:r w:rsidRPr="00875E26">
              <w:rPr>
                <w:color w:val="000000"/>
              </w:rPr>
              <w:t>$         (7.51)</w:t>
            </w:r>
          </w:p>
        </w:tc>
        <w:tc>
          <w:tcPr>
            <w:tcW w:w="1440" w:type="dxa"/>
            <w:tcBorders>
              <w:top w:val="nil"/>
              <w:left w:val="nil"/>
              <w:bottom w:val="single" w:sz="4" w:space="0" w:color="auto"/>
              <w:right w:val="single" w:sz="4" w:space="0" w:color="auto"/>
            </w:tcBorders>
            <w:noWrap/>
            <w:vAlign w:val="bottom"/>
            <w:hideMark/>
          </w:tcPr>
          <w:p w14:paraId="416F3345" w14:textId="77777777" w:rsidR="00204905" w:rsidRPr="00875E26" w:rsidRDefault="00204905" w:rsidP="00954C07">
            <w:pPr>
              <w:rPr>
                <w:color w:val="000000"/>
              </w:rPr>
            </w:pPr>
            <w:r w:rsidRPr="00875E26">
              <w:rPr>
                <w:color w:val="000000"/>
              </w:rPr>
              <w:t xml:space="preserve"> $    375.25 </w:t>
            </w:r>
          </w:p>
        </w:tc>
        <w:tc>
          <w:tcPr>
            <w:tcW w:w="1800" w:type="dxa"/>
            <w:tcBorders>
              <w:top w:val="nil"/>
              <w:left w:val="nil"/>
              <w:bottom w:val="single" w:sz="4" w:space="0" w:color="auto"/>
              <w:right w:val="single" w:sz="4" w:space="0" w:color="auto"/>
            </w:tcBorders>
            <w:noWrap/>
            <w:vAlign w:val="bottom"/>
            <w:hideMark/>
          </w:tcPr>
          <w:p w14:paraId="620EC1B8" w14:textId="77777777" w:rsidR="00204905" w:rsidRPr="00875E26" w:rsidRDefault="00204905" w:rsidP="00954C07">
            <w:pPr>
              <w:rPr>
                <w:color w:val="000000"/>
              </w:rPr>
            </w:pPr>
            <w:r w:rsidRPr="00875E26">
              <w:rPr>
                <w:color w:val="000000"/>
              </w:rPr>
              <w:t>$         (7.51)</w:t>
            </w:r>
          </w:p>
        </w:tc>
        <w:tc>
          <w:tcPr>
            <w:tcW w:w="1321" w:type="dxa"/>
            <w:tcBorders>
              <w:top w:val="nil"/>
              <w:left w:val="nil"/>
              <w:bottom w:val="single" w:sz="4" w:space="0" w:color="auto"/>
              <w:right w:val="single" w:sz="4" w:space="0" w:color="auto"/>
            </w:tcBorders>
            <w:noWrap/>
            <w:vAlign w:val="bottom"/>
            <w:hideMark/>
          </w:tcPr>
          <w:p w14:paraId="6B2AA002" w14:textId="77777777" w:rsidR="00204905" w:rsidRPr="00875E26" w:rsidRDefault="00204905" w:rsidP="00954C07">
            <w:pPr>
              <w:rPr>
                <w:color w:val="000000"/>
              </w:rPr>
            </w:pPr>
            <w:r w:rsidRPr="00875E26">
              <w:rPr>
                <w:color w:val="000000"/>
              </w:rPr>
              <w:t>$    375.25</w:t>
            </w:r>
          </w:p>
        </w:tc>
      </w:tr>
      <w:tr w:rsidR="00204905" w:rsidRPr="00875E26" w14:paraId="22F18363"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64691DB1" w14:textId="77777777" w:rsidR="00204905" w:rsidRPr="00875E26" w:rsidRDefault="00204905" w:rsidP="00954C07">
            <w:pPr>
              <w:rPr>
                <w:color w:val="000000"/>
              </w:rPr>
            </w:pPr>
            <w:r w:rsidRPr="00875E26">
              <w:rPr>
                <w:color w:val="000000"/>
              </w:rPr>
              <w:t>CISOLoad</w:t>
            </w:r>
          </w:p>
        </w:tc>
        <w:tc>
          <w:tcPr>
            <w:tcW w:w="830" w:type="dxa"/>
            <w:tcBorders>
              <w:top w:val="nil"/>
              <w:left w:val="nil"/>
              <w:bottom w:val="nil"/>
              <w:right w:val="single" w:sz="4" w:space="0" w:color="auto"/>
            </w:tcBorders>
            <w:noWrap/>
            <w:vAlign w:val="bottom"/>
            <w:hideMark/>
          </w:tcPr>
          <w:p w14:paraId="2FA50072" w14:textId="77777777" w:rsidR="00204905" w:rsidRPr="00875E26" w:rsidRDefault="00204905" w:rsidP="00954C07">
            <w:pPr>
              <w:jc w:val="right"/>
              <w:rPr>
                <w:color w:val="000000"/>
              </w:rPr>
            </w:pPr>
            <w:r w:rsidRPr="00875E26">
              <w:rPr>
                <w:color w:val="000000"/>
              </w:rPr>
              <w:t>-200</w:t>
            </w:r>
          </w:p>
        </w:tc>
        <w:tc>
          <w:tcPr>
            <w:tcW w:w="1620" w:type="dxa"/>
            <w:tcBorders>
              <w:top w:val="nil"/>
              <w:left w:val="nil"/>
              <w:bottom w:val="nil"/>
              <w:right w:val="single" w:sz="4" w:space="0" w:color="auto"/>
            </w:tcBorders>
            <w:noWrap/>
            <w:vAlign w:val="bottom"/>
            <w:hideMark/>
          </w:tcPr>
          <w:p w14:paraId="680ED387" w14:textId="77777777" w:rsidR="00204905" w:rsidRPr="00875E26" w:rsidRDefault="00204905" w:rsidP="00954C07">
            <w:pPr>
              <w:rPr>
                <w:color w:val="000000"/>
              </w:rPr>
            </w:pPr>
            <w:r w:rsidRPr="00875E26">
              <w:rPr>
                <w:color w:val="000000"/>
              </w:rPr>
              <w:t xml:space="preserve"> $                -   </w:t>
            </w:r>
          </w:p>
        </w:tc>
        <w:tc>
          <w:tcPr>
            <w:tcW w:w="1440" w:type="dxa"/>
            <w:tcBorders>
              <w:top w:val="nil"/>
              <w:left w:val="nil"/>
              <w:bottom w:val="nil"/>
              <w:right w:val="single" w:sz="4" w:space="0" w:color="auto"/>
            </w:tcBorders>
            <w:noWrap/>
            <w:vAlign w:val="bottom"/>
            <w:hideMark/>
          </w:tcPr>
          <w:p w14:paraId="1BD5D223" w14:textId="77777777" w:rsidR="00204905" w:rsidRPr="00875E26" w:rsidRDefault="00204905" w:rsidP="00954C07">
            <w:pPr>
              <w:rPr>
                <w:color w:val="000000"/>
              </w:rPr>
            </w:pPr>
            <w:r w:rsidRPr="00875E26">
              <w:rPr>
                <w:color w:val="000000"/>
              </w:rPr>
              <w:t xml:space="preserve"> $           -   </w:t>
            </w:r>
          </w:p>
        </w:tc>
        <w:tc>
          <w:tcPr>
            <w:tcW w:w="1800" w:type="dxa"/>
            <w:tcBorders>
              <w:top w:val="nil"/>
              <w:left w:val="nil"/>
              <w:bottom w:val="nil"/>
              <w:right w:val="single" w:sz="4" w:space="0" w:color="auto"/>
            </w:tcBorders>
            <w:noWrap/>
            <w:vAlign w:val="bottom"/>
            <w:hideMark/>
          </w:tcPr>
          <w:p w14:paraId="74EB585C" w14:textId="77777777" w:rsidR="00204905" w:rsidRPr="00875E26" w:rsidRDefault="00204905" w:rsidP="00954C07">
            <w:pPr>
              <w:rPr>
                <w:color w:val="000000"/>
              </w:rPr>
            </w:pPr>
            <w:r w:rsidRPr="00875E26">
              <w:rPr>
                <w:color w:val="000000"/>
              </w:rPr>
              <w:t xml:space="preserve"> $                     -   </w:t>
            </w:r>
          </w:p>
        </w:tc>
        <w:tc>
          <w:tcPr>
            <w:tcW w:w="1321" w:type="dxa"/>
            <w:tcBorders>
              <w:top w:val="nil"/>
              <w:left w:val="nil"/>
              <w:bottom w:val="nil"/>
              <w:right w:val="single" w:sz="4" w:space="0" w:color="auto"/>
            </w:tcBorders>
            <w:noWrap/>
            <w:vAlign w:val="bottom"/>
            <w:hideMark/>
          </w:tcPr>
          <w:p w14:paraId="03A9C4DA" w14:textId="77777777" w:rsidR="00204905" w:rsidRPr="00875E26" w:rsidRDefault="00204905" w:rsidP="00954C07">
            <w:pPr>
              <w:rPr>
                <w:color w:val="000000"/>
              </w:rPr>
            </w:pPr>
            <w:r w:rsidRPr="00875E26">
              <w:rPr>
                <w:color w:val="000000"/>
              </w:rPr>
              <w:t xml:space="preserve"> $           -   </w:t>
            </w:r>
          </w:p>
        </w:tc>
      </w:tr>
      <w:tr w:rsidR="00204905" w:rsidRPr="00875E26" w14:paraId="55867D33" w14:textId="77777777" w:rsidTr="00954C07">
        <w:trPr>
          <w:trHeight w:val="300"/>
        </w:trPr>
        <w:tc>
          <w:tcPr>
            <w:tcW w:w="2140" w:type="dxa"/>
            <w:tcBorders>
              <w:top w:val="single" w:sz="4" w:space="0" w:color="auto"/>
              <w:left w:val="single" w:sz="4" w:space="0" w:color="auto"/>
              <w:bottom w:val="nil"/>
              <w:right w:val="single" w:sz="4" w:space="0" w:color="auto"/>
            </w:tcBorders>
            <w:noWrap/>
            <w:vAlign w:val="bottom"/>
            <w:hideMark/>
          </w:tcPr>
          <w:p w14:paraId="264A3C8A" w14:textId="77777777" w:rsidR="00204905" w:rsidRPr="00875E26" w:rsidRDefault="00204905" w:rsidP="00954C07">
            <w:pPr>
              <w:rPr>
                <w:color w:val="000000"/>
              </w:rPr>
            </w:pPr>
            <w:r w:rsidRPr="00875E26">
              <w:rPr>
                <w:color w:val="000000"/>
              </w:rPr>
              <w:t>CC 67740</w:t>
            </w:r>
          </w:p>
        </w:tc>
        <w:tc>
          <w:tcPr>
            <w:tcW w:w="830" w:type="dxa"/>
            <w:tcBorders>
              <w:top w:val="single" w:sz="4" w:space="0" w:color="auto"/>
              <w:left w:val="nil"/>
              <w:bottom w:val="nil"/>
              <w:right w:val="single" w:sz="4" w:space="0" w:color="auto"/>
            </w:tcBorders>
            <w:noWrap/>
            <w:vAlign w:val="bottom"/>
            <w:hideMark/>
          </w:tcPr>
          <w:p w14:paraId="0901503B" w14:textId="77777777" w:rsidR="00204905" w:rsidRPr="00875E26" w:rsidRDefault="00204905" w:rsidP="00954C07">
            <w:pPr>
              <w:rPr>
                <w:color w:val="000000"/>
              </w:rPr>
            </w:pPr>
            <w:r w:rsidRPr="00875E26">
              <w:rPr>
                <w:color w:val="000000"/>
              </w:rPr>
              <w:t> </w:t>
            </w:r>
          </w:p>
        </w:tc>
        <w:tc>
          <w:tcPr>
            <w:tcW w:w="1620" w:type="dxa"/>
            <w:tcBorders>
              <w:top w:val="single" w:sz="4" w:space="0" w:color="auto"/>
              <w:left w:val="nil"/>
              <w:bottom w:val="nil"/>
              <w:right w:val="single" w:sz="4" w:space="0" w:color="auto"/>
            </w:tcBorders>
            <w:noWrap/>
            <w:vAlign w:val="bottom"/>
            <w:hideMark/>
          </w:tcPr>
          <w:p w14:paraId="126F8F99" w14:textId="77777777" w:rsidR="00204905" w:rsidRPr="00875E26" w:rsidRDefault="00204905" w:rsidP="00954C07">
            <w:pPr>
              <w:rPr>
                <w:color w:val="000000"/>
              </w:rPr>
            </w:pPr>
            <w:r w:rsidRPr="00875E26">
              <w:rPr>
                <w:color w:val="000000"/>
              </w:rPr>
              <w:t> </w:t>
            </w:r>
          </w:p>
        </w:tc>
        <w:tc>
          <w:tcPr>
            <w:tcW w:w="1440" w:type="dxa"/>
            <w:tcBorders>
              <w:top w:val="single" w:sz="4" w:space="0" w:color="auto"/>
              <w:left w:val="nil"/>
              <w:bottom w:val="nil"/>
              <w:right w:val="single" w:sz="4" w:space="0" w:color="auto"/>
            </w:tcBorders>
            <w:noWrap/>
            <w:vAlign w:val="bottom"/>
            <w:hideMark/>
          </w:tcPr>
          <w:p w14:paraId="5CE4A1D8" w14:textId="77777777" w:rsidR="00204905" w:rsidRPr="00875E26" w:rsidRDefault="00204905" w:rsidP="00954C07">
            <w:pPr>
              <w:rPr>
                <w:color w:val="000000"/>
              </w:rPr>
            </w:pPr>
            <w:r w:rsidRPr="00875E26">
              <w:rPr>
                <w:color w:val="000000"/>
              </w:rPr>
              <w:t xml:space="preserve"> $   (750.50)</w:t>
            </w:r>
          </w:p>
        </w:tc>
        <w:tc>
          <w:tcPr>
            <w:tcW w:w="1800" w:type="dxa"/>
            <w:tcBorders>
              <w:top w:val="single" w:sz="4" w:space="0" w:color="auto"/>
              <w:left w:val="nil"/>
              <w:bottom w:val="nil"/>
              <w:right w:val="single" w:sz="4" w:space="0" w:color="auto"/>
            </w:tcBorders>
            <w:noWrap/>
            <w:vAlign w:val="bottom"/>
            <w:hideMark/>
          </w:tcPr>
          <w:p w14:paraId="4A21BD53" w14:textId="77777777" w:rsidR="00204905" w:rsidRPr="00875E26" w:rsidRDefault="00204905" w:rsidP="00954C07">
            <w:pPr>
              <w:rPr>
                <w:color w:val="000000"/>
              </w:rPr>
            </w:pPr>
            <w:r w:rsidRPr="00875E26">
              <w:rPr>
                <w:color w:val="000000"/>
              </w:rPr>
              <w:t> </w:t>
            </w:r>
          </w:p>
        </w:tc>
        <w:tc>
          <w:tcPr>
            <w:tcW w:w="1321" w:type="dxa"/>
            <w:tcBorders>
              <w:top w:val="single" w:sz="4" w:space="0" w:color="auto"/>
              <w:left w:val="nil"/>
              <w:bottom w:val="nil"/>
              <w:right w:val="single" w:sz="4" w:space="0" w:color="auto"/>
            </w:tcBorders>
            <w:noWrap/>
            <w:vAlign w:val="bottom"/>
            <w:hideMark/>
          </w:tcPr>
          <w:p w14:paraId="0B68FB89" w14:textId="77777777" w:rsidR="00204905" w:rsidRPr="00875E26" w:rsidRDefault="00204905" w:rsidP="00954C07">
            <w:pPr>
              <w:rPr>
                <w:color w:val="000000"/>
              </w:rPr>
            </w:pPr>
            <w:r w:rsidRPr="00875E26">
              <w:rPr>
                <w:color w:val="000000"/>
              </w:rPr>
              <w:t> </w:t>
            </w:r>
          </w:p>
        </w:tc>
      </w:tr>
      <w:tr w:rsidR="00204905" w:rsidRPr="00875E26" w14:paraId="3DBE3B1F"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37E03D7" w14:textId="77777777" w:rsidR="00204905" w:rsidRPr="00875E26" w:rsidRDefault="00204905" w:rsidP="00954C07">
            <w:pPr>
              <w:rPr>
                <w:color w:val="000000"/>
              </w:rPr>
            </w:pPr>
            <w:r w:rsidRPr="00875E26">
              <w:rPr>
                <w:color w:val="000000"/>
              </w:rPr>
              <w:t>CC 6774</w:t>
            </w:r>
          </w:p>
        </w:tc>
        <w:tc>
          <w:tcPr>
            <w:tcW w:w="830" w:type="dxa"/>
            <w:tcBorders>
              <w:top w:val="nil"/>
              <w:left w:val="nil"/>
              <w:bottom w:val="single" w:sz="4" w:space="0" w:color="auto"/>
              <w:right w:val="single" w:sz="4" w:space="0" w:color="auto"/>
            </w:tcBorders>
            <w:noWrap/>
            <w:vAlign w:val="bottom"/>
            <w:hideMark/>
          </w:tcPr>
          <w:p w14:paraId="346621AD" w14:textId="77777777" w:rsidR="00204905" w:rsidRPr="00875E26" w:rsidRDefault="00204905" w:rsidP="00954C07">
            <w:pPr>
              <w:rPr>
                <w:color w:val="000000"/>
              </w:rPr>
            </w:pPr>
            <w:r w:rsidRPr="00875E26">
              <w:rPr>
                <w:color w:val="000000"/>
              </w:rPr>
              <w:t> </w:t>
            </w:r>
          </w:p>
        </w:tc>
        <w:tc>
          <w:tcPr>
            <w:tcW w:w="1620" w:type="dxa"/>
            <w:tcBorders>
              <w:top w:val="nil"/>
              <w:left w:val="nil"/>
              <w:bottom w:val="single" w:sz="4" w:space="0" w:color="auto"/>
              <w:right w:val="single" w:sz="4" w:space="0" w:color="auto"/>
            </w:tcBorders>
            <w:noWrap/>
            <w:vAlign w:val="bottom"/>
            <w:hideMark/>
          </w:tcPr>
          <w:p w14:paraId="4D26CA21" w14:textId="77777777" w:rsidR="00204905" w:rsidRPr="00875E26" w:rsidRDefault="00204905" w:rsidP="00954C07">
            <w:pPr>
              <w:rPr>
                <w:color w:val="000000"/>
              </w:rPr>
            </w:pPr>
            <w:r w:rsidRPr="00875E26">
              <w:rPr>
                <w:color w:val="000000"/>
              </w:rPr>
              <w:t> </w:t>
            </w:r>
          </w:p>
        </w:tc>
        <w:tc>
          <w:tcPr>
            <w:tcW w:w="1440" w:type="dxa"/>
            <w:tcBorders>
              <w:top w:val="nil"/>
              <w:left w:val="nil"/>
              <w:bottom w:val="single" w:sz="4" w:space="0" w:color="auto"/>
              <w:right w:val="single" w:sz="4" w:space="0" w:color="auto"/>
            </w:tcBorders>
            <w:noWrap/>
            <w:vAlign w:val="bottom"/>
            <w:hideMark/>
          </w:tcPr>
          <w:p w14:paraId="64253D7C" w14:textId="77777777" w:rsidR="00204905" w:rsidRPr="00875E26" w:rsidRDefault="00204905" w:rsidP="00954C07">
            <w:pPr>
              <w:rPr>
                <w:color w:val="000000"/>
              </w:rPr>
            </w:pPr>
            <w:r w:rsidRPr="00875E26">
              <w:rPr>
                <w:color w:val="000000"/>
              </w:rPr>
              <w:t> </w:t>
            </w:r>
          </w:p>
        </w:tc>
        <w:tc>
          <w:tcPr>
            <w:tcW w:w="1800" w:type="dxa"/>
            <w:tcBorders>
              <w:top w:val="nil"/>
              <w:left w:val="nil"/>
              <w:bottom w:val="single" w:sz="4" w:space="0" w:color="auto"/>
              <w:right w:val="single" w:sz="4" w:space="0" w:color="auto"/>
            </w:tcBorders>
            <w:noWrap/>
            <w:vAlign w:val="bottom"/>
            <w:hideMark/>
          </w:tcPr>
          <w:p w14:paraId="03B4B4AA" w14:textId="77777777" w:rsidR="00204905" w:rsidRPr="00875E26" w:rsidRDefault="00204905" w:rsidP="00954C07">
            <w:pPr>
              <w:rPr>
                <w:color w:val="000000"/>
              </w:rPr>
            </w:pPr>
            <w:r w:rsidRPr="00875E26">
              <w:rPr>
                <w:color w:val="000000"/>
              </w:rPr>
              <w:t> </w:t>
            </w:r>
          </w:p>
        </w:tc>
        <w:tc>
          <w:tcPr>
            <w:tcW w:w="1321" w:type="dxa"/>
            <w:tcBorders>
              <w:top w:val="nil"/>
              <w:left w:val="nil"/>
              <w:bottom w:val="single" w:sz="4" w:space="0" w:color="auto"/>
              <w:right w:val="single" w:sz="4" w:space="0" w:color="auto"/>
            </w:tcBorders>
            <w:noWrap/>
            <w:vAlign w:val="bottom"/>
            <w:hideMark/>
          </w:tcPr>
          <w:p w14:paraId="46837F7A" w14:textId="77777777" w:rsidR="00204905" w:rsidRPr="00875E26" w:rsidRDefault="00204905" w:rsidP="00954C07">
            <w:pPr>
              <w:rPr>
                <w:color w:val="000000"/>
              </w:rPr>
            </w:pPr>
            <w:r w:rsidRPr="00875E26">
              <w:rPr>
                <w:color w:val="000000"/>
              </w:rPr>
              <w:t>$   (750.50)</w:t>
            </w:r>
          </w:p>
        </w:tc>
      </w:tr>
    </w:tbl>
    <w:p w14:paraId="45EED8E5" w14:textId="0E7114EA" w:rsidR="00204905" w:rsidRPr="00875E26" w:rsidRDefault="00204905" w:rsidP="00204905">
      <w:pPr>
        <w:rPr>
          <w:color w:val="000000"/>
          <w:sz w:val="18"/>
        </w:rPr>
      </w:pPr>
      <w:r w:rsidRPr="00875E26">
        <w:rPr>
          <w:color w:val="000000"/>
          <w:sz w:val="18"/>
        </w:rPr>
        <w:t>** Sum of the Intertie Scheduling Limit plus product of</w:t>
      </w:r>
      <w:r w:rsidR="005F24C1">
        <w:rPr>
          <w:color w:val="000000"/>
          <w:sz w:val="18"/>
        </w:rPr>
        <w:t xml:space="preserve"> WEIM </w:t>
      </w:r>
      <w:r w:rsidRPr="00875E26">
        <w:rPr>
          <w:color w:val="000000"/>
          <w:sz w:val="18"/>
        </w:rPr>
        <w:t>Transfer Costs and the</w:t>
      </w:r>
      <w:r w:rsidR="005F24C1">
        <w:rPr>
          <w:color w:val="000000"/>
          <w:sz w:val="18"/>
        </w:rPr>
        <w:t xml:space="preserve"> WEIM </w:t>
      </w:r>
      <w:r w:rsidRPr="00875E26">
        <w:rPr>
          <w:color w:val="000000"/>
          <w:sz w:val="18"/>
        </w:rPr>
        <w:t>Transfer Cost Ratio Share (50/50) plus the product of</w:t>
      </w:r>
      <w:r w:rsidR="005F24C1">
        <w:rPr>
          <w:color w:val="000000"/>
          <w:sz w:val="18"/>
        </w:rPr>
        <w:t xml:space="preserve"> WEIM </w:t>
      </w:r>
      <w:r w:rsidRPr="00875E26">
        <w:rPr>
          <w:color w:val="000000"/>
          <w:sz w:val="18"/>
        </w:rPr>
        <w:t>Constraint and the</w:t>
      </w:r>
      <w:r w:rsidR="005F24C1">
        <w:rPr>
          <w:color w:val="000000"/>
          <w:sz w:val="18"/>
        </w:rPr>
        <w:t xml:space="preserve"> WEIM </w:t>
      </w:r>
      <w:r w:rsidRPr="00875E26">
        <w:rPr>
          <w:color w:val="000000"/>
          <w:sz w:val="18"/>
        </w:rPr>
        <w:t xml:space="preserve">Transfer Constraint Ratio Share (50/50) </w:t>
      </w:r>
    </w:p>
    <w:p w14:paraId="7703B1B7" w14:textId="77777777" w:rsidR="00204905" w:rsidRDefault="00204905" w:rsidP="00204905"/>
    <w:p w14:paraId="63C5A23A" w14:textId="77777777" w:rsidR="00204905" w:rsidRDefault="00204905" w:rsidP="00204905"/>
    <w:p w14:paraId="2FED88E0" w14:textId="77777777" w:rsidR="00204905" w:rsidRDefault="00204905" w:rsidP="00204905"/>
    <w:p w14:paraId="46A8D23D" w14:textId="77777777" w:rsidR="00204905" w:rsidRDefault="00204905" w:rsidP="00204905"/>
    <w:p w14:paraId="55965855" w14:textId="77777777" w:rsidR="00204905" w:rsidRDefault="00204905" w:rsidP="00204905"/>
    <w:p w14:paraId="03C79D7C" w14:textId="77777777" w:rsidR="00204905" w:rsidRDefault="00204905" w:rsidP="00204905"/>
    <w:p w14:paraId="1BF1410A" w14:textId="77777777" w:rsidR="00204905" w:rsidRDefault="00204905" w:rsidP="00204905"/>
    <w:p w14:paraId="1158EFCE" w14:textId="77777777" w:rsidR="00204905" w:rsidRDefault="00204905" w:rsidP="00204905"/>
    <w:p w14:paraId="1BF47D24" w14:textId="77777777" w:rsidR="00204905" w:rsidRPr="00875E26" w:rsidRDefault="00204905" w:rsidP="00204905"/>
    <w:tbl>
      <w:tblPr>
        <w:tblW w:w="8640" w:type="dxa"/>
        <w:tblLook w:val="04A0" w:firstRow="1" w:lastRow="0" w:firstColumn="1" w:lastColumn="0" w:noHBand="0" w:noVBand="1"/>
      </w:tblPr>
      <w:tblGrid>
        <w:gridCol w:w="2610"/>
        <w:gridCol w:w="2610"/>
        <w:gridCol w:w="1710"/>
        <w:gridCol w:w="1710"/>
      </w:tblGrid>
      <w:tr w:rsidR="00204905" w:rsidRPr="00875E26" w14:paraId="546B9C50" w14:textId="77777777" w:rsidTr="00954C07">
        <w:trPr>
          <w:trHeight w:val="300"/>
        </w:trPr>
        <w:tc>
          <w:tcPr>
            <w:tcW w:w="2610" w:type="dxa"/>
            <w:tcBorders>
              <w:top w:val="nil"/>
              <w:left w:val="nil"/>
              <w:bottom w:val="nil"/>
              <w:right w:val="nil"/>
            </w:tcBorders>
          </w:tcPr>
          <w:p w14:paraId="0D71969D" w14:textId="77777777" w:rsidR="00204905" w:rsidRPr="00BE11D7" w:rsidRDefault="00204905" w:rsidP="00954C07">
            <w:pPr>
              <w:rPr>
                <w:color w:val="000000"/>
              </w:rPr>
            </w:pPr>
            <w:r>
              <w:rPr>
                <w:color w:val="000000"/>
              </w:rPr>
              <w:t>RTIEO Charge/Payment</w:t>
            </w:r>
          </w:p>
        </w:tc>
        <w:tc>
          <w:tcPr>
            <w:tcW w:w="2610" w:type="dxa"/>
            <w:tcBorders>
              <w:top w:val="nil"/>
              <w:left w:val="nil"/>
              <w:bottom w:val="nil"/>
              <w:right w:val="nil"/>
            </w:tcBorders>
            <w:noWrap/>
            <w:vAlign w:val="bottom"/>
            <w:hideMark/>
          </w:tcPr>
          <w:p w14:paraId="59ABB1EA" w14:textId="77777777" w:rsidR="00204905" w:rsidRPr="00BE11D7" w:rsidRDefault="00204905" w:rsidP="00954C07">
            <w:pPr>
              <w:rPr>
                <w:color w:val="000000"/>
              </w:rPr>
            </w:pPr>
            <w:r w:rsidRPr="00BE11D7">
              <w:rPr>
                <w:color w:val="000000"/>
              </w:rPr>
              <w:t>Charge Code</w:t>
            </w:r>
          </w:p>
        </w:tc>
        <w:tc>
          <w:tcPr>
            <w:tcW w:w="1710" w:type="dxa"/>
            <w:tcBorders>
              <w:top w:val="nil"/>
              <w:left w:val="nil"/>
              <w:bottom w:val="nil"/>
              <w:right w:val="nil"/>
            </w:tcBorders>
            <w:noWrap/>
            <w:vAlign w:val="bottom"/>
            <w:hideMark/>
          </w:tcPr>
          <w:p w14:paraId="2AD556A5" w14:textId="77777777" w:rsidR="00204905" w:rsidRPr="00875E26" w:rsidRDefault="00204905" w:rsidP="00954C07">
            <w:pPr>
              <w:rPr>
                <w:color w:val="000000"/>
              </w:rPr>
            </w:pPr>
            <w:r w:rsidRPr="00875E26">
              <w:rPr>
                <w:color w:val="000000"/>
              </w:rPr>
              <w:t>EIM1</w:t>
            </w:r>
          </w:p>
        </w:tc>
        <w:tc>
          <w:tcPr>
            <w:tcW w:w="1710" w:type="dxa"/>
            <w:tcBorders>
              <w:top w:val="nil"/>
              <w:left w:val="nil"/>
              <w:bottom w:val="nil"/>
              <w:right w:val="nil"/>
            </w:tcBorders>
            <w:noWrap/>
            <w:vAlign w:val="bottom"/>
            <w:hideMark/>
          </w:tcPr>
          <w:p w14:paraId="5569BC5A" w14:textId="77777777" w:rsidR="00204905" w:rsidRPr="00875E26" w:rsidRDefault="00204905" w:rsidP="00954C07">
            <w:pPr>
              <w:rPr>
                <w:color w:val="000000"/>
              </w:rPr>
            </w:pPr>
            <w:r w:rsidRPr="00875E26">
              <w:rPr>
                <w:color w:val="000000"/>
              </w:rPr>
              <w:t>CISO</w:t>
            </w:r>
          </w:p>
        </w:tc>
      </w:tr>
      <w:tr w:rsidR="00204905" w:rsidRPr="00875E26" w14:paraId="5954589A" w14:textId="77777777" w:rsidTr="00954C07">
        <w:trPr>
          <w:trHeight w:val="300"/>
        </w:trPr>
        <w:tc>
          <w:tcPr>
            <w:tcW w:w="2610" w:type="dxa"/>
            <w:vMerge w:val="restart"/>
            <w:tcBorders>
              <w:top w:val="single" w:sz="4" w:space="0" w:color="auto"/>
              <w:left w:val="single" w:sz="4" w:space="0" w:color="auto"/>
              <w:right w:val="single" w:sz="4" w:space="0" w:color="auto"/>
            </w:tcBorders>
          </w:tcPr>
          <w:p w14:paraId="3F589E2D" w14:textId="77777777" w:rsidR="00204905" w:rsidRPr="00BE11D7" w:rsidRDefault="00204905" w:rsidP="00954C07">
            <w:pPr>
              <w:rPr>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5B8FA84" w14:textId="77777777" w:rsidR="00204905" w:rsidRPr="00BE11D7" w:rsidRDefault="00204905" w:rsidP="00954C07">
            <w:pPr>
              <w:rPr>
                <w:color w:val="000000"/>
              </w:rPr>
            </w:pPr>
            <w:r w:rsidRPr="00BE11D7">
              <w:rPr>
                <w:color w:val="000000"/>
              </w:rPr>
              <w:t>CC 64700</w:t>
            </w:r>
          </w:p>
        </w:tc>
        <w:tc>
          <w:tcPr>
            <w:tcW w:w="1710" w:type="dxa"/>
            <w:tcBorders>
              <w:top w:val="single" w:sz="4" w:space="0" w:color="auto"/>
              <w:left w:val="nil"/>
              <w:bottom w:val="single" w:sz="4" w:space="0" w:color="auto"/>
              <w:right w:val="single" w:sz="4" w:space="0" w:color="auto"/>
            </w:tcBorders>
            <w:noWrap/>
            <w:vAlign w:val="bottom"/>
            <w:hideMark/>
          </w:tcPr>
          <w:p w14:paraId="646F6F72" w14:textId="77777777" w:rsidR="00204905" w:rsidRPr="00875E26" w:rsidRDefault="00204905" w:rsidP="00954C07">
            <w:pPr>
              <w:rPr>
                <w:color w:val="000000"/>
              </w:rPr>
            </w:pPr>
            <w:r w:rsidRPr="00875E26">
              <w:rPr>
                <w:color w:val="000000"/>
              </w:rPr>
              <w:t xml:space="preserve"> $(5,248.50)</w:t>
            </w:r>
          </w:p>
        </w:tc>
        <w:tc>
          <w:tcPr>
            <w:tcW w:w="1710" w:type="dxa"/>
            <w:tcBorders>
              <w:top w:val="single" w:sz="4" w:space="0" w:color="auto"/>
              <w:left w:val="nil"/>
              <w:bottom w:val="single" w:sz="4" w:space="0" w:color="auto"/>
              <w:right w:val="single" w:sz="4" w:space="0" w:color="auto"/>
            </w:tcBorders>
            <w:noWrap/>
            <w:vAlign w:val="bottom"/>
            <w:hideMark/>
          </w:tcPr>
          <w:p w14:paraId="22134BEC" w14:textId="77777777" w:rsidR="00204905" w:rsidRPr="00875E26" w:rsidRDefault="00204905" w:rsidP="00954C07">
            <w:pPr>
              <w:rPr>
                <w:color w:val="000000"/>
              </w:rPr>
            </w:pPr>
            <w:r w:rsidRPr="00875E26">
              <w:rPr>
                <w:color w:val="000000"/>
              </w:rPr>
              <w:t> </w:t>
            </w:r>
          </w:p>
        </w:tc>
      </w:tr>
      <w:tr w:rsidR="00204905" w:rsidRPr="00875E26" w14:paraId="62C32484" w14:textId="77777777" w:rsidTr="00954C07">
        <w:trPr>
          <w:trHeight w:val="300"/>
        </w:trPr>
        <w:tc>
          <w:tcPr>
            <w:tcW w:w="2610" w:type="dxa"/>
            <w:vMerge/>
            <w:tcBorders>
              <w:left w:val="single" w:sz="4" w:space="0" w:color="auto"/>
              <w:right w:val="single" w:sz="4" w:space="0" w:color="auto"/>
            </w:tcBorders>
          </w:tcPr>
          <w:p w14:paraId="13D7EACF" w14:textId="77777777" w:rsidR="00204905" w:rsidRPr="00BE11D7" w:rsidRDefault="00204905" w:rsidP="00954C07">
            <w:pPr>
              <w:rPr>
                <w:color w:val="000000"/>
              </w:rPr>
            </w:pPr>
          </w:p>
        </w:tc>
        <w:tc>
          <w:tcPr>
            <w:tcW w:w="2610" w:type="dxa"/>
            <w:tcBorders>
              <w:top w:val="nil"/>
              <w:left w:val="single" w:sz="4" w:space="0" w:color="auto"/>
              <w:bottom w:val="single" w:sz="4" w:space="0" w:color="auto"/>
              <w:right w:val="single" w:sz="4" w:space="0" w:color="auto"/>
            </w:tcBorders>
            <w:noWrap/>
            <w:vAlign w:val="bottom"/>
            <w:hideMark/>
          </w:tcPr>
          <w:p w14:paraId="5D57B906" w14:textId="77777777" w:rsidR="00204905" w:rsidRPr="00BE11D7" w:rsidRDefault="00204905" w:rsidP="00954C07">
            <w:pPr>
              <w:rPr>
                <w:color w:val="000000"/>
              </w:rPr>
            </w:pPr>
            <w:r w:rsidRPr="00BE11D7">
              <w:rPr>
                <w:color w:val="000000"/>
              </w:rPr>
              <w:t>CC 6470</w:t>
            </w:r>
          </w:p>
        </w:tc>
        <w:tc>
          <w:tcPr>
            <w:tcW w:w="1710" w:type="dxa"/>
            <w:tcBorders>
              <w:top w:val="nil"/>
              <w:left w:val="nil"/>
              <w:bottom w:val="single" w:sz="4" w:space="0" w:color="auto"/>
              <w:right w:val="single" w:sz="4" w:space="0" w:color="auto"/>
            </w:tcBorders>
            <w:noWrap/>
            <w:vAlign w:val="bottom"/>
            <w:hideMark/>
          </w:tcPr>
          <w:p w14:paraId="0962135E" w14:textId="77777777" w:rsidR="00204905" w:rsidRPr="00875E26" w:rsidRDefault="00204905" w:rsidP="00954C07">
            <w:pPr>
              <w:rPr>
                <w:color w:val="000000"/>
              </w:rPr>
            </w:pPr>
            <w:r w:rsidRPr="00875E26">
              <w:rPr>
                <w:color w:val="000000"/>
              </w:rPr>
              <w:t> </w:t>
            </w:r>
          </w:p>
        </w:tc>
        <w:tc>
          <w:tcPr>
            <w:tcW w:w="1710" w:type="dxa"/>
            <w:tcBorders>
              <w:top w:val="nil"/>
              <w:left w:val="nil"/>
              <w:bottom w:val="single" w:sz="4" w:space="0" w:color="auto"/>
              <w:right w:val="single" w:sz="4" w:space="0" w:color="auto"/>
            </w:tcBorders>
            <w:noWrap/>
            <w:vAlign w:val="bottom"/>
            <w:hideMark/>
          </w:tcPr>
          <w:p w14:paraId="128DBE1D" w14:textId="77777777" w:rsidR="00204905" w:rsidRPr="00875E26" w:rsidRDefault="00204905" w:rsidP="00954C07">
            <w:pPr>
              <w:rPr>
                <w:color w:val="000000"/>
              </w:rPr>
            </w:pPr>
            <w:r w:rsidRPr="00875E26">
              <w:rPr>
                <w:color w:val="000000"/>
              </w:rPr>
              <w:t xml:space="preserve"> $      (5,000.00)</w:t>
            </w:r>
          </w:p>
        </w:tc>
      </w:tr>
      <w:tr w:rsidR="00204905" w:rsidRPr="00875E26" w14:paraId="68E263AC" w14:textId="77777777" w:rsidTr="00954C07">
        <w:trPr>
          <w:trHeight w:val="300"/>
        </w:trPr>
        <w:tc>
          <w:tcPr>
            <w:tcW w:w="2610" w:type="dxa"/>
            <w:vMerge/>
            <w:tcBorders>
              <w:left w:val="single" w:sz="4" w:space="0" w:color="auto"/>
              <w:right w:val="single" w:sz="4" w:space="0" w:color="auto"/>
            </w:tcBorders>
          </w:tcPr>
          <w:p w14:paraId="735CCED1" w14:textId="77777777" w:rsidR="00204905" w:rsidRPr="00BE11D7" w:rsidRDefault="00204905" w:rsidP="00954C07">
            <w:pPr>
              <w:rPr>
                <w:color w:val="000000"/>
              </w:rPr>
            </w:pPr>
          </w:p>
        </w:tc>
        <w:tc>
          <w:tcPr>
            <w:tcW w:w="2610" w:type="dxa"/>
            <w:tcBorders>
              <w:top w:val="nil"/>
              <w:left w:val="single" w:sz="4" w:space="0" w:color="auto"/>
              <w:bottom w:val="single" w:sz="4" w:space="0" w:color="auto"/>
              <w:right w:val="single" w:sz="4" w:space="0" w:color="auto"/>
            </w:tcBorders>
            <w:noWrap/>
            <w:vAlign w:val="bottom"/>
            <w:hideMark/>
          </w:tcPr>
          <w:p w14:paraId="4A771339" w14:textId="77777777" w:rsidR="00204905" w:rsidRPr="00BE11D7" w:rsidRDefault="00204905" w:rsidP="00954C07">
            <w:pPr>
              <w:rPr>
                <w:color w:val="000000"/>
              </w:rPr>
            </w:pPr>
            <w:r w:rsidRPr="00BE11D7">
              <w:rPr>
                <w:color w:val="000000"/>
              </w:rPr>
              <w:t>CC 64750</w:t>
            </w:r>
          </w:p>
        </w:tc>
        <w:tc>
          <w:tcPr>
            <w:tcW w:w="1710" w:type="dxa"/>
            <w:tcBorders>
              <w:top w:val="nil"/>
              <w:left w:val="nil"/>
              <w:bottom w:val="single" w:sz="4" w:space="0" w:color="auto"/>
              <w:right w:val="single" w:sz="4" w:space="0" w:color="auto"/>
            </w:tcBorders>
            <w:noWrap/>
            <w:vAlign w:val="bottom"/>
            <w:hideMark/>
          </w:tcPr>
          <w:p w14:paraId="55294FBE" w14:textId="77777777" w:rsidR="00204905" w:rsidRPr="00875E26" w:rsidRDefault="00204905" w:rsidP="00954C07">
            <w:pPr>
              <w:rPr>
                <w:color w:val="000000"/>
              </w:rPr>
            </w:pPr>
            <w:r w:rsidRPr="00875E26">
              <w:rPr>
                <w:color w:val="000000"/>
              </w:rPr>
              <w:t xml:space="preserve"> $  1,749.50 </w:t>
            </w:r>
          </w:p>
        </w:tc>
        <w:tc>
          <w:tcPr>
            <w:tcW w:w="1710" w:type="dxa"/>
            <w:tcBorders>
              <w:top w:val="nil"/>
              <w:left w:val="nil"/>
              <w:bottom w:val="single" w:sz="4" w:space="0" w:color="auto"/>
              <w:right w:val="single" w:sz="4" w:space="0" w:color="auto"/>
            </w:tcBorders>
            <w:noWrap/>
            <w:vAlign w:val="bottom"/>
            <w:hideMark/>
          </w:tcPr>
          <w:p w14:paraId="2CE5044A" w14:textId="77777777" w:rsidR="00204905" w:rsidRPr="00875E26" w:rsidRDefault="00204905" w:rsidP="00954C07">
            <w:pPr>
              <w:rPr>
                <w:color w:val="000000"/>
              </w:rPr>
            </w:pPr>
            <w:r w:rsidRPr="00875E26">
              <w:rPr>
                <w:color w:val="000000"/>
              </w:rPr>
              <w:t> </w:t>
            </w:r>
          </w:p>
        </w:tc>
      </w:tr>
      <w:tr w:rsidR="00204905" w:rsidRPr="00875E26" w14:paraId="32116796" w14:textId="77777777" w:rsidTr="00954C07">
        <w:trPr>
          <w:trHeight w:val="300"/>
        </w:trPr>
        <w:tc>
          <w:tcPr>
            <w:tcW w:w="2610" w:type="dxa"/>
            <w:vMerge/>
            <w:tcBorders>
              <w:left w:val="single" w:sz="4" w:space="0" w:color="auto"/>
              <w:right w:val="single" w:sz="4" w:space="0" w:color="auto"/>
            </w:tcBorders>
          </w:tcPr>
          <w:p w14:paraId="5016A0B0" w14:textId="77777777" w:rsidR="00204905" w:rsidRPr="00BE11D7" w:rsidRDefault="00204905" w:rsidP="00954C07">
            <w:pPr>
              <w:rPr>
                <w:color w:val="000000"/>
              </w:rPr>
            </w:pPr>
          </w:p>
        </w:tc>
        <w:tc>
          <w:tcPr>
            <w:tcW w:w="2610" w:type="dxa"/>
            <w:tcBorders>
              <w:top w:val="nil"/>
              <w:left w:val="single" w:sz="4" w:space="0" w:color="auto"/>
              <w:bottom w:val="single" w:sz="4" w:space="0" w:color="auto"/>
              <w:right w:val="single" w:sz="4" w:space="0" w:color="auto"/>
            </w:tcBorders>
            <w:noWrap/>
            <w:vAlign w:val="bottom"/>
            <w:hideMark/>
          </w:tcPr>
          <w:p w14:paraId="0F1F6CA9" w14:textId="77777777" w:rsidR="00204905" w:rsidRPr="00BE11D7" w:rsidRDefault="00204905" w:rsidP="00954C07">
            <w:pPr>
              <w:rPr>
                <w:color w:val="000000"/>
              </w:rPr>
            </w:pPr>
            <w:r w:rsidRPr="00BE11D7">
              <w:rPr>
                <w:color w:val="000000"/>
              </w:rPr>
              <w:t>CC 6475</w:t>
            </w:r>
          </w:p>
        </w:tc>
        <w:tc>
          <w:tcPr>
            <w:tcW w:w="1710" w:type="dxa"/>
            <w:tcBorders>
              <w:top w:val="nil"/>
              <w:left w:val="nil"/>
              <w:bottom w:val="single" w:sz="4" w:space="0" w:color="auto"/>
              <w:right w:val="single" w:sz="4" w:space="0" w:color="auto"/>
            </w:tcBorders>
            <w:noWrap/>
            <w:vAlign w:val="bottom"/>
            <w:hideMark/>
          </w:tcPr>
          <w:p w14:paraId="43985860" w14:textId="77777777" w:rsidR="00204905" w:rsidRPr="00875E26" w:rsidRDefault="00204905" w:rsidP="00954C07">
            <w:pPr>
              <w:rPr>
                <w:color w:val="000000"/>
              </w:rPr>
            </w:pPr>
            <w:r w:rsidRPr="00875E26">
              <w:rPr>
                <w:color w:val="000000"/>
              </w:rPr>
              <w:t> </w:t>
            </w:r>
          </w:p>
        </w:tc>
        <w:tc>
          <w:tcPr>
            <w:tcW w:w="1710" w:type="dxa"/>
            <w:tcBorders>
              <w:top w:val="nil"/>
              <w:left w:val="nil"/>
              <w:bottom w:val="single" w:sz="4" w:space="0" w:color="auto"/>
              <w:right w:val="single" w:sz="4" w:space="0" w:color="auto"/>
            </w:tcBorders>
            <w:noWrap/>
            <w:vAlign w:val="bottom"/>
            <w:hideMark/>
          </w:tcPr>
          <w:p w14:paraId="46833191" w14:textId="77777777" w:rsidR="00204905" w:rsidRPr="00875E26" w:rsidRDefault="00204905" w:rsidP="00954C07">
            <w:pPr>
              <w:rPr>
                <w:color w:val="000000"/>
              </w:rPr>
            </w:pPr>
            <w:r w:rsidRPr="00875E26">
              <w:rPr>
                <w:color w:val="000000"/>
              </w:rPr>
              <w:t xml:space="preserve"> $     10,000.00 </w:t>
            </w:r>
          </w:p>
        </w:tc>
      </w:tr>
      <w:tr w:rsidR="00204905" w:rsidRPr="00875E26" w14:paraId="2F2357A1" w14:textId="77777777" w:rsidTr="00954C07">
        <w:trPr>
          <w:trHeight w:val="300"/>
        </w:trPr>
        <w:tc>
          <w:tcPr>
            <w:tcW w:w="2610" w:type="dxa"/>
            <w:vMerge/>
            <w:tcBorders>
              <w:left w:val="single" w:sz="4" w:space="0" w:color="auto"/>
              <w:right w:val="single" w:sz="4" w:space="0" w:color="auto"/>
            </w:tcBorders>
          </w:tcPr>
          <w:p w14:paraId="60BFAC26" w14:textId="77777777" w:rsidR="00204905" w:rsidRPr="00BE11D7" w:rsidRDefault="00204905" w:rsidP="00954C07">
            <w:pPr>
              <w:rPr>
                <w:color w:val="000000"/>
              </w:rPr>
            </w:pPr>
          </w:p>
        </w:tc>
        <w:tc>
          <w:tcPr>
            <w:tcW w:w="2610" w:type="dxa"/>
            <w:tcBorders>
              <w:top w:val="nil"/>
              <w:left w:val="single" w:sz="4" w:space="0" w:color="auto"/>
              <w:bottom w:val="nil"/>
              <w:right w:val="single" w:sz="4" w:space="0" w:color="auto"/>
            </w:tcBorders>
            <w:noWrap/>
            <w:vAlign w:val="bottom"/>
            <w:hideMark/>
          </w:tcPr>
          <w:p w14:paraId="343C12A9" w14:textId="77777777" w:rsidR="00204905" w:rsidRPr="00BE11D7" w:rsidRDefault="00204905" w:rsidP="00954C07">
            <w:pPr>
              <w:rPr>
                <w:color w:val="000000"/>
              </w:rPr>
            </w:pPr>
            <w:r w:rsidRPr="00BE11D7">
              <w:rPr>
                <w:color w:val="000000"/>
              </w:rPr>
              <w:t>EIM Financial Value***</w:t>
            </w:r>
          </w:p>
        </w:tc>
        <w:tc>
          <w:tcPr>
            <w:tcW w:w="1710" w:type="dxa"/>
            <w:tcBorders>
              <w:top w:val="nil"/>
              <w:left w:val="nil"/>
              <w:bottom w:val="single" w:sz="4" w:space="0" w:color="auto"/>
              <w:right w:val="single" w:sz="4" w:space="0" w:color="auto"/>
            </w:tcBorders>
            <w:noWrap/>
            <w:vAlign w:val="bottom"/>
            <w:hideMark/>
          </w:tcPr>
          <w:p w14:paraId="7FA4A399" w14:textId="77777777" w:rsidR="00204905" w:rsidRPr="00875E26" w:rsidRDefault="00204905" w:rsidP="00954C07">
            <w:pPr>
              <w:rPr>
                <w:color w:val="000000"/>
              </w:rPr>
            </w:pPr>
            <w:r w:rsidRPr="00875E26">
              <w:rPr>
                <w:color w:val="000000"/>
              </w:rPr>
              <w:t xml:space="preserve"> $  5,000.00 </w:t>
            </w:r>
          </w:p>
        </w:tc>
        <w:tc>
          <w:tcPr>
            <w:tcW w:w="1710" w:type="dxa"/>
            <w:tcBorders>
              <w:top w:val="nil"/>
              <w:left w:val="nil"/>
              <w:bottom w:val="single" w:sz="4" w:space="0" w:color="auto"/>
              <w:right w:val="single" w:sz="4" w:space="0" w:color="auto"/>
            </w:tcBorders>
            <w:noWrap/>
            <w:vAlign w:val="bottom"/>
            <w:hideMark/>
          </w:tcPr>
          <w:p w14:paraId="6A252C5A" w14:textId="77777777" w:rsidR="00204905" w:rsidRPr="00875E26" w:rsidRDefault="00204905" w:rsidP="00954C07">
            <w:pPr>
              <w:rPr>
                <w:color w:val="000000"/>
              </w:rPr>
            </w:pPr>
            <w:r w:rsidRPr="00875E26">
              <w:rPr>
                <w:color w:val="000000"/>
              </w:rPr>
              <w:t xml:space="preserve"> $      (5,000.00)</w:t>
            </w:r>
          </w:p>
        </w:tc>
      </w:tr>
      <w:tr w:rsidR="00204905" w:rsidRPr="00875E26" w14:paraId="7D3D093C" w14:textId="77777777" w:rsidTr="00954C07">
        <w:trPr>
          <w:trHeight w:val="300"/>
        </w:trPr>
        <w:tc>
          <w:tcPr>
            <w:tcW w:w="2610" w:type="dxa"/>
            <w:vMerge/>
            <w:tcBorders>
              <w:left w:val="single" w:sz="4" w:space="0" w:color="auto"/>
              <w:right w:val="single" w:sz="4" w:space="0" w:color="auto"/>
            </w:tcBorders>
          </w:tcPr>
          <w:p w14:paraId="79E59AA5" w14:textId="77777777" w:rsidR="00204905" w:rsidRPr="00BE11D7" w:rsidRDefault="00204905" w:rsidP="00954C07">
            <w:pPr>
              <w:rPr>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786AA001" w14:textId="77777777" w:rsidR="00204905" w:rsidRPr="00BE11D7" w:rsidRDefault="00204905" w:rsidP="00954C07">
            <w:pPr>
              <w:rPr>
                <w:color w:val="000000"/>
              </w:rPr>
            </w:pPr>
            <w:r w:rsidRPr="00BE11D7">
              <w:rPr>
                <w:color w:val="000000"/>
              </w:rPr>
              <w:t>RTCO Calculation</w:t>
            </w:r>
          </w:p>
        </w:tc>
        <w:tc>
          <w:tcPr>
            <w:tcW w:w="1710" w:type="dxa"/>
            <w:tcBorders>
              <w:top w:val="nil"/>
              <w:left w:val="nil"/>
              <w:bottom w:val="single" w:sz="4" w:space="0" w:color="auto"/>
              <w:right w:val="single" w:sz="4" w:space="0" w:color="auto"/>
            </w:tcBorders>
            <w:noWrap/>
            <w:vAlign w:val="bottom"/>
            <w:hideMark/>
          </w:tcPr>
          <w:p w14:paraId="2D892E24" w14:textId="77777777" w:rsidR="00204905" w:rsidRPr="00875E26" w:rsidRDefault="00204905" w:rsidP="00954C07">
            <w:pPr>
              <w:rPr>
                <w:color w:val="000000"/>
              </w:rPr>
            </w:pPr>
            <w:r w:rsidRPr="00875E26">
              <w:rPr>
                <w:color w:val="000000"/>
              </w:rPr>
              <w:t xml:space="preserve"> $  1,501.00 </w:t>
            </w:r>
          </w:p>
        </w:tc>
        <w:tc>
          <w:tcPr>
            <w:tcW w:w="1710" w:type="dxa"/>
            <w:tcBorders>
              <w:top w:val="nil"/>
              <w:left w:val="nil"/>
              <w:bottom w:val="single" w:sz="4" w:space="0" w:color="auto"/>
              <w:right w:val="single" w:sz="4" w:space="0" w:color="auto"/>
            </w:tcBorders>
            <w:noWrap/>
            <w:vAlign w:val="bottom"/>
            <w:hideMark/>
          </w:tcPr>
          <w:p w14:paraId="02BBE496" w14:textId="77777777" w:rsidR="00204905" w:rsidRPr="00875E26" w:rsidRDefault="00204905" w:rsidP="00954C07">
            <w:pPr>
              <w:rPr>
                <w:color w:val="000000"/>
              </w:rPr>
            </w:pPr>
            <w:r w:rsidRPr="00875E26">
              <w:rPr>
                <w:color w:val="000000"/>
              </w:rPr>
              <w:t xml:space="preserve"> $                -   </w:t>
            </w:r>
          </w:p>
        </w:tc>
      </w:tr>
      <w:tr w:rsidR="00204905" w:rsidRPr="00875E26" w14:paraId="4E1C6FD9" w14:textId="77777777" w:rsidTr="00954C07">
        <w:trPr>
          <w:trHeight w:val="315"/>
        </w:trPr>
        <w:tc>
          <w:tcPr>
            <w:tcW w:w="2610" w:type="dxa"/>
            <w:vMerge/>
            <w:tcBorders>
              <w:left w:val="single" w:sz="4" w:space="0" w:color="auto"/>
              <w:bottom w:val="double" w:sz="6" w:space="0" w:color="auto"/>
              <w:right w:val="single" w:sz="4" w:space="0" w:color="auto"/>
            </w:tcBorders>
          </w:tcPr>
          <w:p w14:paraId="29982C3A" w14:textId="77777777" w:rsidR="00204905" w:rsidRPr="00BE11D7" w:rsidRDefault="00204905" w:rsidP="00954C07">
            <w:pPr>
              <w:rPr>
                <w:color w:val="000000"/>
              </w:rPr>
            </w:pPr>
          </w:p>
        </w:tc>
        <w:tc>
          <w:tcPr>
            <w:tcW w:w="2610" w:type="dxa"/>
            <w:tcBorders>
              <w:top w:val="nil"/>
              <w:left w:val="single" w:sz="4" w:space="0" w:color="auto"/>
              <w:bottom w:val="double" w:sz="6" w:space="0" w:color="auto"/>
              <w:right w:val="single" w:sz="4" w:space="0" w:color="auto"/>
            </w:tcBorders>
            <w:noWrap/>
            <w:vAlign w:val="bottom"/>
            <w:hideMark/>
          </w:tcPr>
          <w:p w14:paraId="4DE566FD" w14:textId="77777777" w:rsidR="00204905" w:rsidRPr="00BE11D7" w:rsidRDefault="00204905" w:rsidP="00954C07">
            <w:pPr>
              <w:rPr>
                <w:color w:val="000000"/>
              </w:rPr>
            </w:pPr>
            <w:r w:rsidRPr="00BE11D7">
              <w:rPr>
                <w:color w:val="000000"/>
              </w:rPr>
              <w:t>RTLosses</w:t>
            </w:r>
          </w:p>
        </w:tc>
        <w:tc>
          <w:tcPr>
            <w:tcW w:w="1710" w:type="dxa"/>
            <w:tcBorders>
              <w:top w:val="nil"/>
              <w:left w:val="nil"/>
              <w:bottom w:val="double" w:sz="6" w:space="0" w:color="auto"/>
              <w:right w:val="single" w:sz="4" w:space="0" w:color="auto"/>
            </w:tcBorders>
            <w:noWrap/>
            <w:vAlign w:val="bottom"/>
            <w:hideMark/>
          </w:tcPr>
          <w:p w14:paraId="74ACE168" w14:textId="77777777" w:rsidR="00204905" w:rsidRPr="00875E26" w:rsidRDefault="00204905" w:rsidP="00954C07">
            <w:pPr>
              <w:jc w:val="right"/>
              <w:rPr>
                <w:color w:val="000000"/>
              </w:rPr>
            </w:pPr>
            <w:r w:rsidRPr="00875E26">
              <w:rPr>
                <w:color w:val="000000"/>
              </w:rPr>
              <w:t>0</w:t>
            </w:r>
          </w:p>
        </w:tc>
        <w:tc>
          <w:tcPr>
            <w:tcW w:w="1710" w:type="dxa"/>
            <w:tcBorders>
              <w:top w:val="nil"/>
              <w:left w:val="nil"/>
              <w:bottom w:val="double" w:sz="6" w:space="0" w:color="auto"/>
              <w:right w:val="single" w:sz="4" w:space="0" w:color="auto"/>
            </w:tcBorders>
            <w:noWrap/>
            <w:vAlign w:val="bottom"/>
            <w:hideMark/>
          </w:tcPr>
          <w:p w14:paraId="27504965" w14:textId="77777777" w:rsidR="00204905" w:rsidRPr="00875E26" w:rsidRDefault="00204905" w:rsidP="00954C07">
            <w:pPr>
              <w:jc w:val="right"/>
              <w:rPr>
                <w:color w:val="000000"/>
              </w:rPr>
            </w:pPr>
            <w:r w:rsidRPr="00875E26">
              <w:rPr>
                <w:color w:val="000000"/>
              </w:rPr>
              <w:t>0</w:t>
            </w:r>
          </w:p>
        </w:tc>
      </w:tr>
      <w:tr w:rsidR="00204905" w:rsidRPr="00875E26" w14:paraId="710A11FD" w14:textId="77777777" w:rsidTr="00954C07">
        <w:trPr>
          <w:trHeight w:val="330"/>
        </w:trPr>
        <w:tc>
          <w:tcPr>
            <w:tcW w:w="2610" w:type="dxa"/>
            <w:tcBorders>
              <w:top w:val="nil"/>
              <w:left w:val="single" w:sz="4" w:space="0" w:color="auto"/>
              <w:bottom w:val="double" w:sz="6" w:space="0" w:color="auto"/>
              <w:right w:val="single" w:sz="4" w:space="0" w:color="auto"/>
            </w:tcBorders>
          </w:tcPr>
          <w:p w14:paraId="33FBAE9A" w14:textId="77777777" w:rsidR="00204905" w:rsidRPr="00BE11D7" w:rsidRDefault="00204905" w:rsidP="00954C07">
            <w:pPr>
              <w:rPr>
                <w:color w:val="000000"/>
              </w:rPr>
            </w:pPr>
            <w:r>
              <w:rPr>
                <w:color w:val="000000"/>
              </w:rPr>
              <w:t>RTIEO</w:t>
            </w:r>
          </w:p>
        </w:tc>
        <w:tc>
          <w:tcPr>
            <w:tcW w:w="2610" w:type="dxa"/>
            <w:tcBorders>
              <w:top w:val="nil"/>
              <w:left w:val="single" w:sz="4" w:space="0" w:color="auto"/>
              <w:bottom w:val="double" w:sz="6" w:space="0" w:color="auto"/>
              <w:right w:val="single" w:sz="4" w:space="0" w:color="auto"/>
            </w:tcBorders>
            <w:noWrap/>
            <w:vAlign w:val="bottom"/>
            <w:hideMark/>
          </w:tcPr>
          <w:p w14:paraId="59660A75" w14:textId="77777777" w:rsidR="00204905" w:rsidRPr="00BE11D7" w:rsidRDefault="00204905" w:rsidP="00954C07">
            <w:pPr>
              <w:rPr>
                <w:color w:val="000000"/>
              </w:rPr>
            </w:pPr>
          </w:p>
        </w:tc>
        <w:tc>
          <w:tcPr>
            <w:tcW w:w="1710" w:type="dxa"/>
            <w:tcBorders>
              <w:top w:val="nil"/>
              <w:left w:val="nil"/>
              <w:bottom w:val="double" w:sz="6" w:space="0" w:color="auto"/>
              <w:right w:val="single" w:sz="4" w:space="0" w:color="auto"/>
            </w:tcBorders>
            <w:noWrap/>
            <w:vAlign w:val="bottom"/>
            <w:hideMark/>
          </w:tcPr>
          <w:p w14:paraId="3AAC1367" w14:textId="77777777" w:rsidR="00204905" w:rsidRPr="00875E26" w:rsidRDefault="00204905" w:rsidP="00954C07">
            <w:pPr>
              <w:rPr>
                <w:color w:val="000000"/>
              </w:rPr>
            </w:pPr>
            <w:r w:rsidRPr="00875E26">
              <w:rPr>
                <w:color w:val="000000"/>
              </w:rPr>
              <w:t xml:space="preserve"> $           -   </w:t>
            </w:r>
          </w:p>
        </w:tc>
        <w:tc>
          <w:tcPr>
            <w:tcW w:w="1710" w:type="dxa"/>
            <w:tcBorders>
              <w:top w:val="nil"/>
              <w:left w:val="nil"/>
              <w:bottom w:val="double" w:sz="6" w:space="0" w:color="auto"/>
              <w:right w:val="single" w:sz="4" w:space="0" w:color="auto"/>
            </w:tcBorders>
            <w:noWrap/>
            <w:vAlign w:val="bottom"/>
            <w:hideMark/>
          </w:tcPr>
          <w:p w14:paraId="76713BA5" w14:textId="77777777" w:rsidR="00204905" w:rsidRPr="00875E26" w:rsidRDefault="00204905" w:rsidP="00954C07">
            <w:pPr>
              <w:rPr>
                <w:color w:val="000000"/>
              </w:rPr>
            </w:pPr>
            <w:r w:rsidRPr="00875E26">
              <w:rPr>
                <w:color w:val="000000"/>
              </w:rPr>
              <w:t xml:space="preserve"> $                -   </w:t>
            </w:r>
          </w:p>
        </w:tc>
      </w:tr>
    </w:tbl>
    <w:p w14:paraId="2A610A3A" w14:textId="52745F54" w:rsidR="00204905" w:rsidRPr="0010630C" w:rsidRDefault="00204905" w:rsidP="00204905">
      <w:pPr>
        <w:rPr>
          <w:color w:val="000000"/>
          <w:sz w:val="18"/>
        </w:rPr>
      </w:pPr>
      <w:r w:rsidRPr="0010630C">
        <w:rPr>
          <w:color w:val="000000"/>
          <w:sz w:val="18"/>
        </w:rPr>
        <w:t>***</w:t>
      </w:r>
      <w:r w:rsidR="005F24C1">
        <w:rPr>
          <w:color w:val="000000"/>
          <w:sz w:val="18"/>
        </w:rPr>
        <w:t xml:space="preserve"> WEIM </w:t>
      </w:r>
      <w:r w:rsidRPr="0010630C">
        <w:rPr>
          <w:color w:val="000000"/>
          <w:sz w:val="18"/>
        </w:rPr>
        <w:t>Transfer is settled at the System Marginal Energy Costs</w:t>
      </w:r>
    </w:p>
    <w:p w14:paraId="67D21B86" w14:textId="77777777" w:rsidR="00204905" w:rsidRDefault="00204905" w:rsidP="00204905"/>
    <w:p w14:paraId="0276D653" w14:textId="77777777" w:rsidR="00DF02D8" w:rsidRPr="00875E26" w:rsidRDefault="00DF02D8" w:rsidP="00204905"/>
    <w:p w14:paraId="2408DE2F" w14:textId="77777777" w:rsidR="00204905" w:rsidRDefault="00204905" w:rsidP="00204905">
      <w:pPr>
        <w:jc w:val="center"/>
      </w:pPr>
    </w:p>
    <w:p w14:paraId="0340751E" w14:textId="77777777" w:rsidR="00204905" w:rsidRPr="004B5C2B" w:rsidRDefault="00204905" w:rsidP="00204905">
      <w:pPr>
        <w:jc w:val="center"/>
        <w:rPr>
          <w:b/>
        </w:rPr>
      </w:pPr>
      <w:r w:rsidRPr="004B5C2B">
        <w:rPr>
          <w:b/>
        </w:rPr>
        <w:t xml:space="preserve">EIM Transfer Constraint Not Congested/Intertie Scheduling Limit Congested </w:t>
      </w:r>
    </w:p>
    <w:p w14:paraId="5AD9A151" w14:textId="77777777" w:rsidR="00204905" w:rsidRPr="00BE11D7" w:rsidRDefault="00204905" w:rsidP="00204905"/>
    <w:p w14:paraId="6A0E7AB7" w14:textId="77777777" w:rsidR="00204905" w:rsidRPr="00BE11D7" w:rsidRDefault="00204905" w:rsidP="00204905">
      <w:r w:rsidRPr="003F0008">
        <w:rPr>
          <w:noProof/>
        </w:rPr>
        <mc:AlternateContent>
          <mc:Choice Requires="wps">
            <w:drawing>
              <wp:anchor distT="0" distB="0" distL="114300" distR="114300" simplePos="0" relativeHeight="251658245" behindDoc="0" locked="0" layoutInCell="1" allowOverlap="1" wp14:anchorId="0FD54CBD" wp14:editId="04ED9A6C">
                <wp:simplePos x="0" y="0"/>
                <wp:positionH relativeFrom="margin">
                  <wp:align>right</wp:align>
                </wp:positionH>
                <wp:positionV relativeFrom="paragraph">
                  <wp:posOffset>9525</wp:posOffset>
                </wp:positionV>
                <wp:extent cx="2023730" cy="2157573"/>
                <wp:effectExtent l="0" t="0" r="15240" b="14605"/>
                <wp:wrapNone/>
                <wp:docPr id="78" name="Flowchart: Connector 78"/>
                <wp:cNvGraphicFramePr/>
                <a:graphic xmlns:a="http://schemas.openxmlformats.org/drawingml/2006/main">
                  <a:graphicData uri="http://schemas.microsoft.com/office/word/2010/wordprocessingShape">
                    <wps:wsp>
                      <wps:cNvSpPr/>
                      <wps:spPr>
                        <a:xfrm>
                          <a:off x="0" y="0"/>
                          <a:ext cx="2023730" cy="2157573"/>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2D34E8" w14:textId="77777777" w:rsidR="002A2768" w:rsidRDefault="002A2768" w:rsidP="00204905">
                            <w:pPr>
                              <w:jc w:val="center"/>
                            </w:pPr>
                            <w:r>
                              <w:t>EIM1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54CBD" id="Flowchart: Connector 78" o:spid="_x0000_s1101" type="#_x0000_t120" style="position:absolute;margin-left:108.15pt;margin-top:.75pt;width:159.35pt;height:169.9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" fillcolor="#4f81bd [3204]" strokecolor="#243f60 [1604]" strokeweight="2pt">
                <v:textbox>
                  <w:txbxContent>
                    <w:p w14:paraId="3C2D34E8" w14:textId="77777777" w:rsidR="002A2768" w:rsidRDefault="002A2768" w:rsidP="00204905">
                      <w:pPr>
                        <w:jc w:val="center"/>
                      </w:pPr>
                      <w:r>
                        <w:t>EIM1</w:t>
                      </w:r>
                    </w:p>
                  </w:txbxContent>
                </v:textbox>
                <w10:wrap anchorx="margin"/>
              </v:shape>
            </w:pict>
          </mc:Fallback>
        </mc:AlternateContent>
      </w:r>
      <w:r w:rsidRPr="00362BE9">
        <w:rPr>
          <w:noProof/>
        </w:rPr>
        <mc:AlternateContent>
          <mc:Choice Requires="wps">
            <w:drawing>
              <wp:anchor distT="0" distB="0" distL="114300" distR="114300" simplePos="0" relativeHeight="251658244" behindDoc="0" locked="0" layoutInCell="1" allowOverlap="1" wp14:anchorId="2A49D7B5" wp14:editId="6DE5169D">
                <wp:simplePos x="0" y="0"/>
                <wp:positionH relativeFrom="margin">
                  <wp:align>left</wp:align>
                </wp:positionH>
                <wp:positionV relativeFrom="paragraph">
                  <wp:posOffset>19949</wp:posOffset>
                </wp:positionV>
                <wp:extent cx="2126750" cy="2137025"/>
                <wp:effectExtent l="0" t="0" r="26035" b="15875"/>
                <wp:wrapNone/>
                <wp:docPr id="79" name="Oval 79"/>
                <wp:cNvGraphicFramePr/>
                <a:graphic xmlns:a="http://schemas.openxmlformats.org/drawingml/2006/main">
                  <a:graphicData uri="http://schemas.microsoft.com/office/word/2010/wordprocessingShape">
                    <wps:wsp>
                      <wps:cNvSpPr/>
                      <wps:spPr>
                        <a:xfrm>
                          <a:off x="0" y="0"/>
                          <a:ext cx="2126750" cy="2137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C7FB89" w14:textId="77777777" w:rsidR="002A2768" w:rsidRDefault="002A2768" w:rsidP="00204905">
                            <w:pPr>
                              <w:jc w:val="center"/>
                            </w:pPr>
                            <w:r>
                              <w:t>CISO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9D7B5" id="Oval 79" o:spid="_x0000_s1102" style="position:absolute;margin-left:0;margin-top:1.55pt;width:167.45pt;height:168.25pt;z-index:2516582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" fillcolor="#4f81bd [3204]" strokecolor="#243f60 [1604]" strokeweight="2pt">
                <v:textbox>
                  <w:txbxContent>
                    <w:p w14:paraId="76C7FB89" w14:textId="77777777" w:rsidR="002A2768" w:rsidRDefault="002A2768" w:rsidP="00204905">
                      <w:pPr>
                        <w:jc w:val="center"/>
                      </w:pPr>
                      <w:r>
                        <w:t>CISO</w:t>
                      </w:r>
                    </w:p>
                  </w:txbxContent>
                </v:textbox>
                <w10:wrap anchorx="margin"/>
              </v:oval>
            </w:pict>
          </mc:Fallback>
        </mc:AlternateContent>
      </w:r>
    </w:p>
    <w:p w14:paraId="4886AA9A" w14:textId="77777777" w:rsidR="00204905" w:rsidRPr="00BE11D7" w:rsidRDefault="00204905" w:rsidP="00204905"/>
    <w:p w14:paraId="714BB3E7" w14:textId="77777777" w:rsidR="00204905" w:rsidRPr="00BE11D7" w:rsidRDefault="00204905" w:rsidP="00204905"/>
    <w:p w14:paraId="00419C95" w14:textId="77777777" w:rsidR="00204905" w:rsidRPr="00BE11D7" w:rsidRDefault="00204905" w:rsidP="00204905"/>
    <w:p w14:paraId="7020B6C0" w14:textId="77777777" w:rsidR="00204905" w:rsidRPr="00BE11D7" w:rsidRDefault="00204905" w:rsidP="00204905">
      <w:r w:rsidRPr="003F0008">
        <w:rPr>
          <w:noProof/>
        </w:rPr>
        <mc:AlternateContent>
          <mc:Choice Requires="wps">
            <w:drawing>
              <wp:anchor distT="0" distB="0" distL="114300" distR="114300" simplePos="0" relativeHeight="251658246" behindDoc="0" locked="0" layoutInCell="1" allowOverlap="1" wp14:anchorId="08A17967" wp14:editId="35BB1B57">
                <wp:simplePos x="0" y="0"/>
                <wp:positionH relativeFrom="margin">
                  <wp:posOffset>1812897</wp:posOffset>
                </wp:positionH>
                <wp:positionV relativeFrom="paragraph">
                  <wp:posOffset>50385</wp:posOffset>
                </wp:positionV>
                <wp:extent cx="1849334" cy="834887"/>
                <wp:effectExtent l="57150" t="38100" r="74930" b="99060"/>
                <wp:wrapNone/>
                <wp:docPr id="80" name="Left Arrow 80"/>
                <wp:cNvGraphicFramePr/>
                <a:graphic xmlns:a="http://schemas.openxmlformats.org/drawingml/2006/main">
                  <a:graphicData uri="http://schemas.microsoft.com/office/word/2010/wordprocessingShape">
                    <wps:wsp>
                      <wps:cNvSpPr/>
                      <wps:spPr>
                        <a:xfrm>
                          <a:off x="0" y="0"/>
                          <a:ext cx="1849334" cy="834887"/>
                        </a:xfrm>
                        <a:prstGeom prst="leftArrow">
                          <a:avLst/>
                        </a:prstGeom>
                      </wps:spPr>
                      <wps:style>
                        <a:lnRef idx="1">
                          <a:schemeClr val="accent2"/>
                        </a:lnRef>
                        <a:fillRef idx="2">
                          <a:schemeClr val="accent2"/>
                        </a:fillRef>
                        <a:effectRef idx="1">
                          <a:schemeClr val="accent2"/>
                        </a:effectRef>
                        <a:fontRef idx="minor">
                          <a:schemeClr val="dk1"/>
                        </a:fontRef>
                      </wps:style>
                      <wps:txbx>
                        <w:txbxContent>
                          <w:p w14:paraId="1B924DA8" w14:textId="77777777" w:rsidR="002A2768" w:rsidRPr="00F3574D" w:rsidRDefault="002A2768" w:rsidP="00204905">
                            <w:pPr>
                              <w:jc w:val="center"/>
                              <w:rPr>
                                <w:sz w:val="20"/>
                              </w:rPr>
                            </w:pPr>
                            <w:r w:rsidRPr="00F3574D">
                              <w:rPr>
                                <w:sz w:val="20"/>
                              </w:rPr>
                              <w:t>EIM Transfer ATC Limit (100 MW)</w:t>
                            </w:r>
                          </w:p>
                          <w:p w14:paraId="56B9E6B1" w14:textId="77777777" w:rsidR="002A2768" w:rsidRPr="00836232" w:rsidRDefault="002A2768" w:rsidP="002049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7967" id="Left Arrow 80" o:spid="_x0000_s1103" type="#_x0000_t66" style="position:absolute;margin-left:142.75pt;margin-top:3.95pt;width:145.6pt;height:65.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" adj="4876" fillcolor="#dfa7a6 [1621]" strokecolor="#bc4542 [3045]">
                <v:fill color2="#f5e4e4 [501]" rotate="t" angle="180" colors="0 #ffa2a1;22938f #ffbebd;1 #ffe5e5" focus="100%" type="gradient"/>
                <v:shadow on="t" color="black" opacity="24903f" origin=",.5" offset="0,.55556mm"/>
                <v:textbox>
                  <w:txbxContent>
                    <w:p w14:paraId="1B924DA8" w14:textId="77777777" w:rsidR="002A2768" w:rsidRPr="00F3574D" w:rsidRDefault="002A2768" w:rsidP="00204905">
                      <w:pPr>
                        <w:jc w:val="center"/>
                        <w:rPr>
                          <w:sz w:val="20"/>
                        </w:rPr>
                      </w:pPr>
                      <w:r w:rsidRPr="00F3574D">
                        <w:rPr>
                          <w:sz w:val="20"/>
                        </w:rPr>
                        <w:t>EIM Transfer ATC Limit (100 MW)</w:t>
                      </w:r>
                    </w:p>
                    <w:p w14:paraId="56B9E6B1" w14:textId="77777777" w:rsidR="002A2768" w:rsidRPr="00836232" w:rsidRDefault="002A2768" w:rsidP="00204905">
                      <w:pPr>
                        <w:jc w:val="center"/>
                      </w:pPr>
                    </w:p>
                  </w:txbxContent>
                </v:textbox>
                <w10:wrap anchorx="margin"/>
              </v:shape>
            </w:pict>
          </mc:Fallback>
        </mc:AlternateContent>
      </w:r>
    </w:p>
    <w:p w14:paraId="320FCD8D" w14:textId="77777777" w:rsidR="00204905" w:rsidRPr="00BE11D7" w:rsidRDefault="00204905" w:rsidP="00204905"/>
    <w:p w14:paraId="234D6E5F" w14:textId="77777777" w:rsidR="00204905" w:rsidRPr="00BE11D7" w:rsidRDefault="00204905" w:rsidP="00204905"/>
    <w:p w14:paraId="6C8FE550" w14:textId="77777777" w:rsidR="00204905" w:rsidRPr="00BE11D7" w:rsidRDefault="00204905" w:rsidP="00204905"/>
    <w:p w14:paraId="675D0DBE" w14:textId="77777777" w:rsidR="00204905" w:rsidRPr="00BE11D7" w:rsidRDefault="00204905" w:rsidP="00204905"/>
    <w:p w14:paraId="77E53093" w14:textId="77777777" w:rsidR="00204905" w:rsidRPr="00BE11D7" w:rsidRDefault="00204905" w:rsidP="00204905"/>
    <w:p w14:paraId="2E856F97" w14:textId="77777777" w:rsidR="00204905" w:rsidRPr="00BE11D7" w:rsidRDefault="00204905" w:rsidP="00204905"/>
    <w:p w14:paraId="5016B4D1" w14:textId="77777777" w:rsidR="00204905" w:rsidRPr="00BE11D7" w:rsidRDefault="00204905" w:rsidP="00204905"/>
    <w:p w14:paraId="1223A246" w14:textId="77777777" w:rsidR="00204905" w:rsidRPr="00BE11D7" w:rsidRDefault="00204905" w:rsidP="00204905"/>
    <w:p w14:paraId="7C1523EE" w14:textId="77777777" w:rsidR="00204905" w:rsidRDefault="00204905" w:rsidP="00204905">
      <w:pPr>
        <w:ind w:firstLine="720"/>
      </w:pPr>
    </w:p>
    <w:p w14:paraId="52104CC2" w14:textId="0463B632" w:rsidR="00204905" w:rsidRPr="00875E26" w:rsidRDefault="00204905" w:rsidP="00877DDB">
      <w:pPr>
        <w:pStyle w:val="BPM"/>
      </w:pPr>
      <w:r w:rsidRPr="00875E26">
        <w:lastRenderedPageBreak/>
        <w:t xml:space="preserve">In the example presented below, the Real Time Market receives Bids from EIM1 Generator and CISO Generator in order to serve EIM1 Load and CISO Load. The Real Time Market Conditions have determined that there is 100 MWs Available Transmission Capacity between EIM1 and CISO with </w:t>
      </w:r>
      <w:r w:rsidR="00153940">
        <w:t>a WEIM</w:t>
      </w:r>
      <w:r w:rsidR="005F24C1">
        <w:t xml:space="preserve"> </w:t>
      </w:r>
      <w:r w:rsidRPr="00875E26">
        <w:t>Transfer Cost of $0.01.  Based upon these conditions, the Real Time Market has dispatched a Generator in the EIM1 Balancing Authority Area (BAA) to serve 50 MWs of EIM1 Load and 100 MWs of CISO Load. The Real Time Market also dispatched a Generator in the CISO BAA to serve an additional 100 MWs of internal Load. Market Conditions has determined that marginal unit is CISO Generator, the</w:t>
      </w:r>
      <w:r w:rsidR="005F24C1">
        <w:t xml:space="preserve"> WEIM </w:t>
      </w:r>
      <w:r w:rsidRPr="00875E26">
        <w:t xml:space="preserve">Transfer Constraint is </w:t>
      </w:r>
      <w:r>
        <w:t xml:space="preserve">not </w:t>
      </w:r>
      <w:r w:rsidRPr="00875E26">
        <w:t xml:space="preserve">congested, and the Intertie scheduling Limit Constraint is congested.     </w:t>
      </w:r>
    </w:p>
    <w:p w14:paraId="565D8C83" w14:textId="77777777" w:rsidR="00204905" w:rsidRPr="00875E26" w:rsidRDefault="00204905" w:rsidP="00877DDB">
      <w:pPr>
        <w:pStyle w:val="BPM"/>
      </w:pPr>
      <w:r w:rsidRPr="00875E26">
        <w:t xml:space="preserve"> Based upon the above mentioned Market Conditions, Settlement calculations will be as follows:</w:t>
      </w:r>
    </w:p>
    <w:p w14:paraId="5DE455DB" w14:textId="77777777" w:rsidR="00204905" w:rsidRPr="00BE11D7" w:rsidRDefault="00204905" w:rsidP="00204905"/>
    <w:p w14:paraId="1BBE8B5A" w14:textId="77777777" w:rsidR="00204905" w:rsidRPr="00BE11D7" w:rsidRDefault="00204905" w:rsidP="00204905">
      <w:r w:rsidRPr="00BE11D7">
        <w:t>Bids</w:t>
      </w:r>
    </w:p>
    <w:tbl>
      <w:tblPr>
        <w:tblW w:w="8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1739"/>
        <w:gridCol w:w="1739"/>
        <w:gridCol w:w="1713"/>
      </w:tblGrid>
      <w:tr w:rsidR="00204905" w:rsidRPr="00BE11D7" w14:paraId="381BE48B" w14:textId="77777777" w:rsidTr="00954C07">
        <w:trPr>
          <w:trHeight w:val="602"/>
        </w:trPr>
        <w:tc>
          <w:tcPr>
            <w:tcW w:w="1662" w:type="dxa"/>
            <w:noWrap/>
            <w:vAlign w:val="bottom"/>
            <w:hideMark/>
          </w:tcPr>
          <w:p w14:paraId="77F4B889" w14:textId="77777777" w:rsidR="00204905" w:rsidRPr="00BE11D7" w:rsidRDefault="00204905" w:rsidP="00954C07">
            <w:pPr>
              <w:jc w:val="center"/>
              <w:rPr>
                <w:color w:val="000000"/>
              </w:rPr>
            </w:pPr>
            <w:r w:rsidRPr="00BE11D7">
              <w:rPr>
                <w:color w:val="000000"/>
              </w:rPr>
              <w:t>Resource</w:t>
            </w:r>
          </w:p>
        </w:tc>
        <w:tc>
          <w:tcPr>
            <w:tcW w:w="1892" w:type="dxa"/>
            <w:noWrap/>
            <w:vAlign w:val="bottom"/>
            <w:hideMark/>
          </w:tcPr>
          <w:p w14:paraId="02584C7F" w14:textId="77777777" w:rsidR="00204905" w:rsidRPr="00BE11D7" w:rsidRDefault="00204905" w:rsidP="00954C07">
            <w:pPr>
              <w:jc w:val="center"/>
              <w:rPr>
                <w:color w:val="000000"/>
              </w:rPr>
            </w:pPr>
            <w:r w:rsidRPr="00BE11D7">
              <w:rPr>
                <w:color w:val="000000"/>
              </w:rPr>
              <w:t>Quantity (MW)</w:t>
            </w:r>
          </w:p>
        </w:tc>
        <w:tc>
          <w:tcPr>
            <w:tcW w:w="1739" w:type="dxa"/>
            <w:vAlign w:val="bottom"/>
            <w:hideMark/>
          </w:tcPr>
          <w:p w14:paraId="107B46D5" w14:textId="77777777" w:rsidR="00204905" w:rsidRPr="00BE11D7" w:rsidRDefault="00204905" w:rsidP="00954C07">
            <w:pPr>
              <w:jc w:val="center"/>
              <w:rPr>
                <w:color w:val="000000"/>
              </w:rPr>
            </w:pPr>
            <w:r w:rsidRPr="00BE11D7">
              <w:rPr>
                <w:color w:val="000000"/>
              </w:rPr>
              <w:t>Energy Bid</w:t>
            </w:r>
            <w:r w:rsidRPr="00BE11D7">
              <w:rPr>
                <w:color w:val="000000"/>
              </w:rPr>
              <w:br/>
              <w:t>Price ($/MW)</w:t>
            </w:r>
          </w:p>
        </w:tc>
        <w:tc>
          <w:tcPr>
            <w:tcW w:w="1739" w:type="dxa"/>
            <w:vAlign w:val="bottom"/>
            <w:hideMark/>
          </w:tcPr>
          <w:p w14:paraId="645910AD" w14:textId="77777777" w:rsidR="00204905" w:rsidRPr="00BE11D7" w:rsidRDefault="00204905" w:rsidP="00954C07">
            <w:pPr>
              <w:jc w:val="center"/>
              <w:rPr>
                <w:color w:val="000000"/>
              </w:rPr>
            </w:pPr>
            <w:r w:rsidRPr="00BE11D7">
              <w:rPr>
                <w:color w:val="000000"/>
              </w:rPr>
              <w:t>GHG Bid</w:t>
            </w:r>
            <w:r w:rsidRPr="00BE11D7">
              <w:rPr>
                <w:color w:val="000000"/>
              </w:rPr>
              <w:br/>
              <w:t>Price ($/MW)</w:t>
            </w:r>
          </w:p>
        </w:tc>
        <w:tc>
          <w:tcPr>
            <w:tcW w:w="1713" w:type="dxa"/>
            <w:vAlign w:val="bottom"/>
            <w:hideMark/>
          </w:tcPr>
          <w:p w14:paraId="47E1AFA3" w14:textId="77777777" w:rsidR="00204905" w:rsidRPr="00BE11D7" w:rsidRDefault="00204905" w:rsidP="00954C07">
            <w:pPr>
              <w:jc w:val="center"/>
              <w:rPr>
                <w:color w:val="000000"/>
              </w:rPr>
            </w:pPr>
            <w:r w:rsidRPr="00BE11D7">
              <w:rPr>
                <w:color w:val="000000"/>
              </w:rPr>
              <w:t>All-in Bid</w:t>
            </w:r>
            <w:r w:rsidRPr="00BE11D7">
              <w:rPr>
                <w:color w:val="000000"/>
              </w:rPr>
              <w:br/>
              <w:t>Price ($/MW)</w:t>
            </w:r>
          </w:p>
        </w:tc>
      </w:tr>
      <w:tr w:rsidR="00204905" w:rsidRPr="00BE11D7" w14:paraId="0855C93E" w14:textId="77777777" w:rsidTr="00954C07">
        <w:trPr>
          <w:trHeight w:val="313"/>
        </w:trPr>
        <w:tc>
          <w:tcPr>
            <w:tcW w:w="1662" w:type="dxa"/>
            <w:noWrap/>
            <w:vAlign w:val="bottom"/>
          </w:tcPr>
          <w:p w14:paraId="211B8AA8" w14:textId="77777777" w:rsidR="00204905" w:rsidRPr="00BE11D7" w:rsidRDefault="00204905" w:rsidP="00954C07">
            <w:pPr>
              <w:rPr>
                <w:color w:val="000000"/>
              </w:rPr>
            </w:pPr>
            <w:r w:rsidRPr="00BE11D7">
              <w:rPr>
                <w:color w:val="000000"/>
              </w:rPr>
              <w:t>EIM1Gen</w:t>
            </w:r>
          </w:p>
        </w:tc>
        <w:tc>
          <w:tcPr>
            <w:tcW w:w="1892" w:type="dxa"/>
            <w:noWrap/>
            <w:vAlign w:val="bottom"/>
          </w:tcPr>
          <w:p w14:paraId="38A3008F" w14:textId="77777777" w:rsidR="00204905" w:rsidRPr="00BE11D7" w:rsidRDefault="00204905" w:rsidP="00954C07">
            <w:pPr>
              <w:jc w:val="right"/>
              <w:rPr>
                <w:color w:val="000000"/>
              </w:rPr>
            </w:pPr>
            <w:r w:rsidRPr="00BE11D7">
              <w:rPr>
                <w:color w:val="000000"/>
              </w:rPr>
              <w:t>200</w:t>
            </w:r>
          </w:p>
        </w:tc>
        <w:tc>
          <w:tcPr>
            <w:tcW w:w="1739" w:type="dxa"/>
            <w:noWrap/>
            <w:vAlign w:val="bottom"/>
          </w:tcPr>
          <w:p w14:paraId="60594A42" w14:textId="77777777" w:rsidR="00204905" w:rsidRPr="00BE11D7" w:rsidRDefault="00204905" w:rsidP="00954C07">
            <w:pPr>
              <w:rPr>
                <w:color w:val="000000"/>
              </w:rPr>
            </w:pPr>
            <w:r w:rsidRPr="00BE11D7">
              <w:rPr>
                <w:color w:val="000000"/>
              </w:rPr>
              <w:t xml:space="preserve"> $         35.00 </w:t>
            </w:r>
          </w:p>
        </w:tc>
        <w:tc>
          <w:tcPr>
            <w:tcW w:w="1739" w:type="dxa"/>
            <w:noWrap/>
            <w:vAlign w:val="bottom"/>
          </w:tcPr>
          <w:p w14:paraId="5C82BDC9" w14:textId="77777777" w:rsidR="00204905" w:rsidRPr="00BE11D7" w:rsidRDefault="00204905" w:rsidP="00954C07">
            <w:pPr>
              <w:rPr>
                <w:color w:val="000000"/>
              </w:rPr>
            </w:pPr>
            <w:r w:rsidRPr="00BE11D7">
              <w:rPr>
                <w:color w:val="000000"/>
              </w:rPr>
              <w:t xml:space="preserve"> $              -   </w:t>
            </w:r>
          </w:p>
        </w:tc>
        <w:tc>
          <w:tcPr>
            <w:tcW w:w="1713" w:type="dxa"/>
            <w:noWrap/>
            <w:vAlign w:val="bottom"/>
          </w:tcPr>
          <w:p w14:paraId="1EB7B2DF" w14:textId="77777777" w:rsidR="00204905" w:rsidRPr="00BE11D7" w:rsidRDefault="00204905" w:rsidP="00954C07">
            <w:pPr>
              <w:rPr>
                <w:color w:val="000000"/>
              </w:rPr>
            </w:pPr>
            <w:r w:rsidRPr="00BE11D7">
              <w:rPr>
                <w:color w:val="000000"/>
              </w:rPr>
              <w:t xml:space="preserve"> $         50.00 </w:t>
            </w:r>
          </w:p>
        </w:tc>
      </w:tr>
      <w:tr w:rsidR="00204905" w:rsidRPr="00BE11D7" w14:paraId="42D9ADFF" w14:textId="77777777" w:rsidTr="00954C07">
        <w:trPr>
          <w:trHeight w:val="313"/>
        </w:trPr>
        <w:tc>
          <w:tcPr>
            <w:tcW w:w="1662" w:type="dxa"/>
            <w:noWrap/>
            <w:vAlign w:val="bottom"/>
          </w:tcPr>
          <w:p w14:paraId="5E15F3CA" w14:textId="77777777" w:rsidR="00204905" w:rsidRPr="00BE11D7" w:rsidRDefault="00204905" w:rsidP="00954C07">
            <w:pPr>
              <w:rPr>
                <w:color w:val="000000"/>
              </w:rPr>
            </w:pPr>
            <w:r w:rsidRPr="00BE11D7">
              <w:rPr>
                <w:color w:val="000000"/>
              </w:rPr>
              <w:t>CISOGen</w:t>
            </w:r>
          </w:p>
        </w:tc>
        <w:tc>
          <w:tcPr>
            <w:tcW w:w="1892" w:type="dxa"/>
            <w:noWrap/>
            <w:vAlign w:val="bottom"/>
          </w:tcPr>
          <w:p w14:paraId="0B3662EE" w14:textId="77777777" w:rsidR="00204905" w:rsidRPr="00BE11D7" w:rsidRDefault="00204905" w:rsidP="00954C07">
            <w:pPr>
              <w:jc w:val="right"/>
              <w:rPr>
                <w:color w:val="000000"/>
              </w:rPr>
            </w:pPr>
            <w:r w:rsidRPr="00BE11D7">
              <w:rPr>
                <w:color w:val="000000"/>
              </w:rPr>
              <w:t>300</w:t>
            </w:r>
          </w:p>
        </w:tc>
        <w:tc>
          <w:tcPr>
            <w:tcW w:w="1739" w:type="dxa"/>
            <w:noWrap/>
            <w:vAlign w:val="bottom"/>
          </w:tcPr>
          <w:p w14:paraId="407DF012" w14:textId="77777777" w:rsidR="00204905" w:rsidRPr="00BE11D7" w:rsidRDefault="00204905" w:rsidP="00954C07">
            <w:pPr>
              <w:rPr>
                <w:color w:val="000000"/>
              </w:rPr>
            </w:pPr>
            <w:r w:rsidRPr="00BE11D7">
              <w:rPr>
                <w:color w:val="000000"/>
              </w:rPr>
              <w:t xml:space="preserve"> $         50.00 </w:t>
            </w:r>
          </w:p>
        </w:tc>
        <w:tc>
          <w:tcPr>
            <w:tcW w:w="1739" w:type="dxa"/>
            <w:noWrap/>
            <w:vAlign w:val="bottom"/>
          </w:tcPr>
          <w:p w14:paraId="3A6FB170" w14:textId="77777777" w:rsidR="00204905" w:rsidRPr="00BE11D7" w:rsidRDefault="00204905" w:rsidP="00954C07">
            <w:pPr>
              <w:rPr>
                <w:color w:val="000000"/>
              </w:rPr>
            </w:pPr>
            <w:r w:rsidRPr="00BE11D7">
              <w:rPr>
                <w:color w:val="000000"/>
              </w:rPr>
              <w:t xml:space="preserve"> $              -   </w:t>
            </w:r>
          </w:p>
        </w:tc>
        <w:tc>
          <w:tcPr>
            <w:tcW w:w="1713" w:type="dxa"/>
            <w:noWrap/>
            <w:vAlign w:val="bottom"/>
          </w:tcPr>
          <w:p w14:paraId="69F6F9CA" w14:textId="77777777" w:rsidR="00204905" w:rsidRPr="00BE11D7" w:rsidRDefault="00204905" w:rsidP="00954C07">
            <w:pPr>
              <w:rPr>
                <w:color w:val="000000"/>
              </w:rPr>
            </w:pPr>
            <w:r w:rsidRPr="00BE11D7">
              <w:rPr>
                <w:color w:val="000000"/>
              </w:rPr>
              <w:t xml:space="preserve"> $         50.00 </w:t>
            </w:r>
          </w:p>
        </w:tc>
      </w:tr>
    </w:tbl>
    <w:p w14:paraId="33F4F3E4" w14:textId="77777777" w:rsidR="00204905" w:rsidRPr="00BE11D7" w:rsidRDefault="00204905" w:rsidP="00204905"/>
    <w:p w14:paraId="573D4D04" w14:textId="77777777" w:rsidR="00204905" w:rsidRPr="00BE11D7" w:rsidRDefault="00204905" w:rsidP="00204905">
      <w:r w:rsidRPr="00BE11D7">
        <w:t>Load Forecast</w:t>
      </w:r>
    </w:p>
    <w:tbl>
      <w:tblPr>
        <w:tblW w:w="3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tblGrid>
      <w:tr w:rsidR="00204905" w:rsidRPr="00BE11D7" w14:paraId="0ACBF198" w14:textId="77777777" w:rsidTr="00954C07">
        <w:trPr>
          <w:trHeight w:val="341"/>
        </w:trPr>
        <w:tc>
          <w:tcPr>
            <w:tcW w:w="1662" w:type="dxa"/>
            <w:noWrap/>
            <w:vAlign w:val="bottom"/>
            <w:hideMark/>
          </w:tcPr>
          <w:p w14:paraId="65C06E77" w14:textId="77777777" w:rsidR="00204905" w:rsidRPr="00BE11D7" w:rsidRDefault="00204905" w:rsidP="00954C07">
            <w:pPr>
              <w:jc w:val="center"/>
              <w:rPr>
                <w:color w:val="000000"/>
              </w:rPr>
            </w:pPr>
            <w:r w:rsidRPr="00BE11D7">
              <w:rPr>
                <w:color w:val="000000"/>
              </w:rPr>
              <w:t>Resource</w:t>
            </w:r>
          </w:p>
        </w:tc>
        <w:tc>
          <w:tcPr>
            <w:tcW w:w="1892" w:type="dxa"/>
            <w:noWrap/>
            <w:vAlign w:val="bottom"/>
            <w:hideMark/>
          </w:tcPr>
          <w:p w14:paraId="225AA72B" w14:textId="77777777" w:rsidR="00204905" w:rsidRPr="00BE11D7" w:rsidRDefault="00204905" w:rsidP="00954C07">
            <w:pPr>
              <w:jc w:val="center"/>
              <w:rPr>
                <w:color w:val="000000"/>
              </w:rPr>
            </w:pPr>
            <w:r w:rsidRPr="00BE11D7">
              <w:rPr>
                <w:color w:val="000000"/>
              </w:rPr>
              <w:t>Quantity (MW)</w:t>
            </w:r>
          </w:p>
        </w:tc>
      </w:tr>
      <w:tr w:rsidR="00204905" w:rsidRPr="00BE11D7" w14:paraId="3996DEBA" w14:textId="77777777" w:rsidTr="00954C07">
        <w:trPr>
          <w:trHeight w:val="313"/>
        </w:trPr>
        <w:tc>
          <w:tcPr>
            <w:tcW w:w="1662" w:type="dxa"/>
            <w:noWrap/>
            <w:vAlign w:val="bottom"/>
          </w:tcPr>
          <w:p w14:paraId="4D0006F2" w14:textId="77777777" w:rsidR="00204905" w:rsidRPr="00BE11D7" w:rsidRDefault="00204905" w:rsidP="00954C07">
            <w:pPr>
              <w:rPr>
                <w:color w:val="000000"/>
              </w:rPr>
            </w:pPr>
            <w:r w:rsidRPr="00BE11D7">
              <w:rPr>
                <w:color w:val="000000"/>
              </w:rPr>
              <w:t>EIM1Load</w:t>
            </w:r>
          </w:p>
        </w:tc>
        <w:tc>
          <w:tcPr>
            <w:tcW w:w="1892" w:type="dxa"/>
            <w:noWrap/>
            <w:vAlign w:val="bottom"/>
          </w:tcPr>
          <w:p w14:paraId="15174AA2" w14:textId="77777777" w:rsidR="00204905" w:rsidRPr="00BE11D7" w:rsidRDefault="00204905" w:rsidP="00954C07">
            <w:pPr>
              <w:jc w:val="right"/>
              <w:rPr>
                <w:color w:val="000000"/>
              </w:rPr>
            </w:pPr>
            <w:r w:rsidRPr="00BE11D7">
              <w:rPr>
                <w:color w:val="000000"/>
              </w:rPr>
              <w:t>50</w:t>
            </w:r>
          </w:p>
        </w:tc>
      </w:tr>
      <w:tr w:rsidR="00204905" w:rsidRPr="00BE11D7" w14:paraId="45072FCE" w14:textId="77777777" w:rsidTr="00954C07">
        <w:trPr>
          <w:trHeight w:val="313"/>
        </w:trPr>
        <w:tc>
          <w:tcPr>
            <w:tcW w:w="1662" w:type="dxa"/>
            <w:noWrap/>
            <w:vAlign w:val="bottom"/>
          </w:tcPr>
          <w:p w14:paraId="6BEB500C" w14:textId="77777777" w:rsidR="00204905" w:rsidRPr="00BE11D7" w:rsidRDefault="00204905" w:rsidP="00954C07">
            <w:pPr>
              <w:rPr>
                <w:color w:val="000000"/>
              </w:rPr>
            </w:pPr>
            <w:r w:rsidRPr="00BE11D7">
              <w:rPr>
                <w:color w:val="000000"/>
              </w:rPr>
              <w:t>CISOLoad</w:t>
            </w:r>
          </w:p>
        </w:tc>
        <w:tc>
          <w:tcPr>
            <w:tcW w:w="1892" w:type="dxa"/>
            <w:noWrap/>
            <w:vAlign w:val="bottom"/>
          </w:tcPr>
          <w:p w14:paraId="3D6ACB54" w14:textId="77777777" w:rsidR="00204905" w:rsidRPr="00BE11D7" w:rsidRDefault="00204905" w:rsidP="00954C07">
            <w:pPr>
              <w:jc w:val="right"/>
              <w:rPr>
                <w:color w:val="000000"/>
              </w:rPr>
            </w:pPr>
            <w:r w:rsidRPr="00BE11D7">
              <w:rPr>
                <w:color w:val="000000"/>
              </w:rPr>
              <w:t>200</w:t>
            </w:r>
          </w:p>
        </w:tc>
      </w:tr>
    </w:tbl>
    <w:p w14:paraId="3FC1C6F4" w14:textId="77777777" w:rsidR="00204905" w:rsidRPr="00BE11D7" w:rsidRDefault="00204905" w:rsidP="00204905"/>
    <w:p w14:paraId="07FA65AC" w14:textId="77777777" w:rsidR="00204905" w:rsidRPr="00BE11D7" w:rsidRDefault="00204905" w:rsidP="00204905">
      <w:r w:rsidRPr="00BE11D7">
        <w:t>Market Dispatch (RTD)</w:t>
      </w:r>
    </w:p>
    <w:tbl>
      <w:tblPr>
        <w:tblW w:w="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92"/>
        <w:gridCol w:w="2026"/>
      </w:tblGrid>
      <w:tr w:rsidR="00204905" w:rsidRPr="00BE11D7" w14:paraId="40C4190F" w14:textId="77777777" w:rsidTr="00954C07">
        <w:trPr>
          <w:trHeight w:val="368"/>
        </w:trPr>
        <w:tc>
          <w:tcPr>
            <w:tcW w:w="1662" w:type="dxa"/>
            <w:noWrap/>
            <w:vAlign w:val="bottom"/>
            <w:hideMark/>
          </w:tcPr>
          <w:p w14:paraId="2C1B2198" w14:textId="77777777" w:rsidR="00204905" w:rsidRPr="00BE11D7" w:rsidRDefault="00204905" w:rsidP="00954C07">
            <w:pPr>
              <w:jc w:val="center"/>
              <w:rPr>
                <w:color w:val="000000"/>
              </w:rPr>
            </w:pPr>
            <w:r w:rsidRPr="00BE11D7">
              <w:rPr>
                <w:color w:val="000000"/>
              </w:rPr>
              <w:t>Resource</w:t>
            </w:r>
          </w:p>
        </w:tc>
        <w:tc>
          <w:tcPr>
            <w:tcW w:w="1892" w:type="dxa"/>
            <w:noWrap/>
            <w:vAlign w:val="bottom"/>
            <w:hideMark/>
          </w:tcPr>
          <w:p w14:paraId="27E4A135" w14:textId="77777777" w:rsidR="00204905" w:rsidRPr="00BE11D7" w:rsidRDefault="00204905" w:rsidP="00954C07">
            <w:pPr>
              <w:jc w:val="center"/>
              <w:rPr>
                <w:color w:val="000000"/>
              </w:rPr>
            </w:pPr>
            <w:r w:rsidRPr="00BE11D7">
              <w:rPr>
                <w:color w:val="000000"/>
              </w:rPr>
              <w:t>Quantity (MW)</w:t>
            </w:r>
          </w:p>
        </w:tc>
        <w:tc>
          <w:tcPr>
            <w:tcW w:w="2026" w:type="dxa"/>
            <w:vAlign w:val="bottom"/>
            <w:hideMark/>
          </w:tcPr>
          <w:p w14:paraId="090931B1" w14:textId="77777777" w:rsidR="00204905" w:rsidRPr="00BE11D7" w:rsidRDefault="00204905" w:rsidP="00954C07">
            <w:pPr>
              <w:jc w:val="center"/>
              <w:rPr>
                <w:color w:val="000000"/>
              </w:rPr>
            </w:pPr>
            <w:r w:rsidRPr="00BE11D7">
              <w:rPr>
                <w:color w:val="000000"/>
              </w:rPr>
              <w:t>LMP</w:t>
            </w:r>
          </w:p>
        </w:tc>
      </w:tr>
      <w:tr w:rsidR="00204905" w:rsidRPr="00BE11D7" w14:paraId="14C52E33" w14:textId="77777777" w:rsidTr="00954C07">
        <w:trPr>
          <w:trHeight w:val="313"/>
        </w:trPr>
        <w:tc>
          <w:tcPr>
            <w:tcW w:w="1662" w:type="dxa"/>
            <w:noWrap/>
            <w:vAlign w:val="bottom"/>
            <w:hideMark/>
          </w:tcPr>
          <w:p w14:paraId="3E023269" w14:textId="77777777" w:rsidR="00204905" w:rsidRPr="00BE11D7" w:rsidRDefault="00204905" w:rsidP="00954C07">
            <w:pPr>
              <w:rPr>
                <w:color w:val="000000"/>
              </w:rPr>
            </w:pPr>
            <w:r w:rsidRPr="00BE11D7">
              <w:rPr>
                <w:color w:val="000000"/>
              </w:rPr>
              <w:t>EIM1Gen</w:t>
            </w:r>
          </w:p>
        </w:tc>
        <w:tc>
          <w:tcPr>
            <w:tcW w:w="1892" w:type="dxa"/>
            <w:noWrap/>
            <w:vAlign w:val="bottom"/>
            <w:hideMark/>
          </w:tcPr>
          <w:p w14:paraId="7554B770" w14:textId="77777777" w:rsidR="00204905" w:rsidRPr="00BE11D7" w:rsidRDefault="00204905" w:rsidP="00954C07">
            <w:pPr>
              <w:jc w:val="right"/>
              <w:rPr>
                <w:color w:val="000000"/>
              </w:rPr>
            </w:pPr>
            <w:r w:rsidRPr="00BE11D7">
              <w:rPr>
                <w:color w:val="000000"/>
              </w:rPr>
              <w:t>150</w:t>
            </w:r>
          </w:p>
        </w:tc>
        <w:tc>
          <w:tcPr>
            <w:tcW w:w="2026" w:type="dxa"/>
            <w:noWrap/>
            <w:vAlign w:val="bottom"/>
            <w:hideMark/>
          </w:tcPr>
          <w:p w14:paraId="4E0E46F6" w14:textId="77777777" w:rsidR="00204905" w:rsidRPr="00BE11D7" w:rsidRDefault="00204905" w:rsidP="00954C07">
            <w:pPr>
              <w:rPr>
                <w:color w:val="000000"/>
              </w:rPr>
            </w:pPr>
            <w:r w:rsidRPr="00BE11D7">
              <w:rPr>
                <w:color w:val="000000"/>
              </w:rPr>
              <w:t xml:space="preserve"> $              34.99   </w:t>
            </w:r>
          </w:p>
        </w:tc>
      </w:tr>
      <w:tr w:rsidR="00204905" w:rsidRPr="00BE11D7" w14:paraId="3BC7D61E" w14:textId="77777777" w:rsidTr="00954C07">
        <w:trPr>
          <w:trHeight w:val="313"/>
        </w:trPr>
        <w:tc>
          <w:tcPr>
            <w:tcW w:w="1662" w:type="dxa"/>
            <w:noWrap/>
            <w:vAlign w:val="bottom"/>
          </w:tcPr>
          <w:p w14:paraId="6B8A2468" w14:textId="77777777" w:rsidR="00204905" w:rsidRPr="00BE11D7" w:rsidRDefault="00204905" w:rsidP="00954C07">
            <w:pPr>
              <w:rPr>
                <w:color w:val="000000"/>
              </w:rPr>
            </w:pPr>
            <w:r w:rsidRPr="00BE11D7">
              <w:rPr>
                <w:color w:val="000000"/>
              </w:rPr>
              <w:t>CISOGen</w:t>
            </w:r>
          </w:p>
        </w:tc>
        <w:tc>
          <w:tcPr>
            <w:tcW w:w="1892" w:type="dxa"/>
            <w:noWrap/>
            <w:vAlign w:val="bottom"/>
          </w:tcPr>
          <w:p w14:paraId="2DA3875E" w14:textId="77777777" w:rsidR="00204905" w:rsidRPr="00BE11D7" w:rsidRDefault="00204905" w:rsidP="00954C07">
            <w:pPr>
              <w:jc w:val="right"/>
              <w:rPr>
                <w:color w:val="000000"/>
              </w:rPr>
            </w:pPr>
            <w:r w:rsidRPr="00BE11D7">
              <w:rPr>
                <w:color w:val="000000"/>
              </w:rPr>
              <w:t>100</w:t>
            </w:r>
          </w:p>
        </w:tc>
        <w:tc>
          <w:tcPr>
            <w:tcW w:w="2026" w:type="dxa"/>
            <w:noWrap/>
            <w:vAlign w:val="bottom"/>
          </w:tcPr>
          <w:p w14:paraId="758CF60A" w14:textId="77777777" w:rsidR="00204905" w:rsidRPr="00BE11D7" w:rsidRDefault="00204905" w:rsidP="00954C07">
            <w:pPr>
              <w:rPr>
                <w:color w:val="000000"/>
              </w:rPr>
            </w:pPr>
            <w:r w:rsidRPr="00BE11D7">
              <w:rPr>
                <w:color w:val="000000"/>
              </w:rPr>
              <w:t xml:space="preserve"> $              50.00  </w:t>
            </w:r>
          </w:p>
        </w:tc>
      </w:tr>
    </w:tbl>
    <w:p w14:paraId="7C6E19BB" w14:textId="77777777" w:rsidR="00204905" w:rsidRDefault="00204905" w:rsidP="00204905"/>
    <w:p w14:paraId="26DE1D29" w14:textId="77777777" w:rsidR="00204905" w:rsidRDefault="00204905" w:rsidP="00204905"/>
    <w:p w14:paraId="32117C0C" w14:textId="77777777" w:rsidR="00204905" w:rsidRDefault="00204905" w:rsidP="00204905"/>
    <w:p w14:paraId="63D09D24" w14:textId="77777777" w:rsidR="00204905" w:rsidRDefault="00204905" w:rsidP="00204905"/>
    <w:p w14:paraId="5529648A" w14:textId="77777777" w:rsidR="00204905" w:rsidRPr="00BE11D7" w:rsidRDefault="00204905" w:rsidP="00204905"/>
    <w:p w14:paraId="3002E2A4" w14:textId="77777777" w:rsidR="00204905" w:rsidRPr="00BE11D7" w:rsidRDefault="00204905" w:rsidP="00204905">
      <w:r w:rsidRPr="00BE11D7">
        <w:t>Location Marginal Pricing (RTD)</w:t>
      </w:r>
    </w:p>
    <w:tbl>
      <w:tblPr>
        <w:tblW w:w="8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40"/>
        <w:gridCol w:w="1425"/>
        <w:gridCol w:w="1360"/>
        <w:gridCol w:w="1340"/>
        <w:gridCol w:w="1260"/>
      </w:tblGrid>
      <w:tr w:rsidR="00204905" w:rsidRPr="00BE11D7" w14:paraId="328F2CEE" w14:textId="77777777" w:rsidTr="00954C07">
        <w:trPr>
          <w:trHeight w:val="464"/>
        </w:trPr>
        <w:tc>
          <w:tcPr>
            <w:tcW w:w="1440" w:type="dxa"/>
            <w:noWrap/>
            <w:vAlign w:val="bottom"/>
            <w:hideMark/>
          </w:tcPr>
          <w:p w14:paraId="79BD859E" w14:textId="77777777" w:rsidR="00204905" w:rsidRPr="00BE11D7" w:rsidRDefault="00204905" w:rsidP="00954C07">
            <w:pPr>
              <w:rPr>
                <w:color w:val="000000"/>
              </w:rPr>
            </w:pPr>
            <w:r w:rsidRPr="00BE11D7">
              <w:rPr>
                <w:color w:val="000000"/>
              </w:rPr>
              <w:t>Location</w:t>
            </w:r>
          </w:p>
        </w:tc>
        <w:tc>
          <w:tcPr>
            <w:tcW w:w="1340" w:type="dxa"/>
            <w:noWrap/>
            <w:vAlign w:val="bottom"/>
            <w:hideMark/>
          </w:tcPr>
          <w:p w14:paraId="76BBE8A5" w14:textId="77777777" w:rsidR="00204905" w:rsidRPr="00BE11D7" w:rsidRDefault="00204905" w:rsidP="00954C07">
            <w:pPr>
              <w:rPr>
                <w:color w:val="000000"/>
              </w:rPr>
            </w:pPr>
            <w:r w:rsidRPr="00BE11D7">
              <w:rPr>
                <w:color w:val="000000"/>
              </w:rPr>
              <w:t>Energy</w:t>
            </w:r>
          </w:p>
        </w:tc>
        <w:tc>
          <w:tcPr>
            <w:tcW w:w="1360" w:type="dxa"/>
            <w:noWrap/>
            <w:vAlign w:val="bottom"/>
            <w:hideMark/>
          </w:tcPr>
          <w:p w14:paraId="21D8F1A9" w14:textId="77777777" w:rsidR="00204905" w:rsidRPr="00BE11D7" w:rsidRDefault="00204905" w:rsidP="00954C07">
            <w:pPr>
              <w:rPr>
                <w:color w:val="000000"/>
              </w:rPr>
            </w:pPr>
            <w:r w:rsidRPr="00BE11D7">
              <w:rPr>
                <w:color w:val="000000"/>
              </w:rPr>
              <w:t>Congestion*</w:t>
            </w:r>
          </w:p>
        </w:tc>
        <w:tc>
          <w:tcPr>
            <w:tcW w:w="1360" w:type="dxa"/>
            <w:noWrap/>
            <w:vAlign w:val="bottom"/>
            <w:hideMark/>
          </w:tcPr>
          <w:p w14:paraId="1ABBB3A4" w14:textId="77777777" w:rsidR="00204905" w:rsidRPr="00BE11D7" w:rsidRDefault="00204905" w:rsidP="00954C07">
            <w:pPr>
              <w:rPr>
                <w:color w:val="000000"/>
              </w:rPr>
            </w:pPr>
            <w:r w:rsidRPr="00BE11D7">
              <w:rPr>
                <w:color w:val="000000"/>
              </w:rPr>
              <w:t>Losses</w:t>
            </w:r>
          </w:p>
        </w:tc>
        <w:tc>
          <w:tcPr>
            <w:tcW w:w="1340" w:type="dxa"/>
            <w:noWrap/>
            <w:vAlign w:val="bottom"/>
            <w:hideMark/>
          </w:tcPr>
          <w:p w14:paraId="2DE76CDA" w14:textId="77777777" w:rsidR="00204905" w:rsidRPr="00BE11D7" w:rsidRDefault="00204905" w:rsidP="00954C07">
            <w:pPr>
              <w:rPr>
                <w:color w:val="000000"/>
              </w:rPr>
            </w:pPr>
            <w:r w:rsidRPr="00BE11D7">
              <w:rPr>
                <w:color w:val="000000"/>
              </w:rPr>
              <w:t>GHG</w:t>
            </w:r>
          </w:p>
        </w:tc>
        <w:tc>
          <w:tcPr>
            <w:tcW w:w="1260" w:type="dxa"/>
            <w:noWrap/>
            <w:vAlign w:val="bottom"/>
            <w:hideMark/>
          </w:tcPr>
          <w:p w14:paraId="2247AB9B" w14:textId="77777777" w:rsidR="00204905" w:rsidRPr="00BE11D7" w:rsidRDefault="00204905" w:rsidP="00954C07">
            <w:pPr>
              <w:rPr>
                <w:color w:val="000000"/>
              </w:rPr>
            </w:pPr>
            <w:r w:rsidRPr="00BE11D7">
              <w:rPr>
                <w:color w:val="000000"/>
              </w:rPr>
              <w:t>Price</w:t>
            </w:r>
          </w:p>
        </w:tc>
      </w:tr>
      <w:tr w:rsidR="00204905" w:rsidRPr="00BE11D7" w14:paraId="036308E9" w14:textId="77777777" w:rsidTr="00954C07">
        <w:trPr>
          <w:trHeight w:val="464"/>
        </w:trPr>
        <w:tc>
          <w:tcPr>
            <w:tcW w:w="1440" w:type="dxa"/>
            <w:noWrap/>
            <w:vAlign w:val="bottom"/>
            <w:hideMark/>
          </w:tcPr>
          <w:p w14:paraId="39BB7536" w14:textId="77777777" w:rsidR="00204905" w:rsidRPr="00BE11D7" w:rsidRDefault="00204905" w:rsidP="00954C07">
            <w:pPr>
              <w:rPr>
                <w:color w:val="000000"/>
              </w:rPr>
            </w:pPr>
            <w:r w:rsidRPr="00BE11D7">
              <w:rPr>
                <w:color w:val="000000"/>
              </w:rPr>
              <w:t>EIM1Gen</w:t>
            </w:r>
          </w:p>
        </w:tc>
        <w:tc>
          <w:tcPr>
            <w:tcW w:w="1340" w:type="dxa"/>
            <w:noWrap/>
            <w:vAlign w:val="bottom"/>
            <w:hideMark/>
          </w:tcPr>
          <w:p w14:paraId="678C6EC8" w14:textId="77777777" w:rsidR="00204905" w:rsidRPr="00BE11D7" w:rsidRDefault="00204905" w:rsidP="00954C07">
            <w:pPr>
              <w:jc w:val="right"/>
              <w:rPr>
                <w:color w:val="000000"/>
              </w:rPr>
            </w:pPr>
            <w:r w:rsidRPr="00BE11D7">
              <w:rPr>
                <w:color w:val="000000"/>
              </w:rPr>
              <w:t>50</w:t>
            </w:r>
          </w:p>
        </w:tc>
        <w:tc>
          <w:tcPr>
            <w:tcW w:w="1360" w:type="dxa"/>
            <w:noWrap/>
            <w:vAlign w:val="bottom"/>
            <w:hideMark/>
          </w:tcPr>
          <w:p w14:paraId="1182EA84" w14:textId="77777777" w:rsidR="00204905" w:rsidRPr="00BE11D7" w:rsidRDefault="00204905" w:rsidP="00954C07">
            <w:pPr>
              <w:jc w:val="right"/>
              <w:rPr>
                <w:color w:val="000000"/>
              </w:rPr>
            </w:pPr>
            <w:r w:rsidRPr="00BE11D7">
              <w:rPr>
                <w:color w:val="000000"/>
              </w:rPr>
              <w:t xml:space="preserve">      (15.01)</w:t>
            </w:r>
          </w:p>
        </w:tc>
        <w:tc>
          <w:tcPr>
            <w:tcW w:w="1360" w:type="dxa"/>
            <w:noWrap/>
            <w:vAlign w:val="bottom"/>
            <w:hideMark/>
          </w:tcPr>
          <w:p w14:paraId="666B8718"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462A85F3"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68619A22" w14:textId="77777777" w:rsidR="00204905" w:rsidRPr="00BE11D7" w:rsidRDefault="00204905" w:rsidP="00954C07">
            <w:pPr>
              <w:jc w:val="right"/>
              <w:rPr>
                <w:color w:val="000000"/>
              </w:rPr>
            </w:pPr>
            <w:r w:rsidRPr="00BE11D7">
              <w:rPr>
                <w:color w:val="000000"/>
              </w:rPr>
              <w:t xml:space="preserve">       34.99 </w:t>
            </w:r>
          </w:p>
        </w:tc>
      </w:tr>
      <w:tr w:rsidR="00204905" w:rsidRPr="00BE11D7" w14:paraId="42F900BF" w14:textId="77777777" w:rsidTr="00954C07">
        <w:trPr>
          <w:trHeight w:val="464"/>
        </w:trPr>
        <w:tc>
          <w:tcPr>
            <w:tcW w:w="1440" w:type="dxa"/>
            <w:noWrap/>
            <w:vAlign w:val="bottom"/>
            <w:hideMark/>
          </w:tcPr>
          <w:p w14:paraId="09597E1B" w14:textId="77777777" w:rsidR="00204905" w:rsidRPr="00BE11D7" w:rsidRDefault="00204905" w:rsidP="00954C07">
            <w:pPr>
              <w:rPr>
                <w:color w:val="000000"/>
              </w:rPr>
            </w:pPr>
            <w:r w:rsidRPr="00BE11D7">
              <w:rPr>
                <w:color w:val="000000"/>
              </w:rPr>
              <w:t>CISOGen</w:t>
            </w:r>
          </w:p>
        </w:tc>
        <w:tc>
          <w:tcPr>
            <w:tcW w:w="1340" w:type="dxa"/>
            <w:noWrap/>
            <w:vAlign w:val="bottom"/>
            <w:hideMark/>
          </w:tcPr>
          <w:p w14:paraId="494792C5"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hideMark/>
          </w:tcPr>
          <w:p w14:paraId="59D67BE9" w14:textId="77777777" w:rsidR="00204905" w:rsidRPr="00BE11D7" w:rsidRDefault="00204905" w:rsidP="00954C07">
            <w:pPr>
              <w:jc w:val="right"/>
              <w:rPr>
                <w:color w:val="000000"/>
              </w:rPr>
            </w:pPr>
            <w:r w:rsidRPr="00BE11D7">
              <w:rPr>
                <w:color w:val="000000"/>
              </w:rPr>
              <w:t xml:space="preserve">                 -   </w:t>
            </w:r>
          </w:p>
        </w:tc>
        <w:tc>
          <w:tcPr>
            <w:tcW w:w="1360" w:type="dxa"/>
            <w:noWrap/>
            <w:vAlign w:val="bottom"/>
            <w:hideMark/>
          </w:tcPr>
          <w:p w14:paraId="145C8C83"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3D874286"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090FECB8" w14:textId="77777777" w:rsidR="00204905" w:rsidRPr="00BE11D7" w:rsidRDefault="00204905" w:rsidP="00954C07">
            <w:pPr>
              <w:jc w:val="right"/>
              <w:rPr>
                <w:color w:val="000000"/>
              </w:rPr>
            </w:pPr>
            <w:r w:rsidRPr="00BE11D7">
              <w:rPr>
                <w:color w:val="000000"/>
              </w:rPr>
              <w:t xml:space="preserve"> 50 </w:t>
            </w:r>
          </w:p>
        </w:tc>
      </w:tr>
      <w:tr w:rsidR="00204905" w:rsidRPr="00BE11D7" w14:paraId="52CB7CBF" w14:textId="77777777" w:rsidTr="00954C07">
        <w:trPr>
          <w:trHeight w:val="464"/>
        </w:trPr>
        <w:tc>
          <w:tcPr>
            <w:tcW w:w="1440" w:type="dxa"/>
            <w:noWrap/>
            <w:vAlign w:val="bottom"/>
            <w:hideMark/>
          </w:tcPr>
          <w:p w14:paraId="659E782D" w14:textId="77777777" w:rsidR="00204905" w:rsidRPr="00BE11D7" w:rsidRDefault="00204905" w:rsidP="00954C07">
            <w:pPr>
              <w:rPr>
                <w:color w:val="000000"/>
              </w:rPr>
            </w:pPr>
            <w:r w:rsidRPr="00BE11D7">
              <w:rPr>
                <w:color w:val="000000"/>
              </w:rPr>
              <w:t>PACLoad</w:t>
            </w:r>
          </w:p>
        </w:tc>
        <w:tc>
          <w:tcPr>
            <w:tcW w:w="1340" w:type="dxa"/>
            <w:noWrap/>
            <w:vAlign w:val="bottom"/>
            <w:hideMark/>
          </w:tcPr>
          <w:p w14:paraId="0B75398E"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hideMark/>
          </w:tcPr>
          <w:p w14:paraId="2B2DC2F2" w14:textId="77777777" w:rsidR="00204905" w:rsidRPr="00BE11D7" w:rsidRDefault="00204905" w:rsidP="00954C07">
            <w:pPr>
              <w:jc w:val="right"/>
              <w:rPr>
                <w:color w:val="000000"/>
              </w:rPr>
            </w:pPr>
            <w:r w:rsidRPr="00BE11D7">
              <w:rPr>
                <w:color w:val="000000"/>
              </w:rPr>
              <w:t xml:space="preserve"> (15.01)</w:t>
            </w:r>
          </w:p>
        </w:tc>
        <w:tc>
          <w:tcPr>
            <w:tcW w:w="1360" w:type="dxa"/>
            <w:noWrap/>
            <w:vAlign w:val="bottom"/>
            <w:hideMark/>
          </w:tcPr>
          <w:p w14:paraId="159C86E6"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30EFD5E2"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7BED1F02" w14:textId="77777777" w:rsidR="00204905" w:rsidRPr="00BE11D7" w:rsidRDefault="00204905" w:rsidP="00954C07">
            <w:pPr>
              <w:jc w:val="right"/>
              <w:rPr>
                <w:color w:val="000000"/>
              </w:rPr>
            </w:pPr>
            <w:r w:rsidRPr="00BE11D7">
              <w:rPr>
                <w:color w:val="000000"/>
              </w:rPr>
              <w:t xml:space="preserve">        34.99 </w:t>
            </w:r>
          </w:p>
        </w:tc>
      </w:tr>
      <w:tr w:rsidR="00204905" w:rsidRPr="00BE11D7" w14:paraId="767541C4" w14:textId="77777777" w:rsidTr="00954C07">
        <w:trPr>
          <w:trHeight w:val="464"/>
        </w:trPr>
        <w:tc>
          <w:tcPr>
            <w:tcW w:w="1440" w:type="dxa"/>
            <w:noWrap/>
            <w:vAlign w:val="bottom"/>
            <w:hideMark/>
          </w:tcPr>
          <w:p w14:paraId="637D9050" w14:textId="77777777" w:rsidR="00204905" w:rsidRPr="00BE11D7" w:rsidRDefault="00204905" w:rsidP="00954C07">
            <w:pPr>
              <w:rPr>
                <w:color w:val="000000"/>
              </w:rPr>
            </w:pPr>
            <w:r w:rsidRPr="00BE11D7">
              <w:rPr>
                <w:color w:val="000000"/>
              </w:rPr>
              <w:t>ISOLoad</w:t>
            </w:r>
          </w:p>
        </w:tc>
        <w:tc>
          <w:tcPr>
            <w:tcW w:w="1340" w:type="dxa"/>
            <w:noWrap/>
            <w:vAlign w:val="bottom"/>
            <w:hideMark/>
          </w:tcPr>
          <w:p w14:paraId="6316409A"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hideMark/>
          </w:tcPr>
          <w:p w14:paraId="67B9313B" w14:textId="77777777" w:rsidR="00204905" w:rsidRPr="00BE11D7" w:rsidRDefault="00204905" w:rsidP="00954C07">
            <w:pPr>
              <w:jc w:val="right"/>
              <w:rPr>
                <w:color w:val="000000"/>
              </w:rPr>
            </w:pPr>
            <w:r w:rsidRPr="00BE11D7">
              <w:rPr>
                <w:color w:val="000000"/>
              </w:rPr>
              <w:t xml:space="preserve">                 -   </w:t>
            </w:r>
          </w:p>
        </w:tc>
        <w:tc>
          <w:tcPr>
            <w:tcW w:w="1360" w:type="dxa"/>
            <w:noWrap/>
            <w:vAlign w:val="bottom"/>
            <w:hideMark/>
          </w:tcPr>
          <w:p w14:paraId="46A283BE"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hideMark/>
          </w:tcPr>
          <w:p w14:paraId="63A4EBA9"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hideMark/>
          </w:tcPr>
          <w:p w14:paraId="48F191DA" w14:textId="77777777" w:rsidR="00204905" w:rsidRPr="00BE11D7" w:rsidRDefault="00204905" w:rsidP="00954C07">
            <w:pPr>
              <w:jc w:val="right"/>
              <w:rPr>
                <w:color w:val="000000"/>
              </w:rPr>
            </w:pPr>
            <w:r w:rsidRPr="00BE11D7">
              <w:rPr>
                <w:color w:val="000000"/>
              </w:rPr>
              <w:t xml:space="preserve">          50 </w:t>
            </w:r>
          </w:p>
        </w:tc>
      </w:tr>
      <w:tr w:rsidR="00204905" w:rsidRPr="00BE11D7" w14:paraId="4459E8FF" w14:textId="77777777" w:rsidTr="00954C07">
        <w:trPr>
          <w:trHeight w:val="464"/>
        </w:trPr>
        <w:tc>
          <w:tcPr>
            <w:tcW w:w="1440" w:type="dxa"/>
            <w:noWrap/>
            <w:vAlign w:val="bottom"/>
          </w:tcPr>
          <w:p w14:paraId="0B68F9C9" w14:textId="77777777" w:rsidR="00204905" w:rsidRPr="00BE11D7" w:rsidRDefault="00204905" w:rsidP="00954C07">
            <w:pPr>
              <w:rPr>
                <w:color w:val="000000"/>
              </w:rPr>
            </w:pPr>
            <w:r w:rsidRPr="00BE11D7">
              <w:rPr>
                <w:color w:val="000000"/>
              </w:rPr>
              <w:t>EIM Transfer</w:t>
            </w:r>
          </w:p>
        </w:tc>
        <w:tc>
          <w:tcPr>
            <w:tcW w:w="1340" w:type="dxa"/>
            <w:noWrap/>
            <w:vAlign w:val="bottom"/>
          </w:tcPr>
          <w:p w14:paraId="554357FB" w14:textId="77777777" w:rsidR="00204905" w:rsidRPr="00BE11D7" w:rsidRDefault="00204905" w:rsidP="00954C07">
            <w:pPr>
              <w:jc w:val="right"/>
              <w:rPr>
                <w:color w:val="000000"/>
              </w:rPr>
            </w:pPr>
            <w:r w:rsidRPr="00BE11D7">
              <w:rPr>
                <w:color w:val="000000"/>
              </w:rPr>
              <w:t xml:space="preserve">                50 </w:t>
            </w:r>
          </w:p>
        </w:tc>
        <w:tc>
          <w:tcPr>
            <w:tcW w:w="1360" w:type="dxa"/>
            <w:noWrap/>
            <w:vAlign w:val="bottom"/>
          </w:tcPr>
          <w:p w14:paraId="1393085C" w14:textId="77777777" w:rsidR="00204905" w:rsidRPr="00BE11D7" w:rsidRDefault="00204905" w:rsidP="00954C07">
            <w:pPr>
              <w:jc w:val="right"/>
              <w:rPr>
                <w:color w:val="000000"/>
              </w:rPr>
            </w:pPr>
            <w:r w:rsidRPr="00BE11D7">
              <w:rPr>
                <w:color w:val="000000"/>
              </w:rPr>
              <w:t>(15.01)</w:t>
            </w:r>
          </w:p>
        </w:tc>
        <w:tc>
          <w:tcPr>
            <w:tcW w:w="1360" w:type="dxa"/>
            <w:noWrap/>
            <w:vAlign w:val="bottom"/>
          </w:tcPr>
          <w:p w14:paraId="0AB4728A" w14:textId="77777777" w:rsidR="00204905" w:rsidRPr="00BE11D7" w:rsidRDefault="00204905" w:rsidP="00954C07">
            <w:pPr>
              <w:jc w:val="right"/>
              <w:rPr>
                <w:color w:val="000000"/>
              </w:rPr>
            </w:pPr>
            <w:r w:rsidRPr="00BE11D7">
              <w:rPr>
                <w:color w:val="000000"/>
              </w:rPr>
              <w:t xml:space="preserve">                -   </w:t>
            </w:r>
          </w:p>
        </w:tc>
        <w:tc>
          <w:tcPr>
            <w:tcW w:w="1340" w:type="dxa"/>
            <w:noWrap/>
            <w:vAlign w:val="bottom"/>
          </w:tcPr>
          <w:p w14:paraId="479AC5B0" w14:textId="77777777" w:rsidR="00204905" w:rsidRPr="00BE11D7" w:rsidRDefault="00204905" w:rsidP="00954C07">
            <w:pPr>
              <w:jc w:val="right"/>
              <w:rPr>
                <w:color w:val="000000"/>
              </w:rPr>
            </w:pPr>
            <w:r w:rsidRPr="00BE11D7">
              <w:rPr>
                <w:color w:val="000000"/>
              </w:rPr>
              <w:t xml:space="preserve">                -   </w:t>
            </w:r>
          </w:p>
        </w:tc>
        <w:tc>
          <w:tcPr>
            <w:tcW w:w="1260" w:type="dxa"/>
            <w:noWrap/>
            <w:vAlign w:val="bottom"/>
          </w:tcPr>
          <w:p w14:paraId="179EDB90" w14:textId="77777777" w:rsidR="00204905" w:rsidRPr="00BE11D7" w:rsidRDefault="00204905" w:rsidP="00954C07">
            <w:pPr>
              <w:jc w:val="right"/>
              <w:rPr>
                <w:color w:val="000000"/>
              </w:rPr>
            </w:pPr>
            <w:r w:rsidRPr="00BE11D7">
              <w:rPr>
                <w:color w:val="000000"/>
              </w:rPr>
              <w:t xml:space="preserve">        34.99</w:t>
            </w:r>
          </w:p>
        </w:tc>
      </w:tr>
    </w:tbl>
    <w:p w14:paraId="484C55A1" w14:textId="08F825CD" w:rsidR="00204905" w:rsidRPr="00BE11D7" w:rsidRDefault="00204905" w:rsidP="00204905">
      <w:pPr>
        <w:rPr>
          <w:sz w:val="18"/>
        </w:rPr>
      </w:pPr>
      <w:r w:rsidRPr="00BE11D7">
        <w:rPr>
          <w:sz w:val="18"/>
        </w:rPr>
        <w:t>* Congestion is based upon the</w:t>
      </w:r>
      <w:r w:rsidR="005F24C1">
        <w:rPr>
          <w:sz w:val="18"/>
        </w:rPr>
        <w:t xml:space="preserve"> WEIM </w:t>
      </w:r>
      <w:r w:rsidRPr="00BE11D7">
        <w:rPr>
          <w:sz w:val="18"/>
        </w:rPr>
        <w:t>Constraint ($15) plus Intertie Scheduling Limit ($0) plus the</w:t>
      </w:r>
      <w:r w:rsidR="005F24C1">
        <w:rPr>
          <w:sz w:val="18"/>
        </w:rPr>
        <w:t xml:space="preserve"> WEIM </w:t>
      </w:r>
      <w:r w:rsidRPr="00BE11D7">
        <w:rPr>
          <w:sz w:val="18"/>
        </w:rPr>
        <w:t xml:space="preserve">Transfer Costs ($0.01).  </w:t>
      </w:r>
    </w:p>
    <w:p w14:paraId="337DD6E8" w14:textId="77777777" w:rsidR="00204905" w:rsidRPr="00BE11D7" w:rsidRDefault="00204905" w:rsidP="00204905"/>
    <w:p w14:paraId="7DAA5ED0" w14:textId="77777777" w:rsidR="00204905" w:rsidRPr="00BE11D7" w:rsidRDefault="00204905" w:rsidP="00204905">
      <w:r w:rsidRPr="00BE11D7">
        <w:t>Settlement:</w:t>
      </w:r>
    </w:p>
    <w:tbl>
      <w:tblPr>
        <w:tblW w:w="8100" w:type="dxa"/>
        <w:tblInd w:w="-5" w:type="dxa"/>
        <w:tblLook w:val="04A0" w:firstRow="1" w:lastRow="0" w:firstColumn="1" w:lastColumn="0" w:noHBand="0" w:noVBand="1"/>
      </w:tblPr>
      <w:tblGrid>
        <w:gridCol w:w="2140"/>
        <w:gridCol w:w="1190"/>
        <w:gridCol w:w="1088"/>
        <w:gridCol w:w="1572"/>
        <w:gridCol w:w="2118"/>
      </w:tblGrid>
      <w:tr w:rsidR="00204905" w:rsidRPr="00BE11D7" w14:paraId="4896EB92"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0C045E48" w14:textId="77777777" w:rsidR="00204905" w:rsidRPr="00BE11D7" w:rsidRDefault="00204905" w:rsidP="00954C07">
            <w:pPr>
              <w:rPr>
                <w:color w:val="000000"/>
              </w:rPr>
            </w:pPr>
            <w:r w:rsidRPr="00BE11D7">
              <w:rPr>
                <w:color w:val="000000"/>
              </w:rPr>
              <w:t>Charge Code</w:t>
            </w:r>
          </w:p>
        </w:tc>
        <w:tc>
          <w:tcPr>
            <w:tcW w:w="1182" w:type="dxa"/>
            <w:tcBorders>
              <w:top w:val="single" w:sz="4" w:space="0" w:color="auto"/>
              <w:left w:val="nil"/>
              <w:bottom w:val="single" w:sz="4" w:space="0" w:color="auto"/>
              <w:right w:val="single" w:sz="4" w:space="0" w:color="auto"/>
            </w:tcBorders>
            <w:noWrap/>
            <w:vAlign w:val="bottom"/>
            <w:hideMark/>
          </w:tcPr>
          <w:p w14:paraId="1EA1A86E" w14:textId="77777777" w:rsidR="00204905" w:rsidRPr="00BE11D7" w:rsidRDefault="00204905" w:rsidP="00954C07">
            <w:pPr>
              <w:rPr>
                <w:color w:val="000000"/>
              </w:rPr>
            </w:pPr>
            <w:r w:rsidRPr="00BE11D7">
              <w:rPr>
                <w:color w:val="000000"/>
              </w:rPr>
              <w:t>Resource</w:t>
            </w:r>
          </w:p>
        </w:tc>
        <w:tc>
          <w:tcPr>
            <w:tcW w:w="1088" w:type="dxa"/>
            <w:tcBorders>
              <w:top w:val="single" w:sz="4" w:space="0" w:color="auto"/>
              <w:left w:val="nil"/>
              <w:bottom w:val="single" w:sz="4" w:space="0" w:color="auto"/>
              <w:right w:val="single" w:sz="4" w:space="0" w:color="auto"/>
            </w:tcBorders>
            <w:noWrap/>
            <w:vAlign w:val="bottom"/>
            <w:hideMark/>
          </w:tcPr>
          <w:p w14:paraId="3AC7473F" w14:textId="77777777" w:rsidR="00204905" w:rsidRPr="00BE11D7" w:rsidRDefault="00204905" w:rsidP="00954C07">
            <w:pPr>
              <w:rPr>
                <w:color w:val="000000"/>
              </w:rPr>
            </w:pPr>
            <w:r w:rsidRPr="00BE11D7">
              <w:rPr>
                <w:color w:val="000000"/>
              </w:rPr>
              <w:t>Qty</w:t>
            </w:r>
          </w:p>
        </w:tc>
        <w:tc>
          <w:tcPr>
            <w:tcW w:w="1572" w:type="dxa"/>
            <w:tcBorders>
              <w:top w:val="single" w:sz="4" w:space="0" w:color="auto"/>
              <w:left w:val="nil"/>
              <w:bottom w:val="single" w:sz="4" w:space="0" w:color="auto"/>
              <w:right w:val="single" w:sz="4" w:space="0" w:color="auto"/>
            </w:tcBorders>
            <w:noWrap/>
            <w:vAlign w:val="bottom"/>
            <w:hideMark/>
          </w:tcPr>
          <w:p w14:paraId="0A051A13" w14:textId="77777777" w:rsidR="00204905" w:rsidRPr="00BE11D7" w:rsidRDefault="00204905" w:rsidP="00954C07">
            <w:pPr>
              <w:rPr>
                <w:color w:val="000000"/>
              </w:rPr>
            </w:pPr>
            <w:r w:rsidRPr="00BE11D7">
              <w:rPr>
                <w:color w:val="000000"/>
              </w:rPr>
              <w:t>Price</w:t>
            </w:r>
          </w:p>
        </w:tc>
        <w:tc>
          <w:tcPr>
            <w:tcW w:w="2118" w:type="dxa"/>
            <w:tcBorders>
              <w:top w:val="single" w:sz="4" w:space="0" w:color="auto"/>
              <w:left w:val="nil"/>
              <w:bottom w:val="single" w:sz="4" w:space="0" w:color="auto"/>
              <w:right w:val="single" w:sz="4" w:space="0" w:color="auto"/>
            </w:tcBorders>
            <w:noWrap/>
            <w:vAlign w:val="bottom"/>
            <w:hideMark/>
          </w:tcPr>
          <w:p w14:paraId="00C60ABF" w14:textId="77777777" w:rsidR="00204905" w:rsidRPr="00BE11D7" w:rsidRDefault="00204905" w:rsidP="00954C07">
            <w:pPr>
              <w:rPr>
                <w:color w:val="000000"/>
              </w:rPr>
            </w:pPr>
            <w:r w:rsidRPr="00BE11D7">
              <w:rPr>
                <w:color w:val="000000"/>
              </w:rPr>
              <w:t>(Payment)/Charge</w:t>
            </w:r>
          </w:p>
        </w:tc>
      </w:tr>
      <w:tr w:rsidR="00204905" w:rsidRPr="00BE11D7" w14:paraId="14692622"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0D823FE" w14:textId="77777777" w:rsidR="00204905" w:rsidRPr="00BE11D7" w:rsidRDefault="00204905" w:rsidP="00954C07">
            <w:pPr>
              <w:rPr>
                <w:color w:val="000000"/>
              </w:rPr>
            </w:pPr>
            <w:r w:rsidRPr="00BE11D7">
              <w:rPr>
                <w:color w:val="000000"/>
              </w:rPr>
              <w:t>CC 64700</w:t>
            </w:r>
          </w:p>
        </w:tc>
        <w:tc>
          <w:tcPr>
            <w:tcW w:w="1182" w:type="dxa"/>
            <w:tcBorders>
              <w:top w:val="nil"/>
              <w:left w:val="nil"/>
              <w:bottom w:val="single" w:sz="4" w:space="0" w:color="auto"/>
              <w:right w:val="single" w:sz="4" w:space="0" w:color="auto"/>
            </w:tcBorders>
            <w:noWrap/>
            <w:vAlign w:val="bottom"/>
            <w:hideMark/>
          </w:tcPr>
          <w:p w14:paraId="5EE9B86A" w14:textId="77777777" w:rsidR="00204905" w:rsidRPr="00BE11D7" w:rsidRDefault="00204905" w:rsidP="00954C07">
            <w:pPr>
              <w:rPr>
                <w:color w:val="000000"/>
              </w:rPr>
            </w:pPr>
            <w:r w:rsidRPr="00BE11D7">
              <w:rPr>
                <w:color w:val="000000"/>
              </w:rPr>
              <w:t>EIM1Gen</w:t>
            </w:r>
          </w:p>
        </w:tc>
        <w:tc>
          <w:tcPr>
            <w:tcW w:w="1088" w:type="dxa"/>
            <w:tcBorders>
              <w:top w:val="nil"/>
              <w:left w:val="nil"/>
              <w:bottom w:val="single" w:sz="4" w:space="0" w:color="auto"/>
              <w:right w:val="single" w:sz="4" w:space="0" w:color="auto"/>
            </w:tcBorders>
            <w:noWrap/>
            <w:vAlign w:val="bottom"/>
            <w:hideMark/>
          </w:tcPr>
          <w:p w14:paraId="47549EFD" w14:textId="77777777" w:rsidR="00204905" w:rsidRPr="00BE11D7" w:rsidRDefault="00204905" w:rsidP="00954C07">
            <w:pPr>
              <w:jc w:val="right"/>
              <w:rPr>
                <w:color w:val="000000"/>
              </w:rPr>
            </w:pPr>
            <w:r w:rsidRPr="00BE11D7">
              <w:rPr>
                <w:color w:val="000000"/>
              </w:rPr>
              <w:t>150</w:t>
            </w:r>
          </w:p>
        </w:tc>
        <w:tc>
          <w:tcPr>
            <w:tcW w:w="1572" w:type="dxa"/>
            <w:tcBorders>
              <w:top w:val="nil"/>
              <w:left w:val="nil"/>
              <w:bottom w:val="single" w:sz="4" w:space="0" w:color="auto"/>
              <w:right w:val="single" w:sz="4" w:space="0" w:color="auto"/>
            </w:tcBorders>
            <w:noWrap/>
            <w:vAlign w:val="bottom"/>
            <w:hideMark/>
          </w:tcPr>
          <w:p w14:paraId="146419A5" w14:textId="77777777" w:rsidR="00204905" w:rsidRPr="00BE11D7" w:rsidRDefault="00204905" w:rsidP="00954C07">
            <w:pPr>
              <w:rPr>
                <w:color w:val="000000"/>
              </w:rPr>
            </w:pPr>
            <w:r w:rsidRPr="00BE11D7">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5F38783A" w14:textId="77777777" w:rsidR="00204905" w:rsidRPr="00BE11D7" w:rsidRDefault="00204905" w:rsidP="00954C07">
            <w:pPr>
              <w:rPr>
                <w:color w:val="000000"/>
              </w:rPr>
            </w:pPr>
            <w:r w:rsidRPr="00BE11D7">
              <w:rPr>
                <w:color w:val="000000"/>
              </w:rPr>
              <w:t xml:space="preserve"> $          (5,248.50)</w:t>
            </w:r>
          </w:p>
        </w:tc>
      </w:tr>
      <w:tr w:rsidR="00204905" w:rsidRPr="00BE11D7" w14:paraId="11FE07A5"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0E8B0C2" w14:textId="77777777" w:rsidR="00204905" w:rsidRPr="00BE11D7" w:rsidRDefault="00204905" w:rsidP="00954C07">
            <w:pPr>
              <w:rPr>
                <w:color w:val="000000"/>
              </w:rPr>
            </w:pPr>
            <w:r w:rsidRPr="00BE11D7">
              <w:rPr>
                <w:color w:val="000000"/>
              </w:rPr>
              <w:t>CC 6470</w:t>
            </w:r>
          </w:p>
        </w:tc>
        <w:tc>
          <w:tcPr>
            <w:tcW w:w="1182" w:type="dxa"/>
            <w:tcBorders>
              <w:top w:val="nil"/>
              <w:left w:val="nil"/>
              <w:bottom w:val="single" w:sz="4" w:space="0" w:color="auto"/>
              <w:right w:val="single" w:sz="4" w:space="0" w:color="auto"/>
            </w:tcBorders>
            <w:noWrap/>
            <w:vAlign w:val="bottom"/>
            <w:hideMark/>
          </w:tcPr>
          <w:p w14:paraId="19D1C41E" w14:textId="77777777" w:rsidR="00204905" w:rsidRPr="00BE11D7" w:rsidRDefault="00204905" w:rsidP="00954C07">
            <w:pPr>
              <w:rPr>
                <w:color w:val="000000"/>
              </w:rPr>
            </w:pPr>
            <w:r w:rsidRPr="00BE11D7">
              <w:rPr>
                <w:color w:val="000000"/>
              </w:rPr>
              <w:t>CISOGen</w:t>
            </w:r>
          </w:p>
        </w:tc>
        <w:tc>
          <w:tcPr>
            <w:tcW w:w="1088" w:type="dxa"/>
            <w:tcBorders>
              <w:top w:val="nil"/>
              <w:left w:val="nil"/>
              <w:bottom w:val="single" w:sz="4" w:space="0" w:color="auto"/>
              <w:right w:val="single" w:sz="4" w:space="0" w:color="auto"/>
            </w:tcBorders>
            <w:noWrap/>
            <w:vAlign w:val="bottom"/>
            <w:hideMark/>
          </w:tcPr>
          <w:p w14:paraId="1F5D6ADF" w14:textId="77777777" w:rsidR="00204905" w:rsidRPr="00BE11D7" w:rsidRDefault="00204905" w:rsidP="00954C07">
            <w:pPr>
              <w:jc w:val="right"/>
              <w:rPr>
                <w:color w:val="000000"/>
              </w:rPr>
            </w:pPr>
            <w:r w:rsidRPr="00BE11D7">
              <w:rPr>
                <w:color w:val="000000"/>
              </w:rPr>
              <w:t>100</w:t>
            </w:r>
          </w:p>
        </w:tc>
        <w:tc>
          <w:tcPr>
            <w:tcW w:w="1572" w:type="dxa"/>
            <w:tcBorders>
              <w:top w:val="nil"/>
              <w:left w:val="nil"/>
              <w:bottom w:val="single" w:sz="4" w:space="0" w:color="auto"/>
              <w:right w:val="single" w:sz="4" w:space="0" w:color="auto"/>
            </w:tcBorders>
            <w:noWrap/>
            <w:vAlign w:val="bottom"/>
            <w:hideMark/>
          </w:tcPr>
          <w:p w14:paraId="5DD9BAC9" w14:textId="77777777" w:rsidR="00204905" w:rsidRPr="00BE11D7" w:rsidRDefault="00204905" w:rsidP="00954C07">
            <w:pPr>
              <w:rPr>
                <w:color w:val="000000"/>
              </w:rPr>
            </w:pPr>
            <w:r w:rsidRPr="00BE11D7">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04DF9FB1" w14:textId="77777777" w:rsidR="00204905" w:rsidRPr="00BE11D7" w:rsidRDefault="00204905" w:rsidP="00954C07">
            <w:pPr>
              <w:rPr>
                <w:color w:val="000000"/>
              </w:rPr>
            </w:pPr>
            <w:r w:rsidRPr="00BE11D7">
              <w:rPr>
                <w:color w:val="000000"/>
              </w:rPr>
              <w:t xml:space="preserve"> $          (5,000.00)</w:t>
            </w:r>
          </w:p>
        </w:tc>
      </w:tr>
      <w:tr w:rsidR="00204905" w:rsidRPr="00BE11D7" w14:paraId="576CA7F7"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5977FD36" w14:textId="77777777" w:rsidR="00204905" w:rsidRPr="00BE11D7" w:rsidRDefault="00204905" w:rsidP="00954C07">
            <w:pPr>
              <w:rPr>
                <w:color w:val="000000"/>
              </w:rPr>
            </w:pPr>
            <w:r w:rsidRPr="00BE11D7">
              <w:rPr>
                <w:color w:val="000000"/>
              </w:rPr>
              <w:t>CC 64750</w:t>
            </w:r>
          </w:p>
        </w:tc>
        <w:tc>
          <w:tcPr>
            <w:tcW w:w="1182" w:type="dxa"/>
            <w:tcBorders>
              <w:top w:val="nil"/>
              <w:left w:val="nil"/>
              <w:bottom w:val="single" w:sz="4" w:space="0" w:color="auto"/>
              <w:right w:val="single" w:sz="4" w:space="0" w:color="auto"/>
            </w:tcBorders>
            <w:noWrap/>
            <w:vAlign w:val="bottom"/>
            <w:hideMark/>
          </w:tcPr>
          <w:p w14:paraId="6B39EA44" w14:textId="77777777" w:rsidR="00204905" w:rsidRPr="00BE11D7" w:rsidRDefault="00204905" w:rsidP="00954C07">
            <w:pPr>
              <w:rPr>
                <w:color w:val="000000"/>
              </w:rPr>
            </w:pPr>
            <w:r w:rsidRPr="00BE11D7">
              <w:rPr>
                <w:color w:val="000000"/>
              </w:rPr>
              <w:t>EIM1Load</w:t>
            </w:r>
          </w:p>
        </w:tc>
        <w:tc>
          <w:tcPr>
            <w:tcW w:w="1088" w:type="dxa"/>
            <w:tcBorders>
              <w:top w:val="nil"/>
              <w:left w:val="nil"/>
              <w:bottom w:val="single" w:sz="4" w:space="0" w:color="auto"/>
              <w:right w:val="single" w:sz="4" w:space="0" w:color="auto"/>
            </w:tcBorders>
            <w:noWrap/>
            <w:vAlign w:val="bottom"/>
            <w:hideMark/>
          </w:tcPr>
          <w:p w14:paraId="27DD10E4" w14:textId="77777777" w:rsidR="00204905" w:rsidRPr="00BE11D7" w:rsidRDefault="00204905" w:rsidP="00954C07">
            <w:pPr>
              <w:jc w:val="right"/>
              <w:rPr>
                <w:color w:val="000000"/>
              </w:rPr>
            </w:pPr>
            <w:r w:rsidRPr="00BE11D7">
              <w:rPr>
                <w:color w:val="000000"/>
              </w:rPr>
              <w:t>50</w:t>
            </w:r>
          </w:p>
        </w:tc>
        <w:tc>
          <w:tcPr>
            <w:tcW w:w="1572" w:type="dxa"/>
            <w:tcBorders>
              <w:top w:val="nil"/>
              <w:left w:val="nil"/>
              <w:bottom w:val="single" w:sz="4" w:space="0" w:color="auto"/>
              <w:right w:val="single" w:sz="4" w:space="0" w:color="auto"/>
            </w:tcBorders>
            <w:noWrap/>
            <w:vAlign w:val="bottom"/>
            <w:hideMark/>
          </w:tcPr>
          <w:p w14:paraId="66DDBABD" w14:textId="77777777" w:rsidR="00204905" w:rsidRPr="00BE11D7" w:rsidRDefault="00204905" w:rsidP="00954C07">
            <w:pPr>
              <w:rPr>
                <w:color w:val="000000"/>
              </w:rPr>
            </w:pPr>
            <w:r w:rsidRPr="00BE11D7">
              <w:rPr>
                <w:color w:val="000000"/>
              </w:rPr>
              <w:t xml:space="preserve"> $      34.99 </w:t>
            </w:r>
          </w:p>
        </w:tc>
        <w:tc>
          <w:tcPr>
            <w:tcW w:w="2118" w:type="dxa"/>
            <w:tcBorders>
              <w:top w:val="nil"/>
              <w:left w:val="nil"/>
              <w:bottom w:val="single" w:sz="4" w:space="0" w:color="auto"/>
              <w:right w:val="single" w:sz="4" w:space="0" w:color="auto"/>
            </w:tcBorders>
            <w:noWrap/>
            <w:vAlign w:val="bottom"/>
            <w:hideMark/>
          </w:tcPr>
          <w:p w14:paraId="6351E28A" w14:textId="77777777" w:rsidR="00204905" w:rsidRPr="00BE11D7" w:rsidRDefault="00204905" w:rsidP="00954C07">
            <w:pPr>
              <w:rPr>
                <w:color w:val="000000"/>
              </w:rPr>
            </w:pPr>
            <w:r w:rsidRPr="00BE11D7">
              <w:rPr>
                <w:color w:val="000000"/>
              </w:rPr>
              <w:t xml:space="preserve"> $            1,749.50 </w:t>
            </w:r>
          </w:p>
        </w:tc>
      </w:tr>
      <w:tr w:rsidR="00204905" w:rsidRPr="00BE11D7" w14:paraId="052E8620"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7E7494C8" w14:textId="77777777" w:rsidR="00204905" w:rsidRPr="00BE11D7" w:rsidRDefault="00204905" w:rsidP="00954C07">
            <w:pPr>
              <w:rPr>
                <w:color w:val="000000"/>
              </w:rPr>
            </w:pPr>
            <w:r w:rsidRPr="00BE11D7">
              <w:rPr>
                <w:color w:val="000000"/>
              </w:rPr>
              <w:t>CC 6475</w:t>
            </w:r>
          </w:p>
        </w:tc>
        <w:tc>
          <w:tcPr>
            <w:tcW w:w="1182" w:type="dxa"/>
            <w:tcBorders>
              <w:top w:val="nil"/>
              <w:left w:val="nil"/>
              <w:bottom w:val="single" w:sz="4" w:space="0" w:color="auto"/>
              <w:right w:val="single" w:sz="4" w:space="0" w:color="auto"/>
            </w:tcBorders>
            <w:noWrap/>
            <w:vAlign w:val="bottom"/>
            <w:hideMark/>
          </w:tcPr>
          <w:p w14:paraId="597CA5A1" w14:textId="77777777" w:rsidR="00204905" w:rsidRPr="00BE11D7" w:rsidRDefault="00204905" w:rsidP="00954C07">
            <w:pPr>
              <w:rPr>
                <w:color w:val="000000"/>
              </w:rPr>
            </w:pPr>
            <w:r w:rsidRPr="00BE11D7">
              <w:rPr>
                <w:color w:val="000000"/>
              </w:rPr>
              <w:t>CISOLoad</w:t>
            </w:r>
          </w:p>
        </w:tc>
        <w:tc>
          <w:tcPr>
            <w:tcW w:w="1088" w:type="dxa"/>
            <w:tcBorders>
              <w:top w:val="nil"/>
              <w:left w:val="nil"/>
              <w:bottom w:val="single" w:sz="4" w:space="0" w:color="auto"/>
              <w:right w:val="single" w:sz="4" w:space="0" w:color="auto"/>
            </w:tcBorders>
            <w:noWrap/>
            <w:vAlign w:val="bottom"/>
            <w:hideMark/>
          </w:tcPr>
          <w:p w14:paraId="1DEAFDC3" w14:textId="77777777" w:rsidR="00204905" w:rsidRPr="00BE11D7" w:rsidRDefault="00204905" w:rsidP="00954C07">
            <w:pPr>
              <w:jc w:val="right"/>
              <w:rPr>
                <w:color w:val="000000"/>
              </w:rPr>
            </w:pPr>
            <w:r w:rsidRPr="00BE11D7">
              <w:rPr>
                <w:color w:val="000000"/>
              </w:rPr>
              <w:t>200</w:t>
            </w:r>
          </w:p>
        </w:tc>
        <w:tc>
          <w:tcPr>
            <w:tcW w:w="1572" w:type="dxa"/>
            <w:tcBorders>
              <w:top w:val="nil"/>
              <w:left w:val="nil"/>
              <w:bottom w:val="single" w:sz="4" w:space="0" w:color="auto"/>
              <w:right w:val="single" w:sz="4" w:space="0" w:color="auto"/>
            </w:tcBorders>
            <w:noWrap/>
            <w:vAlign w:val="bottom"/>
            <w:hideMark/>
          </w:tcPr>
          <w:p w14:paraId="5B15E75F" w14:textId="77777777" w:rsidR="00204905" w:rsidRPr="00BE11D7" w:rsidRDefault="00204905" w:rsidP="00954C07">
            <w:pPr>
              <w:rPr>
                <w:color w:val="000000"/>
              </w:rPr>
            </w:pPr>
            <w:r w:rsidRPr="00BE11D7">
              <w:rPr>
                <w:color w:val="000000"/>
              </w:rPr>
              <w:t xml:space="preserve"> $      50.00 </w:t>
            </w:r>
          </w:p>
        </w:tc>
        <w:tc>
          <w:tcPr>
            <w:tcW w:w="2118" w:type="dxa"/>
            <w:tcBorders>
              <w:top w:val="nil"/>
              <w:left w:val="nil"/>
              <w:bottom w:val="single" w:sz="4" w:space="0" w:color="auto"/>
              <w:right w:val="single" w:sz="4" w:space="0" w:color="auto"/>
            </w:tcBorders>
            <w:noWrap/>
            <w:vAlign w:val="bottom"/>
            <w:hideMark/>
          </w:tcPr>
          <w:p w14:paraId="725A16ED" w14:textId="77777777" w:rsidR="00204905" w:rsidRPr="00BE11D7" w:rsidRDefault="00204905" w:rsidP="00954C07">
            <w:pPr>
              <w:rPr>
                <w:color w:val="000000"/>
              </w:rPr>
            </w:pPr>
            <w:r w:rsidRPr="00BE11D7">
              <w:rPr>
                <w:color w:val="000000"/>
              </w:rPr>
              <w:t xml:space="preserve"> $          10,000.00 </w:t>
            </w:r>
          </w:p>
        </w:tc>
      </w:tr>
    </w:tbl>
    <w:p w14:paraId="64DC2F32" w14:textId="77777777" w:rsidR="00204905" w:rsidRPr="00BE11D7" w:rsidRDefault="00204905" w:rsidP="00204905"/>
    <w:tbl>
      <w:tblPr>
        <w:tblW w:w="9151" w:type="dxa"/>
        <w:tblLook w:val="04A0" w:firstRow="1" w:lastRow="0" w:firstColumn="1" w:lastColumn="0" w:noHBand="0" w:noVBand="1"/>
      </w:tblPr>
      <w:tblGrid>
        <w:gridCol w:w="2140"/>
        <w:gridCol w:w="830"/>
        <w:gridCol w:w="1620"/>
        <w:gridCol w:w="1440"/>
        <w:gridCol w:w="1800"/>
        <w:gridCol w:w="1334"/>
      </w:tblGrid>
      <w:tr w:rsidR="00204905" w:rsidRPr="00BE11D7" w14:paraId="0542A7C2" w14:textId="77777777" w:rsidTr="00954C07">
        <w:trPr>
          <w:trHeight w:val="300"/>
        </w:trPr>
        <w:tc>
          <w:tcPr>
            <w:tcW w:w="2140" w:type="dxa"/>
            <w:tcBorders>
              <w:top w:val="nil"/>
              <w:left w:val="nil"/>
              <w:bottom w:val="nil"/>
              <w:right w:val="nil"/>
            </w:tcBorders>
            <w:noWrap/>
            <w:vAlign w:val="bottom"/>
            <w:hideMark/>
          </w:tcPr>
          <w:p w14:paraId="6E0B8C7E" w14:textId="77777777" w:rsidR="00204905" w:rsidRPr="00BE11D7" w:rsidRDefault="00204905" w:rsidP="00954C07">
            <w:pPr>
              <w:rPr>
                <w:color w:val="000000"/>
              </w:rPr>
            </w:pPr>
            <w:r w:rsidRPr="00BE11D7">
              <w:rPr>
                <w:color w:val="000000"/>
              </w:rPr>
              <w:t>RTCO Calculation</w:t>
            </w:r>
          </w:p>
        </w:tc>
        <w:tc>
          <w:tcPr>
            <w:tcW w:w="830" w:type="dxa"/>
            <w:tcBorders>
              <w:top w:val="nil"/>
              <w:left w:val="nil"/>
              <w:bottom w:val="nil"/>
              <w:right w:val="nil"/>
            </w:tcBorders>
            <w:noWrap/>
            <w:vAlign w:val="bottom"/>
            <w:hideMark/>
          </w:tcPr>
          <w:p w14:paraId="4C19BD3A" w14:textId="77777777" w:rsidR="00204905" w:rsidRPr="00BE11D7" w:rsidRDefault="00204905" w:rsidP="00954C07">
            <w:pPr>
              <w:rPr>
                <w:color w:val="000000"/>
              </w:rPr>
            </w:pPr>
            <w:r w:rsidRPr="00BE11D7">
              <w:rPr>
                <w:color w:val="000000"/>
              </w:rPr>
              <w:t>QTY</w:t>
            </w:r>
          </w:p>
        </w:tc>
        <w:tc>
          <w:tcPr>
            <w:tcW w:w="1620" w:type="dxa"/>
            <w:tcBorders>
              <w:top w:val="nil"/>
              <w:left w:val="nil"/>
              <w:bottom w:val="nil"/>
              <w:right w:val="nil"/>
            </w:tcBorders>
            <w:noWrap/>
            <w:vAlign w:val="bottom"/>
            <w:hideMark/>
          </w:tcPr>
          <w:p w14:paraId="127D32DD" w14:textId="77777777" w:rsidR="00204905" w:rsidRPr="00BE11D7" w:rsidRDefault="00204905" w:rsidP="00954C07">
            <w:pPr>
              <w:rPr>
                <w:color w:val="000000"/>
              </w:rPr>
            </w:pPr>
            <w:r w:rsidRPr="00BE11D7">
              <w:rPr>
                <w:color w:val="000000"/>
              </w:rPr>
              <w:t>MCC(EIM1)*</w:t>
            </w:r>
          </w:p>
        </w:tc>
        <w:tc>
          <w:tcPr>
            <w:tcW w:w="1440" w:type="dxa"/>
            <w:tcBorders>
              <w:top w:val="nil"/>
              <w:left w:val="nil"/>
              <w:bottom w:val="nil"/>
              <w:right w:val="nil"/>
            </w:tcBorders>
            <w:noWrap/>
            <w:vAlign w:val="bottom"/>
            <w:hideMark/>
          </w:tcPr>
          <w:p w14:paraId="68150520" w14:textId="77777777" w:rsidR="00204905" w:rsidRPr="00BE11D7" w:rsidRDefault="00204905" w:rsidP="00954C07">
            <w:pPr>
              <w:rPr>
                <w:color w:val="000000"/>
              </w:rPr>
            </w:pPr>
            <w:r w:rsidRPr="00BE11D7">
              <w:rPr>
                <w:color w:val="000000"/>
              </w:rPr>
              <w:t>Amount</w:t>
            </w:r>
          </w:p>
        </w:tc>
        <w:tc>
          <w:tcPr>
            <w:tcW w:w="1800" w:type="dxa"/>
            <w:tcBorders>
              <w:top w:val="nil"/>
              <w:left w:val="nil"/>
              <w:bottom w:val="nil"/>
              <w:right w:val="nil"/>
            </w:tcBorders>
            <w:noWrap/>
            <w:vAlign w:val="bottom"/>
            <w:hideMark/>
          </w:tcPr>
          <w:p w14:paraId="09728959" w14:textId="77777777" w:rsidR="00204905" w:rsidRPr="00BE11D7" w:rsidRDefault="00204905" w:rsidP="00954C07">
            <w:pPr>
              <w:rPr>
                <w:color w:val="000000"/>
              </w:rPr>
            </w:pPr>
            <w:r w:rsidRPr="00BE11D7">
              <w:rPr>
                <w:color w:val="000000"/>
              </w:rPr>
              <w:t>MCC(CISO)</w:t>
            </w:r>
          </w:p>
        </w:tc>
        <w:tc>
          <w:tcPr>
            <w:tcW w:w="1321" w:type="dxa"/>
            <w:tcBorders>
              <w:top w:val="nil"/>
              <w:left w:val="nil"/>
              <w:bottom w:val="nil"/>
              <w:right w:val="nil"/>
            </w:tcBorders>
            <w:noWrap/>
            <w:vAlign w:val="bottom"/>
            <w:hideMark/>
          </w:tcPr>
          <w:p w14:paraId="0A0BE451" w14:textId="77777777" w:rsidR="00204905" w:rsidRPr="00BE11D7" w:rsidRDefault="00204905" w:rsidP="00954C07">
            <w:pPr>
              <w:rPr>
                <w:color w:val="000000"/>
              </w:rPr>
            </w:pPr>
            <w:r w:rsidRPr="00BE11D7">
              <w:rPr>
                <w:color w:val="000000"/>
              </w:rPr>
              <w:t>Amount</w:t>
            </w:r>
          </w:p>
        </w:tc>
      </w:tr>
      <w:tr w:rsidR="00204905" w:rsidRPr="00BE11D7" w14:paraId="7D131C95"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692A7705" w14:textId="77777777" w:rsidR="00204905" w:rsidRPr="00BE11D7" w:rsidRDefault="00204905" w:rsidP="00954C07">
            <w:pPr>
              <w:rPr>
                <w:color w:val="000000"/>
              </w:rPr>
            </w:pPr>
            <w:r w:rsidRPr="00BE11D7">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1D24E7D7" w14:textId="77777777" w:rsidR="00204905" w:rsidRPr="00BE11D7" w:rsidRDefault="00204905" w:rsidP="00954C07">
            <w:pPr>
              <w:jc w:val="right"/>
              <w:rPr>
                <w:color w:val="000000"/>
              </w:rPr>
            </w:pPr>
            <w:r w:rsidRPr="00BE11D7">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2BDEE199" w14:textId="77777777" w:rsidR="00204905" w:rsidRPr="00BE11D7" w:rsidRDefault="00204905" w:rsidP="00954C07">
            <w:pPr>
              <w:rPr>
                <w:color w:val="000000"/>
              </w:rPr>
            </w:pPr>
            <w:r w:rsidRPr="00BE11D7">
              <w:rPr>
                <w:color w:val="000000"/>
              </w:rPr>
              <w:t xml:space="preserve"> $          (15.01)</w:t>
            </w:r>
          </w:p>
        </w:tc>
        <w:tc>
          <w:tcPr>
            <w:tcW w:w="1440" w:type="dxa"/>
            <w:tcBorders>
              <w:top w:val="single" w:sz="4" w:space="0" w:color="auto"/>
              <w:left w:val="nil"/>
              <w:bottom w:val="single" w:sz="4" w:space="0" w:color="auto"/>
              <w:right w:val="single" w:sz="4" w:space="0" w:color="auto"/>
            </w:tcBorders>
            <w:noWrap/>
            <w:vAlign w:val="bottom"/>
            <w:hideMark/>
          </w:tcPr>
          <w:p w14:paraId="208170CB" w14:textId="77777777" w:rsidR="00204905" w:rsidRPr="00BE11D7" w:rsidRDefault="00204905" w:rsidP="00954C07">
            <w:pPr>
              <w:rPr>
                <w:color w:val="000000"/>
              </w:rPr>
            </w:pPr>
            <w:r w:rsidRPr="00BE11D7">
              <w:rPr>
                <w:color w:val="000000"/>
              </w:rPr>
              <w:t xml:space="preserve"> $  2,251.50 </w:t>
            </w:r>
          </w:p>
        </w:tc>
        <w:tc>
          <w:tcPr>
            <w:tcW w:w="1800" w:type="dxa"/>
            <w:tcBorders>
              <w:top w:val="single" w:sz="4" w:space="0" w:color="auto"/>
              <w:left w:val="nil"/>
              <w:bottom w:val="single" w:sz="4" w:space="0" w:color="auto"/>
              <w:right w:val="single" w:sz="4" w:space="0" w:color="auto"/>
            </w:tcBorders>
            <w:noWrap/>
            <w:vAlign w:val="bottom"/>
            <w:hideMark/>
          </w:tcPr>
          <w:p w14:paraId="20D0D6CB" w14:textId="77777777" w:rsidR="00204905" w:rsidRPr="00BE11D7" w:rsidRDefault="00204905" w:rsidP="00954C07">
            <w:pPr>
              <w:rPr>
                <w:color w:val="000000"/>
              </w:rPr>
            </w:pPr>
            <w:r w:rsidRPr="00BE11D7">
              <w:rPr>
                <w:color w:val="000000"/>
              </w:rPr>
              <w:t xml:space="preserve"> $                     -   </w:t>
            </w:r>
          </w:p>
        </w:tc>
        <w:tc>
          <w:tcPr>
            <w:tcW w:w="1321" w:type="dxa"/>
            <w:tcBorders>
              <w:top w:val="single" w:sz="4" w:space="0" w:color="auto"/>
              <w:left w:val="nil"/>
              <w:bottom w:val="single" w:sz="4" w:space="0" w:color="auto"/>
              <w:right w:val="single" w:sz="4" w:space="0" w:color="auto"/>
            </w:tcBorders>
            <w:noWrap/>
            <w:vAlign w:val="bottom"/>
            <w:hideMark/>
          </w:tcPr>
          <w:p w14:paraId="06CCE252" w14:textId="77777777" w:rsidR="00204905" w:rsidRPr="00BE11D7" w:rsidRDefault="00204905" w:rsidP="00954C07">
            <w:pPr>
              <w:rPr>
                <w:color w:val="000000"/>
              </w:rPr>
            </w:pPr>
            <w:r w:rsidRPr="00BE11D7">
              <w:rPr>
                <w:color w:val="000000"/>
              </w:rPr>
              <w:t xml:space="preserve"> $           -   </w:t>
            </w:r>
          </w:p>
        </w:tc>
      </w:tr>
      <w:tr w:rsidR="00204905" w:rsidRPr="00BE11D7" w14:paraId="0EB4B453"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613C7431" w14:textId="77777777" w:rsidR="00204905" w:rsidRPr="00BE11D7" w:rsidRDefault="00204905" w:rsidP="00954C07">
            <w:pPr>
              <w:rPr>
                <w:color w:val="000000"/>
              </w:rPr>
            </w:pPr>
            <w:r w:rsidRPr="00BE11D7">
              <w:rPr>
                <w:color w:val="000000"/>
              </w:rPr>
              <w:lastRenderedPageBreak/>
              <w:t>CISOGen</w:t>
            </w:r>
          </w:p>
        </w:tc>
        <w:tc>
          <w:tcPr>
            <w:tcW w:w="830" w:type="dxa"/>
            <w:tcBorders>
              <w:top w:val="nil"/>
              <w:left w:val="nil"/>
              <w:bottom w:val="single" w:sz="4" w:space="0" w:color="auto"/>
              <w:right w:val="single" w:sz="4" w:space="0" w:color="auto"/>
            </w:tcBorders>
            <w:noWrap/>
            <w:vAlign w:val="bottom"/>
            <w:hideMark/>
          </w:tcPr>
          <w:p w14:paraId="67426393" w14:textId="77777777" w:rsidR="00204905" w:rsidRPr="00BE11D7" w:rsidRDefault="00204905" w:rsidP="00954C07">
            <w:pPr>
              <w:jc w:val="right"/>
              <w:rPr>
                <w:color w:val="000000"/>
              </w:rPr>
            </w:pPr>
            <w:r w:rsidRPr="00BE11D7">
              <w:rPr>
                <w:color w:val="000000"/>
              </w:rPr>
              <w:t>100</w:t>
            </w:r>
          </w:p>
        </w:tc>
        <w:tc>
          <w:tcPr>
            <w:tcW w:w="1620" w:type="dxa"/>
            <w:tcBorders>
              <w:top w:val="nil"/>
              <w:left w:val="nil"/>
              <w:bottom w:val="single" w:sz="4" w:space="0" w:color="auto"/>
              <w:right w:val="single" w:sz="4" w:space="0" w:color="auto"/>
            </w:tcBorders>
            <w:noWrap/>
            <w:vAlign w:val="bottom"/>
            <w:hideMark/>
          </w:tcPr>
          <w:p w14:paraId="78F2EE31"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1AA8CE4E"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58FF4D97"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55509017" w14:textId="77777777" w:rsidR="00204905" w:rsidRPr="00BE11D7" w:rsidRDefault="00204905" w:rsidP="00954C07">
            <w:pPr>
              <w:rPr>
                <w:color w:val="000000"/>
              </w:rPr>
            </w:pPr>
            <w:r w:rsidRPr="00BE11D7">
              <w:rPr>
                <w:color w:val="000000"/>
              </w:rPr>
              <w:t xml:space="preserve"> $           -   </w:t>
            </w:r>
          </w:p>
        </w:tc>
      </w:tr>
      <w:tr w:rsidR="00204905" w:rsidRPr="00BE11D7" w14:paraId="448DD6EA"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45769231" w14:textId="77777777" w:rsidR="00204905" w:rsidRPr="00BE11D7" w:rsidRDefault="00204905" w:rsidP="00954C07">
            <w:pPr>
              <w:rPr>
                <w:color w:val="000000"/>
              </w:rPr>
            </w:pPr>
            <w:r w:rsidRPr="00BE11D7">
              <w:rPr>
                <w:color w:val="000000"/>
              </w:rPr>
              <w:t>EIM1Load</w:t>
            </w:r>
          </w:p>
        </w:tc>
        <w:tc>
          <w:tcPr>
            <w:tcW w:w="830" w:type="dxa"/>
            <w:tcBorders>
              <w:top w:val="nil"/>
              <w:left w:val="nil"/>
              <w:bottom w:val="single" w:sz="4" w:space="0" w:color="auto"/>
              <w:right w:val="single" w:sz="4" w:space="0" w:color="auto"/>
            </w:tcBorders>
            <w:noWrap/>
            <w:vAlign w:val="bottom"/>
            <w:hideMark/>
          </w:tcPr>
          <w:p w14:paraId="70D34AEC" w14:textId="77777777" w:rsidR="00204905" w:rsidRPr="00BE11D7" w:rsidRDefault="00204905" w:rsidP="00954C07">
            <w:pPr>
              <w:jc w:val="right"/>
              <w:rPr>
                <w:color w:val="000000"/>
              </w:rPr>
            </w:pPr>
            <w:r w:rsidRPr="00BE11D7">
              <w:rPr>
                <w:color w:val="000000"/>
              </w:rPr>
              <w:t>-50</w:t>
            </w:r>
          </w:p>
        </w:tc>
        <w:tc>
          <w:tcPr>
            <w:tcW w:w="1620" w:type="dxa"/>
            <w:tcBorders>
              <w:top w:val="nil"/>
              <w:left w:val="nil"/>
              <w:bottom w:val="single" w:sz="4" w:space="0" w:color="auto"/>
              <w:right w:val="single" w:sz="4" w:space="0" w:color="auto"/>
            </w:tcBorders>
            <w:noWrap/>
            <w:vAlign w:val="bottom"/>
            <w:hideMark/>
          </w:tcPr>
          <w:p w14:paraId="74EE39DD" w14:textId="77777777" w:rsidR="00204905" w:rsidRPr="00BE11D7" w:rsidRDefault="00204905" w:rsidP="00954C07">
            <w:pPr>
              <w:rPr>
                <w:color w:val="000000"/>
              </w:rPr>
            </w:pPr>
            <w:r w:rsidRPr="00BE11D7">
              <w:rPr>
                <w:color w:val="000000"/>
              </w:rPr>
              <w:t xml:space="preserve"> $          (15.01)</w:t>
            </w:r>
          </w:p>
        </w:tc>
        <w:tc>
          <w:tcPr>
            <w:tcW w:w="1440" w:type="dxa"/>
            <w:tcBorders>
              <w:top w:val="nil"/>
              <w:left w:val="nil"/>
              <w:bottom w:val="single" w:sz="4" w:space="0" w:color="auto"/>
              <w:right w:val="single" w:sz="4" w:space="0" w:color="auto"/>
            </w:tcBorders>
            <w:noWrap/>
            <w:vAlign w:val="bottom"/>
            <w:hideMark/>
          </w:tcPr>
          <w:p w14:paraId="722ED67B" w14:textId="77777777" w:rsidR="00204905" w:rsidRPr="00BE11D7" w:rsidRDefault="00204905" w:rsidP="00954C07">
            <w:pPr>
              <w:rPr>
                <w:color w:val="000000"/>
              </w:rPr>
            </w:pPr>
            <w:r w:rsidRPr="00BE11D7">
              <w:rPr>
                <w:color w:val="000000"/>
              </w:rPr>
              <w:t xml:space="preserve"> $   (750.50)</w:t>
            </w:r>
          </w:p>
        </w:tc>
        <w:tc>
          <w:tcPr>
            <w:tcW w:w="1800" w:type="dxa"/>
            <w:tcBorders>
              <w:top w:val="nil"/>
              <w:left w:val="nil"/>
              <w:bottom w:val="single" w:sz="4" w:space="0" w:color="auto"/>
              <w:right w:val="single" w:sz="4" w:space="0" w:color="auto"/>
            </w:tcBorders>
            <w:noWrap/>
            <w:vAlign w:val="bottom"/>
            <w:hideMark/>
          </w:tcPr>
          <w:p w14:paraId="09E72EFD"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05024E98" w14:textId="77777777" w:rsidR="00204905" w:rsidRPr="00BE11D7" w:rsidRDefault="00204905" w:rsidP="00954C07">
            <w:pPr>
              <w:rPr>
                <w:color w:val="000000"/>
              </w:rPr>
            </w:pPr>
            <w:r w:rsidRPr="00BE11D7">
              <w:rPr>
                <w:color w:val="000000"/>
              </w:rPr>
              <w:t xml:space="preserve"> $           -   </w:t>
            </w:r>
          </w:p>
        </w:tc>
      </w:tr>
      <w:tr w:rsidR="00204905" w:rsidRPr="00BE11D7" w14:paraId="6E112A91"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107AA39B" w14:textId="77777777" w:rsidR="00204905" w:rsidRPr="00BE11D7" w:rsidRDefault="00204905" w:rsidP="00954C07">
            <w:pPr>
              <w:rPr>
                <w:color w:val="000000"/>
              </w:rPr>
            </w:pPr>
            <w:r w:rsidRPr="00BE11D7">
              <w:rPr>
                <w:color w:val="000000"/>
              </w:rPr>
              <w:t>CISOLoad</w:t>
            </w:r>
          </w:p>
        </w:tc>
        <w:tc>
          <w:tcPr>
            <w:tcW w:w="830" w:type="dxa"/>
            <w:tcBorders>
              <w:top w:val="nil"/>
              <w:left w:val="nil"/>
              <w:bottom w:val="nil"/>
              <w:right w:val="single" w:sz="4" w:space="0" w:color="auto"/>
            </w:tcBorders>
            <w:noWrap/>
            <w:vAlign w:val="bottom"/>
            <w:hideMark/>
          </w:tcPr>
          <w:p w14:paraId="4BE3278E" w14:textId="77777777" w:rsidR="00204905" w:rsidRPr="00BE11D7" w:rsidRDefault="00204905" w:rsidP="00954C07">
            <w:pPr>
              <w:jc w:val="right"/>
              <w:rPr>
                <w:color w:val="000000"/>
              </w:rPr>
            </w:pPr>
            <w:r w:rsidRPr="00BE11D7">
              <w:rPr>
                <w:color w:val="000000"/>
              </w:rPr>
              <w:t>-200</w:t>
            </w:r>
          </w:p>
        </w:tc>
        <w:tc>
          <w:tcPr>
            <w:tcW w:w="1620" w:type="dxa"/>
            <w:tcBorders>
              <w:top w:val="nil"/>
              <w:left w:val="nil"/>
              <w:bottom w:val="nil"/>
              <w:right w:val="single" w:sz="4" w:space="0" w:color="auto"/>
            </w:tcBorders>
            <w:noWrap/>
            <w:vAlign w:val="bottom"/>
            <w:hideMark/>
          </w:tcPr>
          <w:p w14:paraId="64715FE8"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6C7921A4"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nil"/>
              <w:right w:val="single" w:sz="4" w:space="0" w:color="auto"/>
            </w:tcBorders>
            <w:noWrap/>
            <w:vAlign w:val="bottom"/>
            <w:hideMark/>
          </w:tcPr>
          <w:p w14:paraId="7E0C9306"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43715686" w14:textId="77777777" w:rsidR="00204905" w:rsidRPr="00BE11D7" w:rsidRDefault="00204905" w:rsidP="00954C07">
            <w:pPr>
              <w:rPr>
                <w:color w:val="000000"/>
              </w:rPr>
            </w:pPr>
            <w:r w:rsidRPr="00BE11D7">
              <w:rPr>
                <w:color w:val="000000"/>
              </w:rPr>
              <w:t xml:space="preserve"> $           -   </w:t>
            </w:r>
          </w:p>
        </w:tc>
      </w:tr>
      <w:tr w:rsidR="00204905" w:rsidRPr="00BE11D7" w14:paraId="0C44B936"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39AFF5A" w14:textId="77777777" w:rsidR="00204905" w:rsidRPr="00BE11D7" w:rsidRDefault="00204905" w:rsidP="00954C07">
            <w:pPr>
              <w:rPr>
                <w:color w:val="000000"/>
              </w:rPr>
            </w:pPr>
            <w:r w:rsidRPr="00BE11D7">
              <w:rPr>
                <w:color w:val="000000"/>
              </w:rPr>
              <w:t>Total</w:t>
            </w:r>
          </w:p>
        </w:tc>
        <w:tc>
          <w:tcPr>
            <w:tcW w:w="830" w:type="dxa"/>
            <w:tcBorders>
              <w:top w:val="single" w:sz="4" w:space="0" w:color="auto"/>
              <w:left w:val="nil"/>
              <w:bottom w:val="single" w:sz="4" w:space="0" w:color="auto"/>
              <w:right w:val="nil"/>
            </w:tcBorders>
            <w:noWrap/>
            <w:vAlign w:val="bottom"/>
            <w:hideMark/>
          </w:tcPr>
          <w:p w14:paraId="0C42F125" w14:textId="77777777" w:rsidR="00204905" w:rsidRPr="00BE11D7" w:rsidRDefault="00204905" w:rsidP="00954C07">
            <w:pPr>
              <w:rPr>
                <w:color w:val="000000"/>
              </w:rPr>
            </w:pPr>
            <w:r w:rsidRPr="00BE11D7">
              <w:rPr>
                <w:color w:val="000000"/>
              </w:rPr>
              <w:t> </w:t>
            </w:r>
          </w:p>
        </w:tc>
        <w:tc>
          <w:tcPr>
            <w:tcW w:w="1620" w:type="dxa"/>
            <w:tcBorders>
              <w:top w:val="single" w:sz="4" w:space="0" w:color="auto"/>
              <w:left w:val="nil"/>
              <w:bottom w:val="single" w:sz="4" w:space="0" w:color="auto"/>
              <w:right w:val="nil"/>
            </w:tcBorders>
            <w:noWrap/>
            <w:vAlign w:val="bottom"/>
            <w:hideMark/>
          </w:tcPr>
          <w:p w14:paraId="7F29DCEC" w14:textId="77777777" w:rsidR="00204905" w:rsidRPr="00BE11D7" w:rsidRDefault="00204905" w:rsidP="00954C07">
            <w:pPr>
              <w:rPr>
                <w:color w:val="000000"/>
              </w:rPr>
            </w:pPr>
            <w:r w:rsidRPr="00BE11D7">
              <w:rPr>
                <w:color w:val="000000"/>
              </w:rPr>
              <w:t> </w:t>
            </w:r>
          </w:p>
        </w:tc>
        <w:tc>
          <w:tcPr>
            <w:tcW w:w="1440" w:type="dxa"/>
            <w:tcBorders>
              <w:top w:val="nil"/>
              <w:left w:val="nil"/>
              <w:bottom w:val="single" w:sz="4" w:space="0" w:color="auto"/>
              <w:right w:val="nil"/>
            </w:tcBorders>
            <w:noWrap/>
            <w:vAlign w:val="bottom"/>
            <w:hideMark/>
          </w:tcPr>
          <w:p w14:paraId="040D4AB1" w14:textId="77777777" w:rsidR="00204905" w:rsidRPr="00BE11D7" w:rsidRDefault="00204905" w:rsidP="00954C07">
            <w:pPr>
              <w:rPr>
                <w:color w:val="000000"/>
              </w:rPr>
            </w:pPr>
            <w:r w:rsidRPr="00BE11D7">
              <w:rPr>
                <w:color w:val="000000"/>
              </w:rPr>
              <w:t xml:space="preserve"> $  1,501.00 </w:t>
            </w:r>
          </w:p>
        </w:tc>
        <w:tc>
          <w:tcPr>
            <w:tcW w:w="1800" w:type="dxa"/>
            <w:tcBorders>
              <w:top w:val="single" w:sz="4" w:space="0" w:color="auto"/>
              <w:left w:val="nil"/>
              <w:bottom w:val="single" w:sz="4" w:space="0" w:color="auto"/>
              <w:right w:val="nil"/>
            </w:tcBorders>
            <w:noWrap/>
            <w:vAlign w:val="bottom"/>
            <w:hideMark/>
          </w:tcPr>
          <w:p w14:paraId="0CF70CA5" w14:textId="77777777" w:rsidR="00204905" w:rsidRPr="00BE11D7" w:rsidRDefault="00204905" w:rsidP="00954C07">
            <w:pPr>
              <w:rPr>
                <w:color w:val="000000"/>
              </w:rPr>
            </w:pPr>
            <w:r w:rsidRPr="00BE11D7">
              <w:rPr>
                <w:color w:val="000000"/>
              </w:rPr>
              <w:t> </w:t>
            </w:r>
          </w:p>
        </w:tc>
        <w:tc>
          <w:tcPr>
            <w:tcW w:w="1321" w:type="dxa"/>
            <w:tcBorders>
              <w:top w:val="nil"/>
              <w:left w:val="nil"/>
              <w:bottom w:val="single" w:sz="4" w:space="0" w:color="auto"/>
              <w:right w:val="single" w:sz="4" w:space="0" w:color="auto"/>
            </w:tcBorders>
            <w:noWrap/>
            <w:vAlign w:val="bottom"/>
            <w:hideMark/>
          </w:tcPr>
          <w:p w14:paraId="7CACCD16" w14:textId="77777777" w:rsidR="00204905" w:rsidRPr="00BE11D7" w:rsidRDefault="00204905" w:rsidP="00954C07">
            <w:pPr>
              <w:rPr>
                <w:color w:val="000000"/>
              </w:rPr>
            </w:pPr>
            <w:r w:rsidRPr="00BE11D7">
              <w:rPr>
                <w:color w:val="000000"/>
              </w:rPr>
              <w:t xml:space="preserve"> $           -   </w:t>
            </w:r>
          </w:p>
        </w:tc>
      </w:tr>
      <w:tr w:rsidR="00204905" w:rsidRPr="00BE11D7" w14:paraId="4403C52B" w14:textId="77777777" w:rsidTr="00954C07">
        <w:trPr>
          <w:trHeight w:val="300"/>
        </w:trPr>
        <w:tc>
          <w:tcPr>
            <w:tcW w:w="2140" w:type="dxa"/>
            <w:tcBorders>
              <w:top w:val="nil"/>
              <w:left w:val="nil"/>
              <w:bottom w:val="nil"/>
              <w:right w:val="nil"/>
            </w:tcBorders>
            <w:noWrap/>
            <w:vAlign w:val="bottom"/>
            <w:hideMark/>
          </w:tcPr>
          <w:p w14:paraId="4381F59A" w14:textId="77777777" w:rsidR="00204905" w:rsidRPr="00BE11D7" w:rsidRDefault="00204905" w:rsidP="00954C07">
            <w:pPr>
              <w:rPr>
                <w:color w:val="000000"/>
              </w:rPr>
            </w:pPr>
          </w:p>
        </w:tc>
        <w:tc>
          <w:tcPr>
            <w:tcW w:w="830" w:type="dxa"/>
            <w:tcBorders>
              <w:top w:val="nil"/>
              <w:left w:val="nil"/>
              <w:bottom w:val="nil"/>
              <w:right w:val="nil"/>
            </w:tcBorders>
            <w:noWrap/>
            <w:vAlign w:val="bottom"/>
            <w:hideMark/>
          </w:tcPr>
          <w:p w14:paraId="6BB7FC7E" w14:textId="77777777" w:rsidR="00204905" w:rsidRPr="00BE11D7" w:rsidRDefault="00204905" w:rsidP="00954C07"/>
        </w:tc>
        <w:tc>
          <w:tcPr>
            <w:tcW w:w="1620" w:type="dxa"/>
            <w:tcBorders>
              <w:top w:val="nil"/>
              <w:left w:val="nil"/>
              <w:bottom w:val="nil"/>
              <w:right w:val="nil"/>
            </w:tcBorders>
            <w:noWrap/>
            <w:vAlign w:val="bottom"/>
            <w:hideMark/>
          </w:tcPr>
          <w:p w14:paraId="0C5E6F07" w14:textId="77777777" w:rsidR="00204905" w:rsidRPr="00BE11D7" w:rsidRDefault="00204905" w:rsidP="00954C07"/>
        </w:tc>
        <w:tc>
          <w:tcPr>
            <w:tcW w:w="1440" w:type="dxa"/>
            <w:tcBorders>
              <w:top w:val="nil"/>
              <w:left w:val="nil"/>
              <w:bottom w:val="nil"/>
              <w:right w:val="nil"/>
            </w:tcBorders>
            <w:noWrap/>
            <w:vAlign w:val="bottom"/>
            <w:hideMark/>
          </w:tcPr>
          <w:p w14:paraId="1DD61FC2" w14:textId="77777777" w:rsidR="00204905" w:rsidRPr="00BE11D7" w:rsidRDefault="00204905" w:rsidP="00954C07"/>
        </w:tc>
        <w:tc>
          <w:tcPr>
            <w:tcW w:w="1800" w:type="dxa"/>
            <w:tcBorders>
              <w:top w:val="nil"/>
              <w:left w:val="nil"/>
              <w:bottom w:val="nil"/>
              <w:right w:val="nil"/>
            </w:tcBorders>
            <w:noWrap/>
            <w:vAlign w:val="bottom"/>
            <w:hideMark/>
          </w:tcPr>
          <w:p w14:paraId="3A8D2281" w14:textId="77777777" w:rsidR="00204905" w:rsidRPr="00BE11D7" w:rsidRDefault="00204905" w:rsidP="00954C07"/>
        </w:tc>
        <w:tc>
          <w:tcPr>
            <w:tcW w:w="1321" w:type="dxa"/>
            <w:tcBorders>
              <w:top w:val="nil"/>
              <w:left w:val="nil"/>
              <w:bottom w:val="nil"/>
              <w:right w:val="nil"/>
            </w:tcBorders>
            <w:noWrap/>
            <w:vAlign w:val="bottom"/>
            <w:hideMark/>
          </w:tcPr>
          <w:p w14:paraId="53717E36" w14:textId="77777777" w:rsidR="00204905" w:rsidRPr="00BE11D7" w:rsidRDefault="00204905" w:rsidP="00954C07"/>
        </w:tc>
      </w:tr>
      <w:tr w:rsidR="00204905" w:rsidRPr="00BE11D7" w14:paraId="36DC4223" w14:textId="77777777" w:rsidTr="00954C07">
        <w:trPr>
          <w:trHeight w:val="300"/>
        </w:trPr>
        <w:tc>
          <w:tcPr>
            <w:tcW w:w="2140" w:type="dxa"/>
            <w:tcBorders>
              <w:top w:val="nil"/>
              <w:left w:val="nil"/>
              <w:bottom w:val="nil"/>
              <w:right w:val="nil"/>
            </w:tcBorders>
            <w:noWrap/>
            <w:vAlign w:val="bottom"/>
            <w:hideMark/>
          </w:tcPr>
          <w:p w14:paraId="5FAFDD82" w14:textId="77777777" w:rsidR="00204905" w:rsidRPr="00BE11D7" w:rsidRDefault="00204905" w:rsidP="00954C07">
            <w:pPr>
              <w:rPr>
                <w:color w:val="000000"/>
              </w:rPr>
            </w:pPr>
            <w:r w:rsidRPr="00BE11D7">
              <w:rPr>
                <w:color w:val="000000"/>
              </w:rPr>
              <w:t>RTCO Allocation</w:t>
            </w:r>
          </w:p>
        </w:tc>
        <w:tc>
          <w:tcPr>
            <w:tcW w:w="830" w:type="dxa"/>
            <w:tcBorders>
              <w:top w:val="nil"/>
              <w:left w:val="nil"/>
              <w:bottom w:val="nil"/>
              <w:right w:val="nil"/>
            </w:tcBorders>
            <w:noWrap/>
            <w:vAlign w:val="bottom"/>
            <w:hideMark/>
          </w:tcPr>
          <w:p w14:paraId="78D1AABA" w14:textId="77777777" w:rsidR="00204905" w:rsidRPr="00BE11D7" w:rsidRDefault="00204905" w:rsidP="00954C07">
            <w:pPr>
              <w:rPr>
                <w:color w:val="000000"/>
              </w:rPr>
            </w:pPr>
            <w:r w:rsidRPr="00BE11D7">
              <w:rPr>
                <w:color w:val="000000"/>
              </w:rPr>
              <w:t>QTY</w:t>
            </w:r>
          </w:p>
        </w:tc>
        <w:tc>
          <w:tcPr>
            <w:tcW w:w="1620" w:type="dxa"/>
            <w:tcBorders>
              <w:top w:val="nil"/>
              <w:left w:val="nil"/>
              <w:bottom w:val="nil"/>
              <w:right w:val="nil"/>
            </w:tcBorders>
            <w:noWrap/>
            <w:vAlign w:val="bottom"/>
            <w:hideMark/>
          </w:tcPr>
          <w:p w14:paraId="1E8F8DFE" w14:textId="77777777" w:rsidR="00204905" w:rsidRPr="00BE11D7" w:rsidRDefault="00204905" w:rsidP="00954C07">
            <w:pPr>
              <w:rPr>
                <w:color w:val="000000"/>
              </w:rPr>
            </w:pPr>
            <w:r w:rsidRPr="00BE11D7">
              <w:rPr>
                <w:color w:val="000000"/>
              </w:rPr>
              <w:t>MCC(EIM1)**</w:t>
            </w:r>
          </w:p>
        </w:tc>
        <w:tc>
          <w:tcPr>
            <w:tcW w:w="1440" w:type="dxa"/>
            <w:tcBorders>
              <w:top w:val="nil"/>
              <w:left w:val="nil"/>
              <w:bottom w:val="nil"/>
              <w:right w:val="nil"/>
            </w:tcBorders>
            <w:noWrap/>
            <w:vAlign w:val="bottom"/>
            <w:hideMark/>
          </w:tcPr>
          <w:p w14:paraId="04471CD3" w14:textId="77777777" w:rsidR="00204905" w:rsidRPr="00BE11D7" w:rsidRDefault="00204905" w:rsidP="00954C07">
            <w:pPr>
              <w:rPr>
                <w:color w:val="000000"/>
              </w:rPr>
            </w:pPr>
            <w:r w:rsidRPr="00BE11D7">
              <w:rPr>
                <w:color w:val="000000"/>
              </w:rPr>
              <w:t>Amount</w:t>
            </w:r>
          </w:p>
        </w:tc>
        <w:tc>
          <w:tcPr>
            <w:tcW w:w="1800" w:type="dxa"/>
            <w:tcBorders>
              <w:top w:val="nil"/>
              <w:left w:val="nil"/>
              <w:bottom w:val="nil"/>
              <w:right w:val="nil"/>
            </w:tcBorders>
            <w:noWrap/>
            <w:vAlign w:val="bottom"/>
            <w:hideMark/>
          </w:tcPr>
          <w:p w14:paraId="37296C12" w14:textId="77777777" w:rsidR="00204905" w:rsidRPr="00BE11D7" w:rsidRDefault="00204905" w:rsidP="00954C07">
            <w:pPr>
              <w:rPr>
                <w:color w:val="000000"/>
              </w:rPr>
            </w:pPr>
            <w:r w:rsidRPr="00BE11D7">
              <w:rPr>
                <w:color w:val="000000"/>
              </w:rPr>
              <w:t>MCC(CISO)**</w:t>
            </w:r>
          </w:p>
        </w:tc>
        <w:tc>
          <w:tcPr>
            <w:tcW w:w="1321" w:type="dxa"/>
            <w:tcBorders>
              <w:top w:val="nil"/>
              <w:left w:val="nil"/>
              <w:bottom w:val="nil"/>
              <w:right w:val="nil"/>
            </w:tcBorders>
            <w:noWrap/>
            <w:vAlign w:val="bottom"/>
            <w:hideMark/>
          </w:tcPr>
          <w:p w14:paraId="4B23C8D4" w14:textId="77777777" w:rsidR="00204905" w:rsidRPr="00BE11D7" w:rsidRDefault="00204905" w:rsidP="00954C07">
            <w:pPr>
              <w:rPr>
                <w:color w:val="000000"/>
              </w:rPr>
            </w:pPr>
            <w:r w:rsidRPr="00BE11D7">
              <w:rPr>
                <w:color w:val="000000"/>
              </w:rPr>
              <w:t>Amount</w:t>
            </w:r>
          </w:p>
        </w:tc>
      </w:tr>
      <w:tr w:rsidR="00204905" w:rsidRPr="00BE11D7" w14:paraId="5B840437" w14:textId="77777777" w:rsidTr="00954C07">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3AE1F961" w14:textId="77777777" w:rsidR="00204905" w:rsidRPr="00BE11D7" w:rsidRDefault="00204905" w:rsidP="00954C07">
            <w:pPr>
              <w:rPr>
                <w:color w:val="000000"/>
              </w:rPr>
            </w:pPr>
            <w:r w:rsidRPr="00BE11D7">
              <w:rPr>
                <w:color w:val="000000"/>
              </w:rPr>
              <w:t>EIM1Gen</w:t>
            </w:r>
          </w:p>
        </w:tc>
        <w:tc>
          <w:tcPr>
            <w:tcW w:w="830" w:type="dxa"/>
            <w:tcBorders>
              <w:top w:val="single" w:sz="4" w:space="0" w:color="auto"/>
              <w:left w:val="nil"/>
              <w:bottom w:val="single" w:sz="4" w:space="0" w:color="auto"/>
              <w:right w:val="single" w:sz="4" w:space="0" w:color="auto"/>
            </w:tcBorders>
            <w:noWrap/>
            <w:vAlign w:val="bottom"/>
            <w:hideMark/>
          </w:tcPr>
          <w:p w14:paraId="0A28CEB7" w14:textId="77777777" w:rsidR="00204905" w:rsidRPr="00BE11D7" w:rsidRDefault="00204905" w:rsidP="00954C07">
            <w:pPr>
              <w:jc w:val="right"/>
              <w:rPr>
                <w:color w:val="000000"/>
              </w:rPr>
            </w:pPr>
            <w:r w:rsidRPr="00BE11D7">
              <w:rPr>
                <w:color w:val="000000"/>
              </w:rPr>
              <w:t>150</w:t>
            </w:r>
          </w:p>
        </w:tc>
        <w:tc>
          <w:tcPr>
            <w:tcW w:w="1620" w:type="dxa"/>
            <w:tcBorders>
              <w:top w:val="single" w:sz="4" w:space="0" w:color="auto"/>
              <w:left w:val="nil"/>
              <w:bottom w:val="single" w:sz="4" w:space="0" w:color="auto"/>
              <w:right w:val="single" w:sz="4" w:space="0" w:color="auto"/>
            </w:tcBorders>
            <w:noWrap/>
            <w:vAlign w:val="bottom"/>
            <w:hideMark/>
          </w:tcPr>
          <w:p w14:paraId="5A8EF91A" w14:textId="77777777" w:rsidR="00204905" w:rsidRPr="00BE11D7" w:rsidRDefault="00204905" w:rsidP="00954C07">
            <w:pPr>
              <w:rPr>
                <w:color w:val="000000"/>
              </w:rPr>
            </w:pPr>
            <w:r w:rsidRPr="00BE11D7">
              <w:rPr>
                <w:color w:val="000000"/>
              </w:rPr>
              <w:t xml:space="preserve"> $         (0.005)</w:t>
            </w:r>
          </w:p>
        </w:tc>
        <w:tc>
          <w:tcPr>
            <w:tcW w:w="1440" w:type="dxa"/>
            <w:tcBorders>
              <w:top w:val="single" w:sz="4" w:space="0" w:color="auto"/>
              <w:left w:val="nil"/>
              <w:bottom w:val="single" w:sz="4" w:space="0" w:color="auto"/>
              <w:right w:val="single" w:sz="4" w:space="0" w:color="auto"/>
            </w:tcBorders>
            <w:noWrap/>
            <w:vAlign w:val="bottom"/>
            <w:hideMark/>
          </w:tcPr>
          <w:p w14:paraId="39F7443F" w14:textId="77777777" w:rsidR="00204905" w:rsidRPr="00BE11D7" w:rsidRDefault="00204905" w:rsidP="00954C07">
            <w:pPr>
              <w:rPr>
                <w:color w:val="000000"/>
              </w:rPr>
            </w:pPr>
            <w:r w:rsidRPr="00BE11D7">
              <w:rPr>
                <w:color w:val="000000"/>
              </w:rPr>
              <w:t xml:space="preserve"> $ (0.75)</w:t>
            </w:r>
          </w:p>
        </w:tc>
        <w:tc>
          <w:tcPr>
            <w:tcW w:w="1800" w:type="dxa"/>
            <w:tcBorders>
              <w:top w:val="single" w:sz="4" w:space="0" w:color="auto"/>
              <w:left w:val="nil"/>
              <w:bottom w:val="single" w:sz="4" w:space="0" w:color="auto"/>
              <w:right w:val="single" w:sz="4" w:space="0" w:color="auto"/>
            </w:tcBorders>
            <w:noWrap/>
            <w:vAlign w:val="bottom"/>
            <w:hideMark/>
          </w:tcPr>
          <w:p w14:paraId="5E01EAA5" w14:textId="77777777" w:rsidR="00204905" w:rsidRPr="00BE11D7" w:rsidRDefault="00204905" w:rsidP="00954C07">
            <w:pPr>
              <w:rPr>
                <w:color w:val="000000"/>
              </w:rPr>
            </w:pPr>
            <w:r w:rsidRPr="00BE11D7">
              <w:rPr>
                <w:color w:val="000000"/>
              </w:rPr>
              <w:t>$         (15.005)</w:t>
            </w:r>
          </w:p>
        </w:tc>
        <w:tc>
          <w:tcPr>
            <w:tcW w:w="1321" w:type="dxa"/>
            <w:tcBorders>
              <w:top w:val="single" w:sz="4" w:space="0" w:color="auto"/>
              <w:left w:val="nil"/>
              <w:bottom w:val="single" w:sz="4" w:space="0" w:color="auto"/>
              <w:right w:val="single" w:sz="4" w:space="0" w:color="auto"/>
            </w:tcBorders>
            <w:noWrap/>
            <w:vAlign w:val="bottom"/>
            <w:hideMark/>
          </w:tcPr>
          <w:p w14:paraId="0A9399E8" w14:textId="77777777" w:rsidR="00204905" w:rsidRPr="00BE11D7" w:rsidRDefault="00204905" w:rsidP="00954C07">
            <w:pPr>
              <w:rPr>
                <w:color w:val="000000"/>
              </w:rPr>
            </w:pPr>
            <w:r w:rsidRPr="00BE11D7">
              <w:rPr>
                <w:color w:val="000000"/>
              </w:rPr>
              <w:t>$(2,251.50)</w:t>
            </w:r>
          </w:p>
        </w:tc>
      </w:tr>
      <w:tr w:rsidR="00204905" w:rsidRPr="00BE11D7" w14:paraId="04E7C13E"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72A28EE4" w14:textId="77777777" w:rsidR="00204905" w:rsidRPr="00BE11D7" w:rsidRDefault="00204905" w:rsidP="00954C07">
            <w:pPr>
              <w:rPr>
                <w:color w:val="000000"/>
              </w:rPr>
            </w:pPr>
            <w:r w:rsidRPr="00BE11D7">
              <w:rPr>
                <w:color w:val="000000"/>
              </w:rPr>
              <w:t>CISOGen</w:t>
            </w:r>
          </w:p>
        </w:tc>
        <w:tc>
          <w:tcPr>
            <w:tcW w:w="830" w:type="dxa"/>
            <w:tcBorders>
              <w:top w:val="nil"/>
              <w:left w:val="nil"/>
              <w:bottom w:val="single" w:sz="4" w:space="0" w:color="auto"/>
              <w:right w:val="single" w:sz="4" w:space="0" w:color="auto"/>
            </w:tcBorders>
            <w:noWrap/>
            <w:vAlign w:val="bottom"/>
            <w:hideMark/>
          </w:tcPr>
          <w:p w14:paraId="6150A3A8" w14:textId="77777777" w:rsidR="00204905" w:rsidRPr="00BE11D7" w:rsidRDefault="00204905" w:rsidP="00954C07">
            <w:pPr>
              <w:jc w:val="right"/>
              <w:rPr>
                <w:color w:val="000000"/>
              </w:rPr>
            </w:pPr>
            <w:r w:rsidRPr="00BE11D7">
              <w:rPr>
                <w:color w:val="000000"/>
              </w:rPr>
              <w:t>100</w:t>
            </w:r>
          </w:p>
        </w:tc>
        <w:tc>
          <w:tcPr>
            <w:tcW w:w="1620" w:type="dxa"/>
            <w:tcBorders>
              <w:top w:val="nil"/>
              <w:left w:val="nil"/>
              <w:bottom w:val="single" w:sz="4" w:space="0" w:color="auto"/>
              <w:right w:val="single" w:sz="4" w:space="0" w:color="auto"/>
            </w:tcBorders>
            <w:noWrap/>
            <w:vAlign w:val="bottom"/>
            <w:hideMark/>
          </w:tcPr>
          <w:p w14:paraId="6DA35459"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single" w:sz="4" w:space="0" w:color="auto"/>
              <w:right w:val="single" w:sz="4" w:space="0" w:color="auto"/>
            </w:tcBorders>
            <w:noWrap/>
            <w:vAlign w:val="bottom"/>
            <w:hideMark/>
          </w:tcPr>
          <w:p w14:paraId="2DE7BEE3"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single" w:sz="4" w:space="0" w:color="auto"/>
              <w:right w:val="single" w:sz="4" w:space="0" w:color="auto"/>
            </w:tcBorders>
            <w:noWrap/>
            <w:vAlign w:val="bottom"/>
            <w:hideMark/>
          </w:tcPr>
          <w:p w14:paraId="2E92DB50"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single" w:sz="4" w:space="0" w:color="auto"/>
              <w:right w:val="single" w:sz="4" w:space="0" w:color="auto"/>
            </w:tcBorders>
            <w:noWrap/>
            <w:vAlign w:val="bottom"/>
            <w:hideMark/>
          </w:tcPr>
          <w:p w14:paraId="52F46587" w14:textId="77777777" w:rsidR="00204905" w:rsidRPr="00BE11D7" w:rsidRDefault="00204905" w:rsidP="00954C07">
            <w:pPr>
              <w:rPr>
                <w:color w:val="000000"/>
              </w:rPr>
            </w:pPr>
            <w:r w:rsidRPr="00BE11D7">
              <w:rPr>
                <w:color w:val="000000"/>
              </w:rPr>
              <w:t xml:space="preserve"> $           -   </w:t>
            </w:r>
          </w:p>
        </w:tc>
      </w:tr>
      <w:tr w:rsidR="00204905" w:rsidRPr="00BE11D7" w14:paraId="3C3845CA"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49ED08CB" w14:textId="77777777" w:rsidR="00204905" w:rsidRPr="00BE11D7" w:rsidRDefault="00204905" w:rsidP="00954C07">
            <w:pPr>
              <w:rPr>
                <w:color w:val="000000"/>
              </w:rPr>
            </w:pPr>
            <w:r w:rsidRPr="00BE11D7">
              <w:rPr>
                <w:color w:val="000000"/>
              </w:rPr>
              <w:t>EIM1Load</w:t>
            </w:r>
          </w:p>
        </w:tc>
        <w:tc>
          <w:tcPr>
            <w:tcW w:w="830" w:type="dxa"/>
            <w:tcBorders>
              <w:top w:val="nil"/>
              <w:left w:val="nil"/>
              <w:bottom w:val="single" w:sz="4" w:space="0" w:color="auto"/>
              <w:right w:val="single" w:sz="4" w:space="0" w:color="auto"/>
            </w:tcBorders>
            <w:noWrap/>
            <w:vAlign w:val="bottom"/>
            <w:hideMark/>
          </w:tcPr>
          <w:p w14:paraId="2577201A" w14:textId="77777777" w:rsidR="00204905" w:rsidRPr="00BE11D7" w:rsidRDefault="00204905" w:rsidP="00954C07">
            <w:pPr>
              <w:jc w:val="right"/>
              <w:rPr>
                <w:color w:val="000000"/>
              </w:rPr>
            </w:pPr>
            <w:r w:rsidRPr="00BE11D7">
              <w:rPr>
                <w:color w:val="000000"/>
              </w:rPr>
              <w:t>-50</w:t>
            </w:r>
          </w:p>
        </w:tc>
        <w:tc>
          <w:tcPr>
            <w:tcW w:w="1620" w:type="dxa"/>
            <w:tcBorders>
              <w:top w:val="nil"/>
              <w:left w:val="nil"/>
              <w:bottom w:val="single" w:sz="4" w:space="0" w:color="auto"/>
              <w:right w:val="single" w:sz="4" w:space="0" w:color="auto"/>
            </w:tcBorders>
            <w:noWrap/>
            <w:vAlign w:val="bottom"/>
            <w:hideMark/>
          </w:tcPr>
          <w:p w14:paraId="66173C71" w14:textId="77777777" w:rsidR="00204905" w:rsidRPr="00BE11D7" w:rsidRDefault="00204905" w:rsidP="00954C07">
            <w:pPr>
              <w:rPr>
                <w:color w:val="000000"/>
              </w:rPr>
            </w:pPr>
            <w:r w:rsidRPr="00BE11D7">
              <w:rPr>
                <w:color w:val="000000"/>
              </w:rPr>
              <w:t>$         (0.005)</w:t>
            </w:r>
          </w:p>
        </w:tc>
        <w:tc>
          <w:tcPr>
            <w:tcW w:w="1440" w:type="dxa"/>
            <w:tcBorders>
              <w:top w:val="nil"/>
              <w:left w:val="nil"/>
              <w:bottom w:val="single" w:sz="4" w:space="0" w:color="auto"/>
              <w:right w:val="single" w:sz="4" w:space="0" w:color="auto"/>
            </w:tcBorders>
            <w:noWrap/>
            <w:vAlign w:val="bottom"/>
            <w:hideMark/>
          </w:tcPr>
          <w:p w14:paraId="2476A154" w14:textId="77777777" w:rsidR="00204905" w:rsidRPr="00BE11D7" w:rsidRDefault="00204905" w:rsidP="00954C07">
            <w:pPr>
              <w:rPr>
                <w:color w:val="000000"/>
              </w:rPr>
            </w:pPr>
            <w:r w:rsidRPr="00BE11D7">
              <w:rPr>
                <w:color w:val="000000"/>
              </w:rPr>
              <w:t xml:space="preserve"> $    0.25 </w:t>
            </w:r>
          </w:p>
        </w:tc>
        <w:tc>
          <w:tcPr>
            <w:tcW w:w="1800" w:type="dxa"/>
            <w:tcBorders>
              <w:top w:val="nil"/>
              <w:left w:val="nil"/>
              <w:bottom w:val="single" w:sz="4" w:space="0" w:color="auto"/>
              <w:right w:val="single" w:sz="4" w:space="0" w:color="auto"/>
            </w:tcBorders>
            <w:noWrap/>
            <w:vAlign w:val="bottom"/>
            <w:hideMark/>
          </w:tcPr>
          <w:p w14:paraId="7617EB07" w14:textId="77777777" w:rsidR="00204905" w:rsidRPr="00BE11D7" w:rsidRDefault="00204905" w:rsidP="00954C07">
            <w:pPr>
              <w:rPr>
                <w:color w:val="000000"/>
              </w:rPr>
            </w:pPr>
            <w:r w:rsidRPr="00BE11D7">
              <w:rPr>
                <w:color w:val="000000"/>
              </w:rPr>
              <w:t>$         (15.005)</w:t>
            </w:r>
          </w:p>
        </w:tc>
        <w:tc>
          <w:tcPr>
            <w:tcW w:w="1321" w:type="dxa"/>
            <w:tcBorders>
              <w:top w:val="nil"/>
              <w:left w:val="nil"/>
              <w:bottom w:val="single" w:sz="4" w:space="0" w:color="auto"/>
              <w:right w:val="single" w:sz="4" w:space="0" w:color="auto"/>
            </w:tcBorders>
            <w:noWrap/>
            <w:vAlign w:val="bottom"/>
            <w:hideMark/>
          </w:tcPr>
          <w:p w14:paraId="0EA071BE" w14:textId="77777777" w:rsidR="00204905" w:rsidRPr="00BE11D7" w:rsidRDefault="00204905" w:rsidP="00954C07">
            <w:pPr>
              <w:rPr>
                <w:color w:val="000000"/>
              </w:rPr>
            </w:pPr>
            <w:r w:rsidRPr="00BE11D7">
              <w:rPr>
                <w:color w:val="000000"/>
              </w:rPr>
              <w:t>$    750.25</w:t>
            </w:r>
          </w:p>
        </w:tc>
      </w:tr>
      <w:tr w:rsidR="00204905" w:rsidRPr="00BE11D7" w14:paraId="689C962F" w14:textId="77777777" w:rsidTr="00954C07">
        <w:trPr>
          <w:trHeight w:val="300"/>
        </w:trPr>
        <w:tc>
          <w:tcPr>
            <w:tcW w:w="2140" w:type="dxa"/>
            <w:tcBorders>
              <w:top w:val="nil"/>
              <w:left w:val="single" w:sz="4" w:space="0" w:color="auto"/>
              <w:bottom w:val="nil"/>
              <w:right w:val="single" w:sz="4" w:space="0" w:color="auto"/>
            </w:tcBorders>
            <w:noWrap/>
            <w:vAlign w:val="bottom"/>
            <w:hideMark/>
          </w:tcPr>
          <w:p w14:paraId="55DA1FF6" w14:textId="77777777" w:rsidR="00204905" w:rsidRPr="00BE11D7" w:rsidRDefault="00204905" w:rsidP="00954C07">
            <w:pPr>
              <w:rPr>
                <w:color w:val="000000"/>
              </w:rPr>
            </w:pPr>
            <w:r w:rsidRPr="00BE11D7">
              <w:rPr>
                <w:color w:val="000000"/>
              </w:rPr>
              <w:t>CISOLoad</w:t>
            </w:r>
          </w:p>
        </w:tc>
        <w:tc>
          <w:tcPr>
            <w:tcW w:w="830" w:type="dxa"/>
            <w:tcBorders>
              <w:top w:val="nil"/>
              <w:left w:val="nil"/>
              <w:bottom w:val="nil"/>
              <w:right w:val="single" w:sz="4" w:space="0" w:color="auto"/>
            </w:tcBorders>
            <w:noWrap/>
            <w:vAlign w:val="bottom"/>
            <w:hideMark/>
          </w:tcPr>
          <w:p w14:paraId="2C090872" w14:textId="77777777" w:rsidR="00204905" w:rsidRPr="00BE11D7" w:rsidRDefault="00204905" w:rsidP="00954C07">
            <w:pPr>
              <w:jc w:val="right"/>
              <w:rPr>
                <w:color w:val="000000"/>
              </w:rPr>
            </w:pPr>
            <w:r w:rsidRPr="00BE11D7">
              <w:rPr>
                <w:color w:val="000000"/>
              </w:rPr>
              <w:t>-200</w:t>
            </w:r>
          </w:p>
        </w:tc>
        <w:tc>
          <w:tcPr>
            <w:tcW w:w="1620" w:type="dxa"/>
            <w:tcBorders>
              <w:top w:val="nil"/>
              <w:left w:val="nil"/>
              <w:bottom w:val="nil"/>
              <w:right w:val="single" w:sz="4" w:space="0" w:color="auto"/>
            </w:tcBorders>
            <w:noWrap/>
            <w:vAlign w:val="bottom"/>
            <w:hideMark/>
          </w:tcPr>
          <w:p w14:paraId="7195BC5A" w14:textId="77777777" w:rsidR="00204905" w:rsidRPr="00BE11D7" w:rsidRDefault="00204905" w:rsidP="00954C07">
            <w:pPr>
              <w:rPr>
                <w:color w:val="000000"/>
              </w:rPr>
            </w:pPr>
            <w:r w:rsidRPr="00BE11D7">
              <w:rPr>
                <w:color w:val="000000"/>
              </w:rPr>
              <w:t xml:space="preserve"> $                -   </w:t>
            </w:r>
          </w:p>
        </w:tc>
        <w:tc>
          <w:tcPr>
            <w:tcW w:w="1440" w:type="dxa"/>
            <w:tcBorders>
              <w:top w:val="nil"/>
              <w:left w:val="nil"/>
              <w:bottom w:val="nil"/>
              <w:right w:val="single" w:sz="4" w:space="0" w:color="auto"/>
            </w:tcBorders>
            <w:noWrap/>
            <w:vAlign w:val="bottom"/>
            <w:hideMark/>
          </w:tcPr>
          <w:p w14:paraId="1867B8B7" w14:textId="77777777" w:rsidR="00204905" w:rsidRPr="00BE11D7" w:rsidRDefault="00204905" w:rsidP="00954C07">
            <w:pPr>
              <w:rPr>
                <w:color w:val="000000"/>
              </w:rPr>
            </w:pPr>
            <w:r w:rsidRPr="00BE11D7">
              <w:rPr>
                <w:color w:val="000000"/>
              </w:rPr>
              <w:t xml:space="preserve"> $           -   </w:t>
            </w:r>
          </w:p>
        </w:tc>
        <w:tc>
          <w:tcPr>
            <w:tcW w:w="1800" w:type="dxa"/>
            <w:tcBorders>
              <w:top w:val="nil"/>
              <w:left w:val="nil"/>
              <w:bottom w:val="nil"/>
              <w:right w:val="single" w:sz="4" w:space="0" w:color="auto"/>
            </w:tcBorders>
            <w:noWrap/>
            <w:vAlign w:val="bottom"/>
            <w:hideMark/>
          </w:tcPr>
          <w:p w14:paraId="5E260D3C" w14:textId="77777777" w:rsidR="00204905" w:rsidRPr="00BE11D7" w:rsidRDefault="00204905" w:rsidP="00954C07">
            <w:pPr>
              <w:rPr>
                <w:color w:val="000000"/>
              </w:rPr>
            </w:pPr>
            <w:r w:rsidRPr="00BE11D7">
              <w:rPr>
                <w:color w:val="000000"/>
              </w:rPr>
              <w:t xml:space="preserve"> $                     -   </w:t>
            </w:r>
          </w:p>
        </w:tc>
        <w:tc>
          <w:tcPr>
            <w:tcW w:w="1321" w:type="dxa"/>
            <w:tcBorders>
              <w:top w:val="nil"/>
              <w:left w:val="nil"/>
              <w:bottom w:val="nil"/>
              <w:right w:val="single" w:sz="4" w:space="0" w:color="auto"/>
            </w:tcBorders>
            <w:noWrap/>
            <w:vAlign w:val="bottom"/>
            <w:hideMark/>
          </w:tcPr>
          <w:p w14:paraId="74D69EF2" w14:textId="77777777" w:rsidR="00204905" w:rsidRPr="00BE11D7" w:rsidRDefault="00204905" w:rsidP="00954C07">
            <w:pPr>
              <w:rPr>
                <w:color w:val="000000"/>
              </w:rPr>
            </w:pPr>
            <w:r w:rsidRPr="00BE11D7">
              <w:rPr>
                <w:color w:val="000000"/>
              </w:rPr>
              <w:t xml:space="preserve"> $           -   </w:t>
            </w:r>
          </w:p>
        </w:tc>
      </w:tr>
      <w:tr w:rsidR="00204905" w:rsidRPr="00BE11D7" w14:paraId="2114767A" w14:textId="77777777" w:rsidTr="00954C07">
        <w:trPr>
          <w:trHeight w:val="300"/>
        </w:trPr>
        <w:tc>
          <w:tcPr>
            <w:tcW w:w="2140" w:type="dxa"/>
            <w:tcBorders>
              <w:top w:val="single" w:sz="4" w:space="0" w:color="auto"/>
              <w:left w:val="single" w:sz="4" w:space="0" w:color="auto"/>
              <w:bottom w:val="nil"/>
              <w:right w:val="single" w:sz="4" w:space="0" w:color="auto"/>
            </w:tcBorders>
            <w:noWrap/>
            <w:vAlign w:val="bottom"/>
            <w:hideMark/>
          </w:tcPr>
          <w:p w14:paraId="5A3A750B" w14:textId="77777777" w:rsidR="00204905" w:rsidRPr="00BE11D7" w:rsidRDefault="00204905" w:rsidP="00954C07">
            <w:pPr>
              <w:rPr>
                <w:color w:val="000000"/>
              </w:rPr>
            </w:pPr>
            <w:r w:rsidRPr="00BE11D7">
              <w:rPr>
                <w:color w:val="000000"/>
              </w:rPr>
              <w:t>CC 67740</w:t>
            </w:r>
          </w:p>
        </w:tc>
        <w:tc>
          <w:tcPr>
            <w:tcW w:w="830" w:type="dxa"/>
            <w:tcBorders>
              <w:top w:val="single" w:sz="4" w:space="0" w:color="auto"/>
              <w:left w:val="nil"/>
              <w:bottom w:val="nil"/>
              <w:right w:val="single" w:sz="4" w:space="0" w:color="auto"/>
            </w:tcBorders>
            <w:noWrap/>
            <w:vAlign w:val="bottom"/>
            <w:hideMark/>
          </w:tcPr>
          <w:p w14:paraId="0FA91D63" w14:textId="77777777" w:rsidR="00204905" w:rsidRPr="00BE11D7" w:rsidRDefault="00204905" w:rsidP="00954C07">
            <w:pPr>
              <w:rPr>
                <w:color w:val="000000"/>
              </w:rPr>
            </w:pPr>
            <w:r w:rsidRPr="00BE11D7">
              <w:rPr>
                <w:color w:val="000000"/>
              </w:rPr>
              <w:t> </w:t>
            </w:r>
          </w:p>
        </w:tc>
        <w:tc>
          <w:tcPr>
            <w:tcW w:w="1620" w:type="dxa"/>
            <w:tcBorders>
              <w:top w:val="single" w:sz="4" w:space="0" w:color="auto"/>
              <w:left w:val="nil"/>
              <w:bottom w:val="nil"/>
              <w:right w:val="single" w:sz="4" w:space="0" w:color="auto"/>
            </w:tcBorders>
            <w:noWrap/>
            <w:vAlign w:val="bottom"/>
            <w:hideMark/>
          </w:tcPr>
          <w:p w14:paraId="65D91224" w14:textId="77777777" w:rsidR="00204905" w:rsidRPr="00BE11D7" w:rsidRDefault="00204905" w:rsidP="00954C07">
            <w:pPr>
              <w:rPr>
                <w:color w:val="000000"/>
              </w:rPr>
            </w:pPr>
            <w:r w:rsidRPr="00BE11D7">
              <w:rPr>
                <w:color w:val="000000"/>
              </w:rPr>
              <w:t> </w:t>
            </w:r>
          </w:p>
        </w:tc>
        <w:tc>
          <w:tcPr>
            <w:tcW w:w="1440" w:type="dxa"/>
            <w:tcBorders>
              <w:top w:val="single" w:sz="4" w:space="0" w:color="auto"/>
              <w:left w:val="nil"/>
              <w:bottom w:val="nil"/>
              <w:right w:val="single" w:sz="4" w:space="0" w:color="auto"/>
            </w:tcBorders>
            <w:noWrap/>
            <w:vAlign w:val="bottom"/>
            <w:hideMark/>
          </w:tcPr>
          <w:p w14:paraId="5399CB3D" w14:textId="77777777" w:rsidR="00204905" w:rsidRPr="00BE11D7" w:rsidRDefault="00204905" w:rsidP="00954C07">
            <w:pPr>
              <w:rPr>
                <w:color w:val="000000"/>
              </w:rPr>
            </w:pPr>
            <w:r w:rsidRPr="00BE11D7">
              <w:rPr>
                <w:color w:val="000000"/>
              </w:rPr>
              <w:t xml:space="preserve"> $   (0.50)</w:t>
            </w:r>
          </w:p>
        </w:tc>
        <w:tc>
          <w:tcPr>
            <w:tcW w:w="1800" w:type="dxa"/>
            <w:tcBorders>
              <w:top w:val="single" w:sz="4" w:space="0" w:color="auto"/>
              <w:left w:val="nil"/>
              <w:bottom w:val="nil"/>
              <w:right w:val="single" w:sz="4" w:space="0" w:color="auto"/>
            </w:tcBorders>
            <w:noWrap/>
            <w:vAlign w:val="bottom"/>
            <w:hideMark/>
          </w:tcPr>
          <w:p w14:paraId="4E16CD09" w14:textId="77777777" w:rsidR="00204905" w:rsidRPr="00BE11D7" w:rsidRDefault="00204905" w:rsidP="00954C07">
            <w:pPr>
              <w:rPr>
                <w:color w:val="000000"/>
              </w:rPr>
            </w:pPr>
            <w:r w:rsidRPr="00BE11D7">
              <w:rPr>
                <w:color w:val="000000"/>
              </w:rPr>
              <w:t> </w:t>
            </w:r>
          </w:p>
        </w:tc>
        <w:tc>
          <w:tcPr>
            <w:tcW w:w="1321" w:type="dxa"/>
            <w:tcBorders>
              <w:top w:val="single" w:sz="4" w:space="0" w:color="auto"/>
              <w:left w:val="nil"/>
              <w:bottom w:val="nil"/>
              <w:right w:val="single" w:sz="4" w:space="0" w:color="auto"/>
            </w:tcBorders>
            <w:noWrap/>
            <w:vAlign w:val="bottom"/>
            <w:hideMark/>
          </w:tcPr>
          <w:p w14:paraId="5BC49EFF" w14:textId="77777777" w:rsidR="00204905" w:rsidRPr="00BE11D7" w:rsidRDefault="00204905" w:rsidP="00954C07">
            <w:pPr>
              <w:rPr>
                <w:color w:val="000000"/>
              </w:rPr>
            </w:pPr>
            <w:r w:rsidRPr="00BE11D7">
              <w:rPr>
                <w:color w:val="000000"/>
              </w:rPr>
              <w:t> </w:t>
            </w:r>
          </w:p>
        </w:tc>
      </w:tr>
      <w:tr w:rsidR="00204905" w:rsidRPr="00BE11D7" w14:paraId="282D8B6A" w14:textId="77777777" w:rsidTr="00954C07">
        <w:trPr>
          <w:trHeight w:val="300"/>
        </w:trPr>
        <w:tc>
          <w:tcPr>
            <w:tcW w:w="2140" w:type="dxa"/>
            <w:tcBorders>
              <w:top w:val="nil"/>
              <w:left w:val="single" w:sz="4" w:space="0" w:color="auto"/>
              <w:bottom w:val="single" w:sz="4" w:space="0" w:color="auto"/>
              <w:right w:val="single" w:sz="4" w:space="0" w:color="auto"/>
            </w:tcBorders>
            <w:noWrap/>
            <w:vAlign w:val="bottom"/>
            <w:hideMark/>
          </w:tcPr>
          <w:p w14:paraId="2911F7FE" w14:textId="77777777" w:rsidR="00204905" w:rsidRPr="00BE11D7" w:rsidRDefault="00204905" w:rsidP="00954C07">
            <w:pPr>
              <w:rPr>
                <w:color w:val="000000"/>
              </w:rPr>
            </w:pPr>
            <w:r w:rsidRPr="00BE11D7">
              <w:rPr>
                <w:color w:val="000000"/>
              </w:rPr>
              <w:t>CC 6774</w:t>
            </w:r>
          </w:p>
        </w:tc>
        <w:tc>
          <w:tcPr>
            <w:tcW w:w="830" w:type="dxa"/>
            <w:tcBorders>
              <w:top w:val="nil"/>
              <w:left w:val="nil"/>
              <w:bottom w:val="single" w:sz="4" w:space="0" w:color="auto"/>
              <w:right w:val="single" w:sz="4" w:space="0" w:color="auto"/>
            </w:tcBorders>
            <w:noWrap/>
            <w:vAlign w:val="bottom"/>
            <w:hideMark/>
          </w:tcPr>
          <w:p w14:paraId="3163A4AA" w14:textId="77777777" w:rsidR="00204905" w:rsidRPr="00BE11D7" w:rsidRDefault="00204905" w:rsidP="00954C07">
            <w:pPr>
              <w:rPr>
                <w:color w:val="000000"/>
              </w:rPr>
            </w:pPr>
            <w:r w:rsidRPr="00BE11D7">
              <w:rPr>
                <w:color w:val="000000"/>
              </w:rPr>
              <w:t> </w:t>
            </w:r>
          </w:p>
        </w:tc>
        <w:tc>
          <w:tcPr>
            <w:tcW w:w="1620" w:type="dxa"/>
            <w:tcBorders>
              <w:top w:val="nil"/>
              <w:left w:val="nil"/>
              <w:bottom w:val="single" w:sz="4" w:space="0" w:color="auto"/>
              <w:right w:val="single" w:sz="4" w:space="0" w:color="auto"/>
            </w:tcBorders>
            <w:noWrap/>
            <w:vAlign w:val="bottom"/>
            <w:hideMark/>
          </w:tcPr>
          <w:p w14:paraId="56B0DBFB" w14:textId="77777777" w:rsidR="00204905" w:rsidRPr="00BE11D7" w:rsidRDefault="00204905" w:rsidP="00954C07">
            <w:pPr>
              <w:rPr>
                <w:color w:val="000000"/>
              </w:rPr>
            </w:pPr>
            <w:r w:rsidRPr="00BE11D7">
              <w:rPr>
                <w:color w:val="000000"/>
              </w:rPr>
              <w:t> </w:t>
            </w:r>
          </w:p>
        </w:tc>
        <w:tc>
          <w:tcPr>
            <w:tcW w:w="1440" w:type="dxa"/>
            <w:tcBorders>
              <w:top w:val="nil"/>
              <w:left w:val="nil"/>
              <w:bottom w:val="single" w:sz="4" w:space="0" w:color="auto"/>
              <w:right w:val="single" w:sz="4" w:space="0" w:color="auto"/>
            </w:tcBorders>
            <w:noWrap/>
            <w:vAlign w:val="bottom"/>
            <w:hideMark/>
          </w:tcPr>
          <w:p w14:paraId="59F41E4C" w14:textId="77777777" w:rsidR="00204905" w:rsidRPr="00BE11D7" w:rsidRDefault="00204905" w:rsidP="00954C07">
            <w:pPr>
              <w:rPr>
                <w:color w:val="000000"/>
              </w:rPr>
            </w:pPr>
            <w:r w:rsidRPr="00BE11D7">
              <w:rPr>
                <w:color w:val="000000"/>
              </w:rPr>
              <w:t> </w:t>
            </w:r>
          </w:p>
        </w:tc>
        <w:tc>
          <w:tcPr>
            <w:tcW w:w="1800" w:type="dxa"/>
            <w:tcBorders>
              <w:top w:val="nil"/>
              <w:left w:val="nil"/>
              <w:bottom w:val="single" w:sz="4" w:space="0" w:color="auto"/>
              <w:right w:val="single" w:sz="4" w:space="0" w:color="auto"/>
            </w:tcBorders>
            <w:noWrap/>
            <w:vAlign w:val="bottom"/>
            <w:hideMark/>
          </w:tcPr>
          <w:p w14:paraId="053B3BF4" w14:textId="77777777" w:rsidR="00204905" w:rsidRPr="00BE11D7" w:rsidRDefault="00204905" w:rsidP="00954C07">
            <w:pPr>
              <w:rPr>
                <w:color w:val="000000"/>
              </w:rPr>
            </w:pPr>
            <w:r w:rsidRPr="00BE11D7">
              <w:rPr>
                <w:color w:val="000000"/>
              </w:rPr>
              <w:t> </w:t>
            </w:r>
          </w:p>
        </w:tc>
        <w:tc>
          <w:tcPr>
            <w:tcW w:w="1321" w:type="dxa"/>
            <w:tcBorders>
              <w:top w:val="nil"/>
              <w:left w:val="nil"/>
              <w:bottom w:val="single" w:sz="4" w:space="0" w:color="auto"/>
              <w:right w:val="single" w:sz="4" w:space="0" w:color="auto"/>
            </w:tcBorders>
            <w:noWrap/>
            <w:vAlign w:val="bottom"/>
            <w:hideMark/>
          </w:tcPr>
          <w:p w14:paraId="4C77BA29" w14:textId="77777777" w:rsidR="00204905" w:rsidRPr="00BE11D7" w:rsidRDefault="00204905" w:rsidP="00954C07">
            <w:pPr>
              <w:rPr>
                <w:color w:val="000000"/>
              </w:rPr>
            </w:pPr>
            <w:r w:rsidRPr="00BE11D7">
              <w:rPr>
                <w:color w:val="000000"/>
              </w:rPr>
              <w:t>$  (1500.50)</w:t>
            </w:r>
          </w:p>
        </w:tc>
      </w:tr>
    </w:tbl>
    <w:p w14:paraId="764A3726" w14:textId="77777777" w:rsidR="004B5C2B" w:rsidRDefault="004B5C2B" w:rsidP="00204905">
      <w:pPr>
        <w:rPr>
          <w:color w:val="000000"/>
          <w:sz w:val="18"/>
        </w:rPr>
      </w:pPr>
    </w:p>
    <w:p w14:paraId="18329E40" w14:textId="77B96AD2" w:rsidR="00204905" w:rsidRPr="00BE11D7" w:rsidRDefault="00204905" w:rsidP="00204905">
      <w:pPr>
        <w:rPr>
          <w:color w:val="000000"/>
          <w:sz w:val="18"/>
        </w:rPr>
      </w:pPr>
      <w:r w:rsidRPr="00BE11D7">
        <w:rPr>
          <w:color w:val="000000"/>
          <w:sz w:val="18"/>
        </w:rPr>
        <w:t>** Sum of the Intertie Scheduling Limit plus product of</w:t>
      </w:r>
      <w:r w:rsidR="005F24C1">
        <w:rPr>
          <w:color w:val="000000"/>
          <w:sz w:val="18"/>
        </w:rPr>
        <w:t xml:space="preserve"> WEIM </w:t>
      </w:r>
      <w:r w:rsidRPr="00BE11D7">
        <w:rPr>
          <w:color w:val="000000"/>
          <w:sz w:val="18"/>
        </w:rPr>
        <w:t>Transfer Costs and the</w:t>
      </w:r>
      <w:r w:rsidR="005F24C1">
        <w:rPr>
          <w:color w:val="000000"/>
          <w:sz w:val="18"/>
        </w:rPr>
        <w:t xml:space="preserve"> WEIM </w:t>
      </w:r>
      <w:r w:rsidRPr="00BE11D7">
        <w:rPr>
          <w:color w:val="000000"/>
          <w:sz w:val="18"/>
        </w:rPr>
        <w:t>Transfer Cost Ratio Share (50/50) plus the product of</w:t>
      </w:r>
      <w:r w:rsidR="005F24C1">
        <w:rPr>
          <w:color w:val="000000"/>
          <w:sz w:val="18"/>
        </w:rPr>
        <w:t xml:space="preserve"> WEIM </w:t>
      </w:r>
      <w:r w:rsidRPr="00BE11D7">
        <w:rPr>
          <w:color w:val="000000"/>
          <w:sz w:val="18"/>
        </w:rPr>
        <w:t>Constraint and the</w:t>
      </w:r>
      <w:r w:rsidR="005F24C1">
        <w:rPr>
          <w:color w:val="000000"/>
          <w:sz w:val="18"/>
        </w:rPr>
        <w:t xml:space="preserve"> WEIM </w:t>
      </w:r>
      <w:r w:rsidRPr="00BE11D7">
        <w:rPr>
          <w:color w:val="000000"/>
          <w:sz w:val="18"/>
        </w:rPr>
        <w:t xml:space="preserve">Transfer Constraint Ratio Share (50/50) </w:t>
      </w:r>
    </w:p>
    <w:p w14:paraId="68EDB106" w14:textId="77777777" w:rsidR="00204905" w:rsidRDefault="00204905" w:rsidP="00204905"/>
    <w:p w14:paraId="01AD20BB" w14:textId="77777777" w:rsidR="00204905" w:rsidRDefault="00204905" w:rsidP="00204905"/>
    <w:p w14:paraId="69CD4879" w14:textId="77777777" w:rsidR="00204905" w:rsidRDefault="00204905" w:rsidP="00204905"/>
    <w:p w14:paraId="0362400D" w14:textId="77777777" w:rsidR="00204905" w:rsidRDefault="00204905" w:rsidP="00204905"/>
    <w:p w14:paraId="6B3FE107" w14:textId="77777777" w:rsidR="00204905" w:rsidRDefault="00204905" w:rsidP="00204905"/>
    <w:p w14:paraId="0CA8AD20" w14:textId="77777777" w:rsidR="00204905" w:rsidRDefault="00204905" w:rsidP="00204905"/>
    <w:p w14:paraId="3E066789" w14:textId="77777777" w:rsidR="00204905" w:rsidRDefault="00204905" w:rsidP="00204905"/>
    <w:p w14:paraId="16BED47B" w14:textId="77777777" w:rsidR="00204905" w:rsidRDefault="00204905" w:rsidP="00204905"/>
    <w:p w14:paraId="31EA20C4" w14:textId="77777777" w:rsidR="00204905" w:rsidRPr="00BE11D7" w:rsidRDefault="00204905" w:rsidP="00204905"/>
    <w:tbl>
      <w:tblPr>
        <w:tblW w:w="8640" w:type="dxa"/>
        <w:tblLook w:val="04A0" w:firstRow="1" w:lastRow="0" w:firstColumn="1" w:lastColumn="0" w:noHBand="0" w:noVBand="1"/>
      </w:tblPr>
      <w:tblGrid>
        <w:gridCol w:w="2610"/>
        <w:gridCol w:w="2520"/>
        <w:gridCol w:w="1800"/>
        <w:gridCol w:w="1710"/>
      </w:tblGrid>
      <w:tr w:rsidR="00204905" w:rsidRPr="00BE11D7" w14:paraId="7188FD96" w14:textId="77777777" w:rsidTr="00954C07">
        <w:trPr>
          <w:trHeight w:val="300"/>
        </w:trPr>
        <w:tc>
          <w:tcPr>
            <w:tcW w:w="2610" w:type="dxa"/>
            <w:tcBorders>
              <w:top w:val="nil"/>
              <w:left w:val="nil"/>
              <w:bottom w:val="nil"/>
              <w:right w:val="nil"/>
            </w:tcBorders>
          </w:tcPr>
          <w:p w14:paraId="7DF7CDE0" w14:textId="77777777" w:rsidR="00204905" w:rsidRPr="00BE11D7" w:rsidRDefault="00204905" w:rsidP="00954C07">
            <w:pPr>
              <w:rPr>
                <w:color w:val="000000"/>
              </w:rPr>
            </w:pPr>
            <w:r>
              <w:rPr>
                <w:color w:val="000000"/>
              </w:rPr>
              <w:lastRenderedPageBreak/>
              <w:t>RTIEO Charge/Payment</w:t>
            </w:r>
          </w:p>
        </w:tc>
        <w:tc>
          <w:tcPr>
            <w:tcW w:w="2520" w:type="dxa"/>
            <w:tcBorders>
              <w:top w:val="nil"/>
              <w:left w:val="nil"/>
              <w:bottom w:val="nil"/>
              <w:right w:val="nil"/>
            </w:tcBorders>
            <w:noWrap/>
            <w:vAlign w:val="bottom"/>
            <w:hideMark/>
          </w:tcPr>
          <w:p w14:paraId="26A1FFF0" w14:textId="77777777" w:rsidR="00204905" w:rsidRPr="00BE11D7" w:rsidRDefault="00204905" w:rsidP="00954C07">
            <w:pPr>
              <w:rPr>
                <w:color w:val="000000"/>
              </w:rPr>
            </w:pPr>
            <w:r w:rsidRPr="00BE11D7">
              <w:rPr>
                <w:color w:val="000000"/>
              </w:rPr>
              <w:t>Charge Code</w:t>
            </w:r>
          </w:p>
        </w:tc>
        <w:tc>
          <w:tcPr>
            <w:tcW w:w="1800" w:type="dxa"/>
            <w:tcBorders>
              <w:top w:val="nil"/>
              <w:left w:val="nil"/>
              <w:bottom w:val="nil"/>
              <w:right w:val="nil"/>
            </w:tcBorders>
            <w:noWrap/>
            <w:vAlign w:val="bottom"/>
            <w:hideMark/>
          </w:tcPr>
          <w:p w14:paraId="2FE473E1" w14:textId="77777777" w:rsidR="00204905" w:rsidRPr="00BE11D7" w:rsidRDefault="00204905" w:rsidP="00954C07">
            <w:pPr>
              <w:rPr>
                <w:color w:val="000000"/>
              </w:rPr>
            </w:pPr>
            <w:r w:rsidRPr="00BE11D7">
              <w:rPr>
                <w:color w:val="000000"/>
              </w:rPr>
              <w:t>EIM1</w:t>
            </w:r>
          </w:p>
        </w:tc>
        <w:tc>
          <w:tcPr>
            <w:tcW w:w="1710" w:type="dxa"/>
            <w:tcBorders>
              <w:top w:val="nil"/>
              <w:left w:val="nil"/>
              <w:bottom w:val="nil"/>
              <w:right w:val="nil"/>
            </w:tcBorders>
            <w:noWrap/>
            <w:vAlign w:val="bottom"/>
            <w:hideMark/>
          </w:tcPr>
          <w:p w14:paraId="6A3E4279" w14:textId="77777777" w:rsidR="00204905" w:rsidRPr="00BE11D7" w:rsidRDefault="00204905" w:rsidP="00954C07">
            <w:pPr>
              <w:rPr>
                <w:color w:val="000000"/>
              </w:rPr>
            </w:pPr>
            <w:r w:rsidRPr="00BE11D7">
              <w:rPr>
                <w:color w:val="000000"/>
              </w:rPr>
              <w:t>CISO</w:t>
            </w:r>
          </w:p>
        </w:tc>
      </w:tr>
      <w:tr w:rsidR="00204905" w:rsidRPr="00BE11D7" w14:paraId="5A75218A" w14:textId="77777777" w:rsidTr="00954C07">
        <w:trPr>
          <w:trHeight w:val="300"/>
        </w:trPr>
        <w:tc>
          <w:tcPr>
            <w:tcW w:w="2610" w:type="dxa"/>
            <w:vMerge w:val="restart"/>
            <w:tcBorders>
              <w:top w:val="single" w:sz="4" w:space="0" w:color="auto"/>
              <w:left w:val="single" w:sz="4" w:space="0" w:color="auto"/>
              <w:right w:val="single" w:sz="4" w:space="0" w:color="auto"/>
            </w:tcBorders>
          </w:tcPr>
          <w:p w14:paraId="2F755755" w14:textId="77777777" w:rsidR="00204905" w:rsidRPr="00BE11D7" w:rsidRDefault="00204905" w:rsidP="00954C07">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43A42AD3" w14:textId="77777777" w:rsidR="00204905" w:rsidRPr="00BE11D7" w:rsidRDefault="00204905" w:rsidP="00954C07">
            <w:pPr>
              <w:rPr>
                <w:color w:val="000000"/>
              </w:rPr>
            </w:pPr>
            <w:r w:rsidRPr="00BE11D7">
              <w:rPr>
                <w:color w:val="000000"/>
              </w:rPr>
              <w:t>CC 64700</w:t>
            </w:r>
          </w:p>
        </w:tc>
        <w:tc>
          <w:tcPr>
            <w:tcW w:w="1800" w:type="dxa"/>
            <w:tcBorders>
              <w:top w:val="single" w:sz="4" w:space="0" w:color="auto"/>
              <w:left w:val="nil"/>
              <w:bottom w:val="single" w:sz="4" w:space="0" w:color="auto"/>
              <w:right w:val="single" w:sz="4" w:space="0" w:color="auto"/>
            </w:tcBorders>
            <w:noWrap/>
            <w:vAlign w:val="bottom"/>
            <w:hideMark/>
          </w:tcPr>
          <w:p w14:paraId="0C0BBD6B" w14:textId="77777777" w:rsidR="00204905" w:rsidRPr="00BE11D7" w:rsidRDefault="00204905" w:rsidP="00954C07">
            <w:pPr>
              <w:rPr>
                <w:color w:val="000000"/>
              </w:rPr>
            </w:pPr>
            <w:r w:rsidRPr="00BE11D7">
              <w:rPr>
                <w:color w:val="000000"/>
              </w:rPr>
              <w:t xml:space="preserve"> $(5,248.50)</w:t>
            </w:r>
          </w:p>
        </w:tc>
        <w:tc>
          <w:tcPr>
            <w:tcW w:w="1710" w:type="dxa"/>
            <w:tcBorders>
              <w:top w:val="single" w:sz="4" w:space="0" w:color="auto"/>
              <w:left w:val="nil"/>
              <w:bottom w:val="single" w:sz="4" w:space="0" w:color="auto"/>
              <w:right w:val="single" w:sz="4" w:space="0" w:color="auto"/>
            </w:tcBorders>
            <w:noWrap/>
            <w:vAlign w:val="bottom"/>
            <w:hideMark/>
          </w:tcPr>
          <w:p w14:paraId="396E6067" w14:textId="77777777" w:rsidR="00204905" w:rsidRPr="00BE11D7" w:rsidRDefault="00204905" w:rsidP="00954C07">
            <w:pPr>
              <w:rPr>
                <w:color w:val="000000"/>
              </w:rPr>
            </w:pPr>
            <w:r w:rsidRPr="00BE11D7">
              <w:rPr>
                <w:color w:val="000000"/>
              </w:rPr>
              <w:t> </w:t>
            </w:r>
          </w:p>
        </w:tc>
      </w:tr>
      <w:tr w:rsidR="00204905" w:rsidRPr="00BE11D7" w14:paraId="51D6B3BE" w14:textId="77777777" w:rsidTr="00954C07">
        <w:trPr>
          <w:trHeight w:val="300"/>
        </w:trPr>
        <w:tc>
          <w:tcPr>
            <w:tcW w:w="2610" w:type="dxa"/>
            <w:vMerge/>
            <w:tcBorders>
              <w:left w:val="single" w:sz="4" w:space="0" w:color="auto"/>
              <w:right w:val="single" w:sz="4" w:space="0" w:color="auto"/>
            </w:tcBorders>
          </w:tcPr>
          <w:p w14:paraId="5A9487F8" w14:textId="77777777" w:rsidR="00204905" w:rsidRPr="00BE11D7" w:rsidRDefault="00204905" w:rsidP="00954C07">
            <w:pPr>
              <w:rPr>
                <w:color w:val="000000"/>
              </w:rPr>
            </w:pPr>
          </w:p>
        </w:tc>
        <w:tc>
          <w:tcPr>
            <w:tcW w:w="2520" w:type="dxa"/>
            <w:tcBorders>
              <w:top w:val="nil"/>
              <w:left w:val="single" w:sz="4" w:space="0" w:color="auto"/>
              <w:bottom w:val="single" w:sz="4" w:space="0" w:color="auto"/>
              <w:right w:val="single" w:sz="4" w:space="0" w:color="auto"/>
            </w:tcBorders>
            <w:noWrap/>
            <w:vAlign w:val="bottom"/>
            <w:hideMark/>
          </w:tcPr>
          <w:p w14:paraId="0F3110F6" w14:textId="77777777" w:rsidR="00204905" w:rsidRPr="00BE11D7" w:rsidRDefault="00204905" w:rsidP="00954C07">
            <w:pPr>
              <w:rPr>
                <w:color w:val="000000"/>
              </w:rPr>
            </w:pPr>
            <w:r w:rsidRPr="00BE11D7">
              <w:rPr>
                <w:color w:val="000000"/>
              </w:rPr>
              <w:t>CC 6470</w:t>
            </w:r>
          </w:p>
        </w:tc>
        <w:tc>
          <w:tcPr>
            <w:tcW w:w="1800" w:type="dxa"/>
            <w:tcBorders>
              <w:top w:val="nil"/>
              <w:left w:val="nil"/>
              <w:bottom w:val="single" w:sz="4" w:space="0" w:color="auto"/>
              <w:right w:val="single" w:sz="4" w:space="0" w:color="auto"/>
            </w:tcBorders>
            <w:noWrap/>
            <w:vAlign w:val="bottom"/>
            <w:hideMark/>
          </w:tcPr>
          <w:p w14:paraId="68645501" w14:textId="77777777" w:rsidR="00204905" w:rsidRPr="00BE11D7" w:rsidRDefault="00204905" w:rsidP="00954C07">
            <w:pPr>
              <w:rPr>
                <w:color w:val="000000"/>
              </w:rPr>
            </w:pPr>
            <w:r w:rsidRPr="00BE11D7">
              <w:rPr>
                <w:color w:val="000000"/>
              </w:rPr>
              <w:t> </w:t>
            </w:r>
          </w:p>
        </w:tc>
        <w:tc>
          <w:tcPr>
            <w:tcW w:w="1710" w:type="dxa"/>
            <w:tcBorders>
              <w:top w:val="nil"/>
              <w:left w:val="nil"/>
              <w:bottom w:val="single" w:sz="4" w:space="0" w:color="auto"/>
              <w:right w:val="single" w:sz="4" w:space="0" w:color="auto"/>
            </w:tcBorders>
            <w:noWrap/>
            <w:vAlign w:val="bottom"/>
            <w:hideMark/>
          </w:tcPr>
          <w:p w14:paraId="6C1DE492" w14:textId="77777777" w:rsidR="00204905" w:rsidRPr="00BE11D7" w:rsidRDefault="00204905" w:rsidP="00954C07">
            <w:pPr>
              <w:rPr>
                <w:color w:val="000000"/>
              </w:rPr>
            </w:pPr>
            <w:r w:rsidRPr="00BE11D7">
              <w:rPr>
                <w:color w:val="000000"/>
              </w:rPr>
              <w:t xml:space="preserve"> $      (5,000.00)</w:t>
            </w:r>
          </w:p>
        </w:tc>
      </w:tr>
      <w:tr w:rsidR="00204905" w:rsidRPr="00BE11D7" w14:paraId="1B05C484" w14:textId="77777777" w:rsidTr="00954C07">
        <w:trPr>
          <w:trHeight w:val="300"/>
        </w:trPr>
        <w:tc>
          <w:tcPr>
            <w:tcW w:w="2610" w:type="dxa"/>
            <w:vMerge/>
            <w:tcBorders>
              <w:left w:val="single" w:sz="4" w:space="0" w:color="auto"/>
              <w:right w:val="single" w:sz="4" w:space="0" w:color="auto"/>
            </w:tcBorders>
          </w:tcPr>
          <w:p w14:paraId="34BA5FDC" w14:textId="77777777" w:rsidR="00204905" w:rsidRPr="00BE11D7" w:rsidRDefault="00204905" w:rsidP="00954C07">
            <w:pPr>
              <w:rPr>
                <w:color w:val="000000"/>
              </w:rPr>
            </w:pPr>
          </w:p>
        </w:tc>
        <w:tc>
          <w:tcPr>
            <w:tcW w:w="2520" w:type="dxa"/>
            <w:tcBorders>
              <w:top w:val="nil"/>
              <w:left w:val="single" w:sz="4" w:space="0" w:color="auto"/>
              <w:bottom w:val="single" w:sz="4" w:space="0" w:color="auto"/>
              <w:right w:val="single" w:sz="4" w:space="0" w:color="auto"/>
            </w:tcBorders>
            <w:noWrap/>
            <w:vAlign w:val="bottom"/>
            <w:hideMark/>
          </w:tcPr>
          <w:p w14:paraId="6CFC3A9C" w14:textId="77777777" w:rsidR="00204905" w:rsidRPr="00BE11D7" w:rsidRDefault="00204905" w:rsidP="00954C07">
            <w:pPr>
              <w:rPr>
                <w:color w:val="000000"/>
              </w:rPr>
            </w:pPr>
            <w:r w:rsidRPr="00BE11D7">
              <w:rPr>
                <w:color w:val="000000"/>
              </w:rPr>
              <w:t>CC 64750</w:t>
            </w:r>
          </w:p>
        </w:tc>
        <w:tc>
          <w:tcPr>
            <w:tcW w:w="1800" w:type="dxa"/>
            <w:tcBorders>
              <w:top w:val="nil"/>
              <w:left w:val="nil"/>
              <w:bottom w:val="single" w:sz="4" w:space="0" w:color="auto"/>
              <w:right w:val="single" w:sz="4" w:space="0" w:color="auto"/>
            </w:tcBorders>
            <w:noWrap/>
            <w:vAlign w:val="bottom"/>
            <w:hideMark/>
          </w:tcPr>
          <w:p w14:paraId="23615BA6" w14:textId="77777777" w:rsidR="00204905" w:rsidRPr="00BE11D7" w:rsidRDefault="00204905" w:rsidP="00954C07">
            <w:pPr>
              <w:rPr>
                <w:color w:val="000000"/>
              </w:rPr>
            </w:pPr>
            <w:r w:rsidRPr="00BE11D7">
              <w:rPr>
                <w:color w:val="000000"/>
              </w:rPr>
              <w:t xml:space="preserve"> $  1,749.50 </w:t>
            </w:r>
          </w:p>
        </w:tc>
        <w:tc>
          <w:tcPr>
            <w:tcW w:w="1710" w:type="dxa"/>
            <w:tcBorders>
              <w:top w:val="nil"/>
              <w:left w:val="nil"/>
              <w:bottom w:val="single" w:sz="4" w:space="0" w:color="auto"/>
              <w:right w:val="single" w:sz="4" w:space="0" w:color="auto"/>
            </w:tcBorders>
            <w:noWrap/>
            <w:vAlign w:val="bottom"/>
            <w:hideMark/>
          </w:tcPr>
          <w:p w14:paraId="6905B536" w14:textId="77777777" w:rsidR="00204905" w:rsidRPr="00BE11D7" w:rsidRDefault="00204905" w:rsidP="00954C07">
            <w:pPr>
              <w:rPr>
                <w:color w:val="000000"/>
              </w:rPr>
            </w:pPr>
            <w:r w:rsidRPr="00BE11D7">
              <w:rPr>
                <w:color w:val="000000"/>
              </w:rPr>
              <w:t> </w:t>
            </w:r>
          </w:p>
        </w:tc>
      </w:tr>
      <w:tr w:rsidR="00204905" w:rsidRPr="00BE11D7" w14:paraId="397B1F50" w14:textId="77777777" w:rsidTr="00954C07">
        <w:trPr>
          <w:trHeight w:val="300"/>
        </w:trPr>
        <w:tc>
          <w:tcPr>
            <w:tcW w:w="2610" w:type="dxa"/>
            <w:vMerge/>
            <w:tcBorders>
              <w:left w:val="single" w:sz="4" w:space="0" w:color="auto"/>
              <w:right w:val="single" w:sz="4" w:space="0" w:color="auto"/>
            </w:tcBorders>
          </w:tcPr>
          <w:p w14:paraId="4750C502" w14:textId="77777777" w:rsidR="00204905" w:rsidRPr="00BE11D7" w:rsidRDefault="00204905" w:rsidP="00954C07">
            <w:pPr>
              <w:rPr>
                <w:color w:val="000000"/>
              </w:rPr>
            </w:pPr>
          </w:p>
        </w:tc>
        <w:tc>
          <w:tcPr>
            <w:tcW w:w="2520" w:type="dxa"/>
            <w:tcBorders>
              <w:top w:val="nil"/>
              <w:left w:val="single" w:sz="4" w:space="0" w:color="auto"/>
              <w:bottom w:val="single" w:sz="4" w:space="0" w:color="auto"/>
              <w:right w:val="single" w:sz="4" w:space="0" w:color="auto"/>
            </w:tcBorders>
            <w:noWrap/>
            <w:vAlign w:val="bottom"/>
            <w:hideMark/>
          </w:tcPr>
          <w:p w14:paraId="00A2BB64" w14:textId="77777777" w:rsidR="00204905" w:rsidRPr="00BE11D7" w:rsidRDefault="00204905" w:rsidP="00954C07">
            <w:pPr>
              <w:rPr>
                <w:color w:val="000000"/>
              </w:rPr>
            </w:pPr>
            <w:r w:rsidRPr="00BE11D7">
              <w:rPr>
                <w:color w:val="000000"/>
              </w:rPr>
              <w:t>CC 6475</w:t>
            </w:r>
          </w:p>
        </w:tc>
        <w:tc>
          <w:tcPr>
            <w:tcW w:w="1800" w:type="dxa"/>
            <w:tcBorders>
              <w:top w:val="nil"/>
              <w:left w:val="nil"/>
              <w:bottom w:val="single" w:sz="4" w:space="0" w:color="auto"/>
              <w:right w:val="single" w:sz="4" w:space="0" w:color="auto"/>
            </w:tcBorders>
            <w:noWrap/>
            <w:vAlign w:val="bottom"/>
            <w:hideMark/>
          </w:tcPr>
          <w:p w14:paraId="7DFBA0C0" w14:textId="77777777" w:rsidR="00204905" w:rsidRPr="00BE11D7" w:rsidRDefault="00204905" w:rsidP="00954C07">
            <w:pPr>
              <w:rPr>
                <w:color w:val="000000"/>
              </w:rPr>
            </w:pPr>
            <w:r w:rsidRPr="00BE11D7">
              <w:rPr>
                <w:color w:val="000000"/>
              </w:rPr>
              <w:t> </w:t>
            </w:r>
          </w:p>
        </w:tc>
        <w:tc>
          <w:tcPr>
            <w:tcW w:w="1710" w:type="dxa"/>
            <w:tcBorders>
              <w:top w:val="nil"/>
              <w:left w:val="nil"/>
              <w:bottom w:val="single" w:sz="4" w:space="0" w:color="auto"/>
              <w:right w:val="single" w:sz="4" w:space="0" w:color="auto"/>
            </w:tcBorders>
            <w:noWrap/>
            <w:vAlign w:val="bottom"/>
            <w:hideMark/>
          </w:tcPr>
          <w:p w14:paraId="3952D326" w14:textId="77777777" w:rsidR="00204905" w:rsidRPr="00BE11D7" w:rsidRDefault="00204905" w:rsidP="00954C07">
            <w:pPr>
              <w:rPr>
                <w:color w:val="000000"/>
              </w:rPr>
            </w:pPr>
            <w:r w:rsidRPr="00BE11D7">
              <w:rPr>
                <w:color w:val="000000"/>
              </w:rPr>
              <w:t xml:space="preserve"> $     10,000.00 </w:t>
            </w:r>
          </w:p>
        </w:tc>
      </w:tr>
      <w:tr w:rsidR="00204905" w:rsidRPr="00BE11D7" w14:paraId="67B195E5" w14:textId="77777777" w:rsidTr="00954C07">
        <w:trPr>
          <w:trHeight w:val="300"/>
        </w:trPr>
        <w:tc>
          <w:tcPr>
            <w:tcW w:w="2610" w:type="dxa"/>
            <w:vMerge/>
            <w:tcBorders>
              <w:left w:val="single" w:sz="4" w:space="0" w:color="auto"/>
              <w:right w:val="single" w:sz="4" w:space="0" w:color="auto"/>
            </w:tcBorders>
          </w:tcPr>
          <w:p w14:paraId="436D16FB" w14:textId="77777777" w:rsidR="00204905" w:rsidRPr="00BE11D7" w:rsidRDefault="00204905" w:rsidP="00954C07">
            <w:pPr>
              <w:rPr>
                <w:color w:val="000000"/>
              </w:rPr>
            </w:pPr>
          </w:p>
        </w:tc>
        <w:tc>
          <w:tcPr>
            <w:tcW w:w="2520" w:type="dxa"/>
            <w:tcBorders>
              <w:top w:val="nil"/>
              <w:left w:val="single" w:sz="4" w:space="0" w:color="auto"/>
              <w:bottom w:val="nil"/>
              <w:right w:val="single" w:sz="4" w:space="0" w:color="auto"/>
            </w:tcBorders>
            <w:noWrap/>
            <w:vAlign w:val="bottom"/>
            <w:hideMark/>
          </w:tcPr>
          <w:p w14:paraId="4B1769A2" w14:textId="77777777" w:rsidR="00204905" w:rsidRPr="00BE11D7" w:rsidRDefault="00204905" w:rsidP="00954C07">
            <w:pPr>
              <w:rPr>
                <w:color w:val="000000"/>
              </w:rPr>
            </w:pPr>
            <w:r w:rsidRPr="00BE11D7">
              <w:rPr>
                <w:color w:val="000000"/>
              </w:rPr>
              <w:t>EIM Financial Value***</w:t>
            </w:r>
          </w:p>
        </w:tc>
        <w:tc>
          <w:tcPr>
            <w:tcW w:w="1800" w:type="dxa"/>
            <w:tcBorders>
              <w:top w:val="nil"/>
              <w:left w:val="nil"/>
              <w:bottom w:val="single" w:sz="4" w:space="0" w:color="auto"/>
              <w:right w:val="single" w:sz="4" w:space="0" w:color="auto"/>
            </w:tcBorders>
            <w:noWrap/>
            <w:vAlign w:val="bottom"/>
            <w:hideMark/>
          </w:tcPr>
          <w:p w14:paraId="5C3C4C82" w14:textId="77777777" w:rsidR="00204905" w:rsidRPr="00BE11D7" w:rsidRDefault="00204905" w:rsidP="00954C07">
            <w:pPr>
              <w:rPr>
                <w:color w:val="000000"/>
              </w:rPr>
            </w:pPr>
            <w:r w:rsidRPr="00BE11D7">
              <w:rPr>
                <w:color w:val="000000"/>
              </w:rPr>
              <w:t xml:space="preserve"> $  5,000.00 </w:t>
            </w:r>
          </w:p>
        </w:tc>
        <w:tc>
          <w:tcPr>
            <w:tcW w:w="1710" w:type="dxa"/>
            <w:tcBorders>
              <w:top w:val="nil"/>
              <w:left w:val="nil"/>
              <w:bottom w:val="single" w:sz="4" w:space="0" w:color="auto"/>
              <w:right w:val="single" w:sz="4" w:space="0" w:color="auto"/>
            </w:tcBorders>
            <w:noWrap/>
            <w:vAlign w:val="bottom"/>
            <w:hideMark/>
          </w:tcPr>
          <w:p w14:paraId="104FFD35" w14:textId="77777777" w:rsidR="00204905" w:rsidRPr="00BE11D7" w:rsidRDefault="00204905" w:rsidP="00954C07">
            <w:pPr>
              <w:rPr>
                <w:color w:val="000000"/>
              </w:rPr>
            </w:pPr>
            <w:r w:rsidRPr="00BE11D7">
              <w:rPr>
                <w:color w:val="000000"/>
              </w:rPr>
              <w:t xml:space="preserve"> $      (5,000.00)</w:t>
            </w:r>
          </w:p>
        </w:tc>
      </w:tr>
      <w:tr w:rsidR="00204905" w:rsidRPr="00BE11D7" w14:paraId="6475FBED" w14:textId="77777777" w:rsidTr="00954C07">
        <w:trPr>
          <w:trHeight w:val="300"/>
        </w:trPr>
        <w:tc>
          <w:tcPr>
            <w:tcW w:w="2610" w:type="dxa"/>
            <w:vMerge/>
            <w:tcBorders>
              <w:left w:val="single" w:sz="4" w:space="0" w:color="auto"/>
              <w:right w:val="single" w:sz="4" w:space="0" w:color="auto"/>
            </w:tcBorders>
          </w:tcPr>
          <w:p w14:paraId="22D06283" w14:textId="77777777" w:rsidR="00204905" w:rsidRPr="00BE11D7" w:rsidRDefault="00204905" w:rsidP="00954C07">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2F5FF9C8" w14:textId="77777777" w:rsidR="00204905" w:rsidRPr="00BE11D7" w:rsidRDefault="00204905" w:rsidP="00954C07">
            <w:pPr>
              <w:rPr>
                <w:color w:val="000000"/>
              </w:rPr>
            </w:pPr>
            <w:r w:rsidRPr="00BE11D7">
              <w:rPr>
                <w:color w:val="000000"/>
              </w:rPr>
              <w:t>RTCO Calculation</w:t>
            </w:r>
          </w:p>
        </w:tc>
        <w:tc>
          <w:tcPr>
            <w:tcW w:w="1800" w:type="dxa"/>
            <w:tcBorders>
              <w:top w:val="nil"/>
              <w:left w:val="nil"/>
              <w:bottom w:val="single" w:sz="4" w:space="0" w:color="auto"/>
              <w:right w:val="single" w:sz="4" w:space="0" w:color="auto"/>
            </w:tcBorders>
            <w:noWrap/>
            <w:vAlign w:val="bottom"/>
            <w:hideMark/>
          </w:tcPr>
          <w:p w14:paraId="0FFE3E5B" w14:textId="77777777" w:rsidR="00204905" w:rsidRPr="00BE11D7" w:rsidRDefault="00204905" w:rsidP="00954C07">
            <w:pPr>
              <w:rPr>
                <w:color w:val="000000"/>
              </w:rPr>
            </w:pPr>
            <w:r w:rsidRPr="00BE11D7">
              <w:rPr>
                <w:color w:val="000000"/>
              </w:rPr>
              <w:t xml:space="preserve"> $  1,501.00 </w:t>
            </w:r>
          </w:p>
        </w:tc>
        <w:tc>
          <w:tcPr>
            <w:tcW w:w="1710" w:type="dxa"/>
            <w:tcBorders>
              <w:top w:val="nil"/>
              <w:left w:val="nil"/>
              <w:bottom w:val="single" w:sz="4" w:space="0" w:color="auto"/>
              <w:right w:val="single" w:sz="4" w:space="0" w:color="auto"/>
            </w:tcBorders>
            <w:noWrap/>
            <w:vAlign w:val="bottom"/>
            <w:hideMark/>
          </w:tcPr>
          <w:p w14:paraId="27AAF497" w14:textId="77777777" w:rsidR="00204905" w:rsidRPr="00BE11D7" w:rsidRDefault="00204905" w:rsidP="00954C07">
            <w:pPr>
              <w:rPr>
                <w:color w:val="000000"/>
              </w:rPr>
            </w:pPr>
            <w:r w:rsidRPr="00BE11D7">
              <w:rPr>
                <w:color w:val="000000"/>
              </w:rPr>
              <w:t xml:space="preserve"> $                -   </w:t>
            </w:r>
          </w:p>
        </w:tc>
      </w:tr>
      <w:tr w:rsidR="00204905" w:rsidRPr="00BE11D7" w14:paraId="72E3D334" w14:textId="77777777" w:rsidTr="00954C07">
        <w:trPr>
          <w:trHeight w:val="315"/>
        </w:trPr>
        <w:tc>
          <w:tcPr>
            <w:tcW w:w="2610" w:type="dxa"/>
            <w:vMerge/>
            <w:tcBorders>
              <w:left w:val="single" w:sz="4" w:space="0" w:color="auto"/>
              <w:bottom w:val="double" w:sz="6" w:space="0" w:color="auto"/>
              <w:right w:val="single" w:sz="4" w:space="0" w:color="auto"/>
            </w:tcBorders>
          </w:tcPr>
          <w:p w14:paraId="1D4EA058" w14:textId="77777777" w:rsidR="00204905" w:rsidRPr="00BE11D7" w:rsidRDefault="00204905" w:rsidP="00954C07">
            <w:pPr>
              <w:rPr>
                <w:color w:val="000000"/>
              </w:rPr>
            </w:pPr>
          </w:p>
        </w:tc>
        <w:tc>
          <w:tcPr>
            <w:tcW w:w="2520" w:type="dxa"/>
            <w:tcBorders>
              <w:top w:val="nil"/>
              <w:left w:val="single" w:sz="4" w:space="0" w:color="auto"/>
              <w:bottom w:val="double" w:sz="6" w:space="0" w:color="auto"/>
              <w:right w:val="single" w:sz="4" w:space="0" w:color="auto"/>
            </w:tcBorders>
            <w:noWrap/>
            <w:vAlign w:val="bottom"/>
            <w:hideMark/>
          </w:tcPr>
          <w:p w14:paraId="6C6A235D" w14:textId="77777777" w:rsidR="00204905" w:rsidRPr="00BE11D7" w:rsidRDefault="00204905" w:rsidP="00954C07">
            <w:pPr>
              <w:rPr>
                <w:color w:val="000000"/>
              </w:rPr>
            </w:pPr>
            <w:r w:rsidRPr="00BE11D7">
              <w:rPr>
                <w:color w:val="000000"/>
              </w:rPr>
              <w:t>RTLosses</w:t>
            </w:r>
          </w:p>
        </w:tc>
        <w:tc>
          <w:tcPr>
            <w:tcW w:w="1800" w:type="dxa"/>
            <w:tcBorders>
              <w:top w:val="nil"/>
              <w:left w:val="nil"/>
              <w:bottom w:val="double" w:sz="6" w:space="0" w:color="auto"/>
              <w:right w:val="single" w:sz="4" w:space="0" w:color="auto"/>
            </w:tcBorders>
            <w:noWrap/>
            <w:vAlign w:val="bottom"/>
            <w:hideMark/>
          </w:tcPr>
          <w:p w14:paraId="3EDB86FE" w14:textId="77777777" w:rsidR="00204905" w:rsidRPr="00BE11D7" w:rsidRDefault="00204905" w:rsidP="00954C07">
            <w:pPr>
              <w:jc w:val="right"/>
              <w:rPr>
                <w:color w:val="000000"/>
              </w:rPr>
            </w:pPr>
            <w:r w:rsidRPr="00BE11D7">
              <w:rPr>
                <w:color w:val="000000"/>
              </w:rPr>
              <w:t>0</w:t>
            </w:r>
          </w:p>
        </w:tc>
        <w:tc>
          <w:tcPr>
            <w:tcW w:w="1710" w:type="dxa"/>
            <w:tcBorders>
              <w:top w:val="nil"/>
              <w:left w:val="nil"/>
              <w:bottom w:val="double" w:sz="6" w:space="0" w:color="auto"/>
              <w:right w:val="single" w:sz="4" w:space="0" w:color="auto"/>
            </w:tcBorders>
            <w:noWrap/>
            <w:vAlign w:val="bottom"/>
            <w:hideMark/>
          </w:tcPr>
          <w:p w14:paraId="06D6A0CF" w14:textId="77777777" w:rsidR="00204905" w:rsidRPr="00BE11D7" w:rsidRDefault="00204905" w:rsidP="00954C07">
            <w:pPr>
              <w:jc w:val="right"/>
              <w:rPr>
                <w:color w:val="000000"/>
              </w:rPr>
            </w:pPr>
            <w:r w:rsidRPr="00BE11D7">
              <w:rPr>
                <w:color w:val="000000"/>
              </w:rPr>
              <w:t>0</w:t>
            </w:r>
          </w:p>
        </w:tc>
      </w:tr>
      <w:tr w:rsidR="00204905" w:rsidRPr="00BE11D7" w14:paraId="1E23D533" w14:textId="77777777" w:rsidTr="00954C07">
        <w:trPr>
          <w:trHeight w:val="330"/>
        </w:trPr>
        <w:tc>
          <w:tcPr>
            <w:tcW w:w="2610" w:type="dxa"/>
            <w:tcBorders>
              <w:top w:val="nil"/>
              <w:left w:val="single" w:sz="4" w:space="0" w:color="auto"/>
              <w:bottom w:val="double" w:sz="6" w:space="0" w:color="auto"/>
              <w:right w:val="single" w:sz="4" w:space="0" w:color="auto"/>
            </w:tcBorders>
          </w:tcPr>
          <w:p w14:paraId="292A5FF6" w14:textId="77777777" w:rsidR="00204905" w:rsidRPr="00BE11D7" w:rsidRDefault="00204905" w:rsidP="00954C07">
            <w:pPr>
              <w:rPr>
                <w:color w:val="000000"/>
              </w:rPr>
            </w:pPr>
            <w:r>
              <w:rPr>
                <w:color w:val="000000"/>
              </w:rPr>
              <w:t>RTIEO</w:t>
            </w:r>
          </w:p>
        </w:tc>
        <w:tc>
          <w:tcPr>
            <w:tcW w:w="2520" w:type="dxa"/>
            <w:tcBorders>
              <w:top w:val="nil"/>
              <w:left w:val="single" w:sz="4" w:space="0" w:color="auto"/>
              <w:bottom w:val="double" w:sz="6" w:space="0" w:color="auto"/>
              <w:right w:val="single" w:sz="4" w:space="0" w:color="auto"/>
            </w:tcBorders>
            <w:noWrap/>
            <w:vAlign w:val="bottom"/>
            <w:hideMark/>
          </w:tcPr>
          <w:p w14:paraId="59B033C3" w14:textId="77777777" w:rsidR="00204905" w:rsidRPr="00BE11D7" w:rsidRDefault="00204905" w:rsidP="00954C07">
            <w:pPr>
              <w:rPr>
                <w:color w:val="000000"/>
              </w:rPr>
            </w:pPr>
          </w:p>
        </w:tc>
        <w:tc>
          <w:tcPr>
            <w:tcW w:w="1800" w:type="dxa"/>
            <w:tcBorders>
              <w:top w:val="nil"/>
              <w:left w:val="nil"/>
              <w:bottom w:val="double" w:sz="6" w:space="0" w:color="auto"/>
              <w:right w:val="single" w:sz="4" w:space="0" w:color="auto"/>
            </w:tcBorders>
            <w:noWrap/>
            <w:vAlign w:val="bottom"/>
            <w:hideMark/>
          </w:tcPr>
          <w:p w14:paraId="57BEA00C" w14:textId="77777777" w:rsidR="00204905" w:rsidRPr="00BE11D7" w:rsidRDefault="00204905" w:rsidP="00954C07">
            <w:pPr>
              <w:rPr>
                <w:color w:val="000000"/>
              </w:rPr>
            </w:pPr>
            <w:r w:rsidRPr="00BE11D7">
              <w:rPr>
                <w:color w:val="000000"/>
              </w:rPr>
              <w:t xml:space="preserve"> $           -   </w:t>
            </w:r>
          </w:p>
        </w:tc>
        <w:tc>
          <w:tcPr>
            <w:tcW w:w="1710" w:type="dxa"/>
            <w:tcBorders>
              <w:top w:val="nil"/>
              <w:left w:val="nil"/>
              <w:bottom w:val="double" w:sz="6" w:space="0" w:color="auto"/>
              <w:right w:val="single" w:sz="4" w:space="0" w:color="auto"/>
            </w:tcBorders>
            <w:noWrap/>
            <w:vAlign w:val="bottom"/>
            <w:hideMark/>
          </w:tcPr>
          <w:p w14:paraId="470ECEE4" w14:textId="77777777" w:rsidR="00204905" w:rsidRPr="00BE11D7" w:rsidRDefault="00204905" w:rsidP="00954C07">
            <w:pPr>
              <w:rPr>
                <w:color w:val="000000"/>
              </w:rPr>
            </w:pPr>
            <w:r w:rsidRPr="00BE11D7">
              <w:rPr>
                <w:color w:val="000000"/>
              </w:rPr>
              <w:t xml:space="preserve"> $                -   </w:t>
            </w:r>
          </w:p>
        </w:tc>
      </w:tr>
    </w:tbl>
    <w:p w14:paraId="5FB6CD3B" w14:textId="0DF34544" w:rsidR="00204905" w:rsidRPr="00BE11D7" w:rsidRDefault="00204905" w:rsidP="00204905">
      <w:pPr>
        <w:rPr>
          <w:color w:val="000000"/>
          <w:sz w:val="18"/>
        </w:rPr>
      </w:pPr>
      <w:r w:rsidRPr="00BE11D7">
        <w:rPr>
          <w:color w:val="000000"/>
          <w:sz w:val="18"/>
        </w:rPr>
        <w:t>***</w:t>
      </w:r>
      <w:r w:rsidR="005F24C1">
        <w:rPr>
          <w:color w:val="000000"/>
          <w:sz w:val="18"/>
        </w:rPr>
        <w:t xml:space="preserve"> WEIM </w:t>
      </w:r>
      <w:r w:rsidRPr="00BE11D7">
        <w:rPr>
          <w:color w:val="000000"/>
          <w:sz w:val="18"/>
        </w:rPr>
        <w:t>Transfer is settled at the System Marginal Energy Costs</w:t>
      </w:r>
    </w:p>
    <w:p w14:paraId="46858946" w14:textId="77777777" w:rsidR="007835BE" w:rsidRDefault="007835BE" w:rsidP="00954C07">
      <w:pPr>
        <w:pStyle w:val="Heading1"/>
        <w:numPr>
          <w:ilvl w:val="0"/>
          <w:numId w:val="0"/>
        </w:numPr>
        <w:sectPr w:rsidR="007835BE" w:rsidSect="00F446C9">
          <w:footerReference w:type="default" r:id="rId105"/>
          <w:pgSz w:w="12240" w:h="15840"/>
          <w:pgMar w:top="1728" w:right="1440" w:bottom="1728" w:left="1440" w:header="720" w:footer="720" w:gutter="0"/>
          <w:cols w:space="720"/>
        </w:sectPr>
      </w:pPr>
    </w:p>
    <w:p w14:paraId="02EC4A1F" w14:textId="60EC9A5B" w:rsidR="00701AB3" w:rsidRDefault="00701AB3" w:rsidP="00954C07">
      <w:pPr>
        <w:pStyle w:val="Heading1"/>
        <w:numPr>
          <w:ilvl w:val="0"/>
          <w:numId w:val="0"/>
        </w:numPr>
      </w:pPr>
      <w:bookmarkStart w:id="2299" w:name="_Toc229054541"/>
      <w:r>
        <w:lastRenderedPageBreak/>
        <w:t xml:space="preserve">Appendix B: </w:t>
      </w:r>
      <w:r w:rsidR="00954C07" w:rsidRPr="005551A2">
        <w:rPr>
          <w:rFonts w:cs="Arial"/>
        </w:rPr>
        <w:t xml:space="preserve">Mathematical Formulation for using </w:t>
      </w:r>
      <w:r w:rsidR="00954C07">
        <w:rPr>
          <w:rFonts w:cs="Arial"/>
        </w:rPr>
        <w:t>Available</w:t>
      </w:r>
      <w:r w:rsidR="00954C07" w:rsidRPr="005551A2">
        <w:rPr>
          <w:rFonts w:cs="Arial"/>
        </w:rPr>
        <w:t xml:space="preserve"> </w:t>
      </w:r>
      <w:r w:rsidR="00954C07">
        <w:rPr>
          <w:rFonts w:cs="Arial"/>
        </w:rPr>
        <w:t xml:space="preserve">Capacity </w:t>
      </w:r>
      <w:r w:rsidR="00954C07" w:rsidRPr="005551A2">
        <w:rPr>
          <w:rFonts w:cs="Arial"/>
        </w:rPr>
        <w:t>resolving infeasible power balance conditions in</w:t>
      </w:r>
      <w:r w:rsidR="005F24C1">
        <w:rPr>
          <w:rFonts w:cs="Arial"/>
        </w:rPr>
        <w:t xml:space="preserve"> WEIM </w:t>
      </w:r>
      <w:r w:rsidR="00954C07" w:rsidRPr="005551A2">
        <w:rPr>
          <w:rFonts w:cs="Arial"/>
        </w:rPr>
        <w:t>BAAs</w:t>
      </w:r>
      <w:bookmarkEnd w:id="2299"/>
    </w:p>
    <w:p w14:paraId="3DE43A23" w14:textId="77777777" w:rsidR="00AE3B12" w:rsidRPr="00AF0A22" w:rsidRDefault="00AE3B12" w:rsidP="00AF0A22">
      <w:pPr>
        <w:rPr>
          <w:b/>
          <w:sz w:val="28"/>
          <w:szCs w:val="28"/>
        </w:rPr>
      </w:pPr>
      <w:r w:rsidRPr="00AF0A22">
        <w:rPr>
          <w:b/>
          <w:sz w:val="28"/>
          <w:szCs w:val="28"/>
        </w:rPr>
        <w:t>Introduction</w:t>
      </w:r>
    </w:p>
    <w:p w14:paraId="7797375E" w14:textId="36595941" w:rsidR="004B5C2B" w:rsidRPr="004B5C2B" w:rsidRDefault="004B5C2B" w:rsidP="00877DDB">
      <w:pPr>
        <w:pStyle w:val="BPM"/>
      </w:pPr>
      <w:r w:rsidRPr="004B5C2B">
        <w:t>This appendix describes the mathematical formulation of the market software feature that enables the</w:t>
      </w:r>
      <w:r w:rsidR="005F24C1">
        <w:t xml:space="preserve"> WEIM </w:t>
      </w:r>
      <w:r w:rsidRPr="004B5C2B">
        <w:t>entity to identify available balancing capacity for resolving infeasible power balance conditions in the applicable</w:t>
      </w:r>
      <w:r w:rsidR="005F24C1">
        <w:t xml:space="preserve"> WEIM </w:t>
      </w:r>
      <w:r w:rsidRPr="004B5C2B">
        <w:t xml:space="preserve">BAAs. </w:t>
      </w:r>
    </w:p>
    <w:p w14:paraId="7F33FC24" w14:textId="77777777" w:rsidR="004B5C2B" w:rsidRPr="004B5C2B" w:rsidRDefault="004B5C2B" w:rsidP="004B5C2B">
      <w:pPr>
        <w:pStyle w:val="ParaText"/>
        <w:rPr>
          <w:rFonts w:cs="Arial"/>
        </w:rPr>
      </w:pPr>
    </w:p>
    <w:p w14:paraId="085CFFF8" w14:textId="6B4158F3" w:rsidR="004B5C2B" w:rsidRPr="00C36023" w:rsidRDefault="004B5C2B" w:rsidP="00877DDB">
      <w:pPr>
        <w:pStyle w:val="BPM"/>
      </w:pPr>
      <w:r w:rsidRPr="004B5C2B">
        <w:t>The available balancing capacity feat</w:t>
      </w:r>
      <w:r w:rsidRPr="00F11C3B">
        <w:t xml:space="preserve">ure is configured to ensure </w:t>
      </w:r>
      <w:r w:rsidRPr="00DE5870">
        <w:t xml:space="preserve">the energy from capacity designated as available balancing capacity does not exit </w:t>
      </w:r>
      <w:r w:rsidRPr="008F4700">
        <w:t>relevant</w:t>
      </w:r>
      <w:r w:rsidR="005F24C1">
        <w:t xml:space="preserve"> WEIM </w:t>
      </w:r>
      <w:r w:rsidRPr="008F4700">
        <w:t>entity’s BAA through the</w:t>
      </w:r>
      <w:r w:rsidR="005F24C1">
        <w:t xml:space="preserve"> WEIM </w:t>
      </w:r>
      <w:r w:rsidRPr="008F4700">
        <w:t>Transfer.  The capacity identified as the available balancing capacity wi</w:t>
      </w:r>
      <w:r w:rsidRPr="00A775F8">
        <w:t>ll be released only to the extent necessary to resolve power balance infeasibility and should not be used to displace other capacity made available in the BAA for</w:t>
      </w:r>
      <w:r w:rsidR="005F24C1">
        <w:t xml:space="preserve"> WEIM </w:t>
      </w:r>
      <w:r w:rsidRPr="00A775F8">
        <w:t>participation.</w:t>
      </w:r>
      <w:r w:rsidRPr="00B973F7">
        <w:t xml:space="preserve"> It should be noted that if the infeasibility persists after dispatchin</w:t>
      </w:r>
      <w:r w:rsidRPr="00C36023">
        <w:t>g all the capacity designated as available balancing capacity for the relevant</w:t>
      </w:r>
      <w:r w:rsidR="005F24C1">
        <w:t xml:space="preserve"> WEIM </w:t>
      </w:r>
      <w:r w:rsidRPr="00C36023">
        <w:t>entity BAA, the price will be set consist with rules in Section 27.4.3.4.</w:t>
      </w:r>
    </w:p>
    <w:p w14:paraId="72D48F8D" w14:textId="30CCADA8" w:rsidR="004B5C2B" w:rsidRPr="00F57D97" w:rsidRDefault="004B5C2B" w:rsidP="00877DDB">
      <w:pPr>
        <w:pStyle w:val="BPM"/>
      </w:pPr>
      <w:r w:rsidRPr="00C36023">
        <w:t>For purposes of this appendix, the capacity designated as</w:t>
      </w:r>
      <w:r w:rsidR="005F24C1">
        <w:t xml:space="preserve"> WEIM </w:t>
      </w:r>
      <w:r w:rsidR="001C782D">
        <w:t>Upward or Downward A</w:t>
      </w:r>
      <w:r w:rsidRPr="00C36023">
        <w:t xml:space="preserve">vailable </w:t>
      </w:r>
      <w:r w:rsidR="001C782D">
        <w:t>B</w:t>
      </w:r>
      <w:r w:rsidRPr="00C36023">
        <w:t xml:space="preserve">alancing </w:t>
      </w:r>
      <w:r w:rsidR="001C782D">
        <w:t>C</w:t>
      </w:r>
      <w:r w:rsidRPr="00C36023">
        <w:t>apacity will be referred to herein as Regulation</w:t>
      </w:r>
      <w:r w:rsidR="001C782D">
        <w:t xml:space="preserve"> Up or Down</w:t>
      </w:r>
      <w:r w:rsidRPr="00F57D97">
        <w:t>.</w:t>
      </w:r>
    </w:p>
    <w:p w14:paraId="5F9418D8" w14:textId="77777777" w:rsidR="00AE3B12" w:rsidRPr="00AF0A22" w:rsidRDefault="00AE3B12" w:rsidP="00AF0A22">
      <w:pPr>
        <w:rPr>
          <w:b/>
          <w:sz w:val="28"/>
          <w:szCs w:val="28"/>
        </w:rPr>
      </w:pPr>
      <w:r w:rsidRPr="00AF0A22">
        <w:rPr>
          <w:b/>
          <w:sz w:val="28"/>
          <w:szCs w:val="28"/>
        </w:rPr>
        <w:t>Technical Description</w:t>
      </w:r>
    </w:p>
    <w:p w14:paraId="4F8A03CA" w14:textId="77777777" w:rsidR="00AE3B12" w:rsidRDefault="00AE3B12" w:rsidP="00877DDB">
      <w:pPr>
        <w:pStyle w:val="BPM"/>
      </w:pPr>
      <w:r>
        <w:t>The CAISO’s market clearing software calculates the optimal solution in two passes, referred to as the scheduling and pricing run. The scheduling run is a full optimization run where constraints may be relaxed at a penalty price to avoid infeasibility. The pricing run is a simple economic dispatch, initialized from the scheduling run solution, where penalty prices are replaced by administrative prices and the problem is constrained so that the primal solution does not drift far away from the primal solution of the scheduling run. Both binding schedules and prices are obtained from the pricing run.</w:t>
      </w:r>
    </w:p>
    <w:p w14:paraId="7CC036BE" w14:textId="77777777" w:rsidR="00FC63EC" w:rsidRDefault="00FC63EC" w:rsidP="00AE3B12">
      <w:pPr>
        <w:pStyle w:val="Paragraph"/>
      </w:pPr>
    </w:p>
    <w:p w14:paraId="75011978" w14:textId="77777777" w:rsidR="00AE3B12" w:rsidRPr="00AF0A22" w:rsidRDefault="00AE3B12" w:rsidP="00AF0A22">
      <w:pPr>
        <w:rPr>
          <w:b/>
          <w:sz w:val="28"/>
          <w:szCs w:val="28"/>
        </w:rPr>
      </w:pPr>
      <w:r w:rsidRPr="00AF0A22">
        <w:rPr>
          <w:b/>
          <w:sz w:val="28"/>
          <w:szCs w:val="28"/>
        </w:rPr>
        <w:lastRenderedPageBreak/>
        <w:t>Mathematical Formulation</w:t>
      </w:r>
    </w:p>
    <w:p w14:paraId="463B19F0" w14:textId="1B8328DE" w:rsidR="00AE3B12" w:rsidRDefault="00AE3B12" w:rsidP="00877DDB">
      <w:pPr>
        <w:pStyle w:val="BPM"/>
      </w:pPr>
      <w:r>
        <w:t>This section contains the mathematical formulation for the new elements introduced in the Scheduling and Pricing Run for dispatching Regulation to resolve power balance infeasibility in</w:t>
      </w:r>
      <w:r w:rsidR="005F24C1">
        <w:t xml:space="preserve"> WEIM </w:t>
      </w:r>
      <w:r>
        <w:t>BAAs.</w:t>
      </w:r>
    </w:p>
    <w:p w14:paraId="645EE414" w14:textId="77777777" w:rsidR="00AE3B12" w:rsidRDefault="00AE3B12" w:rsidP="00877DDB">
      <w:pPr>
        <w:pStyle w:val="BPM"/>
      </w:pPr>
      <w:r>
        <w:t>The following notation is used in this section:</w:t>
      </w:r>
    </w:p>
    <w:tbl>
      <w:tblPr>
        <w:tblW w:w="0" w:type="auto"/>
        <w:tblLook w:val="04A0" w:firstRow="1" w:lastRow="0" w:firstColumn="1" w:lastColumn="0" w:noHBand="0" w:noVBand="1"/>
      </w:tblPr>
      <w:tblGrid>
        <w:gridCol w:w="1624"/>
        <w:gridCol w:w="7736"/>
      </w:tblGrid>
      <w:tr w:rsidR="00AE3B12" w14:paraId="05C20C78" w14:textId="77777777" w:rsidTr="00EC7234">
        <w:trPr>
          <w:cantSplit/>
        </w:trPr>
        <w:tc>
          <w:tcPr>
            <w:tcW w:w="1624" w:type="dxa"/>
          </w:tcPr>
          <w:p w14:paraId="2760AF94" w14:textId="77777777" w:rsidR="00AE3B12" w:rsidRPr="00697202" w:rsidRDefault="00AE3B12" w:rsidP="00D5305B">
            <w:pPr>
              <w:pStyle w:val="Table"/>
              <w:jc w:val="left"/>
            </w:pPr>
            <w:r w:rsidRPr="00697202">
              <w:rPr>
                <w:i/>
              </w:rPr>
              <w:t>i</w:t>
            </w:r>
          </w:p>
        </w:tc>
        <w:tc>
          <w:tcPr>
            <w:tcW w:w="7736" w:type="dxa"/>
          </w:tcPr>
          <w:p w14:paraId="433C9236" w14:textId="77777777" w:rsidR="00AE3B12" w:rsidRDefault="00AE3B12" w:rsidP="00D5305B">
            <w:pPr>
              <w:pStyle w:val="Table"/>
              <w:jc w:val="left"/>
            </w:pPr>
            <w:r>
              <w:t>EIM Resource index.</w:t>
            </w:r>
          </w:p>
        </w:tc>
      </w:tr>
      <w:tr w:rsidR="00AE3B12" w14:paraId="2984AAEB" w14:textId="77777777" w:rsidTr="00EC7234">
        <w:trPr>
          <w:cantSplit/>
        </w:trPr>
        <w:tc>
          <w:tcPr>
            <w:tcW w:w="1624" w:type="dxa"/>
          </w:tcPr>
          <w:p w14:paraId="00650BD3" w14:textId="77777777" w:rsidR="00AE3B12" w:rsidRPr="00697202" w:rsidRDefault="00AE3B12" w:rsidP="00D5305B">
            <w:pPr>
              <w:pStyle w:val="Table"/>
              <w:jc w:val="left"/>
              <w:rPr>
                <w:i/>
              </w:rPr>
            </w:pPr>
            <w:r>
              <w:rPr>
                <w:i/>
              </w:rPr>
              <w:t>k</w:t>
            </w:r>
          </w:p>
        </w:tc>
        <w:tc>
          <w:tcPr>
            <w:tcW w:w="7736" w:type="dxa"/>
          </w:tcPr>
          <w:p w14:paraId="3F8341EB" w14:textId="77777777" w:rsidR="00AE3B12" w:rsidRDefault="00AE3B12" w:rsidP="00D5305B">
            <w:pPr>
              <w:pStyle w:val="Table"/>
              <w:jc w:val="left"/>
            </w:pPr>
            <w:r>
              <w:t>EIM BAA index.</w:t>
            </w:r>
          </w:p>
        </w:tc>
      </w:tr>
      <w:tr w:rsidR="00AE3B12" w14:paraId="101274BE" w14:textId="77777777" w:rsidTr="00EC7234">
        <w:trPr>
          <w:cantSplit/>
        </w:trPr>
        <w:tc>
          <w:tcPr>
            <w:tcW w:w="1624" w:type="dxa"/>
          </w:tcPr>
          <w:p w14:paraId="619DB35D" w14:textId="77777777" w:rsidR="00AE3B12" w:rsidRPr="00697202" w:rsidRDefault="00AE3B12" w:rsidP="00D5305B">
            <w:pPr>
              <w:pStyle w:val="Table"/>
              <w:jc w:val="left"/>
              <w:rPr>
                <w:i/>
              </w:rPr>
            </w:pPr>
            <w:r w:rsidRPr="00697202">
              <w:rPr>
                <w:i/>
              </w:rPr>
              <w:t>t</w:t>
            </w:r>
          </w:p>
        </w:tc>
        <w:tc>
          <w:tcPr>
            <w:tcW w:w="7736" w:type="dxa"/>
          </w:tcPr>
          <w:p w14:paraId="79F6E740" w14:textId="77777777" w:rsidR="00AE3B12" w:rsidRDefault="00AE3B12" w:rsidP="00D5305B">
            <w:pPr>
              <w:pStyle w:val="Table"/>
              <w:jc w:val="left"/>
            </w:pPr>
            <w:r>
              <w:t>Time period index (0 for initial condition).</w:t>
            </w:r>
          </w:p>
        </w:tc>
      </w:tr>
      <w:tr w:rsidR="00AE3B12" w14:paraId="368312C3" w14:textId="77777777" w:rsidTr="00EC7234">
        <w:trPr>
          <w:cantSplit/>
        </w:trPr>
        <w:tc>
          <w:tcPr>
            <w:tcW w:w="1624" w:type="dxa"/>
          </w:tcPr>
          <w:p w14:paraId="2F15657B" w14:textId="77777777" w:rsidR="00AE3B12" w:rsidRPr="00697202" w:rsidRDefault="00AE3B12" w:rsidP="00D5305B">
            <w:pPr>
              <w:pStyle w:val="Table"/>
              <w:jc w:val="left"/>
              <w:rPr>
                <w:i/>
              </w:rPr>
            </w:pPr>
            <w:r>
              <w:rPr>
                <w:i/>
              </w:rPr>
              <w:t>N</w:t>
            </w:r>
          </w:p>
        </w:tc>
        <w:tc>
          <w:tcPr>
            <w:tcW w:w="7736" w:type="dxa"/>
          </w:tcPr>
          <w:p w14:paraId="62E2EBF5" w14:textId="77777777" w:rsidR="00AE3B12" w:rsidRDefault="00AE3B12" w:rsidP="00D5305B">
            <w:pPr>
              <w:pStyle w:val="Table"/>
              <w:jc w:val="left"/>
            </w:pPr>
            <w:r>
              <w:t>Number of time periods in the time horizon.</w:t>
            </w:r>
          </w:p>
        </w:tc>
      </w:tr>
      <w:tr w:rsidR="00AE3B12" w14:paraId="020EA950" w14:textId="77777777" w:rsidTr="00EC7234">
        <w:trPr>
          <w:cantSplit/>
        </w:trPr>
        <w:tc>
          <w:tcPr>
            <w:tcW w:w="1624" w:type="dxa"/>
          </w:tcPr>
          <w:p w14:paraId="5D7386E0" w14:textId="77777777" w:rsidR="00AE3B12" w:rsidRDefault="00AE3B12" w:rsidP="00D5305B">
            <w:pPr>
              <w:pStyle w:val="Table"/>
              <w:jc w:val="left"/>
              <w:rPr>
                <w:i/>
              </w:rPr>
            </w:pPr>
            <w:r>
              <w:rPr>
                <w:i/>
              </w:rPr>
              <w:t>K</w:t>
            </w:r>
          </w:p>
        </w:tc>
        <w:tc>
          <w:tcPr>
            <w:tcW w:w="7736" w:type="dxa"/>
          </w:tcPr>
          <w:p w14:paraId="340A1685" w14:textId="17A09490" w:rsidR="00AE3B12" w:rsidRDefault="00AE3B12" w:rsidP="00D5305B">
            <w:pPr>
              <w:pStyle w:val="Table"/>
              <w:jc w:val="left"/>
            </w:pPr>
            <w:r>
              <w:t>Number of</w:t>
            </w:r>
            <w:r w:rsidR="005F24C1">
              <w:t xml:space="preserve"> WEIM </w:t>
            </w:r>
            <w:r>
              <w:t>BAAs.</w:t>
            </w:r>
          </w:p>
        </w:tc>
      </w:tr>
      <w:tr w:rsidR="00AE3B12" w14:paraId="2879D350" w14:textId="77777777" w:rsidTr="00EC7234">
        <w:trPr>
          <w:cantSplit/>
        </w:trPr>
        <w:tc>
          <w:tcPr>
            <w:tcW w:w="1624" w:type="dxa"/>
          </w:tcPr>
          <w:p w14:paraId="07820FFF" w14:textId="77777777" w:rsidR="00AE3B12" w:rsidRDefault="00AE3B12" w:rsidP="00D5305B">
            <w:pPr>
              <w:pStyle w:val="Table"/>
              <w:jc w:val="left"/>
              <w:rPr>
                <w:i/>
              </w:rPr>
            </w:pPr>
            <w:r>
              <w:rPr>
                <w:i/>
              </w:rPr>
              <w:t>R</w:t>
            </w:r>
            <w:r w:rsidRPr="00D00802">
              <w:rPr>
                <w:i/>
                <w:vertAlign w:val="subscript"/>
              </w:rPr>
              <w:t>k</w:t>
            </w:r>
          </w:p>
        </w:tc>
        <w:tc>
          <w:tcPr>
            <w:tcW w:w="7736" w:type="dxa"/>
          </w:tcPr>
          <w:p w14:paraId="23AC6A61" w14:textId="145E6C19" w:rsidR="00AE3B12" w:rsidRDefault="00AE3B12" w:rsidP="00D5305B">
            <w:pPr>
              <w:pStyle w:val="Table"/>
              <w:jc w:val="left"/>
            </w:pPr>
            <w:r>
              <w:t>Set of</w:t>
            </w:r>
            <w:r w:rsidR="005F24C1">
              <w:t xml:space="preserve"> WEIM </w:t>
            </w:r>
            <w:r>
              <w:t xml:space="preserve">Resources for BAA </w:t>
            </w:r>
            <w:r w:rsidRPr="00D00802">
              <w:rPr>
                <w:i/>
              </w:rPr>
              <w:t>k</w:t>
            </w:r>
            <w:r>
              <w:t>.</w:t>
            </w:r>
          </w:p>
        </w:tc>
      </w:tr>
      <w:tr w:rsidR="00AE3B12" w14:paraId="4ABB582F" w14:textId="77777777" w:rsidTr="00EC7234">
        <w:trPr>
          <w:cantSplit/>
        </w:trPr>
        <w:tc>
          <w:tcPr>
            <w:tcW w:w="1624" w:type="dxa"/>
          </w:tcPr>
          <w:p w14:paraId="64AC649C" w14:textId="77777777" w:rsidR="00AE3B12" w:rsidRDefault="00AE3B12" w:rsidP="00D5305B">
            <w:pPr>
              <w:pStyle w:val="Table"/>
              <w:jc w:val="left"/>
            </w:pPr>
            <w:r>
              <w:sym w:font="Symbol" w:char="F022"/>
            </w:r>
          </w:p>
        </w:tc>
        <w:tc>
          <w:tcPr>
            <w:tcW w:w="7736" w:type="dxa"/>
          </w:tcPr>
          <w:p w14:paraId="449CB43D" w14:textId="77777777" w:rsidR="00AE3B12" w:rsidRDefault="00AE3B12" w:rsidP="00D5305B">
            <w:pPr>
              <w:pStyle w:val="Table"/>
              <w:jc w:val="left"/>
            </w:pPr>
            <w:r>
              <w:t>For all…</w:t>
            </w:r>
          </w:p>
        </w:tc>
      </w:tr>
      <w:tr w:rsidR="00EC7234" w14:paraId="46591B0A" w14:textId="77777777" w:rsidTr="00EC7234">
        <w:trPr>
          <w:cantSplit/>
        </w:trPr>
        <w:tc>
          <w:tcPr>
            <w:tcW w:w="1624" w:type="dxa"/>
          </w:tcPr>
          <w:p w14:paraId="1032DC9E" w14:textId="77777777" w:rsidR="00EC7234" w:rsidRDefault="00EC7234" w:rsidP="00EC7234">
            <w:pPr>
              <w:pStyle w:val="Table"/>
              <w:jc w:val="left"/>
            </w:pPr>
            <w:r w:rsidRPr="00A76F72">
              <w:sym w:font="Symbol" w:char="F0AE"/>
            </w:r>
          </w:p>
        </w:tc>
        <w:tc>
          <w:tcPr>
            <w:tcW w:w="7736" w:type="dxa"/>
          </w:tcPr>
          <w:p w14:paraId="0A464F33" w14:textId="77777777" w:rsidR="00EC7234" w:rsidRDefault="00EC7234" w:rsidP="00EC7234">
            <w:pPr>
              <w:pStyle w:val="Table"/>
              <w:jc w:val="left"/>
            </w:pPr>
            <w:r>
              <w:t>Leads to…</w:t>
            </w:r>
          </w:p>
        </w:tc>
      </w:tr>
      <w:tr w:rsidR="00AE3B12" w14:paraId="0F375395" w14:textId="77777777" w:rsidTr="00EC7234">
        <w:trPr>
          <w:cantSplit/>
        </w:trPr>
        <w:tc>
          <w:tcPr>
            <w:tcW w:w="1624" w:type="dxa"/>
          </w:tcPr>
          <w:p w14:paraId="625E6E08" w14:textId="77777777" w:rsidR="00AE3B12" w:rsidRPr="008E4A03" w:rsidRDefault="00461DCC" w:rsidP="00D5305B">
            <w:pPr>
              <w:pStyle w:val="Table"/>
              <w:jc w:val="left"/>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k,t</m:t>
                    </m:r>
                  </m:sub>
                </m:sSub>
              </m:oMath>
            </m:oMathPara>
          </w:p>
        </w:tc>
        <w:tc>
          <w:tcPr>
            <w:tcW w:w="7736" w:type="dxa"/>
          </w:tcPr>
          <w:p w14:paraId="5BB022E3" w14:textId="77777777" w:rsidR="00AE3B12" w:rsidRPr="0056607F" w:rsidRDefault="00AE3B12" w:rsidP="00D5305B">
            <w:pPr>
              <w:pStyle w:val="Table"/>
              <w:jc w:val="left"/>
            </w:pPr>
            <w:r>
              <w:t xml:space="preserve">EIM Transfer of BAA </w:t>
            </w:r>
            <w:r>
              <w:rPr>
                <w:i/>
              </w:rPr>
              <w:t>k</w:t>
            </w:r>
            <w:r>
              <w:t xml:space="preserve"> in time period </w:t>
            </w:r>
            <w:r>
              <w:rPr>
                <w:i/>
              </w:rPr>
              <w:t>t</w:t>
            </w:r>
            <w:r w:rsidR="002707D1">
              <w:t xml:space="preserve"> (positive for export and negative for import)</w:t>
            </w:r>
            <w:r>
              <w:t>.</w:t>
            </w:r>
          </w:p>
        </w:tc>
      </w:tr>
      <w:tr w:rsidR="002707D1" w14:paraId="070A4EEF" w14:textId="77777777" w:rsidTr="00EC7234">
        <w:trPr>
          <w:cantSplit/>
        </w:trPr>
        <w:tc>
          <w:tcPr>
            <w:tcW w:w="1624" w:type="dxa"/>
          </w:tcPr>
          <w:p w14:paraId="588E2AEF" w14:textId="77777777" w:rsidR="002707D1" w:rsidRPr="002707D1" w:rsidRDefault="00461DCC" w:rsidP="002707D1">
            <w:pPr>
              <w:pStyle w:val="Table"/>
              <w:jc w:val="left"/>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k,t</m:t>
                    </m:r>
                  </m:sub>
                </m:sSub>
              </m:oMath>
            </m:oMathPara>
          </w:p>
        </w:tc>
        <w:tc>
          <w:tcPr>
            <w:tcW w:w="7736" w:type="dxa"/>
          </w:tcPr>
          <w:p w14:paraId="6111E851" w14:textId="2D056629" w:rsidR="002707D1" w:rsidRDefault="002707D1" w:rsidP="002707D1">
            <w:pPr>
              <w:pStyle w:val="Table"/>
              <w:jc w:val="left"/>
            </w:pPr>
            <w:r>
              <w:t>Base</w:t>
            </w:r>
            <w:r w:rsidR="005F24C1">
              <w:t xml:space="preserve"> WEIM </w:t>
            </w:r>
            <w:r>
              <w:t xml:space="preserve">Transfer of BAA </w:t>
            </w:r>
            <w:r>
              <w:rPr>
                <w:i/>
              </w:rPr>
              <w:t>k</w:t>
            </w:r>
            <w:r>
              <w:t xml:space="preserve"> in time period </w:t>
            </w:r>
            <w:r>
              <w:rPr>
                <w:i/>
              </w:rPr>
              <w:t>t</w:t>
            </w:r>
            <w:r>
              <w:t>.</w:t>
            </w:r>
          </w:p>
        </w:tc>
      </w:tr>
      <w:tr w:rsidR="00AE3B12" w14:paraId="65E3DFD0" w14:textId="77777777" w:rsidTr="00EC7234">
        <w:trPr>
          <w:cantSplit/>
        </w:trPr>
        <w:tc>
          <w:tcPr>
            <w:tcW w:w="1624" w:type="dxa"/>
          </w:tcPr>
          <w:p w14:paraId="0321BDD1" w14:textId="77777777" w:rsidR="00AE3B12" w:rsidRPr="008E4A03" w:rsidRDefault="00461DCC" w:rsidP="00D5305B">
            <w:pPr>
              <w:pStyle w:val="Table"/>
              <w:jc w:val="left"/>
            </w:pPr>
            <m:oMathPara>
              <m:oMathParaPr>
                <m:jc m:val="left"/>
              </m:oMathParaPr>
              <m:oMath>
                <m:sSub>
                  <m:sSubPr>
                    <m:ctrlPr>
                      <w:rPr>
                        <w:rFonts w:ascii="Cambria Math" w:hAnsi="Cambria Math"/>
                        <w:i/>
                      </w:rPr>
                    </m:ctrlPr>
                  </m:sSubPr>
                  <m:e>
                    <m:r>
                      <w:rPr>
                        <w:rFonts w:ascii="Cambria Math" w:hAnsi="Cambria Math"/>
                      </w:rPr>
                      <m:t>RU</m:t>
                    </m:r>
                  </m:e>
                  <m:sub>
                    <m:r>
                      <w:rPr>
                        <w:rFonts w:ascii="Cambria Math" w:hAnsi="Cambria Math"/>
                      </w:rPr>
                      <m:t>i,t</m:t>
                    </m:r>
                  </m:sub>
                </m:sSub>
              </m:oMath>
            </m:oMathPara>
          </w:p>
        </w:tc>
        <w:tc>
          <w:tcPr>
            <w:tcW w:w="7736" w:type="dxa"/>
          </w:tcPr>
          <w:p w14:paraId="407BBBE4" w14:textId="77777777" w:rsidR="00AE3B12" w:rsidRPr="00CE5475" w:rsidRDefault="00AE3B12" w:rsidP="00D5305B">
            <w:pPr>
              <w:pStyle w:val="Table"/>
              <w:jc w:val="left"/>
            </w:pPr>
            <w:r>
              <w:t xml:space="preserve">Regulation Up schedule of Resource </w:t>
            </w:r>
            <w:r>
              <w:rPr>
                <w:i/>
              </w:rPr>
              <w:t>i</w:t>
            </w:r>
            <w:r>
              <w:t xml:space="preserve"> in time period </w:t>
            </w:r>
            <w:r>
              <w:rPr>
                <w:i/>
              </w:rPr>
              <w:t>t</w:t>
            </w:r>
            <w:r>
              <w:t>.</w:t>
            </w:r>
          </w:p>
        </w:tc>
      </w:tr>
      <w:tr w:rsidR="00AE3B12" w14:paraId="18618CB8" w14:textId="77777777" w:rsidTr="00EC7234">
        <w:trPr>
          <w:cantSplit/>
        </w:trPr>
        <w:tc>
          <w:tcPr>
            <w:tcW w:w="1624" w:type="dxa"/>
          </w:tcPr>
          <w:p w14:paraId="720E1211" w14:textId="77777777" w:rsidR="00AE3B12" w:rsidRPr="008E4A03" w:rsidRDefault="00461DCC" w:rsidP="00D5305B">
            <w:pPr>
              <w:pStyle w:val="Table"/>
              <w:jc w:val="left"/>
            </w:pPr>
            <m:oMathPara>
              <m:oMathParaPr>
                <m:jc m:val="left"/>
              </m:oMathParaPr>
              <m:oMath>
                <m:sSub>
                  <m:sSubPr>
                    <m:ctrlPr>
                      <w:rPr>
                        <w:rFonts w:ascii="Cambria Math" w:hAnsi="Cambria Math"/>
                        <w:i/>
                      </w:rPr>
                    </m:ctrlPr>
                  </m:sSubPr>
                  <m:e>
                    <m:r>
                      <w:rPr>
                        <w:rFonts w:ascii="Cambria Math" w:hAnsi="Cambria Math"/>
                      </w:rPr>
                      <m:t>RD</m:t>
                    </m:r>
                  </m:e>
                  <m:sub>
                    <m:r>
                      <w:rPr>
                        <w:rFonts w:ascii="Cambria Math" w:hAnsi="Cambria Math"/>
                      </w:rPr>
                      <m:t>i,t</m:t>
                    </m:r>
                  </m:sub>
                </m:sSub>
              </m:oMath>
            </m:oMathPara>
          </w:p>
        </w:tc>
        <w:tc>
          <w:tcPr>
            <w:tcW w:w="7736" w:type="dxa"/>
          </w:tcPr>
          <w:p w14:paraId="20D7F869" w14:textId="77777777" w:rsidR="00AE3B12" w:rsidRPr="00CE5475" w:rsidRDefault="00AE3B12" w:rsidP="00D5305B">
            <w:pPr>
              <w:pStyle w:val="Table"/>
              <w:jc w:val="left"/>
            </w:pPr>
            <w:r>
              <w:t xml:space="preserve">Regulation Down schedule (non-positive) of Resource </w:t>
            </w:r>
            <w:r>
              <w:rPr>
                <w:i/>
              </w:rPr>
              <w:t>i</w:t>
            </w:r>
            <w:r>
              <w:t xml:space="preserve"> in time period </w:t>
            </w:r>
            <w:r>
              <w:rPr>
                <w:i/>
              </w:rPr>
              <w:t>t</w:t>
            </w:r>
            <w:r>
              <w:t>.</w:t>
            </w:r>
          </w:p>
        </w:tc>
      </w:tr>
      <w:tr w:rsidR="00AE3B12" w14:paraId="1E5B6792" w14:textId="77777777" w:rsidTr="00EC7234">
        <w:trPr>
          <w:cantSplit/>
        </w:trPr>
        <w:tc>
          <w:tcPr>
            <w:tcW w:w="1624" w:type="dxa"/>
          </w:tcPr>
          <w:p w14:paraId="716027A3" w14:textId="77777777" w:rsidR="00AE3B12" w:rsidRPr="008E4A03" w:rsidRDefault="00461DCC" w:rsidP="00D5305B">
            <w:pPr>
              <w:pStyle w:val="Table"/>
              <w:jc w:val="left"/>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RU</m:t>
                        </m:r>
                      </m:e>
                    </m:acc>
                  </m:e>
                  <m:sub>
                    <m:r>
                      <w:rPr>
                        <w:rFonts w:ascii="Cambria Math" w:hAnsi="Cambria Math"/>
                      </w:rPr>
                      <m:t>i,t</m:t>
                    </m:r>
                  </m:sub>
                </m:sSub>
              </m:oMath>
            </m:oMathPara>
          </w:p>
        </w:tc>
        <w:tc>
          <w:tcPr>
            <w:tcW w:w="7736" w:type="dxa"/>
          </w:tcPr>
          <w:p w14:paraId="10DD8C48" w14:textId="77777777" w:rsidR="00AE3B12" w:rsidRPr="00CE5475" w:rsidRDefault="00AE3B12" w:rsidP="00D5305B">
            <w:pPr>
              <w:pStyle w:val="Table"/>
              <w:jc w:val="left"/>
            </w:pPr>
            <w:r>
              <w:t xml:space="preserve">Base Regulation Up schedule of Resource </w:t>
            </w:r>
            <w:r>
              <w:rPr>
                <w:i/>
              </w:rPr>
              <w:t>i</w:t>
            </w:r>
            <w:r>
              <w:t xml:space="preserve"> in time period </w:t>
            </w:r>
            <w:r>
              <w:rPr>
                <w:i/>
              </w:rPr>
              <w:t>t</w:t>
            </w:r>
            <w:r>
              <w:t>.</w:t>
            </w:r>
          </w:p>
        </w:tc>
      </w:tr>
      <w:tr w:rsidR="00AE3B12" w14:paraId="29F4D17B" w14:textId="77777777" w:rsidTr="00EC7234">
        <w:trPr>
          <w:cantSplit/>
        </w:trPr>
        <w:tc>
          <w:tcPr>
            <w:tcW w:w="1624" w:type="dxa"/>
          </w:tcPr>
          <w:p w14:paraId="33A11578" w14:textId="77777777" w:rsidR="00AE3B12" w:rsidRPr="008E4A03" w:rsidRDefault="00461DCC" w:rsidP="00D5305B">
            <w:pPr>
              <w:pStyle w:val="Table"/>
              <w:jc w:val="left"/>
            </w:pPr>
            <m:oMathPara>
              <m:oMathParaPr>
                <m:jc m:val="left"/>
              </m:oMathParaPr>
              <m:oMath>
                <m:sSub>
                  <m:sSubPr>
                    <m:ctrlPr>
                      <w:rPr>
                        <w:rFonts w:ascii="Cambria Math" w:hAnsi="Cambria Math"/>
                        <w:i/>
                      </w:rPr>
                    </m:ctrlPr>
                  </m:sSubPr>
                  <m:e>
                    <m:acc>
                      <m:accPr>
                        <m:chr m:val="̅"/>
                        <m:ctrlPr>
                          <w:rPr>
                            <w:rFonts w:ascii="Cambria Math" w:hAnsi="Cambria Math"/>
                            <w:i/>
                          </w:rPr>
                        </m:ctrlPr>
                      </m:accPr>
                      <m:e>
                        <m:r>
                          <w:rPr>
                            <w:rFonts w:ascii="Cambria Math" w:hAnsi="Cambria Math"/>
                          </w:rPr>
                          <m:t>RD</m:t>
                        </m:r>
                      </m:e>
                    </m:acc>
                  </m:e>
                  <m:sub>
                    <m:r>
                      <w:rPr>
                        <w:rFonts w:ascii="Cambria Math" w:hAnsi="Cambria Math"/>
                      </w:rPr>
                      <m:t>i,t</m:t>
                    </m:r>
                  </m:sub>
                </m:sSub>
              </m:oMath>
            </m:oMathPara>
          </w:p>
        </w:tc>
        <w:tc>
          <w:tcPr>
            <w:tcW w:w="7736" w:type="dxa"/>
          </w:tcPr>
          <w:p w14:paraId="45C176BC" w14:textId="77777777" w:rsidR="00AE3B12" w:rsidRPr="00CE5475" w:rsidRDefault="00AE3B12" w:rsidP="00D5305B">
            <w:pPr>
              <w:pStyle w:val="Table"/>
              <w:jc w:val="left"/>
            </w:pPr>
            <w:r>
              <w:t xml:space="preserve">Base Regulation Down schedule (non-positive) of Resource </w:t>
            </w:r>
            <w:r>
              <w:rPr>
                <w:i/>
              </w:rPr>
              <w:t>i</w:t>
            </w:r>
            <w:r>
              <w:t xml:space="preserve"> in time period </w:t>
            </w:r>
            <w:r>
              <w:rPr>
                <w:i/>
              </w:rPr>
              <w:t>t</w:t>
            </w:r>
            <w:r>
              <w:t>.</w:t>
            </w:r>
          </w:p>
        </w:tc>
      </w:tr>
      <w:tr w:rsidR="00AE3B12" w14:paraId="71D005CB" w14:textId="77777777" w:rsidTr="00EC7234">
        <w:trPr>
          <w:cantSplit/>
        </w:trPr>
        <w:tc>
          <w:tcPr>
            <w:tcW w:w="1624" w:type="dxa"/>
          </w:tcPr>
          <w:p w14:paraId="30152497" w14:textId="77777777" w:rsidR="00AE3B12" w:rsidRPr="008E4A03" w:rsidRDefault="00461DCC" w:rsidP="00D5305B">
            <w:pPr>
              <w:pStyle w:val="Table"/>
              <w:jc w:val="left"/>
            </w:pPr>
            <m:oMathPara>
              <m:oMathParaPr>
                <m:jc m:val="lef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RU</m:t>
                        </m:r>
                      </m:e>
                    </m:acc>
                  </m:e>
                  <m:sub>
                    <m:r>
                      <w:rPr>
                        <w:rFonts w:ascii="Cambria Math" w:hAnsi="Cambria Math"/>
                      </w:rPr>
                      <m:t>i,t</m:t>
                    </m:r>
                  </m:sub>
                </m:sSub>
              </m:oMath>
            </m:oMathPara>
          </w:p>
        </w:tc>
        <w:tc>
          <w:tcPr>
            <w:tcW w:w="7736" w:type="dxa"/>
          </w:tcPr>
          <w:p w14:paraId="36298495" w14:textId="77777777" w:rsidR="00AE3B12" w:rsidRPr="00CE5475" w:rsidRDefault="00AE3B12" w:rsidP="00D5305B">
            <w:pPr>
              <w:pStyle w:val="Table"/>
              <w:jc w:val="left"/>
            </w:pPr>
            <w:r>
              <w:t xml:space="preserve">Regulation Up schedule of Resource </w:t>
            </w:r>
            <w:r>
              <w:rPr>
                <w:i/>
              </w:rPr>
              <w:t>i</w:t>
            </w:r>
            <w:r>
              <w:t xml:space="preserve"> in time period </w:t>
            </w:r>
            <w:r>
              <w:rPr>
                <w:i/>
              </w:rPr>
              <w:t>t</w:t>
            </w:r>
            <w:r>
              <w:t xml:space="preserve"> from the Scheduling Run used as upper limit in the Pricing Run.</w:t>
            </w:r>
          </w:p>
        </w:tc>
      </w:tr>
      <w:tr w:rsidR="00AE3B12" w14:paraId="711F98F1" w14:textId="77777777" w:rsidTr="00EC7234">
        <w:trPr>
          <w:cantSplit/>
        </w:trPr>
        <w:tc>
          <w:tcPr>
            <w:tcW w:w="1624" w:type="dxa"/>
          </w:tcPr>
          <w:p w14:paraId="547B2964" w14:textId="77777777" w:rsidR="00AE3B12" w:rsidRPr="008E4A03" w:rsidRDefault="00461DCC" w:rsidP="00D5305B">
            <w:pPr>
              <w:pStyle w:val="Table"/>
              <w:jc w:val="left"/>
            </w:pPr>
            <m:oMathPara>
              <m:oMathParaPr>
                <m:jc m:val="lef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RD</m:t>
                        </m:r>
                      </m:e>
                    </m:acc>
                  </m:e>
                  <m:sub>
                    <m:r>
                      <w:rPr>
                        <w:rFonts w:ascii="Cambria Math" w:hAnsi="Cambria Math"/>
                      </w:rPr>
                      <m:t>i,t</m:t>
                    </m:r>
                  </m:sub>
                </m:sSub>
              </m:oMath>
            </m:oMathPara>
          </w:p>
        </w:tc>
        <w:tc>
          <w:tcPr>
            <w:tcW w:w="7736" w:type="dxa"/>
          </w:tcPr>
          <w:p w14:paraId="13EFC9DB" w14:textId="77777777" w:rsidR="00AE3B12" w:rsidRPr="00CE5475" w:rsidRDefault="00AE3B12" w:rsidP="00D5305B">
            <w:pPr>
              <w:pStyle w:val="Table"/>
              <w:jc w:val="left"/>
            </w:pPr>
            <w:r>
              <w:t xml:space="preserve">Regulation Down schedule of Resource </w:t>
            </w:r>
            <w:r>
              <w:rPr>
                <w:i/>
              </w:rPr>
              <w:t>i</w:t>
            </w:r>
            <w:r>
              <w:t xml:space="preserve"> in time period </w:t>
            </w:r>
            <w:r>
              <w:rPr>
                <w:i/>
              </w:rPr>
              <w:t>t</w:t>
            </w:r>
            <w:r>
              <w:t xml:space="preserve"> from the Scheduling Run used as lower limit in the Pricing Run.</w:t>
            </w:r>
          </w:p>
        </w:tc>
      </w:tr>
      <w:tr w:rsidR="00AE3B12" w14:paraId="71622DFF" w14:textId="77777777" w:rsidTr="00EC7234">
        <w:trPr>
          <w:cantSplit/>
        </w:trPr>
        <w:tc>
          <w:tcPr>
            <w:tcW w:w="1624" w:type="dxa"/>
          </w:tcPr>
          <w:p w14:paraId="643B5334" w14:textId="77777777" w:rsidR="00AE3B12" w:rsidRPr="00D64D7D" w:rsidRDefault="00AE3B12" w:rsidP="00D5305B">
            <w:pPr>
              <w:pStyle w:val="Table"/>
              <w:jc w:val="left"/>
              <w:rPr>
                <w:i/>
              </w:rPr>
            </w:pPr>
            <w:r w:rsidRPr="00D64D7D">
              <w:rPr>
                <w:i/>
              </w:rPr>
              <w:t>C</w:t>
            </w:r>
          </w:p>
        </w:tc>
        <w:tc>
          <w:tcPr>
            <w:tcW w:w="7736" w:type="dxa"/>
          </w:tcPr>
          <w:p w14:paraId="52F3E342" w14:textId="77777777" w:rsidR="00AE3B12" w:rsidRDefault="00AE3B12" w:rsidP="00D5305B">
            <w:pPr>
              <w:pStyle w:val="Table"/>
              <w:jc w:val="left"/>
            </w:pPr>
            <w:r>
              <w:t>Objective function.</w:t>
            </w:r>
          </w:p>
        </w:tc>
      </w:tr>
      <w:tr w:rsidR="00AE3B12" w14:paraId="6E80E919" w14:textId="77777777" w:rsidTr="00EC7234">
        <w:trPr>
          <w:cantSplit/>
        </w:trPr>
        <w:tc>
          <w:tcPr>
            <w:tcW w:w="1624" w:type="dxa"/>
          </w:tcPr>
          <w:p w14:paraId="5E8B735D" w14:textId="77777777" w:rsidR="00AE3B12" w:rsidRPr="0094288F" w:rsidRDefault="00461DCC" w:rsidP="00D5305B">
            <w:pPr>
              <w:pStyle w:val="Table"/>
              <w:jc w:val="left"/>
              <w:rPr>
                <w:i/>
              </w:rPr>
            </w:pPr>
            <m:oMathPara>
              <m:oMathParaPr>
                <m:jc m:val="left"/>
              </m:oMathParaPr>
              <m:oMath>
                <m:sSub>
                  <m:sSubPr>
                    <m:ctrlPr>
                      <w:rPr>
                        <w:rFonts w:ascii="Cambria Math" w:hAnsi="Cambria Math"/>
                        <w:i/>
                      </w:rPr>
                    </m:ctrlPr>
                  </m:sSubPr>
                  <m:e>
                    <m:r>
                      <w:rPr>
                        <w:rFonts w:ascii="Cambria Math" w:hAnsi="Cambria Math"/>
                      </w:rPr>
                      <m:t>CRU</m:t>
                    </m:r>
                  </m:e>
                  <m:sub>
                    <m:r>
                      <w:rPr>
                        <w:rFonts w:ascii="Cambria Math" w:hAnsi="Cambria Math"/>
                      </w:rPr>
                      <m:t>i,t</m:t>
                    </m:r>
                  </m:sub>
                </m:sSub>
                <m:r>
                  <w:rPr>
                    <w:rFonts w:ascii="Cambria Math" w:hAnsi="Cambria Math"/>
                  </w:rPr>
                  <m:t>(p)</m:t>
                </m:r>
              </m:oMath>
            </m:oMathPara>
          </w:p>
        </w:tc>
        <w:tc>
          <w:tcPr>
            <w:tcW w:w="7736" w:type="dxa"/>
          </w:tcPr>
          <w:p w14:paraId="26D5ADFF" w14:textId="77777777" w:rsidR="00AE3B12" w:rsidRDefault="00AE3B12" w:rsidP="00D5305B">
            <w:pPr>
              <w:pStyle w:val="Table"/>
              <w:jc w:val="left"/>
            </w:pPr>
            <w:r>
              <w:t xml:space="preserve">Incremental energy cost function allocated to Regulation Up schedule of Resource </w:t>
            </w:r>
            <w:r>
              <w:rPr>
                <w:i/>
              </w:rPr>
              <w:t>i</w:t>
            </w:r>
            <w:r>
              <w:t xml:space="preserve"> in time period </w:t>
            </w:r>
            <w:r>
              <w:rPr>
                <w:i/>
              </w:rPr>
              <w:t>t</w:t>
            </w:r>
            <w:r>
              <w:t>.</w:t>
            </w:r>
          </w:p>
        </w:tc>
      </w:tr>
      <w:tr w:rsidR="00AE3B12" w14:paraId="4C2C69D7" w14:textId="77777777" w:rsidTr="00EC7234">
        <w:trPr>
          <w:cantSplit/>
        </w:trPr>
        <w:tc>
          <w:tcPr>
            <w:tcW w:w="1624" w:type="dxa"/>
          </w:tcPr>
          <w:p w14:paraId="627B5FA3" w14:textId="77777777" w:rsidR="00AE3B12" w:rsidRPr="0094288F" w:rsidRDefault="00461DCC" w:rsidP="00D5305B">
            <w:pPr>
              <w:pStyle w:val="Table"/>
              <w:jc w:val="left"/>
              <w:rPr>
                <w:i/>
              </w:rPr>
            </w:pPr>
            <m:oMathPara>
              <m:oMathParaPr>
                <m:jc m:val="left"/>
              </m:oMathParaPr>
              <m:oMath>
                <m:sSub>
                  <m:sSubPr>
                    <m:ctrlPr>
                      <w:rPr>
                        <w:rFonts w:ascii="Cambria Math" w:hAnsi="Cambria Math"/>
                        <w:i/>
                      </w:rPr>
                    </m:ctrlPr>
                  </m:sSubPr>
                  <m:e>
                    <m:r>
                      <w:rPr>
                        <w:rFonts w:ascii="Cambria Math" w:hAnsi="Cambria Math"/>
                      </w:rPr>
                      <m:t>CRD</m:t>
                    </m:r>
                  </m:e>
                  <m:sub>
                    <m:r>
                      <w:rPr>
                        <w:rFonts w:ascii="Cambria Math" w:hAnsi="Cambria Math"/>
                      </w:rPr>
                      <m:t>i,t</m:t>
                    </m:r>
                  </m:sub>
                </m:sSub>
                <m:r>
                  <w:rPr>
                    <w:rFonts w:ascii="Cambria Math" w:hAnsi="Cambria Math"/>
                  </w:rPr>
                  <m:t>(p)</m:t>
                </m:r>
              </m:oMath>
            </m:oMathPara>
          </w:p>
        </w:tc>
        <w:tc>
          <w:tcPr>
            <w:tcW w:w="7736" w:type="dxa"/>
          </w:tcPr>
          <w:p w14:paraId="3210DE49" w14:textId="77777777" w:rsidR="00AE3B12" w:rsidRDefault="00AE3B12" w:rsidP="00D5305B">
            <w:pPr>
              <w:pStyle w:val="Table"/>
              <w:jc w:val="left"/>
            </w:pPr>
            <w:r>
              <w:t xml:space="preserve">Incremental energy cost allocated to Regulation Down schedule of Resource </w:t>
            </w:r>
            <w:r>
              <w:rPr>
                <w:i/>
              </w:rPr>
              <w:t>i</w:t>
            </w:r>
            <w:r>
              <w:t xml:space="preserve"> in time period </w:t>
            </w:r>
            <w:r>
              <w:rPr>
                <w:i/>
              </w:rPr>
              <w:t>t</w:t>
            </w:r>
            <w:r>
              <w:t>.</w:t>
            </w:r>
          </w:p>
        </w:tc>
      </w:tr>
      <w:tr w:rsidR="00AE3B12" w14:paraId="57B80BC1" w14:textId="77777777" w:rsidTr="00EC7234">
        <w:trPr>
          <w:cantSplit/>
        </w:trPr>
        <w:tc>
          <w:tcPr>
            <w:tcW w:w="1624" w:type="dxa"/>
          </w:tcPr>
          <w:p w14:paraId="5EE53658" w14:textId="77777777" w:rsidR="00AE3B12" w:rsidRPr="0094288F" w:rsidRDefault="00AE3B12" w:rsidP="00D5305B">
            <w:pPr>
              <w:pStyle w:val="Table"/>
              <w:jc w:val="left"/>
              <w:rPr>
                <w:i/>
              </w:rPr>
            </w:pPr>
            <w:r>
              <w:rPr>
                <w:i/>
              </w:rPr>
              <w:t>PU</w:t>
            </w:r>
            <w:r>
              <w:rPr>
                <w:i/>
                <w:vertAlign w:val="subscript"/>
              </w:rPr>
              <w:t>H</w:t>
            </w:r>
          </w:p>
        </w:tc>
        <w:tc>
          <w:tcPr>
            <w:tcW w:w="7736" w:type="dxa"/>
          </w:tcPr>
          <w:p w14:paraId="1A62B4A0" w14:textId="77777777" w:rsidR="00AE3B12" w:rsidRDefault="00AE3B12" w:rsidP="00D5305B">
            <w:pPr>
              <w:pStyle w:val="Table"/>
              <w:jc w:val="left"/>
            </w:pPr>
            <w:r>
              <w:t>High penalty price for Regulation Up.</w:t>
            </w:r>
          </w:p>
        </w:tc>
      </w:tr>
      <w:tr w:rsidR="00AE3B12" w14:paraId="133373CC" w14:textId="77777777" w:rsidTr="00EC7234">
        <w:trPr>
          <w:cantSplit/>
        </w:trPr>
        <w:tc>
          <w:tcPr>
            <w:tcW w:w="1624" w:type="dxa"/>
          </w:tcPr>
          <w:p w14:paraId="4AA7DCB4" w14:textId="77777777" w:rsidR="00AE3B12" w:rsidRPr="0094288F" w:rsidRDefault="00AE3B12" w:rsidP="00D5305B">
            <w:pPr>
              <w:pStyle w:val="Table"/>
              <w:jc w:val="left"/>
              <w:rPr>
                <w:i/>
              </w:rPr>
            </w:pPr>
            <w:r>
              <w:rPr>
                <w:i/>
              </w:rPr>
              <w:t>PU</w:t>
            </w:r>
            <w:r>
              <w:rPr>
                <w:i/>
                <w:vertAlign w:val="subscript"/>
              </w:rPr>
              <w:t>L</w:t>
            </w:r>
          </w:p>
        </w:tc>
        <w:tc>
          <w:tcPr>
            <w:tcW w:w="7736" w:type="dxa"/>
          </w:tcPr>
          <w:p w14:paraId="24CACD51" w14:textId="77777777" w:rsidR="00AE3B12" w:rsidRDefault="00AE3B12" w:rsidP="00D5305B">
            <w:pPr>
              <w:pStyle w:val="Table"/>
              <w:jc w:val="left"/>
            </w:pPr>
            <w:r>
              <w:t xml:space="preserve">Low penalty price for Regulation Up; </w:t>
            </w:r>
            <m:oMath>
              <m:r>
                <w:rPr>
                  <w:rFonts w:ascii="Cambria Math" w:hAnsi="Cambria Math"/>
                </w:rPr>
                <m:t>0≪</m:t>
              </m:r>
              <m:sSub>
                <m:sSubPr>
                  <m:ctrlPr>
                    <w:rPr>
                      <w:rFonts w:ascii="Cambria Math" w:hAnsi="Cambria Math"/>
                      <w:i/>
                    </w:rPr>
                  </m:ctrlPr>
                </m:sSubPr>
                <m:e>
                  <m:r>
                    <w:rPr>
                      <w:rFonts w:ascii="Cambria Math" w:hAnsi="Cambria Math"/>
                    </w:rPr>
                    <m:t>PU</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H</m:t>
                  </m:r>
                </m:sub>
              </m:sSub>
            </m:oMath>
            <w:r>
              <w:t>.</w:t>
            </w:r>
          </w:p>
        </w:tc>
      </w:tr>
      <w:tr w:rsidR="00AE3B12" w14:paraId="27C9543D" w14:textId="77777777" w:rsidTr="00EC7234">
        <w:trPr>
          <w:cantSplit/>
        </w:trPr>
        <w:tc>
          <w:tcPr>
            <w:tcW w:w="1624" w:type="dxa"/>
          </w:tcPr>
          <w:p w14:paraId="37EE04A5" w14:textId="77777777" w:rsidR="00AE3B12" w:rsidRPr="0094288F" w:rsidRDefault="00AE3B12" w:rsidP="00D5305B">
            <w:pPr>
              <w:pStyle w:val="Table"/>
              <w:jc w:val="left"/>
              <w:rPr>
                <w:i/>
              </w:rPr>
            </w:pPr>
            <w:r>
              <w:rPr>
                <w:i/>
              </w:rPr>
              <w:t>PD</w:t>
            </w:r>
            <w:r>
              <w:rPr>
                <w:i/>
                <w:vertAlign w:val="subscript"/>
              </w:rPr>
              <w:t>H</w:t>
            </w:r>
          </w:p>
        </w:tc>
        <w:tc>
          <w:tcPr>
            <w:tcW w:w="7736" w:type="dxa"/>
          </w:tcPr>
          <w:p w14:paraId="4134F5DF" w14:textId="77777777" w:rsidR="00AE3B12" w:rsidRDefault="00AE3B12" w:rsidP="00D5305B">
            <w:pPr>
              <w:pStyle w:val="Table"/>
              <w:jc w:val="left"/>
            </w:pPr>
            <w:r>
              <w:t>High penalty price for Regulation Down.</w:t>
            </w:r>
          </w:p>
        </w:tc>
      </w:tr>
      <w:tr w:rsidR="00AE3B12" w14:paraId="1F980FDE" w14:textId="77777777" w:rsidTr="00EC7234">
        <w:trPr>
          <w:cantSplit/>
        </w:trPr>
        <w:tc>
          <w:tcPr>
            <w:tcW w:w="1624" w:type="dxa"/>
          </w:tcPr>
          <w:p w14:paraId="71B17509" w14:textId="77777777" w:rsidR="00AE3B12" w:rsidRPr="0094288F" w:rsidRDefault="00AE3B12" w:rsidP="00D5305B">
            <w:pPr>
              <w:pStyle w:val="Table"/>
              <w:jc w:val="left"/>
              <w:rPr>
                <w:i/>
              </w:rPr>
            </w:pPr>
            <w:r>
              <w:rPr>
                <w:i/>
              </w:rPr>
              <w:t>PU</w:t>
            </w:r>
            <w:r>
              <w:rPr>
                <w:i/>
                <w:vertAlign w:val="subscript"/>
              </w:rPr>
              <w:t>L</w:t>
            </w:r>
          </w:p>
        </w:tc>
        <w:tc>
          <w:tcPr>
            <w:tcW w:w="7736" w:type="dxa"/>
          </w:tcPr>
          <w:p w14:paraId="3FE3C20C" w14:textId="77777777" w:rsidR="00AE3B12" w:rsidRDefault="00AE3B12" w:rsidP="00D5305B">
            <w:pPr>
              <w:pStyle w:val="Table"/>
              <w:jc w:val="left"/>
            </w:pPr>
            <w:r>
              <w:t xml:space="preserve">Low penalty price for Regulation Down; </w:t>
            </w:r>
            <m:oMath>
              <m:sSub>
                <m:sSubPr>
                  <m:ctrlPr>
                    <w:rPr>
                      <w:rFonts w:ascii="Cambria Math" w:hAnsi="Cambria Math"/>
                      <w:i/>
                    </w:rPr>
                  </m:ctrlPr>
                </m:sSubPr>
                <m:e>
                  <m:r>
                    <w:rPr>
                      <w:rFonts w:ascii="Cambria Math" w:hAnsi="Cambria Math"/>
                    </w:rPr>
                    <m:t>PD</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H</m:t>
                  </m:r>
                </m:sub>
              </m:sSub>
              <m:r>
                <w:rPr>
                  <w:rFonts w:ascii="Cambria Math" w:hAnsi="Cambria Math"/>
                </w:rPr>
                <m:t>≪0</m:t>
              </m:r>
            </m:oMath>
            <w:r>
              <w:t>.</w:t>
            </w:r>
          </w:p>
        </w:tc>
      </w:tr>
      <w:tr w:rsidR="00AE3B12" w14:paraId="6C5A6864" w14:textId="77777777" w:rsidTr="00EC7234">
        <w:trPr>
          <w:cantSplit/>
        </w:trPr>
        <w:tc>
          <w:tcPr>
            <w:tcW w:w="1624" w:type="dxa"/>
          </w:tcPr>
          <w:p w14:paraId="27A57265" w14:textId="77777777" w:rsidR="00AE3B12" w:rsidRDefault="00AE3B12" w:rsidP="00D5305B">
            <w:pPr>
              <w:pStyle w:val="Table"/>
              <w:jc w:val="left"/>
              <w:rPr>
                <w:i/>
              </w:rPr>
            </w:pPr>
            <w:r>
              <w:rPr>
                <w:i/>
              </w:rPr>
              <w:t>A</w:t>
            </w:r>
            <w:r w:rsidRPr="00D00802">
              <w:rPr>
                <w:i/>
                <w:vertAlign w:val="subscript"/>
              </w:rPr>
              <w:t>U</w:t>
            </w:r>
          </w:p>
        </w:tc>
        <w:tc>
          <w:tcPr>
            <w:tcW w:w="7736" w:type="dxa"/>
          </w:tcPr>
          <w:p w14:paraId="11224FC1" w14:textId="77777777" w:rsidR="00AE3B12" w:rsidRDefault="00AE3B12" w:rsidP="00D5305B">
            <w:pPr>
              <w:pStyle w:val="Table"/>
              <w:jc w:val="left"/>
            </w:pPr>
            <w:r>
              <w:t>Linear penalty price transformation coefficient for Regulation Up.</w:t>
            </w:r>
          </w:p>
        </w:tc>
      </w:tr>
      <w:tr w:rsidR="00AE3B12" w14:paraId="6AADDB6C" w14:textId="77777777" w:rsidTr="00EC7234">
        <w:trPr>
          <w:cantSplit/>
        </w:trPr>
        <w:tc>
          <w:tcPr>
            <w:tcW w:w="1624" w:type="dxa"/>
          </w:tcPr>
          <w:p w14:paraId="6363B6E4" w14:textId="77777777" w:rsidR="00AE3B12" w:rsidRDefault="00AE3B12" w:rsidP="00D5305B">
            <w:pPr>
              <w:pStyle w:val="Table"/>
              <w:jc w:val="left"/>
              <w:rPr>
                <w:i/>
              </w:rPr>
            </w:pPr>
            <w:r>
              <w:rPr>
                <w:i/>
              </w:rPr>
              <w:t>B</w:t>
            </w:r>
            <w:r w:rsidRPr="00D00802">
              <w:rPr>
                <w:i/>
                <w:vertAlign w:val="subscript"/>
              </w:rPr>
              <w:t>U</w:t>
            </w:r>
          </w:p>
        </w:tc>
        <w:tc>
          <w:tcPr>
            <w:tcW w:w="7736" w:type="dxa"/>
          </w:tcPr>
          <w:p w14:paraId="036C3EB2" w14:textId="77777777" w:rsidR="00AE3B12" w:rsidRDefault="00AE3B12" w:rsidP="00D5305B">
            <w:pPr>
              <w:pStyle w:val="Table"/>
              <w:jc w:val="left"/>
            </w:pPr>
            <w:r>
              <w:t>Constant penalty price transformation for Regulation Up.</w:t>
            </w:r>
          </w:p>
        </w:tc>
      </w:tr>
      <w:tr w:rsidR="00AE3B12" w14:paraId="4F6A0D4F" w14:textId="77777777" w:rsidTr="00EC7234">
        <w:trPr>
          <w:cantSplit/>
        </w:trPr>
        <w:tc>
          <w:tcPr>
            <w:tcW w:w="1624" w:type="dxa"/>
          </w:tcPr>
          <w:p w14:paraId="2AC7B73F" w14:textId="77777777" w:rsidR="00AE3B12" w:rsidRDefault="00AE3B12" w:rsidP="00D5305B">
            <w:pPr>
              <w:pStyle w:val="Table"/>
              <w:jc w:val="left"/>
              <w:rPr>
                <w:i/>
              </w:rPr>
            </w:pPr>
            <w:r>
              <w:rPr>
                <w:i/>
              </w:rPr>
              <w:t>A</w:t>
            </w:r>
            <w:r w:rsidRPr="00D00802">
              <w:rPr>
                <w:i/>
                <w:vertAlign w:val="subscript"/>
              </w:rPr>
              <w:t>D</w:t>
            </w:r>
          </w:p>
        </w:tc>
        <w:tc>
          <w:tcPr>
            <w:tcW w:w="7736" w:type="dxa"/>
          </w:tcPr>
          <w:p w14:paraId="4ACDACC6" w14:textId="77777777" w:rsidR="00AE3B12" w:rsidRDefault="00AE3B12" w:rsidP="00D5305B">
            <w:pPr>
              <w:pStyle w:val="Table"/>
              <w:jc w:val="left"/>
            </w:pPr>
            <w:r>
              <w:t>Linear penalty price transformation coefficient for Regulation Down.</w:t>
            </w:r>
          </w:p>
        </w:tc>
      </w:tr>
      <w:tr w:rsidR="00AE3B12" w14:paraId="61E86BAC" w14:textId="77777777" w:rsidTr="00EC7234">
        <w:trPr>
          <w:cantSplit/>
        </w:trPr>
        <w:tc>
          <w:tcPr>
            <w:tcW w:w="1624" w:type="dxa"/>
          </w:tcPr>
          <w:p w14:paraId="328D6053" w14:textId="77777777" w:rsidR="00AE3B12" w:rsidRDefault="00AE3B12" w:rsidP="00D5305B">
            <w:pPr>
              <w:pStyle w:val="Table"/>
              <w:jc w:val="left"/>
              <w:rPr>
                <w:i/>
              </w:rPr>
            </w:pPr>
            <w:r>
              <w:rPr>
                <w:i/>
              </w:rPr>
              <w:t>B</w:t>
            </w:r>
            <w:r w:rsidRPr="00D00802">
              <w:rPr>
                <w:i/>
                <w:vertAlign w:val="subscript"/>
              </w:rPr>
              <w:t>D</w:t>
            </w:r>
          </w:p>
        </w:tc>
        <w:tc>
          <w:tcPr>
            <w:tcW w:w="7736" w:type="dxa"/>
          </w:tcPr>
          <w:p w14:paraId="74B514B5" w14:textId="77777777" w:rsidR="00AE3B12" w:rsidRDefault="00AE3B12" w:rsidP="00D5305B">
            <w:pPr>
              <w:pStyle w:val="Table"/>
              <w:jc w:val="left"/>
            </w:pPr>
            <w:r>
              <w:t>Constant penalty price transformation for Regulation Down.</w:t>
            </w:r>
          </w:p>
        </w:tc>
      </w:tr>
    </w:tbl>
    <w:p w14:paraId="2C779282" w14:textId="77777777" w:rsidR="00AE3B12" w:rsidRDefault="00AE3B12" w:rsidP="00877DDB">
      <w:pPr>
        <w:pStyle w:val="BPM"/>
      </w:pPr>
      <w:r>
        <w:t>The contribution of Regulation dispatch in the Scheduling Run objective function is as follows:</w:t>
      </w:r>
    </w:p>
    <w:p w14:paraId="023C43B9" w14:textId="77777777" w:rsidR="00AE3B12" w:rsidRPr="00875BAD" w:rsidRDefault="00AE3B12" w:rsidP="00AE3B12">
      <w:pPr>
        <w:pStyle w:val="Equation"/>
      </w:pPr>
      <m:oMathPara>
        <m:oMath>
          <m:r>
            <w:rPr>
              <w:rFonts w:ascii="Cambria Math" w:hAnsi="Cambria Math"/>
            </w:rPr>
            <m:t>C=…+</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RU</m:t>
                              </m:r>
                            </m:e>
                            <m:sub>
                              <m:r>
                                <w:rPr>
                                  <w:rFonts w:ascii="Cambria Math" w:hAnsi="Cambria Math"/>
                                </w:rPr>
                                <m:t>i,t</m:t>
                              </m:r>
                            </m:sub>
                          </m:sSub>
                        </m:sup>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 xml:space="preserve"> </m:t>
                              </m:r>
                              <m:sSub>
                                <m:sSubPr>
                                  <m:ctrlPr>
                                    <w:rPr>
                                      <w:rFonts w:ascii="Cambria Math" w:hAnsi="Cambria Math"/>
                                      <w:i/>
                                    </w:rPr>
                                  </m:ctrlPr>
                                </m:sSubPr>
                                <m:e>
                                  <m:r>
                                    <w:rPr>
                                      <w:rFonts w:ascii="Cambria Math" w:hAnsi="Cambria Math"/>
                                    </w:rPr>
                                    <m:t>CRU</m:t>
                                  </m:r>
                                </m:e>
                                <m:sub>
                                  <m:r>
                                    <w:rPr>
                                      <w:rFonts w:ascii="Cambria Math" w:hAnsi="Cambria Math"/>
                                    </w:rPr>
                                    <m:t>i,t</m:t>
                                  </m:r>
                                </m:sub>
                              </m:sSub>
                              <m:r>
                                <w:rPr>
                                  <w:rFonts w:ascii="Cambria Math" w:hAnsi="Cambria Math"/>
                                </w:rPr>
                                <m:t>(p)+</m:t>
                              </m:r>
                              <m:sSub>
                                <m:sSubPr>
                                  <m:ctrlPr>
                                    <w:rPr>
                                      <w:rFonts w:ascii="Cambria Math" w:hAnsi="Cambria Math"/>
                                      <w:i/>
                                    </w:rPr>
                                  </m:ctrlPr>
                                </m:sSubPr>
                                <m:e>
                                  <m:r>
                                    <w:rPr>
                                      <w:rFonts w:ascii="Cambria Math" w:hAnsi="Cambria Math"/>
                                    </w:rPr>
                                    <m:t>B</m:t>
                                  </m:r>
                                </m:e>
                                <m:sub>
                                  <m:r>
                                    <w:rPr>
                                      <w:rFonts w:ascii="Cambria Math" w:hAnsi="Cambria Math"/>
                                    </w:rPr>
                                    <m:t>U</m:t>
                                  </m:r>
                                </m:sub>
                              </m:sSub>
                            </m:e>
                          </m:d>
                          <m:r>
                            <w:rPr>
                              <w:rFonts w:ascii="Cambria Math" w:hAnsi="Cambria Math"/>
                            </w:rPr>
                            <m:t xml:space="preserve"> dp</m:t>
                          </m:r>
                        </m:e>
                      </m:nary>
                    </m:e>
                  </m:nary>
                  <m:r>
                    <w:rPr>
                      <w:rFonts w:ascii="Cambria Math" w:hAnsi="Cambria Math"/>
                    </w:rPr>
                    <m:t xml:space="preserve"> </m:t>
                  </m:r>
                </m:e>
              </m:nary>
            </m:e>
          </m:nary>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RD</m:t>
                              </m:r>
                            </m:e>
                            <m:sub>
                              <m:r>
                                <w:rPr>
                                  <w:rFonts w:ascii="Cambria Math" w:hAnsi="Cambria Math"/>
                                </w:rPr>
                                <m:t>i,t</m:t>
                              </m:r>
                            </m:sub>
                          </m:sSub>
                        </m:sup>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CRD</m:t>
                                  </m:r>
                                </m:e>
                                <m:sub>
                                  <m:r>
                                    <w:rPr>
                                      <w:rFonts w:ascii="Cambria Math" w:hAnsi="Cambria Math"/>
                                    </w:rPr>
                                    <m:t>i,t</m:t>
                                  </m:r>
                                </m:sub>
                              </m:sSub>
                              <m:r>
                                <w:rPr>
                                  <w:rFonts w:ascii="Cambria Math" w:hAnsi="Cambria Math"/>
                                </w:rPr>
                                <m:t>(p)+</m:t>
                              </m:r>
                              <m:sSub>
                                <m:sSubPr>
                                  <m:ctrlPr>
                                    <w:rPr>
                                      <w:rFonts w:ascii="Cambria Math" w:hAnsi="Cambria Math"/>
                                      <w:i/>
                                    </w:rPr>
                                  </m:ctrlPr>
                                </m:sSubPr>
                                <m:e>
                                  <m:r>
                                    <w:rPr>
                                      <w:rFonts w:ascii="Cambria Math" w:hAnsi="Cambria Math"/>
                                    </w:rPr>
                                    <m:t>B</m:t>
                                  </m:r>
                                </m:e>
                                <m:sub>
                                  <m:r>
                                    <w:rPr>
                                      <w:rFonts w:ascii="Cambria Math" w:hAnsi="Cambria Math"/>
                                    </w:rPr>
                                    <m:t>D</m:t>
                                  </m:r>
                                </m:sub>
                              </m:sSub>
                            </m:e>
                          </m:d>
                          <m:r>
                            <w:rPr>
                              <w:rFonts w:ascii="Cambria Math" w:hAnsi="Cambria Math"/>
                            </w:rPr>
                            <m:t xml:space="preserve"> dp</m:t>
                          </m:r>
                        </m:e>
                      </m:nary>
                    </m:e>
                  </m:nary>
                  <m:r>
                    <w:rPr>
                      <w:rFonts w:ascii="Cambria Math" w:hAnsi="Cambria Math"/>
                    </w:rPr>
                    <m:t xml:space="preserve"> </m:t>
                  </m:r>
                </m:e>
              </m:nary>
            </m:e>
          </m:nary>
        </m:oMath>
      </m:oMathPara>
    </w:p>
    <w:p w14:paraId="5CFEB00D" w14:textId="77777777" w:rsidR="00AE3B12" w:rsidRDefault="00AE3B12" w:rsidP="00877DDB">
      <w:pPr>
        <w:pStyle w:val="BPM"/>
      </w:pPr>
      <w:r>
        <w:t>Where the linear transformation parameters for the economically differentiated penalty prices are derived as follows:</w:t>
      </w:r>
    </w:p>
    <w:p w14:paraId="31B4C422" w14:textId="77777777" w:rsidR="00AE3B12" w:rsidRPr="00E93DE7" w:rsidRDefault="00461DCC" w:rsidP="00AE3B12">
      <w:pPr>
        <w:pStyle w:val="Equation"/>
      </w:pPr>
      <m:oMathPara>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PU</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L</m:t>
                                </m:r>
                              </m:sub>
                            </m:sSub>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CRU</m:t>
                                        </m:r>
                                      </m:e>
                                      <m:sub>
                                        <m:r>
                                          <w:rPr>
                                            <w:rFonts w:ascii="Cambria Math" w:hAnsi="Cambria Math"/>
                                          </w:rPr>
                                          <m:t>i,t</m:t>
                                        </m:r>
                                      </m:sub>
                                    </m:sSub>
                                    <m:d>
                                      <m:dPr>
                                        <m:ctrlPr>
                                          <w:rPr>
                                            <w:rFonts w:ascii="Cambria Math" w:hAnsi="Cambria Math"/>
                                            <w:i/>
                                          </w:rPr>
                                        </m:ctrlPr>
                                      </m:dPr>
                                      <m:e>
                                        <m:r>
                                          <w:rPr>
                                            <w:rFonts w:ascii="Cambria Math" w:hAnsi="Cambria Math"/>
                                          </w:rPr>
                                          <m:t>p</m:t>
                                        </m:r>
                                      </m:e>
                                    </m:d>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CRU</m:t>
                                        </m:r>
                                      </m:e>
                                      <m:sub>
                                        <m:r>
                                          <w:rPr>
                                            <w:rFonts w:ascii="Cambria Math" w:hAnsi="Cambria Math"/>
                                          </w:rPr>
                                          <m:t>i,t</m:t>
                                        </m:r>
                                      </m:sub>
                                    </m:sSub>
                                    <m:d>
                                      <m:dPr>
                                        <m:ctrlPr>
                                          <w:rPr>
                                            <w:rFonts w:ascii="Cambria Math" w:hAnsi="Cambria Math"/>
                                            <w:i/>
                                          </w:rPr>
                                        </m:ctrlPr>
                                      </m:dPr>
                                      <m:e>
                                        <m:r>
                                          <w:rPr>
                                            <w:rFonts w:ascii="Cambria Math" w:hAnsi="Cambria Math"/>
                                          </w:rPr>
                                          <m:t>p</m:t>
                                        </m:r>
                                      </m:e>
                                    </m:d>
                                  </m:e>
                                </m:d>
                              </m:e>
                            </m:func>
                          </m:den>
                        </m:f>
                      </m:e>
                    </m:d>
                  </m:e>
                </m:func>
              </m:e>
            </m:mr>
            <m:mr>
              <m:e>
                <m:sSub>
                  <m:sSubPr>
                    <m:ctrlPr>
                      <w:rPr>
                        <w:rFonts w:ascii="Cambria Math" w:hAnsi="Cambria Math"/>
                        <w:i/>
                      </w:rPr>
                    </m:ctrlPr>
                  </m:sSubPr>
                  <m:e>
                    <m:r>
                      <w:rPr>
                        <w:rFonts w:ascii="Cambria Math" w:hAnsi="Cambria Math"/>
                      </w:rPr>
                      <m:t>B</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CRU</m:t>
                            </m:r>
                          </m:e>
                          <m:sub>
                            <m:r>
                              <w:rPr>
                                <w:rFonts w:ascii="Cambria Math" w:hAnsi="Cambria Math"/>
                              </w:rPr>
                              <m:t>i,t</m:t>
                            </m:r>
                          </m:sub>
                        </m:sSub>
                        <m:d>
                          <m:dPr>
                            <m:ctrlPr>
                              <w:rPr>
                                <w:rFonts w:ascii="Cambria Math" w:hAnsi="Cambria Math"/>
                                <w:i/>
                              </w:rPr>
                            </m:ctrlPr>
                          </m:dPr>
                          <m:e>
                            <m:r>
                              <w:rPr>
                                <w:rFonts w:ascii="Cambria Math" w:hAnsi="Cambria Math"/>
                              </w:rPr>
                              <m:t>p</m:t>
                            </m:r>
                          </m:e>
                        </m:d>
                      </m:e>
                    </m:d>
                  </m:e>
                </m:func>
              </m:e>
            </m:mr>
          </m:m>
        </m:oMath>
      </m:oMathPara>
    </w:p>
    <w:p w14:paraId="7ED51BEC" w14:textId="77777777" w:rsidR="00AE3B12" w:rsidRPr="00E93DE7" w:rsidRDefault="00461DCC" w:rsidP="00AE3B12">
      <w:pPr>
        <w:pStyle w:val="Equation"/>
      </w:pPr>
      <m:oMathPara>
        <m:oMath>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PD</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L</m:t>
                                </m:r>
                              </m:sub>
                            </m:sSub>
                          </m:num>
                          <m:den>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CRD</m:t>
                                        </m:r>
                                      </m:e>
                                      <m:sub>
                                        <m:r>
                                          <w:rPr>
                                            <w:rFonts w:ascii="Cambria Math" w:hAnsi="Cambria Math"/>
                                          </w:rPr>
                                          <m:t>i,t</m:t>
                                        </m:r>
                                      </m:sub>
                                    </m:sSub>
                                    <m:d>
                                      <m:dPr>
                                        <m:ctrlPr>
                                          <w:rPr>
                                            <w:rFonts w:ascii="Cambria Math" w:hAnsi="Cambria Math"/>
                                            <w:i/>
                                          </w:rPr>
                                        </m:ctrlPr>
                                      </m:dPr>
                                      <m:e>
                                        <m:r>
                                          <w:rPr>
                                            <w:rFonts w:ascii="Cambria Math" w:hAnsi="Cambria Math"/>
                                          </w:rPr>
                                          <m:t>p</m:t>
                                        </m:r>
                                      </m:e>
                                    </m:d>
                                  </m:e>
                                </m:d>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CRD</m:t>
                                        </m:r>
                                      </m:e>
                                      <m:sub>
                                        <m:r>
                                          <w:rPr>
                                            <w:rFonts w:ascii="Cambria Math" w:hAnsi="Cambria Math"/>
                                          </w:rPr>
                                          <m:t>i,t</m:t>
                                        </m:r>
                                      </m:sub>
                                    </m:sSub>
                                    <m:d>
                                      <m:dPr>
                                        <m:ctrlPr>
                                          <w:rPr>
                                            <w:rFonts w:ascii="Cambria Math" w:hAnsi="Cambria Math"/>
                                            <w:i/>
                                          </w:rPr>
                                        </m:ctrlPr>
                                      </m:dPr>
                                      <m:e>
                                        <m:r>
                                          <w:rPr>
                                            <w:rFonts w:ascii="Cambria Math" w:hAnsi="Cambria Math"/>
                                          </w:rPr>
                                          <m:t>p</m:t>
                                        </m:r>
                                      </m:e>
                                    </m:d>
                                  </m:e>
                                </m:d>
                              </m:e>
                            </m:func>
                          </m:den>
                        </m:f>
                      </m:e>
                    </m:d>
                  </m:e>
                </m:func>
              </m:e>
            </m:mr>
            <m:mr>
              <m:e>
                <m:sSub>
                  <m:sSubPr>
                    <m:ctrlPr>
                      <w:rPr>
                        <w:rFonts w:ascii="Cambria Math" w:hAnsi="Cambria Math"/>
                        <w:i/>
                      </w:rPr>
                    </m:ctrlPr>
                  </m:sSubPr>
                  <m:e>
                    <m:r>
                      <w:rPr>
                        <w:rFonts w:ascii="Cambria Math" w:hAnsi="Cambria Math"/>
                      </w:rPr>
                      <m:t>B</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PD</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D</m:t>
                    </m:r>
                  </m:sub>
                </m:sSub>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r>
                          <w:rPr>
                            <w:rFonts w:ascii="Cambria Math" w:hAnsi="Cambria Math"/>
                          </w:rPr>
                          <m:t>i,t</m:t>
                        </m:r>
                      </m:lim>
                    </m:limLow>
                  </m:fName>
                  <m:e>
                    <m:d>
                      <m:dPr>
                        <m:ctrlPr>
                          <w:rPr>
                            <w:rFonts w:ascii="Cambria Math" w:hAnsi="Cambria Math"/>
                            <w:i/>
                          </w:rPr>
                        </m:ctrlPr>
                      </m:dPr>
                      <m:e>
                        <m:sSub>
                          <m:sSubPr>
                            <m:ctrlPr>
                              <w:rPr>
                                <w:rFonts w:ascii="Cambria Math" w:hAnsi="Cambria Math"/>
                                <w:i/>
                              </w:rPr>
                            </m:ctrlPr>
                          </m:sSubPr>
                          <m:e>
                            <m:r>
                              <w:rPr>
                                <w:rFonts w:ascii="Cambria Math" w:hAnsi="Cambria Math"/>
                              </w:rPr>
                              <m:t>CRD</m:t>
                            </m:r>
                          </m:e>
                          <m:sub>
                            <m:r>
                              <w:rPr>
                                <w:rFonts w:ascii="Cambria Math" w:hAnsi="Cambria Math"/>
                              </w:rPr>
                              <m:t>i,t</m:t>
                            </m:r>
                          </m:sub>
                        </m:sSub>
                        <m:d>
                          <m:dPr>
                            <m:ctrlPr>
                              <w:rPr>
                                <w:rFonts w:ascii="Cambria Math" w:hAnsi="Cambria Math"/>
                                <w:i/>
                              </w:rPr>
                            </m:ctrlPr>
                          </m:dPr>
                          <m:e>
                            <m:r>
                              <w:rPr>
                                <w:rFonts w:ascii="Cambria Math" w:hAnsi="Cambria Math"/>
                              </w:rPr>
                              <m:t>p</m:t>
                            </m:r>
                          </m:e>
                        </m:d>
                      </m:e>
                    </m:d>
                  </m:e>
                </m:func>
              </m:e>
            </m:mr>
          </m:m>
        </m:oMath>
      </m:oMathPara>
    </w:p>
    <w:p w14:paraId="509D2931" w14:textId="762166C8" w:rsidR="00E44654" w:rsidRPr="00E93DE7" w:rsidRDefault="00E44654" w:rsidP="00877DDB">
      <w:pPr>
        <w:pStyle w:val="BPM"/>
      </w:pPr>
      <w:r>
        <w:lastRenderedPageBreak/>
        <w:t>Regulation Up/Down dispatch in the Scheduling Run is prevented when the</w:t>
      </w:r>
      <w:r w:rsidR="005F24C1">
        <w:t xml:space="preserve"> WEIM </w:t>
      </w:r>
      <w:r>
        <w:t>Transfer is higher/lower than the base</w:t>
      </w:r>
      <w:r w:rsidR="005F24C1">
        <w:t xml:space="preserve"> WEIM </w:t>
      </w:r>
      <w:r>
        <w:t>Transfer for the</w:t>
      </w:r>
      <w:r w:rsidR="005F24C1">
        <w:t xml:space="preserve"> WEIM </w:t>
      </w:r>
      <w:r>
        <w:t>BAA as follows:</w:t>
      </w:r>
    </w:p>
    <w:p w14:paraId="38420B67" w14:textId="77777777" w:rsidR="00E44654" w:rsidRPr="003D5F2D" w:rsidRDefault="00461DCC" w:rsidP="00E44654">
      <w:pPr>
        <w:pStyle w:val="Paragraph"/>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k,t</m:t>
                        </m:r>
                      </m:sub>
                    </m:sSub>
                    <m:r>
                      <w:rPr>
                        <w:rFonts w:ascii="Cambria Math" w:hAnsi="Cambria Math"/>
                      </w:rPr>
                      <m:t>&gt;</m:t>
                    </m:r>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k,t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sSub>
                          <m:sSubPr>
                            <m:ctrlPr>
                              <w:rPr>
                                <w:rFonts w:ascii="Cambria Math" w:hAnsi="Cambria Math"/>
                                <w:i/>
                              </w:rPr>
                            </m:ctrlPr>
                          </m:sSubPr>
                          <m:e>
                            <m:r>
                              <w:rPr>
                                <w:rFonts w:ascii="Cambria Math" w:hAnsi="Cambria Math"/>
                              </w:rPr>
                              <m:t>RU</m:t>
                            </m:r>
                          </m:e>
                          <m:sub>
                            <m:r>
                              <w:rPr>
                                <w:rFonts w:ascii="Cambria Math" w:hAnsi="Cambria Math"/>
                              </w:rPr>
                              <m:t>i,t</m:t>
                            </m:r>
                          </m:sub>
                        </m:sSub>
                      </m:e>
                    </m:nary>
                    <m:r>
                      <w:rPr>
                        <w:rFonts w:ascii="Cambria Math" w:hAnsi="Cambria Math"/>
                      </w:rPr>
                      <m:t>=0</m:t>
                    </m:r>
                  </m:e>
                </m:mr>
                <m:mr>
                  <m:e>
                    <m:sSub>
                      <m:sSubPr>
                        <m:ctrlPr>
                          <w:rPr>
                            <w:rFonts w:ascii="Cambria Math" w:hAnsi="Cambria Math"/>
                            <w:i/>
                          </w:rPr>
                        </m:ctrlPr>
                      </m:sSubPr>
                      <m:e>
                        <m:r>
                          <w:rPr>
                            <w:rFonts w:ascii="Cambria Math" w:hAnsi="Cambria Math"/>
                          </w:rPr>
                          <m:t>T</m:t>
                        </m:r>
                      </m:e>
                      <m:sub>
                        <m:r>
                          <w:rPr>
                            <w:rFonts w:ascii="Cambria Math" w:hAnsi="Cambria Math"/>
                          </w:rPr>
                          <m:t>k,t</m:t>
                        </m:r>
                      </m:sub>
                    </m:sSub>
                    <m:r>
                      <w:rPr>
                        <w:rFonts w:ascii="Cambria Math" w:hAnsi="Cambria Math"/>
                      </w:rPr>
                      <m:t>&lt;</m:t>
                    </m:r>
                    <m:sSub>
                      <m:sSubPr>
                        <m:ctrlPr>
                          <w:rPr>
                            <w:rFonts w:ascii="Cambria Math" w:hAnsi="Cambria Math"/>
                            <w:i/>
                          </w:rPr>
                        </m:ctrlPr>
                      </m:sSubPr>
                      <m:e>
                        <m:acc>
                          <m:accPr>
                            <m:chr m:val="̅"/>
                            <m:ctrlPr>
                              <w:rPr>
                                <w:rFonts w:ascii="Cambria Math" w:hAnsi="Cambria Math"/>
                                <w:i/>
                              </w:rPr>
                            </m:ctrlPr>
                          </m:accPr>
                          <m:e>
                            <m:r>
                              <w:rPr>
                                <w:rFonts w:ascii="Cambria Math" w:hAnsi="Cambria Math"/>
                              </w:rPr>
                              <m:t>T</m:t>
                            </m:r>
                          </m:e>
                        </m:acc>
                      </m:e>
                      <m:sub>
                        <m:r>
                          <w:rPr>
                            <w:rFonts w:ascii="Cambria Math" w:hAnsi="Cambria Math"/>
                          </w:rPr>
                          <m:t>k,t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Sub>
                          <m:sSubPr>
                            <m:ctrlPr>
                              <w:rPr>
                                <w:rFonts w:ascii="Cambria Math" w:hAnsi="Cambria Math"/>
                                <w:i/>
                              </w:rPr>
                            </m:ctrlPr>
                          </m:sSubPr>
                          <m:e>
                            <m:r>
                              <w:rPr>
                                <w:rFonts w:ascii="Cambria Math" w:hAnsi="Cambria Math"/>
                              </w:rPr>
                              <m:t>R</m:t>
                            </m:r>
                          </m:e>
                          <m:sub>
                            <m:r>
                              <w:rPr>
                                <w:rFonts w:ascii="Cambria Math" w:hAnsi="Cambria Math"/>
                              </w:rPr>
                              <m:t>k</m:t>
                            </m:r>
                          </m:sub>
                        </m:sSub>
                      </m:sub>
                      <m:sup/>
                      <m:e>
                        <m:sSub>
                          <m:sSubPr>
                            <m:ctrlPr>
                              <w:rPr>
                                <w:rFonts w:ascii="Cambria Math" w:hAnsi="Cambria Math"/>
                                <w:i/>
                              </w:rPr>
                            </m:ctrlPr>
                          </m:sSubPr>
                          <m:e>
                            <m:r>
                              <w:rPr>
                                <w:rFonts w:ascii="Cambria Math" w:hAnsi="Cambria Math"/>
                              </w:rPr>
                              <m:t>RD</m:t>
                            </m:r>
                          </m:e>
                          <m:sub>
                            <m:r>
                              <w:rPr>
                                <w:rFonts w:ascii="Cambria Math" w:hAnsi="Cambria Math"/>
                              </w:rPr>
                              <m:t>i,t</m:t>
                            </m:r>
                          </m:sub>
                        </m:sSub>
                      </m:e>
                    </m:nary>
                    <m:r>
                      <w:rPr>
                        <w:rFonts w:ascii="Cambria Math" w:hAnsi="Cambria Math"/>
                      </w:rPr>
                      <m:t>=0</m:t>
                    </m:r>
                  </m:e>
                </m:mr>
              </m:m>
            </m:e>
          </m:d>
          <m:r>
            <w:rPr>
              <w:rFonts w:ascii="Cambria Math" w:hAnsi="Cambria Math"/>
            </w:rPr>
            <m:t>, ∀k,t</m:t>
          </m:r>
        </m:oMath>
      </m:oMathPara>
    </w:p>
    <w:p w14:paraId="58BC36A6" w14:textId="77777777" w:rsidR="00E44654" w:rsidRDefault="00E44654" w:rsidP="00877DDB">
      <w:pPr>
        <w:pStyle w:val="BPM"/>
      </w:pPr>
      <w:r>
        <w:t>Regulation Up/Down dispatch in the Scheduling Run is also limited by the base Regulation schedule as follows:</w:t>
      </w:r>
    </w:p>
    <w:p w14:paraId="6F7569FE"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RU</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RU</m:t>
                  </m:r>
                </m:e>
              </m:acc>
            </m:e>
            <m:sub>
              <m:r>
                <w:rPr>
                  <w:rFonts w:ascii="Cambria Math" w:hAnsi="Cambria Math"/>
                </w:rPr>
                <m:t>i,t</m:t>
              </m:r>
            </m:sub>
          </m:sSub>
          <m:r>
            <w:rPr>
              <w:rFonts w:ascii="Cambria Math" w:hAnsi="Cambria Math"/>
            </w:rPr>
            <m:t>, ∀i,t</m:t>
          </m:r>
        </m:oMath>
      </m:oMathPara>
    </w:p>
    <w:p w14:paraId="06702213"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RD</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RD</m:t>
                  </m:r>
                </m:e>
              </m:acc>
            </m:e>
            <m:sub>
              <m:r>
                <w:rPr>
                  <w:rFonts w:ascii="Cambria Math" w:hAnsi="Cambria Math"/>
                </w:rPr>
                <m:t>i,t</m:t>
              </m:r>
            </m:sub>
          </m:sSub>
          <m:r>
            <w:rPr>
              <w:rFonts w:ascii="Cambria Math" w:hAnsi="Cambria Math"/>
            </w:rPr>
            <m:t>, ∀i,t</m:t>
          </m:r>
        </m:oMath>
      </m:oMathPara>
    </w:p>
    <w:p w14:paraId="16D7DC7E" w14:textId="77777777" w:rsidR="00AE3B12" w:rsidRDefault="00AE3B12" w:rsidP="00877DDB">
      <w:pPr>
        <w:pStyle w:val="BPM"/>
      </w:pPr>
      <w:r>
        <w:t>Whereas the Regulation dispatch in the Pricing Run is limited by the optimal dispatch in the Scheduling Run as follows:</w:t>
      </w:r>
    </w:p>
    <w:p w14:paraId="723279FA"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RU</m:t>
              </m:r>
            </m:e>
            <m:sub>
              <m:r>
                <w:rPr>
                  <w:rFonts w:ascii="Cambria Math" w:hAnsi="Cambria Math"/>
                </w:rPr>
                <m:t>i,t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RU</m:t>
                  </m:r>
                </m:e>
              </m:acc>
            </m:e>
            <m:sub>
              <m:r>
                <w:rPr>
                  <w:rFonts w:ascii="Cambria Math" w:hAnsi="Cambria Math"/>
                </w:rPr>
                <m:t>i,t</m:t>
              </m:r>
            </m:sub>
          </m:sSub>
          <m:r>
            <w:rPr>
              <w:rFonts w:ascii="Cambria Math" w:hAnsi="Cambria Math"/>
            </w:rPr>
            <m:t>, ∀i,t</m:t>
          </m:r>
        </m:oMath>
      </m:oMathPara>
    </w:p>
    <w:p w14:paraId="157E7278" w14:textId="77777777" w:rsidR="00AE3B12" w:rsidRPr="003D5F2D" w:rsidRDefault="00AE3B12" w:rsidP="00AE3B12">
      <w:pPr>
        <w:pStyle w:val="Paragraph"/>
      </w:pPr>
      <m:oMathPara>
        <m:oMath>
          <m:r>
            <w:rPr>
              <w:rFonts w:ascii="Cambria Math" w:hAnsi="Cambria Math"/>
            </w:rPr>
            <m:t>0≥</m:t>
          </m:r>
          <m:sSub>
            <m:sSubPr>
              <m:ctrlPr>
                <w:rPr>
                  <w:rFonts w:ascii="Cambria Math" w:hAnsi="Cambria Math"/>
                  <w:i/>
                </w:rPr>
              </m:ctrlPr>
            </m:sSubPr>
            <m:e>
              <m:r>
                <w:rPr>
                  <w:rFonts w:ascii="Cambria Math" w:hAnsi="Cambria Math"/>
                </w:rPr>
                <m:t>RD</m:t>
              </m:r>
            </m:e>
            <m:sub>
              <m:r>
                <w:rPr>
                  <w:rFonts w:ascii="Cambria Math" w:hAnsi="Cambria Math"/>
                </w:rPr>
                <m:t>i,t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RD</m:t>
                  </m:r>
                </m:e>
              </m:acc>
            </m:e>
            <m:sub>
              <m:r>
                <w:rPr>
                  <w:rFonts w:ascii="Cambria Math" w:hAnsi="Cambria Math"/>
                </w:rPr>
                <m:t>i,t</m:t>
              </m:r>
            </m:sub>
          </m:sSub>
          <m:r>
            <w:rPr>
              <w:rFonts w:ascii="Cambria Math" w:hAnsi="Cambria Math"/>
            </w:rPr>
            <m:t>, ∀i,t</m:t>
          </m:r>
        </m:oMath>
      </m:oMathPara>
    </w:p>
    <w:p w14:paraId="60E5630B" w14:textId="241B2378" w:rsidR="007172ED" w:rsidRDefault="007172ED">
      <w:pPr>
        <w:spacing w:after="0" w:line="240" w:lineRule="auto"/>
        <w:rPr>
          <w:b/>
          <w:kern w:val="28"/>
          <w:sz w:val="34"/>
          <w:szCs w:val="34"/>
        </w:rPr>
      </w:pPr>
      <w:r>
        <w:rPr>
          <w:szCs w:val="34"/>
        </w:rPr>
        <w:br w:type="page"/>
      </w:r>
    </w:p>
    <w:p w14:paraId="3DE731C7" w14:textId="77777777" w:rsidR="007172ED" w:rsidRDefault="007172ED" w:rsidP="00BB76E4">
      <w:pPr>
        <w:pStyle w:val="Heading1"/>
        <w:numPr>
          <w:ilvl w:val="0"/>
          <w:numId w:val="0"/>
        </w:numPr>
        <w:ind w:left="1080" w:hanging="1080"/>
      </w:pPr>
      <w:bookmarkStart w:id="2300" w:name="_Toc229054542"/>
      <w:r w:rsidRPr="000D6751">
        <w:lastRenderedPageBreak/>
        <w:t>Appendix C:  Demand Response Attestation</w:t>
      </w:r>
      <w:bookmarkEnd w:id="2300"/>
      <w:r w:rsidRPr="000D6751">
        <w:t xml:space="preserve"> </w:t>
      </w:r>
    </w:p>
    <w:p w14:paraId="50E86465" w14:textId="32FB37AE" w:rsidR="00461DCC" w:rsidRDefault="00461DCC" w:rsidP="00461DCC">
      <w:r>
        <w:t>EDAM Entities Only: Utilize EDAM/WEIM Attestation in the EDAM BPM.</w:t>
      </w:r>
    </w:p>
    <w:p w14:paraId="2AB00841" w14:textId="409FE386" w:rsidR="00CE5928" w:rsidRDefault="00CE5928" w:rsidP="00CE5928">
      <w:pPr>
        <w:pStyle w:val="Heading4"/>
      </w:pPr>
      <w:r w:rsidRPr="006A75F8">
        <w:rPr>
          <w:rFonts w:cs="Arial"/>
          <w:noProof/>
        </w:rPr>
        <mc:AlternateContent>
          <mc:Choice Requires="wps">
            <w:drawing>
              <wp:anchor distT="0" distB="0" distL="114300" distR="114300" simplePos="0" relativeHeight="251660294" behindDoc="0" locked="0" layoutInCell="1" allowOverlap="1" wp14:anchorId="365EAC85" wp14:editId="3F1E68A0">
                <wp:simplePos x="0" y="0"/>
                <wp:positionH relativeFrom="margin">
                  <wp:align>left</wp:align>
                </wp:positionH>
                <wp:positionV relativeFrom="paragraph">
                  <wp:posOffset>5080</wp:posOffset>
                </wp:positionV>
                <wp:extent cx="6096000" cy="1084580"/>
                <wp:effectExtent l="0" t="0" r="19050" b="171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84580"/>
                        </a:xfrm>
                        <a:prstGeom prst="rect">
                          <a:avLst/>
                        </a:prstGeom>
                        <a:solidFill>
                          <a:srgbClr val="FFFFFF"/>
                        </a:solidFill>
                        <a:ln w="22225">
                          <a:solidFill>
                            <a:srgbClr val="0033CC"/>
                          </a:solidFill>
                          <a:miter lim="800000"/>
                          <a:headEnd/>
                          <a:tailEnd/>
                        </a:ln>
                      </wps:spPr>
                      <wps:txbx>
                        <w:txbxContent>
                          <w:p w14:paraId="690D432E" w14:textId="77777777" w:rsidR="002A2768" w:rsidRPr="00AF0A22" w:rsidRDefault="002A2768" w:rsidP="00E854DA">
                            <w:pPr>
                              <w:rPr>
                                <w:b/>
                                <w:color w:val="FF0000"/>
                              </w:rPr>
                            </w:pPr>
                            <w:r w:rsidRPr="00AF0A22">
                              <w:rPr>
                                <w:b/>
                                <w:color w:val="FF0000"/>
                              </w:rPr>
                              <w:t>WEIM Demand Response Attestation</w:t>
                            </w:r>
                          </w:p>
                          <w:p w14:paraId="3CD725E3" w14:textId="77777777" w:rsidR="002A2768" w:rsidRPr="00E854DA" w:rsidRDefault="002A2768" w:rsidP="00CE5928">
                            <w:pPr>
                              <w:numPr>
                                <w:ilvl w:val="0"/>
                                <w:numId w:val="109"/>
                              </w:numPr>
                              <w:spacing w:after="0" w:line="240" w:lineRule="auto"/>
                              <w:rPr>
                                <w:rFonts w:ascii="Arial" w:hAnsi="Arial" w:cs="Arial"/>
                                <w:i/>
                                <w:sz w:val="16"/>
                                <w:szCs w:val="16"/>
                              </w:rPr>
                            </w:pPr>
                            <w:r w:rsidRPr="00E854DA">
                              <w:rPr>
                                <w:rFonts w:ascii="Arial" w:hAnsi="Arial" w:cs="Arial"/>
                                <w:i/>
                                <w:sz w:val="16"/>
                                <w:szCs w:val="16"/>
                              </w:rPr>
                              <w:t xml:space="preserve">The following attestation form may be used to acknowledge EIM Entity responsibilities when accounting for non-participating demand response as described in Section 11.3.2.  This attestation must be completed and attached to a </w:t>
                            </w:r>
                            <w:r w:rsidRPr="00E854DA">
                              <w:rPr>
                                <w:rFonts w:ascii="Arial" w:hAnsi="Arial" w:cs="Arial"/>
                                <w:i/>
                                <w:color w:val="C00000"/>
                                <w:sz w:val="16"/>
                                <w:szCs w:val="16"/>
                              </w:rPr>
                              <w:t>CIDI ticket with the Subject Line “RSE Attestation” for the BAAOP functionality to be enabled and allow the Short-Term Forecast adjustments process to proceed</w:t>
                            </w:r>
                            <w:r w:rsidRPr="00E854DA">
                              <w:rPr>
                                <w:rFonts w:ascii="Arial" w:hAnsi="Arial" w:cs="Arial"/>
                                <w:i/>
                                <w:sz w:val="16"/>
                                <w:szCs w:val="16"/>
                              </w:rPr>
                              <w:t xml:space="preserve">.  For any desired changes to this attestation after its submission, please contact your Client Representative. </w:t>
                            </w:r>
                          </w:p>
                          <w:p w14:paraId="24D537B4" w14:textId="77777777" w:rsidR="002A2768" w:rsidRPr="00E854DA" w:rsidRDefault="002A2768" w:rsidP="00CE5928">
                            <w:pPr>
                              <w:pStyle w:val="Header"/>
                              <w:numPr>
                                <w:ilvl w:val="0"/>
                                <w:numId w:val="109"/>
                              </w:numPr>
                              <w:tabs>
                                <w:tab w:val="clear" w:pos="4320"/>
                                <w:tab w:val="clear" w:pos="8640"/>
                              </w:tabs>
                              <w:spacing w:after="0" w:line="240" w:lineRule="auto"/>
                              <w:rPr>
                                <w:rFonts w:ascii="Arial" w:hAnsi="Arial" w:cs="Arial"/>
                                <w:sz w:val="16"/>
                                <w:szCs w:val="16"/>
                              </w:rPr>
                            </w:pPr>
                            <w:r w:rsidRPr="00E854DA">
                              <w:rPr>
                                <w:rFonts w:ascii="Arial" w:hAnsi="Arial" w:cs="Arial"/>
                                <w:sz w:val="16"/>
                                <w:szCs w:val="16"/>
                              </w:rPr>
                              <w:t>To submit documentation, please review</w:t>
                            </w:r>
                            <w:r w:rsidRPr="00E854DA">
                              <w:rPr>
                                <w:rFonts w:ascii="Arial" w:hAnsi="Arial" w:cs="Arial"/>
                                <w:color w:val="0000FF"/>
                                <w:sz w:val="16"/>
                                <w:szCs w:val="16"/>
                              </w:rPr>
                              <w:t xml:space="preserve"> </w:t>
                            </w:r>
                            <w:hyperlink r:id="rId106" w:history="1">
                              <w:r w:rsidRPr="00E854DA">
                                <w:rPr>
                                  <w:rStyle w:val="Hyperlink"/>
                                  <w:rFonts w:ascii="Arial" w:hAnsi="Arial" w:cs="Arial"/>
                                  <w:sz w:val="16"/>
                                  <w:szCs w:val="16"/>
                                </w:rPr>
                                <w:t>http://www.caiso.com/Documents/How-to-Submit-Documentation-for-Applications-and-Ongoing-Obligations.pdf</w:t>
                              </w:r>
                            </w:hyperlink>
                            <w:r w:rsidRPr="00E854DA">
                              <w:rPr>
                                <w:rFonts w:ascii="Arial" w:hAnsi="Arial" w:cs="Arial"/>
                                <w:color w:val="0000FF"/>
                                <w:sz w:val="16"/>
                                <w:szCs w:val="16"/>
                              </w:rPr>
                              <w:t xml:space="preserve"> </w:t>
                            </w:r>
                            <w:r w:rsidRPr="00E854DA">
                              <w:rPr>
                                <w:rFonts w:ascii="Arial" w:hAnsi="Arial" w:cs="Arial"/>
                                <w:sz w:val="16"/>
                                <w:szCs w:val="16"/>
                              </w:rPr>
                              <w:t>for proper steps</w:t>
                            </w:r>
                          </w:p>
                          <w:p w14:paraId="22C6BDBF" w14:textId="77777777" w:rsidR="002A2768" w:rsidRPr="006E09BA" w:rsidRDefault="002A2768" w:rsidP="00AF0A22">
                            <w:pPr>
                              <w:ind w:left="720"/>
                              <w:rPr>
                                <w:rFonts w:ascii="Arial" w:hAnsi="Arial" w:cs="Arial"/>
                                <w:sz w:val="18"/>
                                <w:szCs w:val="18"/>
                              </w:rPr>
                            </w:pPr>
                            <w:r w:rsidRPr="006E09BA">
                              <w:rPr>
                                <w:rFonts w:ascii="Arial" w:hAnsi="Arial" w:cs="Arial"/>
                                <w:sz w:val="18"/>
                                <w:szCs w:val="18"/>
                              </w:rPr>
                              <w:t>Letter templates must be printed on applicable company letterhead, signed, scan as a pdf.</w:t>
                            </w:r>
                          </w:p>
                          <w:p w14:paraId="3D6A1B8F" w14:textId="77777777" w:rsidR="002A2768" w:rsidRPr="00E854DA" w:rsidRDefault="002A2768" w:rsidP="00AF0A22">
                            <w:pPr>
                              <w:ind w:left="720"/>
                              <w:rPr>
                                <w:rFonts w:ascii="Arial" w:hAnsi="Arial" w:cs="Arial"/>
                                <w:color w:val="FF0000"/>
                                <w:sz w:val="18"/>
                                <w:szCs w:val="18"/>
                              </w:rPr>
                            </w:pPr>
                            <w:r w:rsidRPr="006E09BA">
                              <w:rPr>
                                <w:rFonts w:ascii="Arial" w:hAnsi="Arial" w:cs="Arial"/>
                                <w:color w:val="FF0000"/>
                                <w:sz w:val="18"/>
                                <w:szCs w:val="18"/>
                              </w:rPr>
                              <w:t>Remove this text box when copying to resource owner letterhead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65EAC85" id="Text Box 35" o:spid="_x0000_s1104" type="#_x0000_t202" style="position:absolute;left:0;text-align:left;margin-left:0;margin-top:.4pt;width:480pt;height:85.4pt;z-index:251660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" strokecolor="#03c" strokeweight="1.75pt">
                <v:textbox style="mso-fit-shape-to-text:t">
                  <w:txbxContent>
                    <w:p w14:paraId="690D432E" w14:textId="77777777" w:rsidR="002A2768" w:rsidRPr="00AF0A22" w:rsidRDefault="002A2768" w:rsidP="00E854DA">
                      <w:pPr>
                        <w:rPr>
                          <w:b/>
                          <w:color w:val="FF0000"/>
                        </w:rPr>
                      </w:pPr>
                      <w:r w:rsidRPr="00AF0A22">
                        <w:rPr>
                          <w:b/>
                          <w:color w:val="FF0000"/>
                        </w:rPr>
                        <w:t>WEIM Demand Response Attestation</w:t>
                      </w:r>
                    </w:p>
                    <w:p w14:paraId="3CD725E3" w14:textId="77777777" w:rsidR="002A2768" w:rsidRPr="00E854DA" w:rsidRDefault="002A2768" w:rsidP="00CE5928">
                      <w:pPr>
                        <w:numPr>
                          <w:ilvl w:val="0"/>
                          <w:numId w:val="109"/>
                        </w:numPr>
                        <w:spacing w:after="0" w:line="240" w:lineRule="auto"/>
                        <w:rPr>
                          <w:rFonts w:ascii="Arial" w:hAnsi="Arial" w:cs="Arial"/>
                          <w:i/>
                          <w:sz w:val="16"/>
                          <w:szCs w:val="16"/>
                        </w:rPr>
                      </w:pPr>
                      <w:r w:rsidRPr="00E854DA">
                        <w:rPr>
                          <w:rFonts w:ascii="Arial" w:hAnsi="Arial" w:cs="Arial"/>
                          <w:i/>
                          <w:sz w:val="16"/>
                          <w:szCs w:val="16"/>
                        </w:rPr>
                        <w:t xml:space="preserve">The following attestation form may be used to acknowledge EIM Entity responsibilities when accounting for non-participating demand response as described in Section 11.3.2.  This attestation must be completed and attached to a </w:t>
                      </w:r>
                      <w:r w:rsidRPr="00E854DA">
                        <w:rPr>
                          <w:rFonts w:ascii="Arial" w:hAnsi="Arial" w:cs="Arial"/>
                          <w:i/>
                          <w:color w:val="C00000"/>
                          <w:sz w:val="16"/>
                          <w:szCs w:val="16"/>
                        </w:rPr>
                        <w:t>CIDI ticket with the Subject Line “RSE Attestation” for the BAAOP functionality to be enabled and allow the Short-Term Forecast adjustments process to proceed</w:t>
                      </w:r>
                      <w:r w:rsidRPr="00E854DA">
                        <w:rPr>
                          <w:rFonts w:ascii="Arial" w:hAnsi="Arial" w:cs="Arial"/>
                          <w:i/>
                          <w:sz w:val="16"/>
                          <w:szCs w:val="16"/>
                        </w:rPr>
                        <w:t xml:space="preserve">.  For any desired changes to this attestation after its submission, please contact your Client Representative. </w:t>
                      </w:r>
                    </w:p>
                    <w:p w14:paraId="24D537B4" w14:textId="77777777" w:rsidR="002A2768" w:rsidRPr="00E854DA" w:rsidRDefault="002A2768" w:rsidP="00CE5928">
                      <w:pPr>
                        <w:pStyle w:val="Header"/>
                        <w:numPr>
                          <w:ilvl w:val="0"/>
                          <w:numId w:val="109"/>
                        </w:numPr>
                        <w:tabs>
                          <w:tab w:val="clear" w:pos="4320"/>
                          <w:tab w:val="clear" w:pos="8640"/>
                        </w:tabs>
                        <w:spacing w:after="0" w:line="240" w:lineRule="auto"/>
                        <w:rPr>
                          <w:rFonts w:ascii="Arial" w:hAnsi="Arial" w:cs="Arial"/>
                          <w:sz w:val="16"/>
                          <w:szCs w:val="16"/>
                        </w:rPr>
                      </w:pPr>
                      <w:r w:rsidRPr="00E854DA">
                        <w:rPr>
                          <w:rFonts w:ascii="Arial" w:hAnsi="Arial" w:cs="Arial"/>
                          <w:sz w:val="16"/>
                          <w:szCs w:val="16"/>
                        </w:rPr>
                        <w:t>To submit documentation, please review</w:t>
                      </w:r>
                      <w:r w:rsidRPr="00E854DA">
                        <w:rPr>
                          <w:rFonts w:ascii="Arial" w:hAnsi="Arial" w:cs="Arial"/>
                          <w:color w:val="0000FF"/>
                          <w:sz w:val="16"/>
                          <w:szCs w:val="16"/>
                        </w:rPr>
                        <w:t xml:space="preserve"> </w:t>
                      </w:r>
                      <w:hyperlink r:id="rId107" w:history="1">
                        <w:r w:rsidRPr="00E854DA">
                          <w:rPr>
                            <w:rStyle w:val="Hyperlink"/>
                            <w:rFonts w:ascii="Arial" w:hAnsi="Arial" w:cs="Arial"/>
                            <w:sz w:val="16"/>
                            <w:szCs w:val="16"/>
                          </w:rPr>
                          <w:t>http://www.caiso.com/Documents/How-to-Submit-Documentation-for-Applications-and-Ongoing-Obligations.pdf</w:t>
                        </w:r>
                      </w:hyperlink>
                      <w:r w:rsidRPr="00E854DA">
                        <w:rPr>
                          <w:rFonts w:ascii="Arial" w:hAnsi="Arial" w:cs="Arial"/>
                          <w:color w:val="0000FF"/>
                          <w:sz w:val="16"/>
                          <w:szCs w:val="16"/>
                        </w:rPr>
                        <w:t xml:space="preserve"> </w:t>
                      </w:r>
                      <w:r w:rsidRPr="00E854DA">
                        <w:rPr>
                          <w:rFonts w:ascii="Arial" w:hAnsi="Arial" w:cs="Arial"/>
                          <w:sz w:val="16"/>
                          <w:szCs w:val="16"/>
                        </w:rPr>
                        <w:t>for proper steps</w:t>
                      </w:r>
                    </w:p>
                    <w:p w14:paraId="22C6BDBF" w14:textId="77777777" w:rsidR="002A2768" w:rsidRPr="006E09BA" w:rsidRDefault="002A2768" w:rsidP="00AF0A22">
                      <w:pPr>
                        <w:ind w:left="720"/>
                        <w:rPr>
                          <w:rFonts w:ascii="Arial" w:hAnsi="Arial" w:cs="Arial"/>
                          <w:sz w:val="18"/>
                          <w:szCs w:val="18"/>
                        </w:rPr>
                      </w:pPr>
                      <w:r w:rsidRPr="006E09BA">
                        <w:rPr>
                          <w:rFonts w:ascii="Arial" w:hAnsi="Arial" w:cs="Arial"/>
                          <w:sz w:val="18"/>
                          <w:szCs w:val="18"/>
                        </w:rPr>
                        <w:t>Letter templates must be printed on applicable company letterhead, signed, scan as a pdf.</w:t>
                      </w:r>
                    </w:p>
                    <w:p w14:paraId="3D6A1B8F" w14:textId="77777777" w:rsidR="002A2768" w:rsidRPr="00E854DA" w:rsidRDefault="002A2768" w:rsidP="00AF0A22">
                      <w:pPr>
                        <w:ind w:left="720"/>
                        <w:rPr>
                          <w:rFonts w:ascii="Arial" w:hAnsi="Arial" w:cs="Arial"/>
                          <w:color w:val="FF0000"/>
                          <w:sz w:val="18"/>
                          <w:szCs w:val="18"/>
                        </w:rPr>
                      </w:pPr>
                      <w:r w:rsidRPr="006E09BA">
                        <w:rPr>
                          <w:rFonts w:ascii="Arial" w:hAnsi="Arial" w:cs="Arial"/>
                          <w:color w:val="FF0000"/>
                          <w:sz w:val="18"/>
                          <w:szCs w:val="18"/>
                        </w:rPr>
                        <w:t>Remove this text box when copying to resource owner letterhead</w:t>
                      </w:r>
                    </w:p>
                  </w:txbxContent>
                </v:textbox>
                <w10:wrap anchorx="margin"/>
              </v:shape>
            </w:pict>
          </mc:Fallback>
        </mc:AlternateContent>
      </w:r>
    </w:p>
    <w:p w14:paraId="3E396E25" w14:textId="77777777" w:rsidR="00CE5928" w:rsidRDefault="00CE5928" w:rsidP="00CE5928"/>
    <w:p w14:paraId="3C4354B0" w14:textId="77777777" w:rsidR="00CE5928" w:rsidRPr="006A75F8" w:rsidRDefault="00CE5928" w:rsidP="00CE5928"/>
    <w:p w14:paraId="7E14B635" w14:textId="77777777" w:rsidR="00CE5928" w:rsidRPr="006A75F8" w:rsidRDefault="00CE5928" w:rsidP="00CE5928">
      <w:pPr>
        <w:pStyle w:val="Header"/>
        <w:tabs>
          <w:tab w:val="clear" w:pos="4320"/>
          <w:tab w:val="clear" w:pos="8640"/>
        </w:tabs>
        <w:spacing w:before="160" w:after="40"/>
        <w:rPr>
          <w:rFonts w:ascii="Arial" w:hAnsi="Arial" w:cs="Arial"/>
          <w:b w:val="0"/>
          <w:i/>
          <w:color w:val="0000FF"/>
        </w:rPr>
      </w:pPr>
      <w:r w:rsidRPr="006A75F8">
        <w:rPr>
          <w:rFonts w:ascii="Arial" w:hAnsi="Arial" w:cs="Arial"/>
          <w:b w:val="0"/>
          <w:i/>
          <w:color w:val="0000FF"/>
        </w:rPr>
        <w:t xml:space="preserve"> </w:t>
      </w:r>
    </w:p>
    <w:p w14:paraId="29878B1C" w14:textId="0EBC810D" w:rsidR="007172ED" w:rsidRDefault="007172ED" w:rsidP="007172ED">
      <w:pPr>
        <w:rPr>
          <w:rFonts w:ascii="Arial" w:hAnsi="Arial" w:cs="Arial"/>
          <w:b/>
        </w:rPr>
      </w:pPr>
    </w:p>
    <w:p w14:paraId="70AF9A33" w14:textId="6A1C3F09" w:rsidR="00CE5928" w:rsidRDefault="00CE5928" w:rsidP="007172ED">
      <w:pPr>
        <w:rPr>
          <w:rFonts w:ascii="Arial" w:hAnsi="Arial" w:cs="Arial"/>
          <w:b/>
        </w:rPr>
      </w:pPr>
    </w:p>
    <w:p w14:paraId="6CFE9C39" w14:textId="41C6B1A4" w:rsidR="00CE5928" w:rsidRDefault="00CE5928" w:rsidP="00CE5928">
      <w:pPr>
        <w:pStyle w:val="Header"/>
        <w:tabs>
          <w:tab w:val="clear" w:pos="4320"/>
          <w:tab w:val="clear" w:pos="8640"/>
        </w:tabs>
        <w:spacing w:before="160" w:after="40"/>
        <w:rPr>
          <w:rFonts w:ascii="Arial" w:hAnsi="Arial" w:cs="Arial"/>
          <w:b w:val="0"/>
        </w:rPr>
      </w:pPr>
    </w:p>
    <w:p w14:paraId="0C62693B" w14:textId="77777777" w:rsidR="00CE5928" w:rsidRPr="00906772" w:rsidRDefault="00CE5928" w:rsidP="00CE5928">
      <w:pPr>
        <w:pStyle w:val="Header"/>
        <w:tabs>
          <w:tab w:val="clear" w:pos="4320"/>
          <w:tab w:val="clear" w:pos="8640"/>
        </w:tabs>
        <w:spacing w:before="160" w:after="40"/>
        <w:rPr>
          <w:rFonts w:ascii="Arial" w:hAnsi="Arial" w:cs="Arial"/>
        </w:rPr>
      </w:pPr>
      <w:r w:rsidRPr="00906772">
        <w:rPr>
          <w:rFonts w:ascii="Arial" w:hAnsi="Arial" w:cs="Arial"/>
          <w:b w:val="0"/>
          <w:i/>
          <w:color w:val="0000FF"/>
        </w:rPr>
        <w:t>[Current Date]</w:t>
      </w:r>
    </w:p>
    <w:p w14:paraId="0619AC8C" w14:textId="77777777" w:rsidR="00CE5928" w:rsidRDefault="00CE5928" w:rsidP="00E854DA">
      <w:pPr>
        <w:pStyle w:val="Header"/>
        <w:tabs>
          <w:tab w:val="clear" w:pos="4320"/>
          <w:tab w:val="clear" w:pos="8640"/>
        </w:tabs>
        <w:spacing w:after="0"/>
        <w:rPr>
          <w:rFonts w:ascii="Arial" w:hAnsi="Arial" w:cs="Arial"/>
          <w:b w:val="0"/>
        </w:rPr>
      </w:pPr>
    </w:p>
    <w:p w14:paraId="46D344F5" w14:textId="3FBAE2BF" w:rsidR="00CE5928" w:rsidRPr="00CC21FE" w:rsidRDefault="00CE5928" w:rsidP="00E854DA">
      <w:pPr>
        <w:pStyle w:val="Header"/>
        <w:tabs>
          <w:tab w:val="clear" w:pos="4320"/>
          <w:tab w:val="clear" w:pos="8640"/>
        </w:tabs>
        <w:spacing w:after="0"/>
        <w:rPr>
          <w:rFonts w:ascii="Arial" w:hAnsi="Arial" w:cs="Arial"/>
          <w:b w:val="0"/>
        </w:rPr>
      </w:pPr>
      <w:r w:rsidRPr="00CC21FE">
        <w:rPr>
          <w:rFonts w:ascii="Arial" w:hAnsi="Arial" w:cs="Arial"/>
          <w:b w:val="0"/>
        </w:rPr>
        <w:t>California Independent System Operator</w:t>
      </w:r>
    </w:p>
    <w:p w14:paraId="3209467E" w14:textId="77777777" w:rsidR="00CE5928" w:rsidRPr="00CC21FE" w:rsidRDefault="00CE5928" w:rsidP="00E854DA">
      <w:pPr>
        <w:pStyle w:val="Header"/>
        <w:tabs>
          <w:tab w:val="clear" w:pos="4320"/>
          <w:tab w:val="clear" w:pos="8640"/>
        </w:tabs>
        <w:spacing w:after="0"/>
        <w:rPr>
          <w:rFonts w:ascii="Arial" w:hAnsi="Arial" w:cs="Arial"/>
          <w:b w:val="0"/>
        </w:rPr>
      </w:pPr>
      <w:r w:rsidRPr="00CC21FE">
        <w:rPr>
          <w:rFonts w:ascii="Arial" w:hAnsi="Arial" w:cs="Arial"/>
          <w:b w:val="0"/>
        </w:rPr>
        <w:t>250 Outcropping Way</w:t>
      </w:r>
    </w:p>
    <w:p w14:paraId="28E2214C" w14:textId="77777777" w:rsidR="00CE5928" w:rsidRDefault="00CE5928" w:rsidP="00CE5928">
      <w:pPr>
        <w:pStyle w:val="Header"/>
        <w:tabs>
          <w:tab w:val="clear" w:pos="4320"/>
          <w:tab w:val="clear" w:pos="8640"/>
        </w:tabs>
        <w:rPr>
          <w:rFonts w:ascii="Arial" w:hAnsi="Arial" w:cs="Arial"/>
          <w:b w:val="0"/>
        </w:rPr>
      </w:pPr>
      <w:r w:rsidRPr="00CC21FE">
        <w:rPr>
          <w:rFonts w:ascii="Arial" w:hAnsi="Arial" w:cs="Arial"/>
          <w:b w:val="0"/>
        </w:rPr>
        <w:t>Folsom, CA 95630</w:t>
      </w:r>
    </w:p>
    <w:p w14:paraId="239B5F99" w14:textId="2D969C56" w:rsidR="00CC21FE" w:rsidRPr="00E854DA" w:rsidRDefault="00CC21FE" w:rsidP="00CC21FE">
      <w:pPr>
        <w:pStyle w:val="Header"/>
        <w:tabs>
          <w:tab w:val="clear" w:pos="4320"/>
          <w:tab w:val="clear" w:pos="8640"/>
        </w:tabs>
        <w:spacing w:before="240" w:after="40"/>
        <w:rPr>
          <w:rFonts w:ascii="Arial" w:hAnsi="Arial" w:cs="Arial"/>
          <w:b w:val="0"/>
          <w:color w:val="000000" w:themeColor="text1"/>
        </w:rPr>
      </w:pPr>
      <w:r w:rsidRPr="00E854DA">
        <w:rPr>
          <w:rFonts w:ascii="Arial" w:hAnsi="Arial" w:cs="Arial"/>
          <w:b w:val="0"/>
          <w:color w:val="000000" w:themeColor="text1"/>
        </w:rPr>
        <w:t xml:space="preserve">Dear </w:t>
      </w:r>
      <w:r w:rsidR="00CE5928" w:rsidRPr="00906772">
        <w:rPr>
          <w:rFonts w:ascii="Arial" w:hAnsi="Arial" w:cs="Arial"/>
          <w:b w:val="0"/>
          <w:i/>
          <w:color w:val="0000FF"/>
        </w:rPr>
        <w:t>[SC Requests]</w:t>
      </w:r>
      <w:r w:rsidR="00CE5928" w:rsidRPr="00906772">
        <w:rPr>
          <w:rFonts w:ascii="Arial" w:hAnsi="Arial" w:cs="Arial"/>
        </w:rPr>
        <w:t>:</w:t>
      </w:r>
    </w:p>
    <w:p w14:paraId="2D211EB5" w14:textId="77777777" w:rsidR="00CC21FE" w:rsidRDefault="00CC21FE" w:rsidP="007172ED">
      <w:pPr>
        <w:rPr>
          <w:rFonts w:ascii="Arial" w:hAnsi="Arial" w:cs="Arial"/>
        </w:rPr>
      </w:pPr>
    </w:p>
    <w:p w14:paraId="614A5112" w14:textId="224E33AC" w:rsidR="007172ED" w:rsidRDefault="007172ED" w:rsidP="007172ED">
      <w:pPr>
        <w:rPr>
          <w:rFonts w:ascii="Arial" w:hAnsi="Arial" w:cs="Arial"/>
        </w:rPr>
      </w:pPr>
      <w:r w:rsidRPr="006D62E8">
        <w:rPr>
          <w:rFonts w:ascii="Arial" w:hAnsi="Arial" w:cs="Arial"/>
        </w:rPr>
        <w:t xml:space="preserve">I, </w:t>
      </w:r>
      <w:r>
        <w:rPr>
          <w:rFonts w:ascii="Arial" w:hAnsi="Arial" w:cs="Arial"/>
        </w:rPr>
        <w:t>[_______</w:t>
      </w:r>
      <w:r w:rsidRPr="006D62E8">
        <w:rPr>
          <w:rFonts w:ascii="Arial" w:hAnsi="Arial" w:cs="Arial"/>
        </w:rPr>
        <w:t xml:space="preserve">, </w:t>
      </w:r>
      <w:r w:rsidRPr="006D62E8">
        <w:rPr>
          <w:rFonts w:ascii="Arial" w:hAnsi="Arial" w:cs="Arial"/>
          <w:u w:val="single"/>
        </w:rPr>
        <w:t>Title, Depart</w:t>
      </w:r>
      <w:r>
        <w:rPr>
          <w:rFonts w:ascii="Arial" w:hAnsi="Arial" w:cs="Arial"/>
          <w:u w:val="single"/>
        </w:rPr>
        <w:t>ment</w:t>
      </w:r>
      <w:r w:rsidRPr="006D62E8">
        <w:rPr>
          <w:rFonts w:ascii="Arial" w:hAnsi="Arial" w:cs="Arial"/>
          <w:u w:val="single"/>
        </w:rPr>
        <w:t>,</w:t>
      </w:r>
      <w:r>
        <w:rPr>
          <w:rFonts w:ascii="Arial" w:hAnsi="Arial" w:cs="Arial"/>
          <w:u w:val="single"/>
        </w:rPr>
        <w:t xml:space="preserve"> WEIM </w:t>
      </w:r>
      <w:r w:rsidRPr="006D62E8">
        <w:rPr>
          <w:rFonts w:ascii="Arial" w:hAnsi="Arial" w:cs="Arial"/>
          <w:u w:val="single"/>
        </w:rPr>
        <w:t>Entity</w:t>
      </w:r>
      <w:r>
        <w:rPr>
          <w:rFonts w:ascii="Arial" w:hAnsi="Arial" w:cs="Arial"/>
          <w:u w:val="single"/>
        </w:rPr>
        <w:t>]</w:t>
      </w:r>
      <w:r w:rsidRPr="006D62E8">
        <w:rPr>
          <w:rFonts w:ascii="Arial" w:hAnsi="Arial" w:cs="Arial"/>
        </w:rPr>
        <w:t xml:space="preserve">, with my knowledge and experience given my position with </w:t>
      </w:r>
      <w:r>
        <w:rPr>
          <w:rFonts w:ascii="Arial" w:hAnsi="Arial" w:cs="Arial"/>
        </w:rPr>
        <w:t>[</w:t>
      </w:r>
      <w:r w:rsidR="00CC21FE">
        <w:rPr>
          <w:rFonts w:ascii="Arial" w:hAnsi="Arial" w:cs="Arial"/>
        </w:rPr>
        <w:t>W</w:t>
      </w:r>
      <w:r w:rsidRPr="002B2A93">
        <w:rPr>
          <w:rFonts w:ascii="Arial" w:hAnsi="Arial" w:cs="Arial"/>
          <w:u w:val="single"/>
        </w:rPr>
        <w:t xml:space="preserve">EIM </w:t>
      </w:r>
      <w:r w:rsidRPr="006D62E8">
        <w:rPr>
          <w:rFonts w:ascii="Arial" w:hAnsi="Arial" w:cs="Arial"/>
          <w:u w:val="single"/>
        </w:rPr>
        <w:t>Entity</w:t>
      </w:r>
      <w:r>
        <w:rPr>
          <w:rFonts w:ascii="Arial" w:hAnsi="Arial" w:cs="Arial"/>
          <w:u w:val="single"/>
        </w:rPr>
        <w:t>]</w:t>
      </w:r>
      <w:r w:rsidRPr="006D62E8">
        <w:rPr>
          <w:rFonts w:ascii="Arial" w:hAnsi="Arial" w:cs="Arial"/>
        </w:rPr>
        <w:t>, attest as follows</w:t>
      </w:r>
    </w:p>
    <w:p w14:paraId="7B151459" w14:textId="77777777" w:rsidR="007172ED" w:rsidRDefault="007172ED" w:rsidP="007172ED">
      <w:pPr>
        <w:rPr>
          <w:rFonts w:ascii="Arial" w:hAnsi="Arial" w:cs="Arial"/>
        </w:rPr>
      </w:pPr>
      <w:r w:rsidRPr="00662225">
        <w:rPr>
          <w:rFonts w:ascii="Arial" w:hAnsi="Arial" w:cs="Arial"/>
        </w:rPr>
        <w:t xml:space="preserve">The CAISO </w:t>
      </w:r>
      <w:r>
        <w:rPr>
          <w:rFonts w:ascii="Arial" w:hAnsi="Arial" w:cs="Arial"/>
        </w:rPr>
        <w:t>allows</w:t>
      </w:r>
      <w:r w:rsidRPr="00662225">
        <w:rPr>
          <w:rFonts w:ascii="Arial" w:hAnsi="Arial" w:cs="Arial"/>
        </w:rPr>
        <w:t xml:space="preserve"> the demand response reductions </w:t>
      </w:r>
      <w:r>
        <w:rPr>
          <w:rFonts w:ascii="Arial" w:hAnsi="Arial" w:cs="Arial"/>
        </w:rPr>
        <w:t xml:space="preserve">not otherwise accounted for in the WEIM </w:t>
      </w:r>
      <w:r w:rsidRPr="00662225">
        <w:rPr>
          <w:rFonts w:ascii="Arial" w:hAnsi="Arial" w:cs="Arial"/>
        </w:rPr>
        <w:t>to be</w:t>
      </w:r>
      <w:r>
        <w:rPr>
          <w:rFonts w:ascii="Arial" w:hAnsi="Arial" w:cs="Arial"/>
        </w:rPr>
        <w:t xml:space="preserve"> </w:t>
      </w:r>
      <w:r w:rsidRPr="00662225">
        <w:rPr>
          <w:rFonts w:ascii="Arial" w:hAnsi="Arial" w:cs="Arial"/>
        </w:rPr>
        <w:t xml:space="preserve">included in, or excluded from, the generated </w:t>
      </w:r>
      <w:r>
        <w:rPr>
          <w:rFonts w:ascii="Arial" w:hAnsi="Arial" w:cs="Arial"/>
        </w:rPr>
        <w:t xml:space="preserve">demand </w:t>
      </w:r>
      <w:r w:rsidRPr="00662225">
        <w:rPr>
          <w:rFonts w:ascii="Arial" w:hAnsi="Arial" w:cs="Arial"/>
        </w:rPr>
        <w:t>forecast</w:t>
      </w:r>
      <w:r>
        <w:rPr>
          <w:rFonts w:ascii="Arial" w:hAnsi="Arial" w:cs="Arial"/>
        </w:rPr>
        <w:t xml:space="preserve"> referenced in the Resource Sufficiency Evaluation (RSE)</w:t>
      </w:r>
      <w:r w:rsidRPr="00662225">
        <w:rPr>
          <w:rFonts w:ascii="Arial" w:hAnsi="Arial" w:cs="Arial"/>
        </w:rPr>
        <w:t xml:space="preserve">, based </w:t>
      </w:r>
      <w:r>
        <w:rPr>
          <w:rFonts w:ascii="Arial" w:hAnsi="Arial" w:cs="Arial"/>
        </w:rPr>
        <w:t>on this atte</w:t>
      </w:r>
      <w:r w:rsidRPr="00662225">
        <w:rPr>
          <w:rFonts w:ascii="Arial" w:hAnsi="Arial" w:cs="Arial"/>
        </w:rPr>
        <w:t>station</w:t>
      </w:r>
      <w:r>
        <w:rPr>
          <w:rFonts w:ascii="Arial" w:hAnsi="Arial" w:cs="Arial"/>
        </w:rPr>
        <w:t>.</w:t>
      </w:r>
    </w:p>
    <w:p w14:paraId="72BAA15A" w14:textId="24E5E191" w:rsidR="007172ED" w:rsidRDefault="007172ED" w:rsidP="007172ED">
      <w:pPr>
        <w:rPr>
          <w:rFonts w:ascii="Arial" w:hAnsi="Arial" w:cs="Arial"/>
        </w:rPr>
      </w:pPr>
      <w:r>
        <w:rPr>
          <w:rFonts w:ascii="Arial" w:hAnsi="Arial" w:cs="Arial"/>
        </w:rPr>
        <w:t xml:space="preserve">Pursuant to the </w:t>
      </w:r>
      <w:r w:rsidRPr="00A67F51">
        <w:rPr>
          <w:rFonts w:ascii="Arial" w:hAnsi="Arial" w:cs="Arial"/>
        </w:rPr>
        <w:t>CAISO Tariff Section 29.34(l)(2)(D)</w:t>
      </w:r>
      <w:r>
        <w:rPr>
          <w:rFonts w:ascii="Arial" w:hAnsi="Arial" w:cs="Arial"/>
        </w:rPr>
        <w:t>, the [</w:t>
      </w:r>
      <w:r w:rsidR="00CC21FE">
        <w:rPr>
          <w:rFonts w:ascii="Arial" w:hAnsi="Arial" w:cs="Arial"/>
        </w:rPr>
        <w:t>W</w:t>
      </w:r>
      <w:r w:rsidRPr="002B2A93">
        <w:rPr>
          <w:rFonts w:ascii="Arial" w:hAnsi="Arial" w:cs="Arial"/>
          <w:u w:val="single"/>
        </w:rPr>
        <w:t>EIM Entity</w:t>
      </w:r>
      <w:r>
        <w:rPr>
          <w:rFonts w:ascii="Arial" w:hAnsi="Arial" w:cs="Arial"/>
        </w:rPr>
        <w:t>] shall</w:t>
      </w:r>
      <w:r w:rsidRPr="00A67F51">
        <w:rPr>
          <w:rFonts w:ascii="Arial" w:hAnsi="Arial" w:cs="Arial"/>
        </w:rPr>
        <w:t xml:space="preserve"> utilize a demand response program </w:t>
      </w:r>
      <w:r>
        <w:rPr>
          <w:rFonts w:ascii="Arial" w:hAnsi="Arial" w:cs="Arial"/>
        </w:rPr>
        <w:t>such that</w:t>
      </w:r>
      <w:r w:rsidRPr="00A67F51">
        <w:rPr>
          <w:rFonts w:ascii="Arial" w:hAnsi="Arial" w:cs="Arial"/>
        </w:rPr>
        <w:t xml:space="preserve"> adjustments made to the demand forecast used by the R</w:t>
      </w:r>
      <w:r>
        <w:rPr>
          <w:rFonts w:ascii="Arial" w:hAnsi="Arial" w:cs="Arial"/>
        </w:rPr>
        <w:t xml:space="preserve">SE </w:t>
      </w:r>
      <w:r w:rsidRPr="00A67F51">
        <w:rPr>
          <w:rFonts w:ascii="Arial" w:hAnsi="Arial" w:cs="Arial"/>
        </w:rPr>
        <w:t xml:space="preserve">correspond to expected increases or reductions in demand provided by its </w:t>
      </w:r>
      <w:r>
        <w:rPr>
          <w:rFonts w:ascii="Arial" w:hAnsi="Arial" w:cs="Arial"/>
        </w:rPr>
        <w:t xml:space="preserve">demand response </w:t>
      </w:r>
      <w:r w:rsidRPr="00A67F51">
        <w:rPr>
          <w:rFonts w:ascii="Arial" w:hAnsi="Arial" w:cs="Arial"/>
        </w:rPr>
        <w:t>program.</w:t>
      </w:r>
    </w:p>
    <w:p w14:paraId="7CCCDFD2" w14:textId="0E6C9977" w:rsidR="007172ED" w:rsidRDefault="007172ED" w:rsidP="007172ED">
      <w:pPr>
        <w:rPr>
          <w:rFonts w:ascii="Arial" w:hAnsi="Arial" w:cs="Arial"/>
        </w:rPr>
      </w:pPr>
      <w:r>
        <w:rPr>
          <w:rFonts w:ascii="Arial" w:hAnsi="Arial" w:cs="Arial"/>
        </w:rPr>
        <w:t>[</w:t>
      </w:r>
      <w:r w:rsidR="00CC21FE">
        <w:rPr>
          <w:rFonts w:ascii="Arial" w:hAnsi="Arial" w:cs="Arial"/>
        </w:rPr>
        <w:t>W</w:t>
      </w:r>
      <w:r>
        <w:rPr>
          <w:rFonts w:ascii="Arial" w:hAnsi="Arial" w:cs="Arial"/>
        </w:rPr>
        <w:t>EIM Entity] certifies the adjustments made to its Demand Forecast will correspond to expected increases or reductions in demand provided by its respective demand response.</w:t>
      </w:r>
    </w:p>
    <w:p w14:paraId="5AB36B4E" w14:textId="77777777" w:rsidR="007172ED" w:rsidRPr="006D62E8" w:rsidRDefault="007172ED" w:rsidP="007172ED">
      <w:pPr>
        <w:rPr>
          <w:rFonts w:ascii="Arial" w:hAnsi="Arial" w:cs="Arial"/>
        </w:rPr>
      </w:pPr>
      <w:r w:rsidRPr="006D62E8">
        <w:rPr>
          <w:rFonts w:ascii="Arial" w:hAnsi="Arial" w:cs="Arial"/>
        </w:rPr>
        <w:lastRenderedPageBreak/>
        <w:t>I declare under penalty of perjury pursuant to 28 USC 1746 and the laws of the State of California that, to the best of my knowledge, the foregoing is true and correct.  Executed on</w:t>
      </w:r>
      <w:r>
        <w:rPr>
          <w:rFonts w:ascii="Arial" w:hAnsi="Arial" w:cs="Arial"/>
        </w:rPr>
        <w:t xml:space="preserve"> [month, day</w:t>
      </w:r>
      <w:r w:rsidRPr="006D62E8">
        <w:rPr>
          <w:rFonts w:ascii="Arial" w:hAnsi="Arial" w:cs="Arial"/>
        </w:rPr>
        <w:t>, 20</w:t>
      </w:r>
      <w:r>
        <w:rPr>
          <w:rFonts w:ascii="Arial" w:hAnsi="Arial" w:cs="Arial"/>
        </w:rPr>
        <w:t xml:space="preserve">2_] </w:t>
      </w:r>
      <w:r w:rsidRPr="006D62E8">
        <w:rPr>
          <w:rFonts w:ascii="Arial" w:hAnsi="Arial" w:cs="Arial"/>
        </w:rPr>
        <w:t xml:space="preserve">(“Execution Date”). </w:t>
      </w:r>
    </w:p>
    <w:p w14:paraId="30287E75" w14:textId="77777777" w:rsidR="007172ED" w:rsidRPr="006D62E8" w:rsidRDefault="007172ED" w:rsidP="007172ED">
      <w:pPr>
        <w:rPr>
          <w:rFonts w:ascii="Arial" w:hAnsi="Arial" w:cs="Arial"/>
        </w:rPr>
      </w:pPr>
    </w:p>
    <w:p w14:paraId="1C88104B" w14:textId="5DF7CAE9" w:rsidR="007172ED" w:rsidRPr="006D62E8" w:rsidRDefault="00CC21FE" w:rsidP="007172ED">
      <w:pPr>
        <w:rPr>
          <w:rFonts w:ascii="Arial" w:hAnsi="Arial" w:cs="Arial"/>
        </w:rPr>
      </w:pPr>
      <w:r>
        <w:rPr>
          <w:rFonts w:ascii="Arial" w:hAnsi="Arial" w:cs="Arial"/>
        </w:rPr>
        <w:t>W</w:t>
      </w:r>
      <w:r w:rsidR="007172ED">
        <w:rPr>
          <w:rFonts w:ascii="Arial" w:hAnsi="Arial" w:cs="Arial"/>
        </w:rPr>
        <w:t xml:space="preserve">EIM Entity </w:t>
      </w:r>
    </w:p>
    <w:p w14:paraId="4DE26B10" w14:textId="77777777" w:rsidR="007172ED" w:rsidRPr="006D62E8" w:rsidRDefault="007172ED" w:rsidP="007172ED">
      <w:pPr>
        <w:rPr>
          <w:rFonts w:ascii="Arial" w:hAnsi="Arial" w:cs="Arial"/>
        </w:rPr>
      </w:pPr>
      <w:r w:rsidRPr="006D62E8">
        <w:rPr>
          <w:rFonts w:ascii="Arial" w:hAnsi="Arial" w:cs="Arial"/>
        </w:rPr>
        <w:t xml:space="preserve">By: _______________________________________________ </w:t>
      </w:r>
    </w:p>
    <w:p w14:paraId="0232343C" w14:textId="77777777" w:rsidR="007172ED" w:rsidRPr="006D62E8" w:rsidRDefault="007172ED" w:rsidP="007172ED">
      <w:pPr>
        <w:rPr>
          <w:rFonts w:ascii="Arial" w:hAnsi="Arial" w:cs="Arial"/>
        </w:rPr>
      </w:pPr>
      <w:r>
        <w:rPr>
          <w:rFonts w:ascii="Arial" w:hAnsi="Arial" w:cs="Arial"/>
        </w:rPr>
        <w:t>Name</w:t>
      </w:r>
      <w:r w:rsidRPr="006D62E8">
        <w:rPr>
          <w:rFonts w:ascii="Arial" w:hAnsi="Arial" w:cs="Arial"/>
        </w:rPr>
        <w:t>, Title, Depart,</w:t>
      </w:r>
      <w:r>
        <w:rPr>
          <w:rFonts w:ascii="Arial" w:hAnsi="Arial" w:cs="Arial"/>
        </w:rPr>
        <w:t xml:space="preserve"> WEIM </w:t>
      </w:r>
      <w:r w:rsidRPr="006D62E8">
        <w:rPr>
          <w:rFonts w:ascii="Arial" w:hAnsi="Arial" w:cs="Arial"/>
        </w:rPr>
        <w:t xml:space="preserve">Entity </w:t>
      </w:r>
    </w:p>
    <w:p w14:paraId="5B0A9918" w14:textId="77777777" w:rsidR="007172ED" w:rsidRPr="000D6751" w:rsidRDefault="007172ED" w:rsidP="007172ED"/>
    <w:p w14:paraId="40A00982" w14:textId="77777777" w:rsidR="007172ED" w:rsidRDefault="007172ED" w:rsidP="007172ED">
      <w:pPr>
        <w:rPr>
          <w:b/>
          <w:sz w:val="36"/>
          <w:szCs w:val="36"/>
        </w:rPr>
      </w:pPr>
    </w:p>
    <w:p w14:paraId="402C7C40" w14:textId="77777777" w:rsidR="00CB3BFB" w:rsidRPr="00B00E71" w:rsidRDefault="00CB3BFB">
      <w:pPr>
        <w:pStyle w:val="Heading1"/>
        <w:numPr>
          <w:ilvl w:val="0"/>
          <w:numId w:val="0"/>
        </w:numPr>
        <w:rPr>
          <w:szCs w:val="34"/>
        </w:rPr>
      </w:pPr>
    </w:p>
    <w:sectPr w:rsidR="00CB3BFB" w:rsidRPr="00B00E71" w:rsidSect="00F446C9">
      <w:pgSz w:w="12240" w:h="15840"/>
      <w:pgMar w:top="1728" w:right="1440" w:bottom="172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FEC5" w14:textId="77777777" w:rsidR="002A2768" w:rsidRDefault="002A2768">
      <w:r>
        <w:separator/>
      </w:r>
    </w:p>
  </w:endnote>
  <w:endnote w:type="continuationSeparator" w:id="0">
    <w:p w14:paraId="6ABCF707" w14:textId="77777777" w:rsidR="002A2768" w:rsidRDefault="002A2768">
      <w:r>
        <w:continuationSeparator/>
      </w:r>
    </w:p>
  </w:endnote>
  <w:endnote w:type="continuationNotice" w:id="1">
    <w:p w14:paraId="1DA828DD" w14:textId="77777777" w:rsidR="002A2768" w:rsidRDefault="002A2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8C1C" w14:textId="72C718A4" w:rsidR="002A2768" w:rsidRPr="000C77F5" w:rsidRDefault="002A2768" w:rsidP="00D174FE">
    <w:pPr>
      <w:pStyle w:val="Footer"/>
      <w:tabs>
        <w:tab w:val="left" w:pos="3600"/>
      </w:tabs>
      <w:rPr>
        <w:rFonts w:ascii="Arial" w:hAnsi="Arial" w:cs="Arial"/>
        <w:i w:val="0"/>
        <w:iCs/>
        <w:sz w:val="16"/>
        <w:szCs w:val="16"/>
      </w:rPr>
    </w:pPr>
    <w:r>
      <w:rPr>
        <w:rFonts w:ascii="Arial" w:hAnsi="Arial" w:cs="Arial"/>
        <w:i w:val="0"/>
        <w:iCs/>
        <w:sz w:val="16"/>
        <w:szCs w:val="16"/>
      </w:rPr>
      <w:t>Version 32</w:t>
    </w:r>
    <w:r w:rsidRPr="000C77F5">
      <w:rPr>
        <w:rFonts w:ascii="Arial" w:hAnsi="Arial" w:cs="Arial"/>
        <w:i w:val="0"/>
        <w:iCs/>
        <w:sz w:val="16"/>
        <w:szCs w:val="16"/>
      </w:rPr>
      <w:ptab w:relativeTo="margin" w:alignment="center" w:leader="none"/>
    </w:r>
    <w:r w:rsidRPr="000C77F5">
      <w:rPr>
        <w:rFonts w:ascii="Arial" w:hAnsi="Arial" w:cs="Arial"/>
        <w:i w:val="0"/>
        <w:iCs/>
        <w:sz w:val="16"/>
        <w:szCs w:val="16"/>
      </w:rPr>
      <w:t xml:space="preserve">Last Revised: </w:t>
    </w:r>
    <w:r>
      <w:rPr>
        <w:rFonts w:ascii="Arial" w:hAnsi="Arial" w:cs="Arial"/>
        <w:i w:val="0"/>
        <w:iCs/>
        <w:sz w:val="16"/>
        <w:szCs w:val="16"/>
      </w:rPr>
      <w:t>September 27, 2024</w:t>
    </w:r>
    <w:r w:rsidRPr="000C77F5">
      <w:rPr>
        <w:rFonts w:ascii="Arial" w:hAnsi="Arial" w:cs="Arial"/>
        <w:i w:val="0"/>
        <w:iCs/>
        <w:sz w:val="16"/>
        <w:szCs w:val="16"/>
      </w:rPr>
      <w:ptab w:relativeTo="margin" w:alignment="right" w:leader="none"/>
    </w:r>
    <w:r w:rsidRPr="000C77F5">
      <w:rPr>
        <w:rFonts w:ascii="Arial" w:hAnsi="Arial" w:cs="Arial"/>
        <w:i w:val="0"/>
        <w:iCs/>
        <w:sz w:val="16"/>
        <w:szCs w:val="16"/>
      </w:rPr>
      <w:t xml:space="preserve">Page </w:t>
    </w:r>
    <w:r w:rsidRPr="000C77F5">
      <w:rPr>
        <w:rFonts w:ascii="Arial" w:hAnsi="Arial" w:cs="Arial"/>
        <w:i w:val="0"/>
        <w:iCs/>
        <w:sz w:val="16"/>
        <w:szCs w:val="16"/>
      </w:rPr>
      <w:fldChar w:fldCharType="begin"/>
    </w:r>
    <w:r w:rsidRPr="000C77F5">
      <w:rPr>
        <w:rFonts w:ascii="Arial" w:hAnsi="Arial" w:cs="Arial"/>
        <w:i w:val="0"/>
        <w:iCs/>
        <w:sz w:val="16"/>
        <w:szCs w:val="16"/>
      </w:rPr>
      <w:instrText xml:space="preserve"> PAGE   \* MERGEFORMAT </w:instrText>
    </w:r>
    <w:r w:rsidRPr="000C77F5">
      <w:rPr>
        <w:rFonts w:ascii="Arial" w:hAnsi="Arial" w:cs="Arial"/>
        <w:i w:val="0"/>
        <w:iCs/>
        <w:sz w:val="16"/>
        <w:szCs w:val="16"/>
      </w:rPr>
      <w:fldChar w:fldCharType="separate"/>
    </w:r>
    <w:r w:rsidR="00B27E18">
      <w:rPr>
        <w:rFonts w:ascii="Arial" w:hAnsi="Arial" w:cs="Arial"/>
        <w:i w:val="0"/>
        <w:iCs/>
        <w:noProof/>
        <w:sz w:val="16"/>
        <w:szCs w:val="16"/>
      </w:rPr>
      <w:t>2</w:t>
    </w:r>
    <w:r w:rsidRPr="000C77F5">
      <w:rPr>
        <w:rFonts w:ascii="Arial" w:hAnsi="Arial" w:cs="Arial"/>
        <w:i w:val="0"/>
        <w:i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764C" w14:textId="552327DA" w:rsidR="002A2768" w:rsidRPr="000C77F5" w:rsidRDefault="002A2768">
    <w:pPr>
      <w:pStyle w:val="Footer"/>
      <w:rPr>
        <w:rFonts w:ascii="Arial" w:hAnsi="Arial" w:cs="Arial"/>
        <w:i w:val="0"/>
        <w:sz w:val="16"/>
        <w:szCs w:val="16"/>
      </w:rPr>
    </w:pPr>
    <w:r>
      <w:rPr>
        <w:rFonts w:ascii="Arial" w:hAnsi="Arial" w:cs="Arial"/>
        <w:i w:val="0"/>
        <w:sz w:val="16"/>
        <w:szCs w:val="16"/>
      </w:rPr>
      <w:t>Version 3</w:t>
    </w:r>
    <w:r w:rsidR="000633C5">
      <w:rPr>
        <w:rFonts w:ascii="Arial" w:hAnsi="Arial" w:cs="Arial"/>
        <w:i w:val="0"/>
        <w:sz w:val="16"/>
        <w:szCs w:val="16"/>
      </w:rPr>
      <w:t>7</w:t>
    </w:r>
    <w:r w:rsidRPr="000C77F5">
      <w:rPr>
        <w:rFonts w:ascii="Arial" w:hAnsi="Arial" w:cs="Arial"/>
        <w:i w:val="0"/>
        <w:sz w:val="16"/>
        <w:szCs w:val="16"/>
      </w:rPr>
      <w:ptab w:relativeTo="margin" w:alignment="center" w:leader="none"/>
    </w:r>
    <w:r w:rsidRPr="000C77F5">
      <w:rPr>
        <w:rFonts w:ascii="Arial" w:hAnsi="Arial" w:cs="Arial"/>
        <w:i w:val="0"/>
        <w:sz w:val="16"/>
        <w:szCs w:val="16"/>
      </w:rPr>
      <w:t xml:space="preserve">Last Revised: </w:t>
    </w:r>
    <w:r w:rsidR="000633C5">
      <w:rPr>
        <w:rFonts w:ascii="Arial" w:hAnsi="Arial" w:cs="Arial"/>
        <w:i w:val="0"/>
        <w:sz w:val="16"/>
        <w:szCs w:val="16"/>
      </w:rPr>
      <w:t>May 1, 2026</w:t>
    </w:r>
    <w:r w:rsidRPr="000C77F5">
      <w:rPr>
        <w:rFonts w:ascii="Arial" w:hAnsi="Arial" w:cs="Arial"/>
        <w:i w:val="0"/>
        <w:sz w:val="16"/>
        <w:szCs w:val="16"/>
      </w:rPr>
      <w:ptab w:relativeTo="margin" w:alignment="right" w:leader="none"/>
    </w:r>
    <w:r w:rsidRPr="000C77F5">
      <w:rPr>
        <w:rFonts w:ascii="Arial" w:hAnsi="Arial" w:cs="Arial"/>
        <w:i w:val="0"/>
        <w:sz w:val="16"/>
        <w:szCs w:val="16"/>
      </w:rPr>
      <w:t xml:space="preserve">Page </w:t>
    </w:r>
    <w:r w:rsidRPr="000C77F5">
      <w:rPr>
        <w:rFonts w:ascii="Arial" w:hAnsi="Arial" w:cs="Arial"/>
        <w:i w:val="0"/>
        <w:sz w:val="16"/>
        <w:szCs w:val="16"/>
      </w:rPr>
      <w:fldChar w:fldCharType="begin"/>
    </w:r>
    <w:r w:rsidRPr="000C77F5">
      <w:rPr>
        <w:rFonts w:ascii="Arial" w:hAnsi="Arial" w:cs="Arial"/>
        <w:i w:val="0"/>
        <w:sz w:val="16"/>
        <w:szCs w:val="16"/>
      </w:rPr>
      <w:instrText xml:space="preserve"> PAGE   \* MERGEFORMAT </w:instrText>
    </w:r>
    <w:r w:rsidRPr="000C77F5">
      <w:rPr>
        <w:rFonts w:ascii="Arial" w:hAnsi="Arial" w:cs="Arial"/>
        <w:i w:val="0"/>
        <w:sz w:val="16"/>
        <w:szCs w:val="16"/>
      </w:rPr>
      <w:fldChar w:fldCharType="separate"/>
    </w:r>
    <w:r w:rsidR="00B27E18">
      <w:rPr>
        <w:rFonts w:ascii="Arial" w:hAnsi="Arial" w:cs="Arial"/>
        <w:i w:val="0"/>
        <w:noProof/>
        <w:sz w:val="16"/>
        <w:szCs w:val="16"/>
      </w:rPr>
      <w:t>1</w:t>
    </w:r>
    <w:r w:rsidRPr="000C77F5">
      <w:rPr>
        <w:rFonts w:ascii="Arial" w:hAnsi="Arial" w:cs="Arial"/>
        <w:i w:val="0"/>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24AC" w14:textId="20A521E8" w:rsidR="002A2768" w:rsidRPr="000C77F5" w:rsidRDefault="002A2768" w:rsidP="00C33762">
    <w:pPr>
      <w:pStyle w:val="FootnoteText"/>
      <w:rPr>
        <w:rFonts w:ascii="Arial" w:hAnsi="Arial" w:cs="Arial"/>
        <w:iCs/>
        <w:sz w:val="16"/>
      </w:rPr>
    </w:pPr>
    <w:r>
      <w:rPr>
        <w:rFonts w:ascii="Arial" w:hAnsi="Arial" w:cs="Arial"/>
        <w:iCs/>
        <w:sz w:val="16"/>
      </w:rPr>
      <w:t>Version 3</w:t>
    </w:r>
    <w:r w:rsidR="000633C5">
      <w:rPr>
        <w:rFonts w:ascii="Arial" w:hAnsi="Arial" w:cs="Arial"/>
        <w:iCs/>
        <w:sz w:val="16"/>
      </w:rPr>
      <w:t>7</w:t>
    </w:r>
    <w:r w:rsidRPr="000C77F5">
      <w:rPr>
        <w:rFonts w:ascii="Arial" w:hAnsi="Arial" w:cs="Arial"/>
        <w:iCs/>
        <w:sz w:val="16"/>
      </w:rPr>
      <w:ptab w:relativeTo="margin" w:alignment="center" w:leader="none"/>
    </w:r>
    <w:r>
      <w:rPr>
        <w:rFonts w:ascii="Arial" w:hAnsi="Arial" w:cs="Arial"/>
        <w:iCs/>
        <w:sz w:val="16"/>
      </w:rPr>
      <w:t xml:space="preserve">Last Revised: </w:t>
    </w:r>
    <w:r w:rsidR="000633C5">
      <w:rPr>
        <w:rFonts w:ascii="Arial" w:hAnsi="Arial" w:cs="Arial"/>
        <w:iCs/>
        <w:sz w:val="16"/>
      </w:rPr>
      <w:t>May 1, 2026</w:t>
    </w:r>
    <w:r w:rsidRPr="000C77F5">
      <w:rPr>
        <w:rFonts w:ascii="Arial" w:hAnsi="Arial" w:cs="Arial"/>
        <w:iCs/>
        <w:sz w:val="16"/>
      </w:rPr>
      <w:ptab w:relativeTo="margin" w:alignment="right" w:leader="none"/>
    </w:r>
    <w:r w:rsidRPr="000C77F5">
      <w:rPr>
        <w:rFonts w:ascii="Arial" w:hAnsi="Arial" w:cs="Arial"/>
        <w:iCs/>
        <w:sz w:val="16"/>
      </w:rPr>
      <w:t xml:space="preserve">Page </w:t>
    </w:r>
    <w:r w:rsidRPr="000C77F5">
      <w:rPr>
        <w:rFonts w:ascii="Arial" w:hAnsi="Arial" w:cs="Arial"/>
        <w:iCs/>
        <w:sz w:val="16"/>
      </w:rPr>
      <w:fldChar w:fldCharType="begin"/>
    </w:r>
    <w:r w:rsidRPr="000C77F5">
      <w:rPr>
        <w:rFonts w:ascii="Arial" w:hAnsi="Arial" w:cs="Arial"/>
        <w:iCs/>
        <w:sz w:val="16"/>
      </w:rPr>
      <w:instrText xml:space="preserve"> PAGE   \* MERGEFORMAT </w:instrText>
    </w:r>
    <w:r w:rsidRPr="000C77F5">
      <w:rPr>
        <w:rFonts w:ascii="Arial" w:hAnsi="Arial" w:cs="Arial"/>
        <w:iCs/>
        <w:sz w:val="16"/>
      </w:rPr>
      <w:fldChar w:fldCharType="separate"/>
    </w:r>
    <w:r w:rsidR="00B27E18">
      <w:rPr>
        <w:rFonts w:ascii="Arial" w:hAnsi="Arial" w:cs="Arial"/>
        <w:iCs/>
        <w:noProof/>
        <w:sz w:val="16"/>
      </w:rPr>
      <w:t>32</w:t>
    </w:r>
    <w:r w:rsidRPr="000C77F5">
      <w:rPr>
        <w:rFonts w:ascii="Arial" w:hAnsi="Arial" w:cs="Arial"/>
        <w:i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31BF" w14:textId="77777777" w:rsidR="002A2768" w:rsidRDefault="002A2768">
      <w:r>
        <w:separator/>
      </w:r>
    </w:p>
  </w:footnote>
  <w:footnote w:type="continuationSeparator" w:id="0">
    <w:p w14:paraId="5307FC2E" w14:textId="77777777" w:rsidR="002A2768" w:rsidRDefault="002A2768">
      <w:r>
        <w:continuationSeparator/>
      </w:r>
    </w:p>
  </w:footnote>
  <w:footnote w:type="continuationNotice" w:id="1">
    <w:p w14:paraId="794BBAF8" w14:textId="77777777" w:rsidR="002A2768" w:rsidRDefault="002A2768"/>
  </w:footnote>
  <w:footnote w:id="2">
    <w:p w14:paraId="7BAE635B" w14:textId="56E509E2" w:rsidR="002A2768" w:rsidRPr="001935C7" w:rsidRDefault="002A2768" w:rsidP="00433896">
      <w:pPr>
        <w:pStyle w:val="FootnoteText"/>
      </w:pPr>
      <w:r>
        <w:rPr>
          <w:rStyle w:val="FootnoteReference"/>
        </w:rPr>
        <w:footnoteRef/>
      </w:r>
      <w:r>
        <w:t xml:space="preserve"> </w:t>
      </w:r>
      <w:r>
        <w:tab/>
        <w:t xml:space="preserve">EIM Incremental Flow is defined by the Coordinated Transmission Agreement as: The aggregate power flow contribution from the dispatch of WEIM Participating Resources.  </w:t>
      </w:r>
      <w:r>
        <w:rPr>
          <w:i/>
        </w:rPr>
        <w:t>See</w:t>
      </w:r>
      <w:r>
        <w:t xml:space="preserve"> FERC Letter Order, Docket No. ER17-1493-000, June 20, 2017.</w:t>
      </w:r>
    </w:p>
  </w:footnote>
  <w:footnote w:id="3">
    <w:p w14:paraId="5F6940D8" w14:textId="72844BDD" w:rsidR="002A2768" w:rsidRDefault="002A2768" w:rsidP="00433896">
      <w:pPr>
        <w:pStyle w:val="FootnoteText"/>
      </w:pPr>
      <w:r>
        <w:rPr>
          <w:rStyle w:val="FootnoteReference"/>
        </w:rPr>
        <w:footnoteRef/>
      </w:r>
      <w:r>
        <w:t xml:space="preserve"> </w:t>
      </w:r>
      <w:r>
        <w:tab/>
        <w:t xml:space="preserve">EIM Area Total Flow is defined by the Coordinated Transmission Agreement as: The aggregate power flow contribution of flows resulting from WEIM Base Schedules, Day-Head Schedules, and WEIM Area Incremental Flows.  </w:t>
      </w:r>
      <w:r>
        <w:rPr>
          <w:i/>
        </w:rPr>
        <w:t>See</w:t>
      </w:r>
      <w:r>
        <w:t xml:space="preserve"> FERC Letter Order, Docket No. ER17-1493-000, June 20, 2017.</w:t>
      </w:r>
    </w:p>
  </w:footnote>
  <w:footnote w:id="4">
    <w:p w14:paraId="5C6ED545" w14:textId="77777777" w:rsidR="0023325B" w:rsidRDefault="0023325B" w:rsidP="0023325B">
      <w:pPr>
        <w:pStyle w:val="FootnoteText"/>
      </w:pPr>
      <w:r w:rsidRPr="00C5056E">
        <w:rPr>
          <w:rStyle w:val="FootnoteReference"/>
        </w:rPr>
        <w:footnoteRef/>
      </w:r>
      <w:r w:rsidRPr="00C5056E">
        <w:t xml:space="preserve"> As shown by the example in this row, submitting a designation request by 11am PST on Monday of a regular week is </w:t>
      </w:r>
      <w:r w:rsidRPr="00C5056E">
        <w:rPr>
          <w:u w:val="single"/>
        </w:rPr>
        <w:t>not</w:t>
      </w:r>
      <w:r w:rsidRPr="00C5056E">
        <w:t xml:space="preserve"> sufficiently far in advance for an effective start date for the upcoming weekend. In order to achieve an effective start date on Saturday or Sunday, the designation request must be submitted by 11am PST on Friday of the previous week </w:t>
      </w:r>
    </w:p>
  </w:footnote>
  <w:footnote w:id="5">
    <w:p w14:paraId="22F89521" w14:textId="77777777" w:rsidR="0023325B" w:rsidRDefault="0023325B" w:rsidP="0023325B">
      <w:pPr>
        <w:pStyle w:val="FootnoteText"/>
      </w:pPr>
      <w:r>
        <w:rPr>
          <w:rStyle w:val="FootnoteReference"/>
        </w:rPr>
        <w:footnoteRef/>
      </w:r>
      <w:r>
        <w:t xml:space="preserve"> </w:t>
      </w:r>
      <w:r w:rsidRPr="0021326D">
        <w:t>http://www.caiso.com/TodaysOutlook/Pages/default.aspx#section-7day-ra-capacity-trend</w:t>
      </w:r>
    </w:p>
  </w:footnote>
  <w:footnote w:id="6">
    <w:p w14:paraId="19B5C023" w14:textId="733C522A" w:rsidR="002A2768" w:rsidRDefault="002A2768" w:rsidP="002815A0">
      <w:pPr>
        <w:pStyle w:val="FootnoteText"/>
      </w:pPr>
      <w:r>
        <w:rPr>
          <w:rStyle w:val="FootnoteReference"/>
        </w:rPr>
        <w:footnoteRef/>
      </w:r>
      <w:r>
        <w:t xml:space="preserve"> </w:t>
      </w:r>
      <w:r>
        <w:tab/>
        <w:t>Currently, RUC intertie schedules are not part of the base WEIM Transfer because no scheduling is allowed from WEIM BAA Scheduling Hubs in the Day-Ahead Market, and intertie schedules from existing CISO Scheduling Points in WEIM BAAs are not considered WEIM transactions; hence the base Energy Transfer schedules with the CISO and the base WEIM Transfer for the CISO are all zero.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5954" w14:textId="386CF5BB" w:rsidR="002A2768" w:rsidRPr="000C77F5" w:rsidRDefault="002A2768" w:rsidP="000C77F5">
    <w:pPr>
      <w:pStyle w:val="Header"/>
      <w:pBdr>
        <w:bottom w:val="single" w:sz="12" w:space="2" w:color="auto"/>
      </w:pBdr>
      <w:tabs>
        <w:tab w:val="clear" w:pos="8640"/>
        <w:tab w:val="right" w:pos="9360"/>
      </w:tabs>
      <w:spacing w:after="0"/>
      <w:rPr>
        <w:rFonts w:ascii="Arial" w:eastAsia="Times New Roman" w:hAnsi="Arial" w:cs="Times New Roman"/>
        <w:bCs/>
        <w:sz w:val="16"/>
        <w:szCs w:val="20"/>
      </w:rPr>
    </w:pPr>
    <w:r w:rsidRPr="000C77F5">
      <w:rPr>
        <w:rFonts w:ascii="Arial" w:eastAsia="Times New Roman" w:hAnsi="Arial" w:cs="Times New Roman"/>
        <w:bCs/>
        <w:sz w:val="16"/>
        <w:szCs w:val="20"/>
      </w:rPr>
      <w:t xml:space="preserve">CAISO Business Practice Manual                                                                              </w:t>
    </w:r>
    <w:r>
      <w:rPr>
        <w:rFonts w:ascii="Arial" w:eastAsia="Times New Roman" w:hAnsi="Arial" w:cs="Times New Roman"/>
        <w:bCs/>
        <w:sz w:val="16"/>
        <w:szCs w:val="20"/>
      </w:rPr>
      <w:t xml:space="preserve"> BPM for Western Energy Imbalance Market </w:t>
    </w:r>
  </w:p>
  <w:p w14:paraId="0F11BF26" w14:textId="5C6E21CE" w:rsidR="002A2768" w:rsidRDefault="002A2768">
    <w:pPr>
      <w:pStyle w:val="Header"/>
    </w:pPr>
  </w:p>
  <w:p w14:paraId="5DB9103C" w14:textId="378E34CF" w:rsidR="002A2768" w:rsidRDefault="002A2768" w:rsidP="005F24C1">
    <w:pPr>
      <w:pStyle w:val="Header"/>
      <w:jc w:val="center"/>
      <w:rPr>
        <w:b w:val="0"/>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BC87" w14:textId="2626260E" w:rsidR="002A2768" w:rsidRPr="000C77F5" w:rsidRDefault="002A2768">
    <w:pPr>
      <w:pStyle w:val="Header"/>
      <w:rPr>
        <w:sz w:val="16"/>
        <w:szCs w:val="16"/>
      </w:rPr>
    </w:pPr>
    <w:r w:rsidRPr="000C77F5">
      <w:rPr>
        <w:noProof/>
        <w:sz w:val="16"/>
        <w:szCs w:val="16"/>
      </w:rPr>
      <w:drawing>
        <wp:inline distT="0" distB="0" distL="0" distR="0" wp14:anchorId="1C047A83" wp14:editId="46B3E039">
          <wp:extent cx="2059305" cy="381635"/>
          <wp:effectExtent l="0" t="0" r="0" b="0"/>
          <wp:docPr id="2133654756" name="Picture 2133654756" descr="\\myfiles\home\jpayton\profile\Desktop\CAISOLogo-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files\home\jpayton\profile\Desktop\CAISOLogo-2.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381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1A5C60"/>
    <w:lvl w:ilvl="0">
      <w:start w:val="1"/>
      <w:numFmt w:val="decimal"/>
      <w:pStyle w:val="ListNumber5"/>
      <w:lvlText w:val="%1)"/>
      <w:lvlJc w:val="left"/>
      <w:pPr>
        <w:ind w:left="1800" w:hanging="360"/>
      </w:pPr>
    </w:lvl>
  </w:abstractNum>
  <w:abstractNum w:abstractNumId="1" w15:restartNumberingAfterBreak="0">
    <w:nsid w:val="FFFFFF7D"/>
    <w:multiLevelType w:val="singleLevel"/>
    <w:tmpl w:val="2F1216D4"/>
    <w:lvl w:ilvl="0">
      <w:start w:val="1"/>
      <w:numFmt w:val="decimal"/>
      <w:pStyle w:val="ListNumber4"/>
      <w:lvlText w:val="%1)"/>
      <w:lvlJc w:val="left"/>
      <w:pPr>
        <w:ind w:left="1440" w:hanging="360"/>
      </w:pPr>
    </w:lvl>
  </w:abstractNum>
  <w:abstractNum w:abstractNumId="2" w15:restartNumberingAfterBreak="0">
    <w:nsid w:val="FFFFFF7E"/>
    <w:multiLevelType w:val="singleLevel"/>
    <w:tmpl w:val="589019F2"/>
    <w:lvl w:ilvl="0">
      <w:start w:val="1"/>
      <w:numFmt w:val="decimal"/>
      <w:pStyle w:val="ListNumber3"/>
      <w:lvlText w:val="%1)"/>
      <w:lvlJc w:val="left"/>
      <w:pPr>
        <w:ind w:left="1080" w:hanging="360"/>
      </w:pPr>
    </w:lvl>
  </w:abstractNum>
  <w:abstractNum w:abstractNumId="3" w15:restartNumberingAfterBreak="0">
    <w:nsid w:val="FFFFFF7F"/>
    <w:multiLevelType w:val="singleLevel"/>
    <w:tmpl w:val="351CBBBC"/>
    <w:lvl w:ilvl="0">
      <w:start w:val="1"/>
      <w:numFmt w:val="decimal"/>
      <w:pStyle w:val="ListNumber2"/>
      <w:lvlText w:val="%1)"/>
      <w:lvlJc w:val="left"/>
      <w:pPr>
        <w:ind w:left="720" w:hanging="360"/>
      </w:pPr>
    </w:lvl>
  </w:abstractNum>
  <w:abstractNum w:abstractNumId="4" w15:restartNumberingAfterBreak="0">
    <w:nsid w:val="FFFFFF88"/>
    <w:multiLevelType w:val="singleLevel"/>
    <w:tmpl w:val="E1507CEC"/>
    <w:lvl w:ilvl="0">
      <w:start w:val="1"/>
      <w:numFmt w:val="decimal"/>
      <w:pStyle w:val="ListNumber"/>
      <w:lvlText w:val="%1)"/>
      <w:lvlJc w:val="left"/>
      <w:pPr>
        <w:ind w:left="360" w:hanging="360"/>
      </w:pPr>
    </w:lvl>
  </w:abstractNum>
  <w:abstractNum w:abstractNumId="5" w15:restartNumberingAfterBreak="0">
    <w:nsid w:val="02663A5D"/>
    <w:multiLevelType w:val="hybridMultilevel"/>
    <w:tmpl w:val="41608D1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4401BF"/>
    <w:multiLevelType w:val="hybridMultilevel"/>
    <w:tmpl w:val="4B3E0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51E7770"/>
    <w:multiLevelType w:val="hybridMultilevel"/>
    <w:tmpl w:val="EC4821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1F3866"/>
    <w:multiLevelType w:val="hybridMultilevel"/>
    <w:tmpl w:val="AE7EA6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841269"/>
    <w:multiLevelType w:val="hybridMultilevel"/>
    <w:tmpl w:val="1FD81ECE"/>
    <w:lvl w:ilvl="0" w:tplc="AF306C44">
      <w:start w:val="1"/>
      <w:numFmt w:val="decimal"/>
      <w:lvlText w:val="%1)"/>
      <w:lvlJc w:val="left"/>
      <w:pPr>
        <w:ind w:left="360" w:hanging="360"/>
      </w:pPr>
      <w:rPr>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9EE15B4"/>
    <w:multiLevelType w:val="hybridMultilevel"/>
    <w:tmpl w:val="DAA23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F108FE"/>
    <w:multiLevelType w:val="hybridMultilevel"/>
    <w:tmpl w:val="5818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A7CB6"/>
    <w:multiLevelType w:val="hybridMultilevel"/>
    <w:tmpl w:val="33D026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0CE73396"/>
    <w:multiLevelType w:val="hybridMultilevel"/>
    <w:tmpl w:val="536261E6"/>
    <w:lvl w:ilvl="0" w:tplc="2A2C5E4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07DFA"/>
    <w:multiLevelType w:val="hybridMultilevel"/>
    <w:tmpl w:val="ACEC7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F5943"/>
    <w:multiLevelType w:val="hybridMultilevel"/>
    <w:tmpl w:val="AD5634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CA60C2"/>
    <w:multiLevelType w:val="hybridMultilevel"/>
    <w:tmpl w:val="96DA959A"/>
    <w:lvl w:ilvl="0" w:tplc="072456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FE301D"/>
    <w:multiLevelType w:val="hybridMultilevel"/>
    <w:tmpl w:val="96E67C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566DFD"/>
    <w:multiLevelType w:val="hybridMultilevel"/>
    <w:tmpl w:val="5EEE50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0CA3FD4"/>
    <w:multiLevelType w:val="hybridMultilevel"/>
    <w:tmpl w:val="D1C6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343647"/>
    <w:multiLevelType w:val="hybridMultilevel"/>
    <w:tmpl w:val="D10EB6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19071C0"/>
    <w:multiLevelType w:val="hybridMultilevel"/>
    <w:tmpl w:val="6A3C08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1CC63D7"/>
    <w:multiLevelType w:val="hybridMultilevel"/>
    <w:tmpl w:val="D3BEC34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11FA4B0B"/>
    <w:multiLevelType w:val="hybridMultilevel"/>
    <w:tmpl w:val="DC3EB8A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2016F6A"/>
    <w:multiLevelType w:val="hybridMultilevel"/>
    <w:tmpl w:val="B4BE5DBC"/>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15:restartNumberingAfterBreak="0">
    <w:nsid w:val="12190BC7"/>
    <w:multiLevelType w:val="hybridMultilevel"/>
    <w:tmpl w:val="158A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993680"/>
    <w:multiLevelType w:val="hybridMultilevel"/>
    <w:tmpl w:val="0682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A62B83"/>
    <w:multiLevelType w:val="hybridMultilevel"/>
    <w:tmpl w:val="60C03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F95F8E"/>
    <w:multiLevelType w:val="singleLevel"/>
    <w:tmpl w:val="2C180D4A"/>
    <w:lvl w:ilvl="0">
      <w:start w:val="1"/>
      <w:numFmt w:val="bullet"/>
      <w:pStyle w:val="Bullet1HRt"/>
      <w:lvlText w:val=""/>
      <w:lvlJc w:val="left"/>
      <w:pPr>
        <w:tabs>
          <w:tab w:val="num" w:pos="540"/>
        </w:tabs>
        <w:ind w:left="540" w:hanging="360"/>
      </w:pPr>
      <w:rPr>
        <w:rFonts w:ascii="Wingdings" w:hAnsi="Wingdings" w:hint="default"/>
      </w:rPr>
    </w:lvl>
  </w:abstractNum>
  <w:abstractNum w:abstractNumId="29" w15:restartNumberingAfterBreak="0">
    <w:nsid w:val="152F54DA"/>
    <w:multiLevelType w:val="hybridMultilevel"/>
    <w:tmpl w:val="DAC0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8B27A0"/>
    <w:multiLevelType w:val="hybridMultilevel"/>
    <w:tmpl w:val="D7902ED4"/>
    <w:lvl w:ilvl="0" w:tplc="0409000B">
      <w:start w:val="1"/>
      <w:numFmt w:val="bullet"/>
      <w:lvlText w:val=""/>
      <w:lvlJc w:val="left"/>
      <w:pPr>
        <w:tabs>
          <w:tab w:val="num" w:pos="720"/>
        </w:tabs>
        <w:ind w:left="720" w:hanging="360"/>
      </w:pPr>
      <w:rPr>
        <w:rFonts w:ascii="Wingdings" w:hAnsi="Wingdings" w:hint="default"/>
      </w:rPr>
    </w:lvl>
    <w:lvl w:ilvl="1" w:tplc="589E2D94" w:tentative="1">
      <w:start w:val="1"/>
      <w:numFmt w:val="bullet"/>
      <w:lvlText w:val=""/>
      <w:lvlJc w:val="left"/>
      <w:pPr>
        <w:tabs>
          <w:tab w:val="num" w:pos="1440"/>
        </w:tabs>
        <w:ind w:left="1440" w:hanging="360"/>
      </w:pPr>
      <w:rPr>
        <w:rFonts w:ascii="Wingdings" w:hAnsi="Wingdings" w:hint="default"/>
      </w:rPr>
    </w:lvl>
    <w:lvl w:ilvl="2" w:tplc="143A7544" w:tentative="1">
      <w:start w:val="1"/>
      <w:numFmt w:val="bullet"/>
      <w:lvlText w:val=""/>
      <w:lvlJc w:val="left"/>
      <w:pPr>
        <w:tabs>
          <w:tab w:val="num" w:pos="2160"/>
        </w:tabs>
        <w:ind w:left="2160" w:hanging="360"/>
      </w:pPr>
      <w:rPr>
        <w:rFonts w:ascii="Wingdings" w:hAnsi="Wingdings" w:hint="default"/>
      </w:rPr>
    </w:lvl>
    <w:lvl w:ilvl="3" w:tplc="171856A8" w:tentative="1">
      <w:start w:val="1"/>
      <w:numFmt w:val="bullet"/>
      <w:lvlText w:val=""/>
      <w:lvlJc w:val="left"/>
      <w:pPr>
        <w:tabs>
          <w:tab w:val="num" w:pos="2880"/>
        </w:tabs>
        <w:ind w:left="2880" w:hanging="360"/>
      </w:pPr>
      <w:rPr>
        <w:rFonts w:ascii="Wingdings" w:hAnsi="Wingdings" w:hint="default"/>
      </w:rPr>
    </w:lvl>
    <w:lvl w:ilvl="4" w:tplc="D3586314" w:tentative="1">
      <w:start w:val="1"/>
      <w:numFmt w:val="bullet"/>
      <w:lvlText w:val=""/>
      <w:lvlJc w:val="left"/>
      <w:pPr>
        <w:tabs>
          <w:tab w:val="num" w:pos="3600"/>
        </w:tabs>
        <w:ind w:left="3600" w:hanging="360"/>
      </w:pPr>
      <w:rPr>
        <w:rFonts w:ascii="Wingdings" w:hAnsi="Wingdings" w:hint="default"/>
      </w:rPr>
    </w:lvl>
    <w:lvl w:ilvl="5" w:tplc="75B66534" w:tentative="1">
      <w:start w:val="1"/>
      <w:numFmt w:val="bullet"/>
      <w:lvlText w:val=""/>
      <w:lvlJc w:val="left"/>
      <w:pPr>
        <w:tabs>
          <w:tab w:val="num" w:pos="4320"/>
        </w:tabs>
        <w:ind w:left="4320" w:hanging="360"/>
      </w:pPr>
      <w:rPr>
        <w:rFonts w:ascii="Wingdings" w:hAnsi="Wingdings" w:hint="default"/>
      </w:rPr>
    </w:lvl>
    <w:lvl w:ilvl="6" w:tplc="E24ABF7C" w:tentative="1">
      <w:start w:val="1"/>
      <w:numFmt w:val="bullet"/>
      <w:lvlText w:val=""/>
      <w:lvlJc w:val="left"/>
      <w:pPr>
        <w:tabs>
          <w:tab w:val="num" w:pos="5040"/>
        </w:tabs>
        <w:ind w:left="5040" w:hanging="360"/>
      </w:pPr>
      <w:rPr>
        <w:rFonts w:ascii="Wingdings" w:hAnsi="Wingdings" w:hint="default"/>
      </w:rPr>
    </w:lvl>
    <w:lvl w:ilvl="7" w:tplc="8F7E4258" w:tentative="1">
      <w:start w:val="1"/>
      <w:numFmt w:val="bullet"/>
      <w:lvlText w:val=""/>
      <w:lvlJc w:val="left"/>
      <w:pPr>
        <w:tabs>
          <w:tab w:val="num" w:pos="5760"/>
        </w:tabs>
        <w:ind w:left="5760" w:hanging="360"/>
      </w:pPr>
      <w:rPr>
        <w:rFonts w:ascii="Wingdings" w:hAnsi="Wingdings" w:hint="default"/>
      </w:rPr>
    </w:lvl>
    <w:lvl w:ilvl="8" w:tplc="A9F838E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7C927E4"/>
    <w:multiLevelType w:val="hybridMultilevel"/>
    <w:tmpl w:val="EDD2530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17FB34EB"/>
    <w:multiLevelType w:val="hybridMultilevel"/>
    <w:tmpl w:val="BD46A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BE6585"/>
    <w:multiLevelType w:val="hybridMultilevel"/>
    <w:tmpl w:val="33D866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DAD2648"/>
    <w:multiLevelType w:val="hybridMultilevel"/>
    <w:tmpl w:val="C2E43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E95779C"/>
    <w:multiLevelType w:val="hybridMultilevel"/>
    <w:tmpl w:val="EB0A9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9419C6"/>
    <w:multiLevelType w:val="multilevel"/>
    <w:tmpl w:val="E0022E10"/>
    <w:lvl w:ilvl="0">
      <w:start w:val="1"/>
      <w:numFmt w:val="decimal"/>
      <w:lvlText w:val="%1"/>
      <w:lvlJc w:val="left"/>
      <w:pPr>
        <w:ind w:left="380" w:hanging="380"/>
      </w:pPr>
    </w:lvl>
    <w:lvl w:ilvl="1">
      <w:start w:val="6"/>
      <w:numFmt w:val="decimal"/>
      <w:lvlText w:val="%1.%2"/>
      <w:lvlJc w:val="left"/>
      <w:pPr>
        <w:ind w:left="1100" w:hanging="720"/>
      </w:pPr>
    </w:lvl>
    <w:lvl w:ilvl="2">
      <w:start w:val="1"/>
      <w:numFmt w:val="decimal"/>
      <w:lvlText w:val="%1.%2.%3"/>
      <w:lvlJc w:val="left"/>
      <w:pPr>
        <w:ind w:left="1480" w:hanging="720"/>
      </w:pPr>
    </w:lvl>
    <w:lvl w:ilvl="3">
      <w:start w:val="1"/>
      <w:numFmt w:val="decimal"/>
      <w:lvlText w:val="%1.%2.%3.%4"/>
      <w:lvlJc w:val="left"/>
      <w:pPr>
        <w:ind w:left="2220" w:hanging="1080"/>
      </w:pPr>
    </w:lvl>
    <w:lvl w:ilvl="4">
      <w:start w:val="1"/>
      <w:numFmt w:val="decimal"/>
      <w:lvlText w:val="%1.%2.%3.%4.%5"/>
      <w:lvlJc w:val="left"/>
      <w:pPr>
        <w:ind w:left="2600" w:hanging="1080"/>
      </w:pPr>
    </w:lvl>
    <w:lvl w:ilvl="5">
      <w:start w:val="1"/>
      <w:numFmt w:val="decimal"/>
      <w:lvlText w:val="%1.%2.%3.%4.%5.%6"/>
      <w:lvlJc w:val="left"/>
      <w:pPr>
        <w:ind w:left="3340" w:hanging="1440"/>
      </w:pPr>
    </w:lvl>
    <w:lvl w:ilvl="6">
      <w:start w:val="1"/>
      <w:numFmt w:val="decimal"/>
      <w:lvlText w:val="%1.%2.%3.%4.%5.%6.%7"/>
      <w:lvlJc w:val="left"/>
      <w:pPr>
        <w:ind w:left="4080" w:hanging="1800"/>
      </w:pPr>
    </w:lvl>
    <w:lvl w:ilvl="7">
      <w:start w:val="1"/>
      <w:numFmt w:val="decimal"/>
      <w:lvlText w:val="%1.%2.%3.%4.%5.%6.%7.%8"/>
      <w:lvlJc w:val="left"/>
      <w:pPr>
        <w:ind w:left="4460" w:hanging="1800"/>
      </w:pPr>
    </w:lvl>
    <w:lvl w:ilvl="8">
      <w:start w:val="1"/>
      <w:numFmt w:val="decimal"/>
      <w:lvlText w:val="%1.%2.%3.%4.%5.%6.%7.%8.%9"/>
      <w:lvlJc w:val="left"/>
      <w:pPr>
        <w:ind w:left="5200" w:hanging="2160"/>
      </w:pPr>
    </w:lvl>
  </w:abstractNum>
  <w:abstractNum w:abstractNumId="37" w15:restartNumberingAfterBreak="0">
    <w:nsid w:val="21172322"/>
    <w:multiLevelType w:val="hybridMultilevel"/>
    <w:tmpl w:val="ABD0E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F903A6"/>
    <w:multiLevelType w:val="hybridMultilevel"/>
    <w:tmpl w:val="4254F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225485"/>
    <w:multiLevelType w:val="hybridMultilevel"/>
    <w:tmpl w:val="F86E2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5D1A92"/>
    <w:multiLevelType w:val="hybridMultilevel"/>
    <w:tmpl w:val="EDC2B4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94F761E"/>
    <w:multiLevelType w:val="hybridMultilevel"/>
    <w:tmpl w:val="FED003C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2A48B3"/>
    <w:multiLevelType w:val="hybridMultilevel"/>
    <w:tmpl w:val="879AA3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A3B59B1"/>
    <w:multiLevelType w:val="hybridMultilevel"/>
    <w:tmpl w:val="332CAF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8D1117"/>
    <w:multiLevelType w:val="hybridMultilevel"/>
    <w:tmpl w:val="5D96B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56232D"/>
    <w:multiLevelType w:val="hybridMultilevel"/>
    <w:tmpl w:val="E9CE14CE"/>
    <w:lvl w:ilvl="0" w:tplc="2CBEE3CC">
      <w:start w:val="1"/>
      <w:numFmt w:val="decimal"/>
      <w:lvlText w:val="(%1)"/>
      <w:lvlJc w:val="left"/>
      <w:pPr>
        <w:ind w:left="825" w:hanging="360"/>
      </w:pPr>
      <w:rPr>
        <w:rFonts w:hint="default"/>
        <w:b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6" w15:restartNumberingAfterBreak="0">
    <w:nsid w:val="2CCA0BEE"/>
    <w:multiLevelType w:val="hybridMultilevel"/>
    <w:tmpl w:val="C2EEBDD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FCE3115"/>
    <w:multiLevelType w:val="hybridMultilevel"/>
    <w:tmpl w:val="A6CC74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D12131"/>
    <w:multiLevelType w:val="hybridMultilevel"/>
    <w:tmpl w:val="8A6A7A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2094A0F"/>
    <w:multiLevelType w:val="hybridMultilevel"/>
    <w:tmpl w:val="1FF8F6B2"/>
    <w:lvl w:ilvl="0" w:tplc="C8E69FC0">
      <w:start w:val="1"/>
      <w:numFmt w:val="decimal"/>
      <w:lvlText w:val="%1."/>
      <w:lvlJc w:val="left"/>
      <w:pPr>
        <w:ind w:left="570" w:hanging="360"/>
      </w:pPr>
      <w:rPr>
        <w:rFonts w:eastAsiaTheme="majorEastAsia" w:hint="default"/>
        <w:color w:val="000000" w:themeColor="text1"/>
        <w:sz w:val="24"/>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0"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51" w15:restartNumberingAfterBreak="0">
    <w:nsid w:val="349F0108"/>
    <w:multiLevelType w:val="hybridMultilevel"/>
    <w:tmpl w:val="863871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6145E71"/>
    <w:multiLevelType w:val="hybridMultilevel"/>
    <w:tmpl w:val="BB206B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341E38"/>
    <w:multiLevelType w:val="hybridMultilevel"/>
    <w:tmpl w:val="18608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88928F0"/>
    <w:multiLevelType w:val="hybridMultilevel"/>
    <w:tmpl w:val="4F48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037292"/>
    <w:multiLevelType w:val="hybridMultilevel"/>
    <w:tmpl w:val="2476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263847"/>
    <w:multiLevelType w:val="hybridMultilevel"/>
    <w:tmpl w:val="27983B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0D3C33"/>
    <w:multiLevelType w:val="hybridMultilevel"/>
    <w:tmpl w:val="449C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3919A6"/>
    <w:multiLevelType w:val="hybridMultilevel"/>
    <w:tmpl w:val="3384D4B8"/>
    <w:lvl w:ilvl="0" w:tplc="20FA5D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14779F"/>
    <w:multiLevelType w:val="hybridMultilevel"/>
    <w:tmpl w:val="39DAC9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7E4A22"/>
    <w:multiLevelType w:val="multilevel"/>
    <w:tmpl w:val="3D96F3EE"/>
    <w:lvl w:ilvl="0">
      <w:start w:val="1"/>
      <w:numFmt w:val="decimal"/>
      <w:pStyle w:val="Heading1"/>
      <w:lvlText w:val="%1."/>
      <w:lvlJc w:val="left"/>
      <w:pPr>
        <w:tabs>
          <w:tab w:val="num" w:pos="1080"/>
        </w:tabs>
        <w:ind w:left="1080" w:hanging="1080"/>
      </w:pPr>
      <w:rPr>
        <w:rFonts w:ascii="Arial" w:hAnsi="Arial" w:hint="default"/>
        <w:b/>
        <w:i w:val="0"/>
        <w:sz w:val="34"/>
      </w:rPr>
    </w:lvl>
    <w:lvl w:ilvl="1">
      <w:start w:val="1"/>
      <w:numFmt w:val="decimal"/>
      <w:pStyle w:val="Heading2"/>
      <w:lvlText w:val="%1.%2"/>
      <w:lvlJc w:val="left"/>
      <w:pPr>
        <w:tabs>
          <w:tab w:val="num" w:pos="1080"/>
        </w:tabs>
        <w:ind w:left="1080" w:hanging="1080"/>
      </w:pPr>
      <w:rPr>
        <w:rFonts w:ascii="Arial" w:hAnsi="Arial" w:hint="default"/>
        <w:b/>
        <w:i w:val="0"/>
        <w:sz w:val="30"/>
      </w:rPr>
    </w:lvl>
    <w:lvl w:ilvl="2">
      <w:start w:val="1"/>
      <w:numFmt w:val="decimal"/>
      <w:pStyle w:val="Heading3"/>
      <w:lvlText w:val="%1.%2.%3"/>
      <w:lvlJc w:val="left"/>
      <w:pPr>
        <w:tabs>
          <w:tab w:val="num" w:pos="1980"/>
        </w:tabs>
        <w:ind w:left="1980" w:hanging="1080"/>
      </w:pPr>
      <w:rPr>
        <w:rFonts w:ascii="Arial" w:hAnsi="Arial" w:hint="default"/>
        <w:b/>
        <w:i w:val="0"/>
        <w:sz w:val="26"/>
      </w:rPr>
    </w:lvl>
    <w:lvl w:ilvl="3">
      <w:start w:val="1"/>
      <w:numFmt w:val="decimal"/>
      <w:pStyle w:val="Heading4"/>
      <w:lvlText w:val="%1.%2.%3.%4"/>
      <w:lvlJc w:val="left"/>
      <w:pPr>
        <w:tabs>
          <w:tab w:val="num" w:pos="1080"/>
        </w:tabs>
        <w:ind w:left="108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46962141"/>
    <w:multiLevelType w:val="hybridMultilevel"/>
    <w:tmpl w:val="4C62C70E"/>
    <w:lvl w:ilvl="0" w:tplc="19A8AE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E15B92"/>
    <w:multiLevelType w:val="hybridMultilevel"/>
    <w:tmpl w:val="019E7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A5311C8"/>
    <w:multiLevelType w:val="hybridMultilevel"/>
    <w:tmpl w:val="26563C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C1AABD4">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257C6F"/>
    <w:multiLevelType w:val="hybridMultilevel"/>
    <w:tmpl w:val="E6700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7D5A69"/>
    <w:multiLevelType w:val="multilevel"/>
    <w:tmpl w:val="4E741E7A"/>
    <w:lvl w:ilvl="0">
      <w:start w:val="11"/>
      <w:numFmt w:val="decimal"/>
      <w:lvlText w:val="%1"/>
      <w:lvlJc w:val="left"/>
      <w:pPr>
        <w:ind w:left="660" w:hanging="660"/>
      </w:pPr>
      <w:rPr>
        <w:rFonts w:hint="default"/>
      </w:rPr>
    </w:lvl>
    <w:lvl w:ilvl="1">
      <w:start w:val="6"/>
      <w:numFmt w:val="decimal"/>
      <w:lvlText w:val="%1.%2"/>
      <w:lvlJc w:val="left"/>
      <w:pPr>
        <w:ind w:left="1040" w:hanging="6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67" w15:restartNumberingAfterBreak="0">
    <w:nsid w:val="4FB91FAE"/>
    <w:multiLevelType w:val="hybridMultilevel"/>
    <w:tmpl w:val="190C6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353984"/>
    <w:multiLevelType w:val="hybridMultilevel"/>
    <w:tmpl w:val="96FCC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D77CDD"/>
    <w:multiLevelType w:val="hybridMultilevel"/>
    <w:tmpl w:val="815AF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392E4F"/>
    <w:multiLevelType w:val="hybridMultilevel"/>
    <w:tmpl w:val="9268034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1E86986"/>
    <w:multiLevelType w:val="hybridMultilevel"/>
    <w:tmpl w:val="11E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AF183C"/>
    <w:multiLevelType w:val="hybridMultilevel"/>
    <w:tmpl w:val="C9AC6078"/>
    <w:lvl w:ilvl="0" w:tplc="5F28D6DE">
      <w:start w:val="11"/>
      <w:numFmt w:val="bullet"/>
      <w:lvlText w:val="•"/>
      <w:lvlJc w:val="left"/>
      <w:pPr>
        <w:ind w:left="1440" w:hanging="360"/>
      </w:pPr>
      <w:rPr>
        <w:rFonts w:ascii="Arial" w:eastAsia="Times New Roman" w:hAnsi="Arial" w:cs="Aria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4626C2D"/>
    <w:multiLevelType w:val="multilevel"/>
    <w:tmpl w:val="91668AAE"/>
    <w:lvl w:ilvl="0">
      <w:start w:val="11"/>
      <w:numFmt w:val="decimal"/>
      <w:lvlText w:val="%1"/>
      <w:lvlJc w:val="left"/>
      <w:pPr>
        <w:ind w:left="651" w:hanging="651"/>
      </w:pPr>
      <w:rPr>
        <w:rFonts w:hint="default"/>
      </w:rPr>
    </w:lvl>
    <w:lvl w:ilvl="1">
      <w:start w:val="3"/>
      <w:numFmt w:val="decimal"/>
      <w:lvlText w:val="%1.%2"/>
      <w:lvlJc w:val="left"/>
      <w:pPr>
        <w:ind w:left="1101" w:hanging="651"/>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4" w15:restartNumberingAfterBreak="0">
    <w:nsid w:val="552532A8"/>
    <w:multiLevelType w:val="hybridMultilevel"/>
    <w:tmpl w:val="31F8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76" w15:restartNumberingAfterBreak="0">
    <w:nsid w:val="555A26FB"/>
    <w:multiLevelType w:val="hybridMultilevel"/>
    <w:tmpl w:val="0DD2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B91667"/>
    <w:multiLevelType w:val="hybridMultilevel"/>
    <w:tmpl w:val="37BA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C56B0"/>
    <w:multiLevelType w:val="hybridMultilevel"/>
    <w:tmpl w:val="2DC405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5C403DA5"/>
    <w:multiLevelType w:val="hybridMultilevel"/>
    <w:tmpl w:val="8FCAD1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E9D6CC9"/>
    <w:multiLevelType w:val="hybridMultilevel"/>
    <w:tmpl w:val="77D6EE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29E051C"/>
    <w:multiLevelType w:val="multilevel"/>
    <w:tmpl w:val="7D00C7B2"/>
    <w:lvl w:ilvl="0">
      <w:start w:val="11"/>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402636E"/>
    <w:multiLevelType w:val="hybridMultilevel"/>
    <w:tmpl w:val="2DEE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DE464D"/>
    <w:multiLevelType w:val="hybridMultilevel"/>
    <w:tmpl w:val="70DC26AE"/>
    <w:lvl w:ilvl="0" w:tplc="D91470D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662D06E3"/>
    <w:multiLevelType w:val="hybridMultilevel"/>
    <w:tmpl w:val="441C36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71271FE"/>
    <w:multiLevelType w:val="hybridMultilevel"/>
    <w:tmpl w:val="D5026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7353AD"/>
    <w:multiLevelType w:val="hybridMultilevel"/>
    <w:tmpl w:val="B9B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2F7C5B"/>
    <w:multiLevelType w:val="hybridMultilevel"/>
    <w:tmpl w:val="CF16F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9756CBC"/>
    <w:multiLevelType w:val="hybridMultilevel"/>
    <w:tmpl w:val="65F27EC8"/>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9" w15:restartNumberingAfterBreak="0">
    <w:nsid w:val="6AB27AFC"/>
    <w:multiLevelType w:val="hybridMultilevel"/>
    <w:tmpl w:val="AFC6D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AFD2DC1"/>
    <w:multiLevelType w:val="hybridMultilevel"/>
    <w:tmpl w:val="AEF215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D6E526D"/>
    <w:multiLevelType w:val="hybridMultilevel"/>
    <w:tmpl w:val="F1E2F8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F35F60"/>
    <w:multiLevelType w:val="hybridMultilevel"/>
    <w:tmpl w:val="4804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BA67AE"/>
    <w:multiLevelType w:val="hybridMultilevel"/>
    <w:tmpl w:val="AFE09590"/>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5" w15:restartNumberingAfterBreak="0">
    <w:nsid w:val="73206875"/>
    <w:multiLevelType w:val="hybridMultilevel"/>
    <w:tmpl w:val="3044E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57235B"/>
    <w:multiLevelType w:val="hybridMultilevel"/>
    <w:tmpl w:val="83F4C64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3C75D80"/>
    <w:multiLevelType w:val="hybridMultilevel"/>
    <w:tmpl w:val="F01C26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FA7DF3"/>
    <w:multiLevelType w:val="hybridMultilevel"/>
    <w:tmpl w:val="28E44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3C608C"/>
    <w:multiLevelType w:val="hybridMultilevel"/>
    <w:tmpl w:val="0A746E8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0" w15:restartNumberingAfterBreak="0">
    <w:nsid w:val="77474077"/>
    <w:multiLevelType w:val="hybridMultilevel"/>
    <w:tmpl w:val="6C7651F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8681099"/>
    <w:multiLevelType w:val="hybridMultilevel"/>
    <w:tmpl w:val="081A0FC6"/>
    <w:lvl w:ilvl="0" w:tplc="76AE78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9045D1A"/>
    <w:multiLevelType w:val="hybridMultilevel"/>
    <w:tmpl w:val="09C406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410ACD"/>
    <w:multiLevelType w:val="hybridMultilevel"/>
    <w:tmpl w:val="CE3C4A44"/>
    <w:lvl w:ilvl="0" w:tplc="213C5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05" w15:restartNumberingAfterBreak="0">
    <w:nsid w:val="7B954E6A"/>
    <w:multiLevelType w:val="hybridMultilevel"/>
    <w:tmpl w:val="257EA80C"/>
    <w:lvl w:ilvl="0" w:tplc="54EEBF8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C8B4277"/>
    <w:multiLevelType w:val="hybridMultilevel"/>
    <w:tmpl w:val="54FEF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EB5F5A"/>
    <w:multiLevelType w:val="hybridMultilevel"/>
    <w:tmpl w:val="FA380020"/>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8" w15:restartNumberingAfterBreak="0">
    <w:nsid w:val="7F180C53"/>
    <w:multiLevelType w:val="hybridMultilevel"/>
    <w:tmpl w:val="8772C84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349767">
    <w:abstractNumId w:val="104"/>
  </w:num>
  <w:num w:numId="2" w16cid:durableId="1029841367">
    <w:abstractNumId w:val="28"/>
  </w:num>
  <w:num w:numId="3" w16cid:durableId="97067666">
    <w:abstractNumId w:val="50"/>
  </w:num>
  <w:num w:numId="4" w16cid:durableId="1362782601">
    <w:abstractNumId w:val="75"/>
  </w:num>
  <w:num w:numId="5" w16cid:durableId="132794180">
    <w:abstractNumId w:val="61"/>
  </w:num>
  <w:num w:numId="6" w16cid:durableId="1384671750">
    <w:abstractNumId w:val="91"/>
  </w:num>
  <w:num w:numId="7" w16cid:durableId="759716334">
    <w:abstractNumId w:val="61"/>
  </w:num>
  <w:num w:numId="8" w16cid:durableId="951010537">
    <w:abstractNumId w:val="54"/>
  </w:num>
  <w:num w:numId="9" w16cid:durableId="1629315136">
    <w:abstractNumId w:val="89"/>
  </w:num>
  <w:num w:numId="10" w16cid:durableId="685517428">
    <w:abstractNumId w:val="33"/>
  </w:num>
  <w:num w:numId="11" w16cid:durableId="1687946303">
    <w:abstractNumId w:val="80"/>
  </w:num>
  <w:num w:numId="12" w16cid:durableId="218979307">
    <w:abstractNumId w:val="5"/>
  </w:num>
  <w:num w:numId="13" w16cid:durableId="479929348">
    <w:abstractNumId w:val="23"/>
  </w:num>
  <w:num w:numId="14" w16cid:durableId="1733306040">
    <w:abstractNumId w:val="60"/>
  </w:num>
  <w:num w:numId="15" w16cid:durableId="321198438">
    <w:abstractNumId w:val="15"/>
  </w:num>
  <w:num w:numId="16" w16cid:durableId="1911111621">
    <w:abstractNumId w:val="57"/>
  </w:num>
  <w:num w:numId="17" w16cid:durableId="146479021">
    <w:abstractNumId w:val="92"/>
  </w:num>
  <w:num w:numId="18" w16cid:durableId="1539390948">
    <w:abstractNumId w:val="47"/>
  </w:num>
  <w:num w:numId="19" w16cid:durableId="614169214">
    <w:abstractNumId w:val="90"/>
  </w:num>
  <w:num w:numId="20" w16cid:durableId="587692555">
    <w:abstractNumId w:val="51"/>
  </w:num>
  <w:num w:numId="21" w16cid:durableId="1089809735">
    <w:abstractNumId w:val="37"/>
  </w:num>
  <w:num w:numId="22" w16cid:durableId="696857017">
    <w:abstractNumId w:val="41"/>
  </w:num>
  <w:num w:numId="23" w16cid:durableId="993030443">
    <w:abstractNumId w:val="65"/>
  </w:num>
  <w:num w:numId="24" w16cid:durableId="1070234702">
    <w:abstractNumId w:val="11"/>
  </w:num>
  <w:num w:numId="25" w16cid:durableId="1996059552">
    <w:abstractNumId w:val="7"/>
  </w:num>
  <w:num w:numId="26" w16cid:durableId="1900706409">
    <w:abstractNumId w:val="46"/>
  </w:num>
  <w:num w:numId="27" w16cid:durableId="1939439417">
    <w:abstractNumId w:val="24"/>
  </w:num>
  <w:num w:numId="28" w16cid:durableId="1316256561">
    <w:abstractNumId w:val="63"/>
  </w:num>
  <w:num w:numId="29" w16cid:durableId="1266764332">
    <w:abstractNumId w:val="31"/>
  </w:num>
  <w:num w:numId="30" w16cid:durableId="923688481">
    <w:abstractNumId w:val="18"/>
  </w:num>
  <w:num w:numId="31" w16cid:durableId="1141727011">
    <w:abstractNumId w:val="48"/>
  </w:num>
  <w:num w:numId="32" w16cid:durableId="997419875">
    <w:abstractNumId w:val="84"/>
  </w:num>
  <w:num w:numId="33" w16cid:durableId="1703436981">
    <w:abstractNumId w:val="8"/>
  </w:num>
  <w:num w:numId="34" w16cid:durableId="1045104725">
    <w:abstractNumId w:val="82"/>
  </w:num>
  <w:num w:numId="35" w16cid:durableId="221258972">
    <w:abstractNumId w:val="99"/>
  </w:num>
  <w:num w:numId="36" w16cid:durableId="346948672">
    <w:abstractNumId w:val="55"/>
  </w:num>
  <w:num w:numId="37" w16cid:durableId="1333949550">
    <w:abstractNumId w:val="88"/>
  </w:num>
  <w:num w:numId="38" w16cid:durableId="1425956869">
    <w:abstractNumId w:val="94"/>
  </w:num>
  <w:num w:numId="39" w16cid:durableId="1192917357">
    <w:abstractNumId w:val="106"/>
  </w:num>
  <w:num w:numId="40" w16cid:durableId="2038309276">
    <w:abstractNumId w:val="107"/>
  </w:num>
  <w:num w:numId="41" w16cid:durableId="2060669161">
    <w:abstractNumId w:val="32"/>
  </w:num>
  <w:num w:numId="42" w16cid:durableId="2021733336">
    <w:abstractNumId w:val="17"/>
  </w:num>
  <w:num w:numId="43" w16cid:durableId="1678534950">
    <w:abstractNumId w:val="68"/>
  </w:num>
  <w:num w:numId="44" w16cid:durableId="441998608">
    <w:abstractNumId w:val="30"/>
  </w:num>
  <w:num w:numId="45" w16cid:durableId="1340153383">
    <w:abstractNumId w:val="102"/>
  </w:num>
  <w:num w:numId="46" w16cid:durableId="2043435544">
    <w:abstractNumId w:val="64"/>
  </w:num>
  <w:num w:numId="47" w16cid:durableId="900097501">
    <w:abstractNumId w:val="4"/>
  </w:num>
  <w:num w:numId="48" w16cid:durableId="286592968">
    <w:abstractNumId w:val="3"/>
  </w:num>
  <w:num w:numId="49" w16cid:durableId="1404641894">
    <w:abstractNumId w:val="2"/>
  </w:num>
  <w:num w:numId="50" w16cid:durableId="465126853">
    <w:abstractNumId w:val="1"/>
  </w:num>
  <w:num w:numId="51" w16cid:durableId="1766729644">
    <w:abstractNumId w:val="0"/>
  </w:num>
  <w:num w:numId="52" w16cid:durableId="7073354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7294297">
    <w:abstractNumId w:val="38"/>
  </w:num>
  <w:num w:numId="54" w16cid:durableId="40986613">
    <w:abstractNumId w:val="96"/>
  </w:num>
  <w:num w:numId="55" w16cid:durableId="2094079741">
    <w:abstractNumId w:val="62"/>
  </w:num>
  <w:num w:numId="56" w16cid:durableId="569930010">
    <w:abstractNumId w:val="59"/>
  </w:num>
  <w:num w:numId="57" w16cid:durableId="1984845263">
    <w:abstractNumId w:val="76"/>
  </w:num>
  <w:num w:numId="58" w16cid:durableId="509373852">
    <w:abstractNumId w:val="79"/>
  </w:num>
  <w:num w:numId="59" w16cid:durableId="888616786">
    <w:abstractNumId w:val="97"/>
  </w:num>
  <w:num w:numId="60" w16cid:durableId="914323185">
    <w:abstractNumId w:val="103"/>
  </w:num>
  <w:num w:numId="61" w16cid:durableId="1206989239">
    <w:abstractNumId w:val="52"/>
  </w:num>
  <w:num w:numId="62" w16cid:durableId="1050836290">
    <w:abstractNumId w:val="87"/>
  </w:num>
  <w:num w:numId="63" w16cid:durableId="402030257">
    <w:abstractNumId w:val="85"/>
  </w:num>
  <w:num w:numId="64" w16cid:durableId="370302849">
    <w:abstractNumId w:val="67"/>
  </w:num>
  <w:num w:numId="65" w16cid:durableId="1351685046">
    <w:abstractNumId w:val="35"/>
  </w:num>
  <w:num w:numId="66" w16cid:durableId="572931291">
    <w:abstractNumId w:val="39"/>
  </w:num>
  <w:num w:numId="67" w16cid:durableId="1103187709">
    <w:abstractNumId w:val="100"/>
  </w:num>
  <w:num w:numId="68" w16cid:durableId="990478019">
    <w:abstractNumId w:val="14"/>
  </w:num>
  <w:num w:numId="69" w16cid:durableId="2129081638">
    <w:abstractNumId w:val="27"/>
  </w:num>
  <w:num w:numId="70" w16cid:durableId="1737237260">
    <w:abstractNumId w:val="98"/>
  </w:num>
  <w:num w:numId="71" w16cid:durableId="1991403602">
    <w:abstractNumId w:val="95"/>
  </w:num>
  <w:num w:numId="72" w16cid:durableId="291403050">
    <w:abstractNumId w:val="101"/>
  </w:num>
  <w:num w:numId="73" w16cid:durableId="39937038">
    <w:abstractNumId w:val="69"/>
  </w:num>
  <w:num w:numId="74" w16cid:durableId="272907449">
    <w:abstractNumId w:val="45"/>
  </w:num>
  <w:num w:numId="75" w16cid:durableId="2089187167">
    <w:abstractNumId w:val="81"/>
  </w:num>
  <w:num w:numId="76" w16cid:durableId="2059543961">
    <w:abstractNumId w:val="86"/>
  </w:num>
  <w:num w:numId="77" w16cid:durableId="2113013326">
    <w:abstractNumId w:val="16"/>
  </w:num>
  <w:num w:numId="78" w16cid:durableId="1267736843">
    <w:abstractNumId w:val="19"/>
  </w:num>
  <w:num w:numId="79" w16cid:durableId="1346515504">
    <w:abstractNumId w:val="56"/>
  </w:num>
  <w:num w:numId="80" w16cid:durableId="1857573610">
    <w:abstractNumId w:val="93"/>
  </w:num>
  <w:num w:numId="81" w16cid:durableId="994577058">
    <w:abstractNumId w:val="72"/>
  </w:num>
  <w:num w:numId="82" w16cid:durableId="1347902862">
    <w:abstractNumId w:val="74"/>
  </w:num>
  <w:num w:numId="83" w16cid:durableId="1763843059">
    <w:abstractNumId w:val="77"/>
  </w:num>
  <w:num w:numId="84" w16cid:durableId="1601569565">
    <w:abstractNumId w:val="12"/>
  </w:num>
  <w:num w:numId="85" w16cid:durableId="646134875">
    <w:abstractNumId w:val="13"/>
  </w:num>
  <w:num w:numId="86" w16cid:durableId="304092508">
    <w:abstractNumId w:val="105"/>
  </w:num>
  <w:num w:numId="87" w16cid:durableId="1577477199">
    <w:abstractNumId w:val="58"/>
  </w:num>
  <w:num w:numId="88" w16cid:durableId="1012219168">
    <w:abstractNumId w:val="70"/>
  </w:num>
  <w:num w:numId="89" w16cid:durableId="402417330">
    <w:abstractNumId w:val="20"/>
  </w:num>
  <w:num w:numId="90" w16cid:durableId="1819879718">
    <w:abstractNumId w:val="49"/>
  </w:num>
  <w:num w:numId="91" w16cid:durableId="378940322">
    <w:abstractNumId w:val="40"/>
  </w:num>
  <w:num w:numId="92" w16cid:durableId="687103412">
    <w:abstractNumId w:val="10"/>
  </w:num>
  <w:num w:numId="93" w16cid:durableId="1375622956">
    <w:abstractNumId w:val="71"/>
  </w:num>
  <w:num w:numId="94" w16cid:durableId="1835560221">
    <w:abstractNumId w:val="25"/>
  </w:num>
  <w:num w:numId="95" w16cid:durableId="5138667">
    <w:abstractNumId w:val="42"/>
  </w:num>
  <w:num w:numId="96" w16cid:durableId="1517498363">
    <w:abstractNumId w:val="73"/>
  </w:num>
  <w:num w:numId="97" w16cid:durableId="224148735">
    <w:abstractNumId w:val="78"/>
  </w:num>
  <w:num w:numId="98" w16cid:durableId="1285693539">
    <w:abstractNumId w:val="34"/>
  </w:num>
  <w:num w:numId="99" w16cid:durableId="60445569">
    <w:abstractNumId w:val="44"/>
  </w:num>
  <w:num w:numId="100" w16cid:durableId="1729836171">
    <w:abstractNumId w:val="22"/>
  </w:num>
  <w:num w:numId="101" w16cid:durableId="408700726">
    <w:abstractNumId w:val="53"/>
  </w:num>
  <w:num w:numId="102" w16cid:durableId="585308244">
    <w:abstractNumId w:val="43"/>
  </w:num>
  <w:num w:numId="103" w16cid:durableId="1438787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61393513">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09657568">
    <w:abstractNumId w:val="66"/>
  </w:num>
  <w:num w:numId="106" w16cid:durableId="1781337841">
    <w:abstractNumId w:val="6"/>
  </w:num>
  <w:num w:numId="107" w16cid:durableId="345327403">
    <w:abstractNumId w:val="9"/>
  </w:num>
  <w:num w:numId="108" w16cid:durableId="2032026174">
    <w:abstractNumId w:val="21"/>
  </w:num>
  <w:num w:numId="109" w16cid:durableId="642390362">
    <w:abstractNumId w:val="26"/>
  </w:num>
  <w:num w:numId="110" w16cid:durableId="1730500056">
    <w:abstractNumId w:val="83"/>
  </w:num>
  <w:num w:numId="111" w16cid:durableId="570894878">
    <w:abstractNumId w:val="108"/>
  </w:num>
  <w:num w:numId="112" w16cid:durableId="1290941742">
    <w:abstractNumId w:val="29"/>
  </w:num>
  <w:num w:numId="113" w16cid:durableId="17210495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6609">
      <o:colormru v:ext="edit" colors="#2106c6,#1d05ab,#1052c8,#1379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footnote_1" w:val="Empty"/>
    <w:docVar w:name="OLE_LINK1" w:val="Empty"/>
    <w:docVar w:name="OLE_LINK2" w:val="Empty"/>
    <w:docVar w:name="OLE_LINK3" w:val="Empty"/>
  </w:docVars>
  <w:rsids>
    <w:rsidRoot w:val="002148AE"/>
    <w:rsid w:val="00000035"/>
    <w:rsid w:val="00000147"/>
    <w:rsid w:val="00000205"/>
    <w:rsid w:val="0000078E"/>
    <w:rsid w:val="000007E5"/>
    <w:rsid w:val="00000AA9"/>
    <w:rsid w:val="00000F70"/>
    <w:rsid w:val="0000106E"/>
    <w:rsid w:val="0000159D"/>
    <w:rsid w:val="0000169E"/>
    <w:rsid w:val="000022CD"/>
    <w:rsid w:val="00002B3F"/>
    <w:rsid w:val="00002C9A"/>
    <w:rsid w:val="000031F5"/>
    <w:rsid w:val="00003458"/>
    <w:rsid w:val="00004111"/>
    <w:rsid w:val="00004200"/>
    <w:rsid w:val="00004A04"/>
    <w:rsid w:val="0000557C"/>
    <w:rsid w:val="00006082"/>
    <w:rsid w:val="0000613F"/>
    <w:rsid w:val="00006335"/>
    <w:rsid w:val="00006791"/>
    <w:rsid w:val="00006AB0"/>
    <w:rsid w:val="00007FE2"/>
    <w:rsid w:val="00011923"/>
    <w:rsid w:val="00011A8A"/>
    <w:rsid w:val="000120F2"/>
    <w:rsid w:val="000122CA"/>
    <w:rsid w:val="000127CC"/>
    <w:rsid w:val="00012A36"/>
    <w:rsid w:val="000141B5"/>
    <w:rsid w:val="00015214"/>
    <w:rsid w:val="00015899"/>
    <w:rsid w:val="00015C8A"/>
    <w:rsid w:val="00016D74"/>
    <w:rsid w:val="00017505"/>
    <w:rsid w:val="00017ACA"/>
    <w:rsid w:val="000205C2"/>
    <w:rsid w:val="00020DEE"/>
    <w:rsid w:val="00020FB3"/>
    <w:rsid w:val="00020FBF"/>
    <w:rsid w:val="000217D0"/>
    <w:rsid w:val="00021DC6"/>
    <w:rsid w:val="00021E09"/>
    <w:rsid w:val="00022144"/>
    <w:rsid w:val="00022791"/>
    <w:rsid w:val="00022893"/>
    <w:rsid w:val="000228B3"/>
    <w:rsid w:val="00022B4E"/>
    <w:rsid w:val="00023281"/>
    <w:rsid w:val="00023829"/>
    <w:rsid w:val="000238D5"/>
    <w:rsid w:val="00023A66"/>
    <w:rsid w:val="00023ACD"/>
    <w:rsid w:val="00024366"/>
    <w:rsid w:val="00024500"/>
    <w:rsid w:val="0002579A"/>
    <w:rsid w:val="000259FF"/>
    <w:rsid w:val="000260F4"/>
    <w:rsid w:val="0002610B"/>
    <w:rsid w:val="000262F8"/>
    <w:rsid w:val="000263C0"/>
    <w:rsid w:val="00026753"/>
    <w:rsid w:val="000267E7"/>
    <w:rsid w:val="00026828"/>
    <w:rsid w:val="00026D9D"/>
    <w:rsid w:val="00026F75"/>
    <w:rsid w:val="00027138"/>
    <w:rsid w:val="00027413"/>
    <w:rsid w:val="000279AC"/>
    <w:rsid w:val="00030153"/>
    <w:rsid w:val="00030505"/>
    <w:rsid w:val="0003163B"/>
    <w:rsid w:val="00031B5A"/>
    <w:rsid w:val="00031BB1"/>
    <w:rsid w:val="0003225C"/>
    <w:rsid w:val="0003458D"/>
    <w:rsid w:val="000351C9"/>
    <w:rsid w:val="000358D8"/>
    <w:rsid w:val="00035DAF"/>
    <w:rsid w:val="00037898"/>
    <w:rsid w:val="000417E3"/>
    <w:rsid w:val="000420F4"/>
    <w:rsid w:val="00042AF0"/>
    <w:rsid w:val="00042C07"/>
    <w:rsid w:val="00042D11"/>
    <w:rsid w:val="0004357B"/>
    <w:rsid w:val="000438AE"/>
    <w:rsid w:val="00043BD7"/>
    <w:rsid w:val="00044206"/>
    <w:rsid w:val="00044C6E"/>
    <w:rsid w:val="0004541C"/>
    <w:rsid w:val="000464FB"/>
    <w:rsid w:val="00046B3E"/>
    <w:rsid w:val="00046CCB"/>
    <w:rsid w:val="0004732B"/>
    <w:rsid w:val="00047681"/>
    <w:rsid w:val="00047EC9"/>
    <w:rsid w:val="00050C58"/>
    <w:rsid w:val="00051927"/>
    <w:rsid w:val="00051A42"/>
    <w:rsid w:val="00052714"/>
    <w:rsid w:val="00053197"/>
    <w:rsid w:val="000532C7"/>
    <w:rsid w:val="00053666"/>
    <w:rsid w:val="000539A9"/>
    <w:rsid w:val="00053A3C"/>
    <w:rsid w:val="00053AEB"/>
    <w:rsid w:val="00053F7A"/>
    <w:rsid w:val="00054059"/>
    <w:rsid w:val="000548F3"/>
    <w:rsid w:val="00054DC1"/>
    <w:rsid w:val="00054FA7"/>
    <w:rsid w:val="0005582A"/>
    <w:rsid w:val="00055A1A"/>
    <w:rsid w:val="00056652"/>
    <w:rsid w:val="000578AE"/>
    <w:rsid w:val="00057B4E"/>
    <w:rsid w:val="00057D44"/>
    <w:rsid w:val="00062913"/>
    <w:rsid w:val="00063252"/>
    <w:rsid w:val="000633C5"/>
    <w:rsid w:val="00063EE7"/>
    <w:rsid w:val="000652C2"/>
    <w:rsid w:val="00065447"/>
    <w:rsid w:val="00065606"/>
    <w:rsid w:val="000656E0"/>
    <w:rsid w:val="00065704"/>
    <w:rsid w:val="00065B64"/>
    <w:rsid w:val="00065E05"/>
    <w:rsid w:val="00066167"/>
    <w:rsid w:val="000661C0"/>
    <w:rsid w:val="000663C7"/>
    <w:rsid w:val="00066AAF"/>
    <w:rsid w:val="00066C11"/>
    <w:rsid w:val="00067180"/>
    <w:rsid w:val="000703AF"/>
    <w:rsid w:val="000709E2"/>
    <w:rsid w:val="000712E3"/>
    <w:rsid w:val="00071D2B"/>
    <w:rsid w:val="000721B1"/>
    <w:rsid w:val="00072903"/>
    <w:rsid w:val="00072D24"/>
    <w:rsid w:val="0007330A"/>
    <w:rsid w:val="000734EB"/>
    <w:rsid w:val="0007442A"/>
    <w:rsid w:val="000744A7"/>
    <w:rsid w:val="00074C0D"/>
    <w:rsid w:val="00075089"/>
    <w:rsid w:val="0007512E"/>
    <w:rsid w:val="000753B3"/>
    <w:rsid w:val="00075A81"/>
    <w:rsid w:val="00076831"/>
    <w:rsid w:val="000776CD"/>
    <w:rsid w:val="000776D0"/>
    <w:rsid w:val="000778EC"/>
    <w:rsid w:val="000779CD"/>
    <w:rsid w:val="00077CE5"/>
    <w:rsid w:val="0008033D"/>
    <w:rsid w:val="0008091A"/>
    <w:rsid w:val="00080EC0"/>
    <w:rsid w:val="00080F4D"/>
    <w:rsid w:val="00081EAE"/>
    <w:rsid w:val="00082265"/>
    <w:rsid w:val="000822F4"/>
    <w:rsid w:val="0008335B"/>
    <w:rsid w:val="00083F00"/>
    <w:rsid w:val="000842A2"/>
    <w:rsid w:val="00084859"/>
    <w:rsid w:val="00084EBE"/>
    <w:rsid w:val="00085157"/>
    <w:rsid w:val="00085308"/>
    <w:rsid w:val="0008621A"/>
    <w:rsid w:val="0008639E"/>
    <w:rsid w:val="00086AD9"/>
    <w:rsid w:val="000879D6"/>
    <w:rsid w:val="00087F2A"/>
    <w:rsid w:val="0009063D"/>
    <w:rsid w:val="0009124D"/>
    <w:rsid w:val="000914B7"/>
    <w:rsid w:val="000922A7"/>
    <w:rsid w:val="0009278F"/>
    <w:rsid w:val="00092903"/>
    <w:rsid w:val="00092AEE"/>
    <w:rsid w:val="0009300C"/>
    <w:rsid w:val="00093647"/>
    <w:rsid w:val="00093722"/>
    <w:rsid w:val="00093B8E"/>
    <w:rsid w:val="00093FD3"/>
    <w:rsid w:val="00094AFC"/>
    <w:rsid w:val="000954B2"/>
    <w:rsid w:val="00095C4F"/>
    <w:rsid w:val="00095EDB"/>
    <w:rsid w:val="00096111"/>
    <w:rsid w:val="00096C38"/>
    <w:rsid w:val="00096C76"/>
    <w:rsid w:val="00096D80"/>
    <w:rsid w:val="00097C3D"/>
    <w:rsid w:val="000A08FC"/>
    <w:rsid w:val="000A0E2F"/>
    <w:rsid w:val="000A0E68"/>
    <w:rsid w:val="000A129B"/>
    <w:rsid w:val="000A2177"/>
    <w:rsid w:val="000A3112"/>
    <w:rsid w:val="000A34EB"/>
    <w:rsid w:val="000A35D4"/>
    <w:rsid w:val="000A4722"/>
    <w:rsid w:val="000A4DD8"/>
    <w:rsid w:val="000A4ED9"/>
    <w:rsid w:val="000A5597"/>
    <w:rsid w:val="000A5C37"/>
    <w:rsid w:val="000A5D1A"/>
    <w:rsid w:val="000A6468"/>
    <w:rsid w:val="000A666B"/>
    <w:rsid w:val="000A6A9D"/>
    <w:rsid w:val="000A6E09"/>
    <w:rsid w:val="000A704B"/>
    <w:rsid w:val="000A751B"/>
    <w:rsid w:val="000A78AC"/>
    <w:rsid w:val="000A7919"/>
    <w:rsid w:val="000A794A"/>
    <w:rsid w:val="000B0574"/>
    <w:rsid w:val="000B098D"/>
    <w:rsid w:val="000B1837"/>
    <w:rsid w:val="000B2135"/>
    <w:rsid w:val="000B216A"/>
    <w:rsid w:val="000B2285"/>
    <w:rsid w:val="000B3BB4"/>
    <w:rsid w:val="000B3E8F"/>
    <w:rsid w:val="000B483D"/>
    <w:rsid w:val="000B4FAD"/>
    <w:rsid w:val="000B5108"/>
    <w:rsid w:val="000B52D1"/>
    <w:rsid w:val="000B5618"/>
    <w:rsid w:val="000B6D3C"/>
    <w:rsid w:val="000B6D9A"/>
    <w:rsid w:val="000B754E"/>
    <w:rsid w:val="000C013E"/>
    <w:rsid w:val="000C0247"/>
    <w:rsid w:val="000C089C"/>
    <w:rsid w:val="000C0BBA"/>
    <w:rsid w:val="000C0DDC"/>
    <w:rsid w:val="000C1112"/>
    <w:rsid w:val="000C19F0"/>
    <w:rsid w:val="000C2C14"/>
    <w:rsid w:val="000C2FB2"/>
    <w:rsid w:val="000C31A0"/>
    <w:rsid w:val="000C39E1"/>
    <w:rsid w:val="000C3B4C"/>
    <w:rsid w:val="000C4749"/>
    <w:rsid w:val="000C537B"/>
    <w:rsid w:val="000C542A"/>
    <w:rsid w:val="000C543B"/>
    <w:rsid w:val="000C5557"/>
    <w:rsid w:val="000C5B67"/>
    <w:rsid w:val="000C6155"/>
    <w:rsid w:val="000C64FC"/>
    <w:rsid w:val="000C6826"/>
    <w:rsid w:val="000C6874"/>
    <w:rsid w:val="000C6C83"/>
    <w:rsid w:val="000C70B0"/>
    <w:rsid w:val="000C77CA"/>
    <w:rsid w:val="000C77F5"/>
    <w:rsid w:val="000D0B21"/>
    <w:rsid w:val="000D0C70"/>
    <w:rsid w:val="000D1748"/>
    <w:rsid w:val="000D17F1"/>
    <w:rsid w:val="000D1AA1"/>
    <w:rsid w:val="000D2749"/>
    <w:rsid w:val="000D2A45"/>
    <w:rsid w:val="000D2BF9"/>
    <w:rsid w:val="000D2E43"/>
    <w:rsid w:val="000D30A8"/>
    <w:rsid w:val="000D328A"/>
    <w:rsid w:val="000D3882"/>
    <w:rsid w:val="000D3F1B"/>
    <w:rsid w:val="000D4085"/>
    <w:rsid w:val="000D441A"/>
    <w:rsid w:val="000D44AD"/>
    <w:rsid w:val="000D44E7"/>
    <w:rsid w:val="000D4C74"/>
    <w:rsid w:val="000D511F"/>
    <w:rsid w:val="000D53BD"/>
    <w:rsid w:val="000D5539"/>
    <w:rsid w:val="000D670B"/>
    <w:rsid w:val="000D6E11"/>
    <w:rsid w:val="000D71D2"/>
    <w:rsid w:val="000D72C0"/>
    <w:rsid w:val="000D738F"/>
    <w:rsid w:val="000D7FC2"/>
    <w:rsid w:val="000E032F"/>
    <w:rsid w:val="000E0AA4"/>
    <w:rsid w:val="000E0D89"/>
    <w:rsid w:val="000E0EF1"/>
    <w:rsid w:val="000E15A1"/>
    <w:rsid w:val="000E16AB"/>
    <w:rsid w:val="000E1F6E"/>
    <w:rsid w:val="000E298F"/>
    <w:rsid w:val="000E2A54"/>
    <w:rsid w:val="000E2E90"/>
    <w:rsid w:val="000E31C9"/>
    <w:rsid w:val="000E3566"/>
    <w:rsid w:val="000E406C"/>
    <w:rsid w:val="000E41A5"/>
    <w:rsid w:val="000E41B9"/>
    <w:rsid w:val="000E463C"/>
    <w:rsid w:val="000E51DD"/>
    <w:rsid w:val="000E54B8"/>
    <w:rsid w:val="000E563F"/>
    <w:rsid w:val="000E61B6"/>
    <w:rsid w:val="000E621B"/>
    <w:rsid w:val="000E624A"/>
    <w:rsid w:val="000E657F"/>
    <w:rsid w:val="000E7CB9"/>
    <w:rsid w:val="000E7D7E"/>
    <w:rsid w:val="000E7F18"/>
    <w:rsid w:val="000F0531"/>
    <w:rsid w:val="000F16DF"/>
    <w:rsid w:val="000F19EA"/>
    <w:rsid w:val="000F1AD7"/>
    <w:rsid w:val="000F299B"/>
    <w:rsid w:val="000F2BA5"/>
    <w:rsid w:val="000F3014"/>
    <w:rsid w:val="000F3103"/>
    <w:rsid w:val="000F328C"/>
    <w:rsid w:val="000F4F8A"/>
    <w:rsid w:val="000F52BB"/>
    <w:rsid w:val="000F5DB7"/>
    <w:rsid w:val="000F6C4B"/>
    <w:rsid w:val="000F771E"/>
    <w:rsid w:val="000F7CE8"/>
    <w:rsid w:val="0010004B"/>
    <w:rsid w:val="00100064"/>
    <w:rsid w:val="00100433"/>
    <w:rsid w:val="00100723"/>
    <w:rsid w:val="001009AA"/>
    <w:rsid w:val="00101C62"/>
    <w:rsid w:val="001021BC"/>
    <w:rsid w:val="00102320"/>
    <w:rsid w:val="001028EC"/>
    <w:rsid w:val="001049F7"/>
    <w:rsid w:val="001062D3"/>
    <w:rsid w:val="00106357"/>
    <w:rsid w:val="00106C35"/>
    <w:rsid w:val="00106E67"/>
    <w:rsid w:val="0010741E"/>
    <w:rsid w:val="0010758E"/>
    <w:rsid w:val="0011078B"/>
    <w:rsid w:val="00110D96"/>
    <w:rsid w:val="0011116E"/>
    <w:rsid w:val="00112E9E"/>
    <w:rsid w:val="0011345E"/>
    <w:rsid w:val="001135EE"/>
    <w:rsid w:val="00113F7C"/>
    <w:rsid w:val="001147F5"/>
    <w:rsid w:val="001154DB"/>
    <w:rsid w:val="00115EEC"/>
    <w:rsid w:val="001160B9"/>
    <w:rsid w:val="001177A2"/>
    <w:rsid w:val="00120076"/>
    <w:rsid w:val="00120BE0"/>
    <w:rsid w:val="00120C89"/>
    <w:rsid w:val="00120F26"/>
    <w:rsid w:val="00120F76"/>
    <w:rsid w:val="00121D83"/>
    <w:rsid w:val="00121ECD"/>
    <w:rsid w:val="00121FE0"/>
    <w:rsid w:val="0012292A"/>
    <w:rsid w:val="00122A1A"/>
    <w:rsid w:val="00122F29"/>
    <w:rsid w:val="001233BF"/>
    <w:rsid w:val="00123564"/>
    <w:rsid w:val="00123754"/>
    <w:rsid w:val="001238AB"/>
    <w:rsid w:val="00123933"/>
    <w:rsid w:val="00123973"/>
    <w:rsid w:val="00124B5F"/>
    <w:rsid w:val="00124B9F"/>
    <w:rsid w:val="00124FAC"/>
    <w:rsid w:val="00125E03"/>
    <w:rsid w:val="0012628F"/>
    <w:rsid w:val="00126795"/>
    <w:rsid w:val="00126E53"/>
    <w:rsid w:val="001272EE"/>
    <w:rsid w:val="0012749A"/>
    <w:rsid w:val="00127527"/>
    <w:rsid w:val="00127AD0"/>
    <w:rsid w:val="001300FB"/>
    <w:rsid w:val="001306E6"/>
    <w:rsid w:val="00130B90"/>
    <w:rsid w:val="00131A24"/>
    <w:rsid w:val="00131CE0"/>
    <w:rsid w:val="00132623"/>
    <w:rsid w:val="00132BEF"/>
    <w:rsid w:val="00132E9C"/>
    <w:rsid w:val="0013389F"/>
    <w:rsid w:val="00133F81"/>
    <w:rsid w:val="00134738"/>
    <w:rsid w:val="00134837"/>
    <w:rsid w:val="00135442"/>
    <w:rsid w:val="00135511"/>
    <w:rsid w:val="00135B31"/>
    <w:rsid w:val="00135C28"/>
    <w:rsid w:val="00135E5B"/>
    <w:rsid w:val="0013601B"/>
    <w:rsid w:val="00136086"/>
    <w:rsid w:val="00136401"/>
    <w:rsid w:val="00136E76"/>
    <w:rsid w:val="0013768C"/>
    <w:rsid w:val="00140A01"/>
    <w:rsid w:val="00141136"/>
    <w:rsid w:val="0014150B"/>
    <w:rsid w:val="00141CC3"/>
    <w:rsid w:val="001425BC"/>
    <w:rsid w:val="001428D6"/>
    <w:rsid w:val="00142E9E"/>
    <w:rsid w:val="0014307A"/>
    <w:rsid w:val="001431EC"/>
    <w:rsid w:val="0014372E"/>
    <w:rsid w:val="001438CF"/>
    <w:rsid w:val="00143C39"/>
    <w:rsid w:val="00143C5D"/>
    <w:rsid w:val="00144053"/>
    <w:rsid w:val="001444AF"/>
    <w:rsid w:val="00144AFD"/>
    <w:rsid w:val="00145B92"/>
    <w:rsid w:val="00145D14"/>
    <w:rsid w:val="001464BE"/>
    <w:rsid w:val="00146BDD"/>
    <w:rsid w:val="00146BFE"/>
    <w:rsid w:val="00146D14"/>
    <w:rsid w:val="00146EBF"/>
    <w:rsid w:val="00147006"/>
    <w:rsid w:val="00150A1F"/>
    <w:rsid w:val="00150ACC"/>
    <w:rsid w:val="00150F07"/>
    <w:rsid w:val="001512F1"/>
    <w:rsid w:val="00151366"/>
    <w:rsid w:val="00152512"/>
    <w:rsid w:val="001526AF"/>
    <w:rsid w:val="001526DD"/>
    <w:rsid w:val="00152FDA"/>
    <w:rsid w:val="001537AE"/>
    <w:rsid w:val="00153940"/>
    <w:rsid w:val="00153C30"/>
    <w:rsid w:val="00153CB5"/>
    <w:rsid w:val="001545F7"/>
    <w:rsid w:val="0015470A"/>
    <w:rsid w:val="00154818"/>
    <w:rsid w:val="00154EB8"/>
    <w:rsid w:val="00155210"/>
    <w:rsid w:val="001555AC"/>
    <w:rsid w:val="00155A06"/>
    <w:rsid w:val="00156373"/>
    <w:rsid w:val="001569DF"/>
    <w:rsid w:val="00156CA6"/>
    <w:rsid w:val="00157411"/>
    <w:rsid w:val="001574C6"/>
    <w:rsid w:val="00157710"/>
    <w:rsid w:val="00157A0B"/>
    <w:rsid w:val="00157A0E"/>
    <w:rsid w:val="00157AC7"/>
    <w:rsid w:val="00160ABE"/>
    <w:rsid w:val="001615F4"/>
    <w:rsid w:val="0016220E"/>
    <w:rsid w:val="001629B2"/>
    <w:rsid w:val="001632E2"/>
    <w:rsid w:val="00163CB1"/>
    <w:rsid w:val="00163DFC"/>
    <w:rsid w:val="00163EC3"/>
    <w:rsid w:val="00164445"/>
    <w:rsid w:val="00164AE0"/>
    <w:rsid w:val="00164FE4"/>
    <w:rsid w:val="0016582B"/>
    <w:rsid w:val="001663A0"/>
    <w:rsid w:val="00166E9F"/>
    <w:rsid w:val="001672A1"/>
    <w:rsid w:val="001672D4"/>
    <w:rsid w:val="00167BAE"/>
    <w:rsid w:val="00170075"/>
    <w:rsid w:val="001709ED"/>
    <w:rsid w:val="00171777"/>
    <w:rsid w:val="00171B5E"/>
    <w:rsid w:val="00171D3A"/>
    <w:rsid w:val="00171E2F"/>
    <w:rsid w:val="001722F1"/>
    <w:rsid w:val="00172436"/>
    <w:rsid w:val="00172778"/>
    <w:rsid w:val="00172943"/>
    <w:rsid w:val="00172D62"/>
    <w:rsid w:val="00173637"/>
    <w:rsid w:val="001737B5"/>
    <w:rsid w:val="00174807"/>
    <w:rsid w:val="00175EEF"/>
    <w:rsid w:val="0017604F"/>
    <w:rsid w:val="001765FC"/>
    <w:rsid w:val="00177BBA"/>
    <w:rsid w:val="00180057"/>
    <w:rsid w:val="0018018C"/>
    <w:rsid w:val="00180A72"/>
    <w:rsid w:val="00180B8F"/>
    <w:rsid w:val="00180C19"/>
    <w:rsid w:val="0018111C"/>
    <w:rsid w:val="00181C2A"/>
    <w:rsid w:val="00181CB0"/>
    <w:rsid w:val="00181F15"/>
    <w:rsid w:val="00183676"/>
    <w:rsid w:val="00183AB9"/>
    <w:rsid w:val="001848B6"/>
    <w:rsid w:val="0018494A"/>
    <w:rsid w:val="00184D97"/>
    <w:rsid w:val="0018595D"/>
    <w:rsid w:val="001867D4"/>
    <w:rsid w:val="00186C03"/>
    <w:rsid w:val="0018735C"/>
    <w:rsid w:val="001879D0"/>
    <w:rsid w:val="00187BC1"/>
    <w:rsid w:val="00187DB0"/>
    <w:rsid w:val="001901B9"/>
    <w:rsid w:val="00190C1B"/>
    <w:rsid w:val="00191838"/>
    <w:rsid w:val="00191C60"/>
    <w:rsid w:val="00192FA0"/>
    <w:rsid w:val="00193093"/>
    <w:rsid w:val="001935B8"/>
    <w:rsid w:val="0019386D"/>
    <w:rsid w:val="00193BBA"/>
    <w:rsid w:val="0019464A"/>
    <w:rsid w:val="00194C40"/>
    <w:rsid w:val="0019509C"/>
    <w:rsid w:val="0019559A"/>
    <w:rsid w:val="0019575B"/>
    <w:rsid w:val="00195BA9"/>
    <w:rsid w:val="00196895"/>
    <w:rsid w:val="00197473"/>
    <w:rsid w:val="00197720"/>
    <w:rsid w:val="00197C24"/>
    <w:rsid w:val="001A05E4"/>
    <w:rsid w:val="001A0A9B"/>
    <w:rsid w:val="001A10FF"/>
    <w:rsid w:val="001A1AD4"/>
    <w:rsid w:val="001A3C6B"/>
    <w:rsid w:val="001A4653"/>
    <w:rsid w:val="001A486A"/>
    <w:rsid w:val="001A491A"/>
    <w:rsid w:val="001A5070"/>
    <w:rsid w:val="001A5B49"/>
    <w:rsid w:val="001A5EF4"/>
    <w:rsid w:val="001A6128"/>
    <w:rsid w:val="001A6A14"/>
    <w:rsid w:val="001A6FA0"/>
    <w:rsid w:val="001A7861"/>
    <w:rsid w:val="001A7A61"/>
    <w:rsid w:val="001A7FEF"/>
    <w:rsid w:val="001B05F1"/>
    <w:rsid w:val="001B06BF"/>
    <w:rsid w:val="001B0CE1"/>
    <w:rsid w:val="001B1B96"/>
    <w:rsid w:val="001B2475"/>
    <w:rsid w:val="001B2916"/>
    <w:rsid w:val="001B2A2C"/>
    <w:rsid w:val="001B2A7B"/>
    <w:rsid w:val="001B3290"/>
    <w:rsid w:val="001B454B"/>
    <w:rsid w:val="001B4987"/>
    <w:rsid w:val="001B4C7D"/>
    <w:rsid w:val="001B4D4E"/>
    <w:rsid w:val="001B6889"/>
    <w:rsid w:val="001B7476"/>
    <w:rsid w:val="001B7522"/>
    <w:rsid w:val="001B7821"/>
    <w:rsid w:val="001B7BF0"/>
    <w:rsid w:val="001C00E9"/>
    <w:rsid w:val="001C0C27"/>
    <w:rsid w:val="001C0E7A"/>
    <w:rsid w:val="001C16C5"/>
    <w:rsid w:val="001C2119"/>
    <w:rsid w:val="001C23FA"/>
    <w:rsid w:val="001C2A48"/>
    <w:rsid w:val="001C37A1"/>
    <w:rsid w:val="001C3F4F"/>
    <w:rsid w:val="001C51C3"/>
    <w:rsid w:val="001C57F4"/>
    <w:rsid w:val="001C677C"/>
    <w:rsid w:val="001C68C9"/>
    <w:rsid w:val="001C6997"/>
    <w:rsid w:val="001C6F92"/>
    <w:rsid w:val="001C782D"/>
    <w:rsid w:val="001C78F1"/>
    <w:rsid w:val="001D0126"/>
    <w:rsid w:val="001D0BA0"/>
    <w:rsid w:val="001D0C18"/>
    <w:rsid w:val="001D0D39"/>
    <w:rsid w:val="001D1451"/>
    <w:rsid w:val="001D146C"/>
    <w:rsid w:val="001D194A"/>
    <w:rsid w:val="001D196C"/>
    <w:rsid w:val="001D24E5"/>
    <w:rsid w:val="001D299D"/>
    <w:rsid w:val="001D2B3F"/>
    <w:rsid w:val="001D2CAD"/>
    <w:rsid w:val="001D2CD7"/>
    <w:rsid w:val="001D2ECC"/>
    <w:rsid w:val="001D354A"/>
    <w:rsid w:val="001D3D9B"/>
    <w:rsid w:val="001D47A2"/>
    <w:rsid w:val="001D4A49"/>
    <w:rsid w:val="001D4BE5"/>
    <w:rsid w:val="001D4E11"/>
    <w:rsid w:val="001D4F7A"/>
    <w:rsid w:val="001D56A0"/>
    <w:rsid w:val="001D5A52"/>
    <w:rsid w:val="001D642A"/>
    <w:rsid w:val="001D6754"/>
    <w:rsid w:val="001D6A50"/>
    <w:rsid w:val="001D75A3"/>
    <w:rsid w:val="001D7E72"/>
    <w:rsid w:val="001E035A"/>
    <w:rsid w:val="001E063F"/>
    <w:rsid w:val="001E0937"/>
    <w:rsid w:val="001E098C"/>
    <w:rsid w:val="001E174C"/>
    <w:rsid w:val="001E2419"/>
    <w:rsid w:val="001E257D"/>
    <w:rsid w:val="001E374A"/>
    <w:rsid w:val="001E3C57"/>
    <w:rsid w:val="001E3E0B"/>
    <w:rsid w:val="001E40B2"/>
    <w:rsid w:val="001E49C9"/>
    <w:rsid w:val="001E4BE8"/>
    <w:rsid w:val="001E5613"/>
    <w:rsid w:val="001E5640"/>
    <w:rsid w:val="001E6C27"/>
    <w:rsid w:val="001E7023"/>
    <w:rsid w:val="001E7DCE"/>
    <w:rsid w:val="001F04E5"/>
    <w:rsid w:val="001F154F"/>
    <w:rsid w:val="001F1AB1"/>
    <w:rsid w:val="001F2CD4"/>
    <w:rsid w:val="001F342B"/>
    <w:rsid w:val="001F342E"/>
    <w:rsid w:val="001F396E"/>
    <w:rsid w:val="001F3FD2"/>
    <w:rsid w:val="001F42C0"/>
    <w:rsid w:val="001F4B05"/>
    <w:rsid w:val="001F4C39"/>
    <w:rsid w:val="001F5027"/>
    <w:rsid w:val="001F6AB2"/>
    <w:rsid w:val="001F7004"/>
    <w:rsid w:val="001F78B3"/>
    <w:rsid w:val="001F7B04"/>
    <w:rsid w:val="001F7B18"/>
    <w:rsid w:val="00200326"/>
    <w:rsid w:val="00200905"/>
    <w:rsid w:val="00200933"/>
    <w:rsid w:val="00200F76"/>
    <w:rsid w:val="00201C6B"/>
    <w:rsid w:val="00202D06"/>
    <w:rsid w:val="002033A6"/>
    <w:rsid w:val="002033F2"/>
    <w:rsid w:val="00204572"/>
    <w:rsid w:val="00204905"/>
    <w:rsid w:val="00204D20"/>
    <w:rsid w:val="00205B01"/>
    <w:rsid w:val="00205E95"/>
    <w:rsid w:val="002063EA"/>
    <w:rsid w:val="0020667A"/>
    <w:rsid w:val="002068B3"/>
    <w:rsid w:val="00206F1C"/>
    <w:rsid w:val="002106C2"/>
    <w:rsid w:val="0021186B"/>
    <w:rsid w:val="00211D78"/>
    <w:rsid w:val="00211D91"/>
    <w:rsid w:val="00211DB5"/>
    <w:rsid w:val="0021338D"/>
    <w:rsid w:val="00213455"/>
    <w:rsid w:val="0021347B"/>
    <w:rsid w:val="00213876"/>
    <w:rsid w:val="0021417F"/>
    <w:rsid w:val="002148AE"/>
    <w:rsid w:val="002148E5"/>
    <w:rsid w:val="00214F0B"/>
    <w:rsid w:val="00215561"/>
    <w:rsid w:val="00215704"/>
    <w:rsid w:val="00215731"/>
    <w:rsid w:val="00215AF2"/>
    <w:rsid w:val="00216219"/>
    <w:rsid w:val="00216A64"/>
    <w:rsid w:val="002178AA"/>
    <w:rsid w:val="00220498"/>
    <w:rsid w:val="0022082B"/>
    <w:rsid w:val="002211F7"/>
    <w:rsid w:val="00221487"/>
    <w:rsid w:val="00222956"/>
    <w:rsid w:val="00222ABE"/>
    <w:rsid w:val="00222B03"/>
    <w:rsid w:val="00222EAE"/>
    <w:rsid w:val="00224D9F"/>
    <w:rsid w:val="00225179"/>
    <w:rsid w:val="002261F9"/>
    <w:rsid w:val="002272F4"/>
    <w:rsid w:val="00227D12"/>
    <w:rsid w:val="00230322"/>
    <w:rsid w:val="00230594"/>
    <w:rsid w:val="00230E3B"/>
    <w:rsid w:val="00230E52"/>
    <w:rsid w:val="002317C7"/>
    <w:rsid w:val="00232E13"/>
    <w:rsid w:val="00233242"/>
    <w:rsid w:val="0023325B"/>
    <w:rsid w:val="00233509"/>
    <w:rsid w:val="00233675"/>
    <w:rsid w:val="00233B72"/>
    <w:rsid w:val="00234E86"/>
    <w:rsid w:val="00235279"/>
    <w:rsid w:val="0023574C"/>
    <w:rsid w:val="002358BB"/>
    <w:rsid w:val="00235923"/>
    <w:rsid w:val="002366C4"/>
    <w:rsid w:val="002377DC"/>
    <w:rsid w:val="0024014F"/>
    <w:rsid w:val="00240AE4"/>
    <w:rsid w:val="00240D49"/>
    <w:rsid w:val="0024121A"/>
    <w:rsid w:val="002428E7"/>
    <w:rsid w:val="002433F9"/>
    <w:rsid w:val="0024450B"/>
    <w:rsid w:val="00244C5E"/>
    <w:rsid w:val="00244C8D"/>
    <w:rsid w:val="00244D97"/>
    <w:rsid w:val="002452E0"/>
    <w:rsid w:val="00245370"/>
    <w:rsid w:val="00245CE3"/>
    <w:rsid w:val="002460F2"/>
    <w:rsid w:val="002462E5"/>
    <w:rsid w:val="00246443"/>
    <w:rsid w:val="00246BB9"/>
    <w:rsid w:val="00246D43"/>
    <w:rsid w:val="002477A6"/>
    <w:rsid w:val="002500A7"/>
    <w:rsid w:val="002505C7"/>
    <w:rsid w:val="002507FD"/>
    <w:rsid w:val="002522E7"/>
    <w:rsid w:val="0025238E"/>
    <w:rsid w:val="002524F8"/>
    <w:rsid w:val="00252673"/>
    <w:rsid w:val="002532A8"/>
    <w:rsid w:val="002537FC"/>
    <w:rsid w:val="002548E4"/>
    <w:rsid w:val="002556CA"/>
    <w:rsid w:val="00255797"/>
    <w:rsid w:val="00256064"/>
    <w:rsid w:val="00256672"/>
    <w:rsid w:val="0025727C"/>
    <w:rsid w:val="002579E5"/>
    <w:rsid w:val="00260152"/>
    <w:rsid w:val="00261442"/>
    <w:rsid w:val="00261D31"/>
    <w:rsid w:val="00261F35"/>
    <w:rsid w:val="0026238F"/>
    <w:rsid w:val="00262672"/>
    <w:rsid w:val="002633F7"/>
    <w:rsid w:val="0026372B"/>
    <w:rsid w:val="00263B21"/>
    <w:rsid w:val="00263E4A"/>
    <w:rsid w:val="00264767"/>
    <w:rsid w:val="00264895"/>
    <w:rsid w:val="00264AA1"/>
    <w:rsid w:val="00264D20"/>
    <w:rsid w:val="002650E1"/>
    <w:rsid w:val="00266617"/>
    <w:rsid w:val="002667BF"/>
    <w:rsid w:val="00267CC0"/>
    <w:rsid w:val="002705BC"/>
    <w:rsid w:val="002707D1"/>
    <w:rsid w:val="00270C11"/>
    <w:rsid w:val="00270C54"/>
    <w:rsid w:val="00270D7F"/>
    <w:rsid w:val="00271517"/>
    <w:rsid w:val="0027194C"/>
    <w:rsid w:val="002719B4"/>
    <w:rsid w:val="0027230D"/>
    <w:rsid w:val="002723DD"/>
    <w:rsid w:val="0027311D"/>
    <w:rsid w:val="002732BF"/>
    <w:rsid w:val="002733F2"/>
    <w:rsid w:val="002736D5"/>
    <w:rsid w:val="00273A5B"/>
    <w:rsid w:val="00274150"/>
    <w:rsid w:val="00274443"/>
    <w:rsid w:val="00274452"/>
    <w:rsid w:val="002748DA"/>
    <w:rsid w:val="00274A63"/>
    <w:rsid w:val="00274F6F"/>
    <w:rsid w:val="00275EDF"/>
    <w:rsid w:val="0027605C"/>
    <w:rsid w:val="00276804"/>
    <w:rsid w:val="00276F31"/>
    <w:rsid w:val="0027733A"/>
    <w:rsid w:val="00277EB3"/>
    <w:rsid w:val="0028031A"/>
    <w:rsid w:val="00280CB3"/>
    <w:rsid w:val="002815A0"/>
    <w:rsid w:val="00281E4C"/>
    <w:rsid w:val="0028213D"/>
    <w:rsid w:val="0028240E"/>
    <w:rsid w:val="00282489"/>
    <w:rsid w:val="0028277E"/>
    <w:rsid w:val="002834F4"/>
    <w:rsid w:val="002838BA"/>
    <w:rsid w:val="00284875"/>
    <w:rsid w:val="002852BA"/>
    <w:rsid w:val="0028532A"/>
    <w:rsid w:val="00285E4D"/>
    <w:rsid w:val="00286264"/>
    <w:rsid w:val="0028635C"/>
    <w:rsid w:val="002866B4"/>
    <w:rsid w:val="00286C8D"/>
    <w:rsid w:val="00286D61"/>
    <w:rsid w:val="00286F10"/>
    <w:rsid w:val="00287E16"/>
    <w:rsid w:val="00287E25"/>
    <w:rsid w:val="00290354"/>
    <w:rsid w:val="0029044A"/>
    <w:rsid w:val="00290A52"/>
    <w:rsid w:val="002927DC"/>
    <w:rsid w:val="0029290C"/>
    <w:rsid w:val="0029314D"/>
    <w:rsid w:val="002934EE"/>
    <w:rsid w:val="00293D73"/>
    <w:rsid w:val="002947C9"/>
    <w:rsid w:val="00294981"/>
    <w:rsid w:val="00294EEE"/>
    <w:rsid w:val="00295116"/>
    <w:rsid w:val="0029538F"/>
    <w:rsid w:val="002957E6"/>
    <w:rsid w:val="00296159"/>
    <w:rsid w:val="002961E9"/>
    <w:rsid w:val="002966D9"/>
    <w:rsid w:val="0029679A"/>
    <w:rsid w:val="00296874"/>
    <w:rsid w:val="002969F3"/>
    <w:rsid w:val="00296CD6"/>
    <w:rsid w:val="002979BE"/>
    <w:rsid w:val="00297E28"/>
    <w:rsid w:val="002A078D"/>
    <w:rsid w:val="002A0A6C"/>
    <w:rsid w:val="002A1205"/>
    <w:rsid w:val="002A168E"/>
    <w:rsid w:val="002A1EF4"/>
    <w:rsid w:val="002A234D"/>
    <w:rsid w:val="002A242A"/>
    <w:rsid w:val="002A2768"/>
    <w:rsid w:val="002A2EC1"/>
    <w:rsid w:val="002A311D"/>
    <w:rsid w:val="002A315F"/>
    <w:rsid w:val="002A32D5"/>
    <w:rsid w:val="002A3D5D"/>
    <w:rsid w:val="002A3E3E"/>
    <w:rsid w:val="002A43EA"/>
    <w:rsid w:val="002A468C"/>
    <w:rsid w:val="002A4999"/>
    <w:rsid w:val="002A4B14"/>
    <w:rsid w:val="002A4EA7"/>
    <w:rsid w:val="002A4F9A"/>
    <w:rsid w:val="002A7C46"/>
    <w:rsid w:val="002B2064"/>
    <w:rsid w:val="002B231D"/>
    <w:rsid w:val="002B3599"/>
    <w:rsid w:val="002B392C"/>
    <w:rsid w:val="002B44C6"/>
    <w:rsid w:val="002B4954"/>
    <w:rsid w:val="002B55FD"/>
    <w:rsid w:val="002B56E5"/>
    <w:rsid w:val="002B58FD"/>
    <w:rsid w:val="002B596D"/>
    <w:rsid w:val="002B61CE"/>
    <w:rsid w:val="002B6A83"/>
    <w:rsid w:val="002B6B78"/>
    <w:rsid w:val="002B7033"/>
    <w:rsid w:val="002B7AF1"/>
    <w:rsid w:val="002C085C"/>
    <w:rsid w:val="002C111D"/>
    <w:rsid w:val="002C161A"/>
    <w:rsid w:val="002C1A48"/>
    <w:rsid w:val="002C1E55"/>
    <w:rsid w:val="002C20D4"/>
    <w:rsid w:val="002C219F"/>
    <w:rsid w:val="002C22A8"/>
    <w:rsid w:val="002C27BC"/>
    <w:rsid w:val="002C3088"/>
    <w:rsid w:val="002C3121"/>
    <w:rsid w:val="002C3401"/>
    <w:rsid w:val="002C459D"/>
    <w:rsid w:val="002C4700"/>
    <w:rsid w:val="002C4760"/>
    <w:rsid w:val="002C47FC"/>
    <w:rsid w:val="002C4915"/>
    <w:rsid w:val="002C5101"/>
    <w:rsid w:val="002C55BD"/>
    <w:rsid w:val="002C6325"/>
    <w:rsid w:val="002C63E7"/>
    <w:rsid w:val="002C646A"/>
    <w:rsid w:val="002C6673"/>
    <w:rsid w:val="002C6690"/>
    <w:rsid w:val="002C685E"/>
    <w:rsid w:val="002C6963"/>
    <w:rsid w:val="002C6971"/>
    <w:rsid w:val="002D0769"/>
    <w:rsid w:val="002D0B58"/>
    <w:rsid w:val="002D0E5F"/>
    <w:rsid w:val="002D1FBF"/>
    <w:rsid w:val="002D2099"/>
    <w:rsid w:val="002D270D"/>
    <w:rsid w:val="002D4C72"/>
    <w:rsid w:val="002D5229"/>
    <w:rsid w:val="002D54FC"/>
    <w:rsid w:val="002D59D5"/>
    <w:rsid w:val="002D7264"/>
    <w:rsid w:val="002D74B5"/>
    <w:rsid w:val="002D7943"/>
    <w:rsid w:val="002D79E9"/>
    <w:rsid w:val="002E055C"/>
    <w:rsid w:val="002E0604"/>
    <w:rsid w:val="002E2653"/>
    <w:rsid w:val="002E26E0"/>
    <w:rsid w:val="002E3096"/>
    <w:rsid w:val="002E30EE"/>
    <w:rsid w:val="002E4395"/>
    <w:rsid w:val="002E46E9"/>
    <w:rsid w:val="002E4953"/>
    <w:rsid w:val="002E5D15"/>
    <w:rsid w:val="002E5E7D"/>
    <w:rsid w:val="002E5E91"/>
    <w:rsid w:val="002E5F50"/>
    <w:rsid w:val="002E60A6"/>
    <w:rsid w:val="002E652A"/>
    <w:rsid w:val="002E6A96"/>
    <w:rsid w:val="002E7486"/>
    <w:rsid w:val="002E74A0"/>
    <w:rsid w:val="002E7B14"/>
    <w:rsid w:val="002F01F7"/>
    <w:rsid w:val="002F0203"/>
    <w:rsid w:val="002F0A59"/>
    <w:rsid w:val="002F2077"/>
    <w:rsid w:val="002F22F7"/>
    <w:rsid w:val="002F2316"/>
    <w:rsid w:val="002F2A89"/>
    <w:rsid w:val="002F2C8E"/>
    <w:rsid w:val="002F2F91"/>
    <w:rsid w:val="002F4C59"/>
    <w:rsid w:val="002F52B9"/>
    <w:rsid w:val="002F562D"/>
    <w:rsid w:val="002F56AD"/>
    <w:rsid w:val="002F583B"/>
    <w:rsid w:val="002F635A"/>
    <w:rsid w:val="002F6485"/>
    <w:rsid w:val="002F69CA"/>
    <w:rsid w:val="002F7599"/>
    <w:rsid w:val="002F7A22"/>
    <w:rsid w:val="003002C2"/>
    <w:rsid w:val="00300533"/>
    <w:rsid w:val="00300842"/>
    <w:rsid w:val="00301B10"/>
    <w:rsid w:val="00302A50"/>
    <w:rsid w:val="003031D2"/>
    <w:rsid w:val="00303E69"/>
    <w:rsid w:val="00303EEF"/>
    <w:rsid w:val="003044BA"/>
    <w:rsid w:val="00304DEE"/>
    <w:rsid w:val="00304DFF"/>
    <w:rsid w:val="00305572"/>
    <w:rsid w:val="00305625"/>
    <w:rsid w:val="0030562E"/>
    <w:rsid w:val="00305634"/>
    <w:rsid w:val="00306135"/>
    <w:rsid w:val="003063BB"/>
    <w:rsid w:val="00306734"/>
    <w:rsid w:val="00306A24"/>
    <w:rsid w:val="00306C52"/>
    <w:rsid w:val="00307C99"/>
    <w:rsid w:val="00310FAF"/>
    <w:rsid w:val="00311A72"/>
    <w:rsid w:val="00311CC3"/>
    <w:rsid w:val="00311EBF"/>
    <w:rsid w:val="00312035"/>
    <w:rsid w:val="00312277"/>
    <w:rsid w:val="003124A9"/>
    <w:rsid w:val="0031309A"/>
    <w:rsid w:val="0031357C"/>
    <w:rsid w:val="00313AAE"/>
    <w:rsid w:val="00314896"/>
    <w:rsid w:val="003149E8"/>
    <w:rsid w:val="00314EEE"/>
    <w:rsid w:val="00315949"/>
    <w:rsid w:val="00315C91"/>
    <w:rsid w:val="00315E18"/>
    <w:rsid w:val="0031695C"/>
    <w:rsid w:val="003178FD"/>
    <w:rsid w:val="003200F1"/>
    <w:rsid w:val="003209D0"/>
    <w:rsid w:val="0032159C"/>
    <w:rsid w:val="0032190E"/>
    <w:rsid w:val="00321949"/>
    <w:rsid w:val="003219CF"/>
    <w:rsid w:val="00321BA8"/>
    <w:rsid w:val="00321E3C"/>
    <w:rsid w:val="003224F7"/>
    <w:rsid w:val="0032275C"/>
    <w:rsid w:val="003227D9"/>
    <w:rsid w:val="00322B1C"/>
    <w:rsid w:val="00322B45"/>
    <w:rsid w:val="00323FB1"/>
    <w:rsid w:val="00325B5D"/>
    <w:rsid w:val="00326367"/>
    <w:rsid w:val="00326CC6"/>
    <w:rsid w:val="00326D43"/>
    <w:rsid w:val="00326E7C"/>
    <w:rsid w:val="00327933"/>
    <w:rsid w:val="00327F27"/>
    <w:rsid w:val="00330146"/>
    <w:rsid w:val="00330CA1"/>
    <w:rsid w:val="0033195C"/>
    <w:rsid w:val="00331CD7"/>
    <w:rsid w:val="00331DD7"/>
    <w:rsid w:val="00331EB5"/>
    <w:rsid w:val="003321BD"/>
    <w:rsid w:val="0033230B"/>
    <w:rsid w:val="00332D3D"/>
    <w:rsid w:val="00333491"/>
    <w:rsid w:val="00333680"/>
    <w:rsid w:val="0033486F"/>
    <w:rsid w:val="00335488"/>
    <w:rsid w:val="003358BB"/>
    <w:rsid w:val="00335BA3"/>
    <w:rsid w:val="00335E25"/>
    <w:rsid w:val="003366CA"/>
    <w:rsid w:val="00336C4E"/>
    <w:rsid w:val="0033737B"/>
    <w:rsid w:val="00337454"/>
    <w:rsid w:val="00337EBE"/>
    <w:rsid w:val="00340149"/>
    <w:rsid w:val="003406F7"/>
    <w:rsid w:val="003408B2"/>
    <w:rsid w:val="00340F3E"/>
    <w:rsid w:val="003412E7"/>
    <w:rsid w:val="003416A2"/>
    <w:rsid w:val="00341991"/>
    <w:rsid w:val="00341EBE"/>
    <w:rsid w:val="003427EF"/>
    <w:rsid w:val="00342863"/>
    <w:rsid w:val="003436AE"/>
    <w:rsid w:val="00343EA4"/>
    <w:rsid w:val="00344811"/>
    <w:rsid w:val="0034497A"/>
    <w:rsid w:val="003456DE"/>
    <w:rsid w:val="00345B05"/>
    <w:rsid w:val="00345FC4"/>
    <w:rsid w:val="00347036"/>
    <w:rsid w:val="003470BD"/>
    <w:rsid w:val="00347CDC"/>
    <w:rsid w:val="0035023C"/>
    <w:rsid w:val="003507AA"/>
    <w:rsid w:val="00350849"/>
    <w:rsid w:val="00351AAA"/>
    <w:rsid w:val="00351D92"/>
    <w:rsid w:val="00353838"/>
    <w:rsid w:val="00353CF7"/>
    <w:rsid w:val="00353F15"/>
    <w:rsid w:val="0035411F"/>
    <w:rsid w:val="0035477A"/>
    <w:rsid w:val="0035541A"/>
    <w:rsid w:val="00356824"/>
    <w:rsid w:val="0035689B"/>
    <w:rsid w:val="00356F60"/>
    <w:rsid w:val="00356FFA"/>
    <w:rsid w:val="003570AC"/>
    <w:rsid w:val="00357261"/>
    <w:rsid w:val="00357297"/>
    <w:rsid w:val="00357601"/>
    <w:rsid w:val="00357D1C"/>
    <w:rsid w:val="0036021D"/>
    <w:rsid w:val="00360AF6"/>
    <w:rsid w:val="0036107F"/>
    <w:rsid w:val="00361C69"/>
    <w:rsid w:val="00362115"/>
    <w:rsid w:val="00362274"/>
    <w:rsid w:val="00362A1F"/>
    <w:rsid w:val="00362BAF"/>
    <w:rsid w:val="00362BE9"/>
    <w:rsid w:val="00362CB5"/>
    <w:rsid w:val="003637BC"/>
    <w:rsid w:val="003638AA"/>
    <w:rsid w:val="00363CFA"/>
    <w:rsid w:val="003648B6"/>
    <w:rsid w:val="0036517E"/>
    <w:rsid w:val="00365B85"/>
    <w:rsid w:val="00365E51"/>
    <w:rsid w:val="003667DC"/>
    <w:rsid w:val="00366DC7"/>
    <w:rsid w:val="003673A0"/>
    <w:rsid w:val="00367784"/>
    <w:rsid w:val="003678A8"/>
    <w:rsid w:val="00367EDE"/>
    <w:rsid w:val="003705C6"/>
    <w:rsid w:val="00370EE9"/>
    <w:rsid w:val="0037149F"/>
    <w:rsid w:val="00371E0C"/>
    <w:rsid w:val="00372055"/>
    <w:rsid w:val="003720CA"/>
    <w:rsid w:val="00372132"/>
    <w:rsid w:val="003728FE"/>
    <w:rsid w:val="00372ADB"/>
    <w:rsid w:val="003732D1"/>
    <w:rsid w:val="003732D6"/>
    <w:rsid w:val="00373419"/>
    <w:rsid w:val="00374259"/>
    <w:rsid w:val="00374334"/>
    <w:rsid w:val="00374592"/>
    <w:rsid w:val="0037480A"/>
    <w:rsid w:val="00374D1C"/>
    <w:rsid w:val="003753BC"/>
    <w:rsid w:val="003754C5"/>
    <w:rsid w:val="00375C55"/>
    <w:rsid w:val="00375CB7"/>
    <w:rsid w:val="00376139"/>
    <w:rsid w:val="00376ED9"/>
    <w:rsid w:val="0037749B"/>
    <w:rsid w:val="0037775D"/>
    <w:rsid w:val="00377FE9"/>
    <w:rsid w:val="0038016E"/>
    <w:rsid w:val="0038026D"/>
    <w:rsid w:val="0038134E"/>
    <w:rsid w:val="00381B33"/>
    <w:rsid w:val="0038273D"/>
    <w:rsid w:val="0038273F"/>
    <w:rsid w:val="00382E51"/>
    <w:rsid w:val="00382F08"/>
    <w:rsid w:val="00383CB4"/>
    <w:rsid w:val="00384157"/>
    <w:rsid w:val="00384639"/>
    <w:rsid w:val="00385050"/>
    <w:rsid w:val="003857E6"/>
    <w:rsid w:val="00386114"/>
    <w:rsid w:val="00386D38"/>
    <w:rsid w:val="0038790D"/>
    <w:rsid w:val="003905D3"/>
    <w:rsid w:val="00390D5C"/>
    <w:rsid w:val="00392366"/>
    <w:rsid w:val="00392832"/>
    <w:rsid w:val="00392EA5"/>
    <w:rsid w:val="003932F5"/>
    <w:rsid w:val="00393956"/>
    <w:rsid w:val="00394EA8"/>
    <w:rsid w:val="00395D31"/>
    <w:rsid w:val="0039613C"/>
    <w:rsid w:val="00396B77"/>
    <w:rsid w:val="00396C56"/>
    <w:rsid w:val="00396E99"/>
    <w:rsid w:val="00396FCD"/>
    <w:rsid w:val="00397102"/>
    <w:rsid w:val="003971F6"/>
    <w:rsid w:val="00397B6F"/>
    <w:rsid w:val="003A0BB4"/>
    <w:rsid w:val="003A0FC9"/>
    <w:rsid w:val="003A1F5D"/>
    <w:rsid w:val="003A3358"/>
    <w:rsid w:val="003A37DE"/>
    <w:rsid w:val="003A4209"/>
    <w:rsid w:val="003A49D3"/>
    <w:rsid w:val="003A573C"/>
    <w:rsid w:val="003A589A"/>
    <w:rsid w:val="003A5BC7"/>
    <w:rsid w:val="003A5C09"/>
    <w:rsid w:val="003A5CA6"/>
    <w:rsid w:val="003A5E33"/>
    <w:rsid w:val="003A5E63"/>
    <w:rsid w:val="003A5EF9"/>
    <w:rsid w:val="003A608E"/>
    <w:rsid w:val="003A6216"/>
    <w:rsid w:val="003A63DD"/>
    <w:rsid w:val="003A6563"/>
    <w:rsid w:val="003A696F"/>
    <w:rsid w:val="003A69E6"/>
    <w:rsid w:val="003A6F78"/>
    <w:rsid w:val="003A7934"/>
    <w:rsid w:val="003B16AE"/>
    <w:rsid w:val="003B1964"/>
    <w:rsid w:val="003B1E6A"/>
    <w:rsid w:val="003B254B"/>
    <w:rsid w:val="003B2A26"/>
    <w:rsid w:val="003B3AB5"/>
    <w:rsid w:val="003B4689"/>
    <w:rsid w:val="003B49C4"/>
    <w:rsid w:val="003B5B80"/>
    <w:rsid w:val="003B63C9"/>
    <w:rsid w:val="003B6E51"/>
    <w:rsid w:val="003B77EC"/>
    <w:rsid w:val="003C0D3F"/>
    <w:rsid w:val="003C10A2"/>
    <w:rsid w:val="003C13B7"/>
    <w:rsid w:val="003C15E3"/>
    <w:rsid w:val="003C1B8A"/>
    <w:rsid w:val="003C1BC2"/>
    <w:rsid w:val="003C2B3B"/>
    <w:rsid w:val="003C2D59"/>
    <w:rsid w:val="003C300A"/>
    <w:rsid w:val="003C371F"/>
    <w:rsid w:val="003C3B06"/>
    <w:rsid w:val="003C3DCC"/>
    <w:rsid w:val="003C4D17"/>
    <w:rsid w:val="003C4E88"/>
    <w:rsid w:val="003C540E"/>
    <w:rsid w:val="003C5FE8"/>
    <w:rsid w:val="003C7066"/>
    <w:rsid w:val="003C7697"/>
    <w:rsid w:val="003C7C26"/>
    <w:rsid w:val="003C7E04"/>
    <w:rsid w:val="003C7E61"/>
    <w:rsid w:val="003C7E80"/>
    <w:rsid w:val="003D0C7E"/>
    <w:rsid w:val="003D0D48"/>
    <w:rsid w:val="003D0D88"/>
    <w:rsid w:val="003D1307"/>
    <w:rsid w:val="003D1D9B"/>
    <w:rsid w:val="003D21D6"/>
    <w:rsid w:val="003D2963"/>
    <w:rsid w:val="003D2B7B"/>
    <w:rsid w:val="003D2EC1"/>
    <w:rsid w:val="003D3036"/>
    <w:rsid w:val="003D33AD"/>
    <w:rsid w:val="003D379C"/>
    <w:rsid w:val="003D3A82"/>
    <w:rsid w:val="003D44B0"/>
    <w:rsid w:val="003D47A1"/>
    <w:rsid w:val="003D52B4"/>
    <w:rsid w:val="003D55EF"/>
    <w:rsid w:val="003D582D"/>
    <w:rsid w:val="003D6825"/>
    <w:rsid w:val="003D6985"/>
    <w:rsid w:val="003D6E7A"/>
    <w:rsid w:val="003D78D8"/>
    <w:rsid w:val="003D7D4A"/>
    <w:rsid w:val="003E0085"/>
    <w:rsid w:val="003E0BEF"/>
    <w:rsid w:val="003E1330"/>
    <w:rsid w:val="003E1719"/>
    <w:rsid w:val="003E1903"/>
    <w:rsid w:val="003E1F73"/>
    <w:rsid w:val="003E22BF"/>
    <w:rsid w:val="003E2453"/>
    <w:rsid w:val="003E255D"/>
    <w:rsid w:val="003E2ADD"/>
    <w:rsid w:val="003E31BD"/>
    <w:rsid w:val="003E323F"/>
    <w:rsid w:val="003E3538"/>
    <w:rsid w:val="003E35A5"/>
    <w:rsid w:val="003E36C2"/>
    <w:rsid w:val="003E3CD3"/>
    <w:rsid w:val="003E44C1"/>
    <w:rsid w:val="003E4C54"/>
    <w:rsid w:val="003E5A43"/>
    <w:rsid w:val="003E640A"/>
    <w:rsid w:val="003F0008"/>
    <w:rsid w:val="003F037B"/>
    <w:rsid w:val="003F05A1"/>
    <w:rsid w:val="003F05BB"/>
    <w:rsid w:val="003F0638"/>
    <w:rsid w:val="003F06EF"/>
    <w:rsid w:val="003F1944"/>
    <w:rsid w:val="003F1982"/>
    <w:rsid w:val="003F20DA"/>
    <w:rsid w:val="003F26A5"/>
    <w:rsid w:val="003F271C"/>
    <w:rsid w:val="003F4818"/>
    <w:rsid w:val="003F485C"/>
    <w:rsid w:val="003F5882"/>
    <w:rsid w:val="003F5AA4"/>
    <w:rsid w:val="003F65BA"/>
    <w:rsid w:val="003F73C6"/>
    <w:rsid w:val="003F7496"/>
    <w:rsid w:val="003F7D7D"/>
    <w:rsid w:val="003F7DDB"/>
    <w:rsid w:val="003F7E91"/>
    <w:rsid w:val="003F7EED"/>
    <w:rsid w:val="0040008D"/>
    <w:rsid w:val="00400263"/>
    <w:rsid w:val="004007C9"/>
    <w:rsid w:val="00400E63"/>
    <w:rsid w:val="0040207A"/>
    <w:rsid w:val="00402856"/>
    <w:rsid w:val="00403D94"/>
    <w:rsid w:val="0040431D"/>
    <w:rsid w:val="004064AB"/>
    <w:rsid w:val="00406EE9"/>
    <w:rsid w:val="00407006"/>
    <w:rsid w:val="00407430"/>
    <w:rsid w:val="00407E4A"/>
    <w:rsid w:val="004105AD"/>
    <w:rsid w:val="00411687"/>
    <w:rsid w:val="00412307"/>
    <w:rsid w:val="0041251A"/>
    <w:rsid w:val="00412EC3"/>
    <w:rsid w:val="00413AB5"/>
    <w:rsid w:val="00413C02"/>
    <w:rsid w:val="00413C2D"/>
    <w:rsid w:val="004142C8"/>
    <w:rsid w:val="00414D3F"/>
    <w:rsid w:val="0041523D"/>
    <w:rsid w:val="004154C3"/>
    <w:rsid w:val="00415A04"/>
    <w:rsid w:val="00416017"/>
    <w:rsid w:val="0041621B"/>
    <w:rsid w:val="00416492"/>
    <w:rsid w:val="00416BF8"/>
    <w:rsid w:val="00416CAC"/>
    <w:rsid w:val="00417850"/>
    <w:rsid w:val="00417A88"/>
    <w:rsid w:val="00417BDC"/>
    <w:rsid w:val="00417DC8"/>
    <w:rsid w:val="00420C8F"/>
    <w:rsid w:val="00420E0C"/>
    <w:rsid w:val="00421FEC"/>
    <w:rsid w:val="00422213"/>
    <w:rsid w:val="004225CB"/>
    <w:rsid w:val="0042276C"/>
    <w:rsid w:val="00422A48"/>
    <w:rsid w:val="00423CC2"/>
    <w:rsid w:val="00424480"/>
    <w:rsid w:val="004248EA"/>
    <w:rsid w:val="004257FC"/>
    <w:rsid w:val="00425E48"/>
    <w:rsid w:val="004260A7"/>
    <w:rsid w:val="00426247"/>
    <w:rsid w:val="004263A5"/>
    <w:rsid w:val="00426F3C"/>
    <w:rsid w:val="0042723D"/>
    <w:rsid w:val="0042762D"/>
    <w:rsid w:val="00427F97"/>
    <w:rsid w:val="00430CC6"/>
    <w:rsid w:val="00430CFA"/>
    <w:rsid w:val="004313EC"/>
    <w:rsid w:val="004316BE"/>
    <w:rsid w:val="004324D0"/>
    <w:rsid w:val="004329D3"/>
    <w:rsid w:val="00433044"/>
    <w:rsid w:val="004332AB"/>
    <w:rsid w:val="00433312"/>
    <w:rsid w:val="00433896"/>
    <w:rsid w:val="0043537E"/>
    <w:rsid w:val="004371F5"/>
    <w:rsid w:val="0043741A"/>
    <w:rsid w:val="00437AE0"/>
    <w:rsid w:val="00437CC5"/>
    <w:rsid w:val="00440175"/>
    <w:rsid w:val="00440370"/>
    <w:rsid w:val="00440572"/>
    <w:rsid w:val="0044095D"/>
    <w:rsid w:val="00441C25"/>
    <w:rsid w:val="00441D6C"/>
    <w:rsid w:val="004420D9"/>
    <w:rsid w:val="0044254A"/>
    <w:rsid w:val="00442950"/>
    <w:rsid w:val="00442D8A"/>
    <w:rsid w:val="004430AC"/>
    <w:rsid w:val="004433D6"/>
    <w:rsid w:val="004434EE"/>
    <w:rsid w:val="00443B95"/>
    <w:rsid w:val="004444FA"/>
    <w:rsid w:val="0044482A"/>
    <w:rsid w:val="004461DC"/>
    <w:rsid w:val="00446867"/>
    <w:rsid w:val="00446911"/>
    <w:rsid w:val="004469ED"/>
    <w:rsid w:val="00447056"/>
    <w:rsid w:val="00447C56"/>
    <w:rsid w:val="00450CA3"/>
    <w:rsid w:val="00450F1E"/>
    <w:rsid w:val="0045120E"/>
    <w:rsid w:val="00451595"/>
    <w:rsid w:val="004515FF"/>
    <w:rsid w:val="00451DEC"/>
    <w:rsid w:val="00452059"/>
    <w:rsid w:val="00452D9A"/>
    <w:rsid w:val="00453419"/>
    <w:rsid w:val="004538FE"/>
    <w:rsid w:val="00453DBE"/>
    <w:rsid w:val="00454975"/>
    <w:rsid w:val="00455157"/>
    <w:rsid w:val="004556D5"/>
    <w:rsid w:val="00455C62"/>
    <w:rsid w:val="00456AD6"/>
    <w:rsid w:val="00457947"/>
    <w:rsid w:val="00457BDC"/>
    <w:rsid w:val="004603DC"/>
    <w:rsid w:val="004607F4"/>
    <w:rsid w:val="00460EC5"/>
    <w:rsid w:val="004612EE"/>
    <w:rsid w:val="00461452"/>
    <w:rsid w:val="00461968"/>
    <w:rsid w:val="00461AC3"/>
    <w:rsid w:val="00461DCC"/>
    <w:rsid w:val="00462410"/>
    <w:rsid w:val="004625A4"/>
    <w:rsid w:val="00462BD0"/>
    <w:rsid w:val="00463DF6"/>
    <w:rsid w:val="004645FA"/>
    <w:rsid w:val="0046473E"/>
    <w:rsid w:val="00464B26"/>
    <w:rsid w:val="00464DF8"/>
    <w:rsid w:val="00465302"/>
    <w:rsid w:val="00465460"/>
    <w:rsid w:val="00465E12"/>
    <w:rsid w:val="0046606F"/>
    <w:rsid w:val="00466167"/>
    <w:rsid w:val="00470720"/>
    <w:rsid w:val="00471511"/>
    <w:rsid w:val="004716B4"/>
    <w:rsid w:val="00471DB7"/>
    <w:rsid w:val="00471E9C"/>
    <w:rsid w:val="00472A40"/>
    <w:rsid w:val="00472AFA"/>
    <w:rsid w:val="00472C52"/>
    <w:rsid w:val="004732F6"/>
    <w:rsid w:val="0047402F"/>
    <w:rsid w:val="004740D4"/>
    <w:rsid w:val="004741AC"/>
    <w:rsid w:val="00474B15"/>
    <w:rsid w:val="00476163"/>
    <w:rsid w:val="004766A2"/>
    <w:rsid w:val="00476B3D"/>
    <w:rsid w:val="0047769D"/>
    <w:rsid w:val="00480065"/>
    <w:rsid w:val="004801EC"/>
    <w:rsid w:val="0048117C"/>
    <w:rsid w:val="0048121F"/>
    <w:rsid w:val="004813C9"/>
    <w:rsid w:val="00481485"/>
    <w:rsid w:val="004818FD"/>
    <w:rsid w:val="00481EEA"/>
    <w:rsid w:val="00481F19"/>
    <w:rsid w:val="00482E63"/>
    <w:rsid w:val="00483074"/>
    <w:rsid w:val="0048431D"/>
    <w:rsid w:val="004848E7"/>
    <w:rsid w:val="00484A1D"/>
    <w:rsid w:val="00484DE2"/>
    <w:rsid w:val="00485DEC"/>
    <w:rsid w:val="0048661E"/>
    <w:rsid w:val="00486B53"/>
    <w:rsid w:val="004874EF"/>
    <w:rsid w:val="00490EBF"/>
    <w:rsid w:val="0049141D"/>
    <w:rsid w:val="00491E8A"/>
    <w:rsid w:val="0049262A"/>
    <w:rsid w:val="00493677"/>
    <w:rsid w:val="00493E2E"/>
    <w:rsid w:val="00493F7E"/>
    <w:rsid w:val="00493FC7"/>
    <w:rsid w:val="004941E8"/>
    <w:rsid w:val="00494690"/>
    <w:rsid w:val="0049489F"/>
    <w:rsid w:val="00494E80"/>
    <w:rsid w:val="00495D1B"/>
    <w:rsid w:val="004972D5"/>
    <w:rsid w:val="0049730B"/>
    <w:rsid w:val="0049748A"/>
    <w:rsid w:val="004975EF"/>
    <w:rsid w:val="004A04C1"/>
    <w:rsid w:val="004A0718"/>
    <w:rsid w:val="004A1302"/>
    <w:rsid w:val="004A1BDB"/>
    <w:rsid w:val="004A39C0"/>
    <w:rsid w:val="004A4091"/>
    <w:rsid w:val="004A44A5"/>
    <w:rsid w:val="004A49E8"/>
    <w:rsid w:val="004A5051"/>
    <w:rsid w:val="004A5279"/>
    <w:rsid w:val="004A54C4"/>
    <w:rsid w:val="004A5D9E"/>
    <w:rsid w:val="004A5EFD"/>
    <w:rsid w:val="004A6444"/>
    <w:rsid w:val="004A69C9"/>
    <w:rsid w:val="004A7656"/>
    <w:rsid w:val="004B0017"/>
    <w:rsid w:val="004B068D"/>
    <w:rsid w:val="004B0AC4"/>
    <w:rsid w:val="004B0EF2"/>
    <w:rsid w:val="004B128B"/>
    <w:rsid w:val="004B1A8F"/>
    <w:rsid w:val="004B3432"/>
    <w:rsid w:val="004B3806"/>
    <w:rsid w:val="004B3CAA"/>
    <w:rsid w:val="004B44EF"/>
    <w:rsid w:val="004B4B1F"/>
    <w:rsid w:val="004B4ED2"/>
    <w:rsid w:val="004B5C2B"/>
    <w:rsid w:val="004B5ED4"/>
    <w:rsid w:val="004B633D"/>
    <w:rsid w:val="004C013F"/>
    <w:rsid w:val="004C063D"/>
    <w:rsid w:val="004C0D09"/>
    <w:rsid w:val="004C0F50"/>
    <w:rsid w:val="004C12E7"/>
    <w:rsid w:val="004C1432"/>
    <w:rsid w:val="004C23BF"/>
    <w:rsid w:val="004C2528"/>
    <w:rsid w:val="004C2A54"/>
    <w:rsid w:val="004C2B4B"/>
    <w:rsid w:val="004C30B1"/>
    <w:rsid w:val="004C3446"/>
    <w:rsid w:val="004C37AE"/>
    <w:rsid w:val="004C3BCC"/>
    <w:rsid w:val="004C3C5F"/>
    <w:rsid w:val="004C3CFC"/>
    <w:rsid w:val="004C4035"/>
    <w:rsid w:val="004C45FB"/>
    <w:rsid w:val="004C48E8"/>
    <w:rsid w:val="004C4A33"/>
    <w:rsid w:val="004C4EE1"/>
    <w:rsid w:val="004C5E74"/>
    <w:rsid w:val="004C6BE2"/>
    <w:rsid w:val="004C7937"/>
    <w:rsid w:val="004C7B47"/>
    <w:rsid w:val="004C7EAC"/>
    <w:rsid w:val="004D06AE"/>
    <w:rsid w:val="004D0719"/>
    <w:rsid w:val="004D0BC9"/>
    <w:rsid w:val="004D0FD9"/>
    <w:rsid w:val="004D16A5"/>
    <w:rsid w:val="004D16F0"/>
    <w:rsid w:val="004D19B9"/>
    <w:rsid w:val="004D28B9"/>
    <w:rsid w:val="004D2AB4"/>
    <w:rsid w:val="004D3577"/>
    <w:rsid w:val="004D383E"/>
    <w:rsid w:val="004D3FA1"/>
    <w:rsid w:val="004D44E1"/>
    <w:rsid w:val="004D5550"/>
    <w:rsid w:val="004D5AE0"/>
    <w:rsid w:val="004D5B25"/>
    <w:rsid w:val="004D5D76"/>
    <w:rsid w:val="004D6685"/>
    <w:rsid w:val="004D66A8"/>
    <w:rsid w:val="004D67E4"/>
    <w:rsid w:val="004D7752"/>
    <w:rsid w:val="004D7F01"/>
    <w:rsid w:val="004E096D"/>
    <w:rsid w:val="004E168F"/>
    <w:rsid w:val="004E1E28"/>
    <w:rsid w:val="004E2429"/>
    <w:rsid w:val="004E25E5"/>
    <w:rsid w:val="004E2DB5"/>
    <w:rsid w:val="004E327C"/>
    <w:rsid w:val="004E3513"/>
    <w:rsid w:val="004E38DA"/>
    <w:rsid w:val="004E47F6"/>
    <w:rsid w:val="004E4871"/>
    <w:rsid w:val="004E5DE0"/>
    <w:rsid w:val="004E5E7A"/>
    <w:rsid w:val="004E5EC9"/>
    <w:rsid w:val="004E61AF"/>
    <w:rsid w:val="004E6476"/>
    <w:rsid w:val="004E699F"/>
    <w:rsid w:val="004E747F"/>
    <w:rsid w:val="004E74AE"/>
    <w:rsid w:val="004E752B"/>
    <w:rsid w:val="004E75DA"/>
    <w:rsid w:val="004E76E0"/>
    <w:rsid w:val="004E78AF"/>
    <w:rsid w:val="004E78D2"/>
    <w:rsid w:val="004E7BF7"/>
    <w:rsid w:val="004E7CA7"/>
    <w:rsid w:val="004E7EBC"/>
    <w:rsid w:val="004F0E5C"/>
    <w:rsid w:val="004F11B8"/>
    <w:rsid w:val="004F1E5F"/>
    <w:rsid w:val="004F1E78"/>
    <w:rsid w:val="004F1F90"/>
    <w:rsid w:val="004F23CE"/>
    <w:rsid w:val="004F263D"/>
    <w:rsid w:val="004F28B5"/>
    <w:rsid w:val="004F2B43"/>
    <w:rsid w:val="004F3267"/>
    <w:rsid w:val="004F4029"/>
    <w:rsid w:val="004F4455"/>
    <w:rsid w:val="004F49BE"/>
    <w:rsid w:val="004F4DE2"/>
    <w:rsid w:val="004F4ECC"/>
    <w:rsid w:val="004F4F93"/>
    <w:rsid w:val="004F5346"/>
    <w:rsid w:val="004F5448"/>
    <w:rsid w:val="004F5532"/>
    <w:rsid w:val="004F5799"/>
    <w:rsid w:val="004F5C73"/>
    <w:rsid w:val="004F5C81"/>
    <w:rsid w:val="004F67C2"/>
    <w:rsid w:val="004F697A"/>
    <w:rsid w:val="004F6C0A"/>
    <w:rsid w:val="004F721B"/>
    <w:rsid w:val="004F79F4"/>
    <w:rsid w:val="00500523"/>
    <w:rsid w:val="005015EF"/>
    <w:rsid w:val="00501740"/>
    <w:rsid w:val="00502B87"/>
    <w:rsid w:val="00503126"/>
    <w:rsid w:val="005033B4"/>
    <w:rsid w:val="00503443"/>
    <w:rsid w:val="0050349F"/>
    <w:rsid w:val="005037BC"/>
    <w:rsid w:val="00503D30"/>
    <w:rsid w:val="00503DF8"/>
    <w:rsid w:val="00503F79"/>
    <w:rsid w:val="00503FED"/>
    <w:rsid w:val="00504199"/>
    <w:rsid w:val="005054E7"/>
    <w:rsid w:val="00505DCA"/>
    <w:rsid w:val="005062E1"/>
    <w:rsid w:val="005072AD"/>
    <w:rsid w:val="00507903"/>
    <w:rsid w:val="0050794C"/>
    <w:rsid w:val="00507BEC"/>
    <w:rsid w:val="00507C1E"/>
    <w:rsid w:val="00510717"/>
    <w:rsid w:val="00510A46"/>
    <w:rsid w:val="00511047"/>
    <w:rsid w:val="005116F7"/>
    <w:rsid w:val="00512085"/>
    <w:rsid w:val="005124CF"/>
    <w:rsid w:val="005124D7"/>
    <w:rsid w:val="00512768"/>
    <w:rsid w:val="00512B5E"/>
    <w:rsid w:val="005135E8"/>
    <w:rsid w:val="00514F83"/>
    <w:rsid w:val="00515558"/>
    <w:rsid w:val="00516017"/>
    <w:rsid w:val="0051648C"/>
    <w:rsid w:val="00516E47"/>
    <w:rsid w:val="00517353"/>
    <w:rsid w:val="005174EC"/>
    <w:rsid w:val="005203F0"/>
    <w:rsid w:val="0052066C"/>
    <w:rsid w:val="005209A9"/>
    <w:rsid w:val="00520D64"/>
    <w:rsid w:val="0052107B"/>
    <w:rsid w:val="0052139F"/>
    <w:rsid w:val="0052262B"/>
    <w:rsid w:val="00523530"/>
    <w:rsid w:val="00523D3B"/>
    <w:rsid w:val="00524213"/>
    <w:rsid w:val="005242BC"/>
    <w:rsid w:val="005245A7"/>
    <w:rsid w:val="0052515C"/>
    <w:rsid w:val="00525B8C"/>
    <w:rsid w:val="0052605B"/>
    <w:rsid w:val="0052634A"/>
    <w:rsid w:val="0052698F"/>
    <w:rsid w:val="00526D06"/>
    <w:rsid w:val="00527335"/>
    <w:rsid w:val="00527618"/>
    <w:rsid w:val="00527940"/>
    <w:rsid w:val="0053076C"/>
    <w:rsid w:val="005314DC"/>
    <w:rsid w:val="005317D7"/>
    <w:rsid w:val="00532177"/>
    <w:rsid w:val="0053244C"/>
    <w:rsid w:val="0053247B"/>
    <w:rsid w:val="005326E9"/>
    <w:rsid w:val="00532EE2"/>
    <w:rsid w:val="0053394C"/>
    <w:rsid w:val="00535DCC"/>
    <w:rsid w:val="00536515"/>
    <w:rsid w:val="00536D22"/>
    <w:rsid w:val="00537009"/>
    <w:rsid w:val="005378E0"/>
    <w:rsid w:val="00537EA6"/>
    <w:rsid w:val="00540585"/>
    <w:rsid w:val="0054174C"/>
    <w:rsid w:val="00541ED1"/>
    <w:rsid w:val="00543329"/>
    <w:rsid w:val="00544066"/>
    <w:rsid w:val="005443A2"/>
    <w:rsid w:val="005449BA"/>
    <w:rsid w:val="00545056"/>
    <w:rsid w:val="00545134"/>
    <w:rsid w:val="00545515"/>
    <w:rsid w:val="00546207"/>
    <w:rsid w:val="00546A71"/>
    <w:rsid w:val="00547B3E"/>
    <w:rsid w:val="00547C5D"/>
    <w:rsid w:val="00550369"/>
    <w:rsid w:val="005505E0"/>
    <w:rsid w:val="00550A3D"/>
    <w:rsid w:val="00550AF5"/>
    <w:rsid w:val="00550DB7"/>
    <w:rsid w:val="005518BF"/>
    <w:rsid w:val="0055197E"/>
    <w:rsid w:val="00551C07"/>
    <w:rsid w:val="005522FA"/>
    <w:rsid w:val="005525C4"/>
    <w:rsid w:val="005527C8"/>
    <w:rsid w:val="00552869"/>
    <w:rsid w:val="0055291D"/>
    <w:rsid w:val="00552EF8"/>
    <w:rsid w:val="00553637"/>
    <w:rsid w:val="005542E0"/>
    <w:rsid w:val="0055545D"/>
    <w:rsid w:val="0055547A"/>
    <w:rsid w:val="00557011"/>
    <w:rsid w:val="00557789"/>
    <w:rsid w:val="005579CD"/>
    <w:rsid w:val="00557B02"/>
    <w:rsid w:val="00560359"/>
    <w:rsid w:val="00560AD6"/>
    <w:rsid w:val="00562195"/>
    <w:rsid w:val="00562B40"/>
    <w:rsid w:val="00563036"/>
    <w:rsid w:val="005638D7"/>
    <w:rsid w:val="005643BA"/>
    <w:rsid w:val="005649D5"/>
    <w:rsid w:val="0056595E"/>
    <w:rsid w:val="00565A51"/>
    <w:rsid w:val="0056637E"/>
    <w:rsid w:val="0056644D"/>
    <w:rsid w:val="005666B9"/>
    <w:rsid w:val="00570CA7"/>
    <w:rsid w:val="00571013"/>
    <w:rsid w:val="00571609"/>
    <w:rsid w:val="00571BB2"/>
    <w:rsid w:val="00572057"/>
    <w:rsid w:val="005721CF"/>
    <w:rsid w:val="00572B69"/>
    <w:rsid w:val="00572C02"/>
    <w:rsid w:val="00573D6B"/>
    <w:rsid w:val="00574099"/>
    <w:rsid w:val="00574E84"/>
    <w:rsid w:val="005758BB"/>
    <w:rsid w:val="00576B57"/>
    <w:rsid w:val="005770A7"/>
    <w:rsid w:val="00577540"/>
    <w:rsid w:val="00577BCD"/>
    <w:rsid w:val="00577EB4"/>
    <w:rsid w:val="005811BC"/>
    <w:rsid w:val="0058134B"/>
    <w:rsid w:val="00581558"/>
    <w:rsid w:val="005819D4"/>
    <w:rsid w:val="00582483"/>
    <w:rsid w:val="005824E5"/>
    <w:rsid w:val="00582534"/>
    <w:rsid w:val="00582FCE"/>
    <w:rsid w:val="005837B0"/>
    <w:rsid w:val="00583B37"/>
    <w:rsid w:val="0058426C"/>
    <w:rsid w:val="00584F4D"/>
    <w:rsid w:val="0058543E"/>
    <w:rsid w:val="0058562B"/>
    <w:rsid w:val="005859DA"/>
    <w:rsid w:val="005860DE"/>
    <w:rsid w:val="005866BC"/>
    <w:rsid w:val="005867C3"/>
    <w:rsid w:val="005869D0"/>
    <w:rsid w:val="00586DE0"/>
    <w:rsid w:val="00587163"/>
    <w:rsid w:val="005875A7"/>
    <w:rsid w:val="00587E28"/>
    <w:rsid w:val="0059039D"/>
    <w:rsid w:val="00590657"/>
    <w:rsid w:val="00590C38"/>
    <w:rsid w:val="00590C5E"/>
    <w:rsid w:val="00591783"/>
    <w:rsid w:val="0059182E"/>
    <w:rsid w:val="00591B7F"/>
    <w:rsid w:val="00591CD4"/>
    <w:rsid w:val="00591D77"/>
    <w:rsid w:val="00592764"/>
    <w:rsid w:val="00593166"/>
    <w:rsid w:val="005932AA"/>
    <w:rsid w:val="00593592"/>
    <w:rsid w:val="00593A22"/>
    <w:rsid w:val="00594692"/>
    <w:rsid w:val="00595077"/>
    <w:rsid w:val="00595E43"/>
    <w:rsid w:val="00595F57"/>
    <w:rsid w:val="005960EE"/>
    <w:rsid w:val="00596474"/>
    <w:rsid w:val="00597053"/>
    <w:rsid w:val="005974C1"/>
    <w:rsid w:val="00597DE0"/>
    <w:rsid w:val="005A0611"/>
    <w:rsid w:val="005A107E"/>
    <w:rsid w:val="005A164A"/>
    <w:rsid w:val="005A16C8"/>
    <w:rsid w:val="005A1EA5"/>
    <w:rsid w:val="005A2535"/>
    <w:rsid w:val="005A26D4"/>
    <w:rsid w:val="005A2EC9"/>
    <w:rsid w:val="005A34A0"/>
    <w:rsid w:val="005A3D36"/>
    <w:rsid w:val="005A437B"/>
    <w:rsid w:val="005A472F"/>
    <w:rsid w:val="005A4924"/>
    <w:rsid w:val="005A539D"/>
    <w:rsid w:val="005A56D6"/>
    <w:rsid w:val="005A5D64"/>
    <w:rsid w:val="005A5DD6"/>
    <w:rsid w:val="005A628D"/>
    <w:rsid w:val="005A6494"/>
    <w:rsid w:val="005A7546"/>
    <w:rsid w:val="005A7A13"/>
    <w:rsid w:val="005B0B55"/>
    <w:rsid w:val="005B21F5"/>
    <w:rsid w:val="005B30F9"/>
    <w:rsid w:val="005B3247"/>
    <w:rsid w:val="005B47A1"/>
    <w:rsid w:val="005B483A"/>
    <w:rsid w:val="005B485F"/>
    <w:rsid w:val="005B516C"/>
    <w:rsid w:val="005B57D9"/>
    <w:rsid w:val="005B5A4D"/>
    <w:rsid w:val="005B5D03"/>
    <w:rsid w:val="005B5D17"/>
    <w:rsid w:val="005B5E6D"/>
    <w:rsid w:val="005B661C"/>
    <w:rsid w:val="005B7C09"/>
    <w:rsid w:val="005C09A6"/>
    <w:rsid w:val="005C0B76"/>
    <w:rsid w:val="005C0E23"/>
    <w:rsid w:val="005C1407"/>
    <w:rsid w:val="005C15C5"/>
    <w:rsid w:val="005C1C46"/>
    <w:rsid w:val="005C1CC0"/>
    <w:rsid w:val="005C271E"/>
    <w:rsid w:val="005C29C0"/>
    <w:rsid w:val="005C4682"/>
    <w:rsid w:val="005C4824"/>
    <w:rsid w:val="005C49A8"/>
    <w:rsid w:val="005C4F82"/>
    <w:rsid w:val="005C5CA6"/>
    <w:rsid w:val="005C71E4"/>
    <w:rsid w:val="005C74BF"/>
    <w:rsid w:val="005C7503"/>
    <w:rsid w:val="005C7A4A"/>
    <w:rsid w:val="005C7D8C"/>
    <w:rsid w:val="005D0143"/>
    <w:rsid w:val="005D0586"/>
    <w:rsid w:val="005D0E24"/>
    <w:rsid w:val="005D12EB"/>
    <w:rsid w:val="005D147A"/>
    <w:rsid w:val="005D1506"/>
    <w:rsid w:val="005D2000"/>
    <w:rsid w:val="005D2276"/>
    <w:rsid w:val="005D22E9"/>
    <w:rsid w:val="005D260E"/>
    <w:rsid w:val="005D370A"/>
    <w:rsid w:val="005D3C36"/>
    <w:rsid w:val="005D4556"/>
    <w:rsid w:val="005D4A2D"/>
    <w:rsid w:val="005D4B5C"/>
    <w:rsid w:val="005D4C62"/>
    <w:rsid w:val="005D4C7C"/>
    <w:rsid w:val="005D4F0C"/>
    <w:rsid w:val="005D5E47"/>
    <w:rsid w:val="005D71B5"/>
    <w:rsid w:val="005E0FE4"/>
    <w:rsid w:val="005E1169"/>
    <w:rsid w:val="005E1887"/>
    <w:rsid w:val="005E21D3"/>
    <w:rsid w:val="005E2574"/>
    <w:rsid w:val="005E261F"/>
    <w:rsid w:val="005E2ABF"/>
    <w:rsid w:val="005E2AFF"/>
    <w:rsid w:val="005E2D28"/>
    <w:rsid w:val="005E37C9"/>
    <w:rsid w:val="005E3D4D"/>
    <w:rsid w:val="005E40CF"/>
    <w:rsid w:val="005E413B"/>
    <w:rsid w:val="005E49A4"/>
    <w:rsid w:val="005E52D5"/>
    <w:rsid w:val="005E52F7"/>
    <w:rsid w:val="005E587D"/>
    <w:rsid w:val="005E59F2"/>
    <w:rsid w:val="005E6346"/>
    <w:rsid w:val="005E6F92"/>
    <w:rsid w:val="005F000B"/>
    <w:rsid w:val="005F0022"/>
    <w:rsid w:val="005F07B3"/>
    <w:rsid w:val="005F0DAB"/>
    <w:rsid w:val="005F0DEA"/>
    <w:rsid w:val="005F1385"/>
    <w:rsid w:val="005F1836"/>
    <w:rsid w:val="005F1D25"/>
    <w:rsid w:val="005F1FE8"/>
    <w:rsid w:val="005F2022"/>
    <w:rsid w:val="005F20BB"/>
    <w:rsid w:val="005F24C1"/>
    <w:rsid w:val="005F255B"/>
    <w:rsid w:val="005F256D"/>
    <w:rsid w:val="005F2B1A"/>
    <w:rsid w:val="005F32A9"/>
    <w:rsid w:val="005F32E5"/>
    <w:rsid w:val="005F3308"/>
    <w:rsid w:val="005F3DB7"/>
    <w:rsid w:val="005F4860"/>
    <w:rsid w:val="005F4891"/>
    <w:rsid w:val="005F5275"/>
    <w:rsid w:val="005F5440"/>
    <w:rsid w:val="005F5942"/>
    <w:rsid w:val="005F6422"/>
    <w:rsid w:val="005F6CDE"/>
    <w:rsid w:val="005F71AB"/>
    <w:rsid w:val="005F7251"/>
    <w:rsid w:val="005F76CB"/>
    <w:rsid w:val="005F7ABA"/>
    <w:rsid w:val="006001DF"/>
    <w:rsid w:val="006004AF"/>
    <w:rsid w:val="00600BD3"/>
    <w:rsid w:val="0060105B"/>
    <w:rsid w:val="00601351"/>
    <w:rsid w:val="00601460"/>
    <w:rsid w:val="00601A4A"/>
    <w:rsid w:val="00601E15"/>
    <w:rsid w:val="0060242B"/>
    <w:rsid w:val="00602BD6"/>
    <w:rsid w:val="00603386"/>
    <w:rsid w:val="00604ADD"/>
    <w:rsid w:val="00604B79"/>
    <w:rsid w:val="00605141"/>
    <w:rsid w:val="00605195"/>
    <w:rsid w:val="006051B6"/>
    <w:rsid w:val="006055F0"/>
    <w:rsid w:val="00605E30"/>
    <w:rsid w:val="00606233"/>
    <w:rsid w:val="006070B5"/>
    <w:rsid w:val="00607541"/>
    <w:rsid w:val="00610BA7"/>
    <w:rsid w:val="00610EE4"/>
    <w:rsid w:val="00611E42"/>
    <w:rsid w:val="0061228C"/>
    <w:rsid w:val="0061268E"/>
    <w:rsid w:val="006127DE"/>
    <w:rsid w:val="0061286D"/>
    <w:rsid w:val="00612CBB"/>
    <w:rsid w:val="00613061"/>
    <w:rsid w:val="0061356E"/>
    <w:rsid w:val="00613D18"/>
    <w:rsid w:val="00614917"/>
    <w:rsid w:val="00614935"/>
    <w:rsid w:val="00614E21"/>
    <w:rsid w:val="00614ECB"/>
    <w:rsid w:val="0061508A"/>
    <w:rsid w:val="006153CD"/>
    <w:rsid w:val="00615507"/>
    <w:rsid w:val="006164AA"/>
    <w:rsid w:val="00616503"/>
    <w:rsid w:val="0061681B"/>
    <w:rsid w:val="006169E8"/>
    <w:rsid w:val="00616C27"/>
    <w:rsid w:val="00616D46"/>
    <w:rsid w:val="00616E66"/>
    <w:rsid w:val="00617EEC"/>
    <w:rsid w:val="0062026E"/>
    <w:rsid w:val="00622ABA"/>
    <w:rsid w:val="00622F8E"/>
    <w:rsid w:val="00623258"/>
    <w:rsid w:val="00624762"/>
    <w:rsid w:val="0062528A"/>
    <w:rsid w:val="00625B49"/>
    <w:rsid w:val="00625C79"/>
    <w:rsid w:val="0062636A"/>
    <w:rsid w:val="006264FC"/>
    <w:rsid w:val="006276DD"/>
    <w:rsid w:val="00631B8E"/>
    <w:rsid w:val="00631B9E"/>
    <w:rsid w:val="006326FD"/>
    <w:rsid w:val="00632786"/>
    <w:rsid w:val="00632CC7"/>
    <w:rsid w:val="00632D6D"/>
    <w:rsid w:val="006330B7"/>
    <w:rsid w:val="006338C7"/>
    <w:rsid w:val="006342AF"/>
    <w:rsid w:val="00634E86"/>
    <w:rsid w:val="00635A12"/>
    <w:rsid w:val="006362F9"/>
    <w:rsid w:val="006366B3"/>
    <w:rsid w:val="006368E9"/>
    <w:rsid w:val="00637414"/>
    <w:rsid w:val="00637493"/>
    <w:rsid w:val="006375BE"/>
    <w:rsid w:val="00640366"/>
    <w:rsid w:val="00641471"/>
    <w:rsid w:val="006418F6"/>
    <w:rsid w:val="00641A10"/>
    <w:rsid w:val="00642F1C"/>
    <w:rsid w:val="00643DA1"/>
    <w:rsid w:val="00644A72"/>
    <w:rsid w:val="00644ACB"/>
    <w:rsid w:val="00645185"/>
    <w:rsid w:val="00645A4E"/>
    <w:rsid w:val="00645C37"/>
    <w:rsid w:val="006469D8"/>
    <w:rsid w:val="00646D51"/>
    <w:rsid w:val="0064750F"/>
    <w:rsid w:val="006475F1"/>
    <w:rsid w:val="0064791A"/>
    <w:rsid w:val="0065027E"/>
    <w:rsid w:val="006502C9"/>
    <w:rsid w:val="006509A3"/>
    <w:rsid w:val="006513CA"/>
    <w:rsid w:val="00652A58"/>
    <w:rsid w:val="00652AF6"/>
    <w:rsid w:val="00652DF8"/>
    <w:rsid w:val="00652F68"/>
    <w:rsid w:val="00653362"/>
    <w:rsid w:val="0065349D"/>
    <w:rsid w:val="00653716"/>
    <w:rsid w:val="00653C63"/>
    <w:rsid w:val="00654033"/>
    <w:rsid w:val="006548FF"/>
    <w:rsid w:val="00655AFC"/>
    <w:rsid w:val="006566B0"/>
    <w:rsid w:val="006570ED"/>
    <w:rsid w:val="006571FF"/>
    <w:rsid w:val="00657E79"/>
    <w:rsid w:val="00657F86"/>
    <w:rsid w:val="0066107F"/>
    <w:rsid w:val="00661A60"/>
    <w:rsid w:val="006623E5"/>
    <w:rsid w:val="00662E89"/>
    <w:rsid w:val="006634CF"/>
    <w:rsid w:val="00664444"/>
    <w:rsid w:val="00664981"/>
    <w:rsid w:val="0066514E"/>
    <w:rsid w:val="00665262"/>
    <w:rsid w:val="00665385"/>
    <w:rsid w:val="00665EE8"/>
    <w:rsid w:val="00665FD6"/>
    <w:rsid w:val="00666A79"/>
    <w:rsid w:val="00666BCE"/>
    <w:rsid w:val="00667144"/>
    <w:rsid w:val="00670A3B"/>
    <w:rsid w:val="006714F1"/>
    <w:rsid w:val="0067207F"/>
    <w:rsid w:val="00672208"/>
    <w:rsid w:val="00673349"/>
    <w:rsid w:val="006735DB"/>
    <w:rsid w:val="00673E76"/>
    <w:rsid w:val="006741E7"/>
    <w:rsid w:val="006774F5"/>
    <w:rsid w:val="006776D7"/>
    <w:rsid w:val="00677E95"/>
    <w:rsid w:val="00680806"/>
    <w:rsid w:val="00680EC6"/>
    <w:rsid w:val="00681D19"/>
    <w:rsid w:val="00681E26"/>
    <w:rsid w:val="0068206B"/>
    <w:rsid w:val="00682779"/>
    <w:rsid w:val="00682CD7"/>
    <w:rsid w:val="00683F8E"/>
    <w:rsid w:val="006852D3"/>
    <w:rsid w:val="00685397"/>
    <w:rsid w:val="00685725"/>
    <w:rsid w:val="0068602E"/>
    <w:rsid w:val="00687188"/>
    <w:rsid w:val="00687254"/>
    <w:rsid w:val="006901E2"/>
    <w:rsid w:val="00690C93"/>
    <w:rsid w:val="0069164E"/>
    <w:rsid w:val="00691CE8"/>
    <w:rsid w:val="00691CF9"/>
    <w:rsid w:val="006930FE"/>
    <w:rsid w:val="00693862"/>
    <w:rsid w:val="0069488A"/>
    <w:rsid w:val="00694921"/>
    <w:rsid w:val="00694952"/>
    <w:rsid w:val="00695098"/>
    <w:rsid w:val="006951C4"/>
    <w:rsid w:val="006953E5"/>
    <w:rsid w:val="00695C12"/>
    <w:rsid w:val="00695CD3"/>
    <w:rsid w:val="00695FB7"/>
    <w:rsid w:val="006972DF"/>
    <w:rsid w:val="00697E43"/>
    <w:rsid w:val="00697F70"/>
    <w:rsid w:val="006A0407"/>
    <w:rsid w:val="006A05FA"/>
    <w:rsid w:val="006A0CC9"/>
    <w:rsid w:val="006A0DCC"/>
    <w:rsid w:val="006A101C"/>
    <w:rsid w:val="006A17F8"/>
    <w:rsid w:val="006A26A7"/>
    <w:rsid w:val="006A27B0"/>
    <w:rsid w:val="006A2C15"/>
    <w:rsid w:val="006A3E17"/>
    <w:rsid w:val="006A49E1"/>
    <w:rsid w:val="006A4B98"/>
    <w:rsid w:val="006A582E"/>
    <w:rsid w:val="006A5B19"/>
    <w:rsid w:val="006A600B"/>
    <w:rsid w:val="006A6465"/>
    <w:rsid w:val="006A6B3C"/>
    <w:rsid w:val="006A76A3"/>
    <w:rsid w:val="006A78E8"/>
    <w:rsid w:val="006A79C1"/>
    <w:rsid w:val="006A7A56"/>
    <w:rsid w:val="006B10A2"/>
    <w:rsid w:val="006B1168"/>
    <w:rsid w:val="006B182D"/>
    <w:rsid w:val="006B192A"/>
    <w:rsid w:val="006B19D2"/>
    <w:rsid w:val="006B1BDE"/>
    <w:rsid w:val="006B21F8"/>
    <w:rsid w:val="006B26C5"/>
    <w:rsid w:val="006B2722"/>
    <w:rsid w:val="006B2C16"/>
    <w:rsid w:val="006B2D5F"/>
    <w:rsid w:val="006B378A"/>
    <w:rsid w:val="006B5CEC"/>
    <w:rsid w:val="006B6150"/>
    <w:rsid w:val="006B61F2"/>
    <w:rsid w:val="006B67AF"/>
    <w:rsid w:val="006B6B13"/>
    <w:rsid w:val="006B6F17"/>
    <w:rsid w:val="006B6F95"/>
    <w:rsid w:val="006B7753"/>
    <w:rsid w:val="006B78D3"/>
    <w:rsid w:val="006B7975"/>
    <w:rsid w:val="006C0394"/>
    <w:rsid w:val="006C077D"/>
    <w:rsid w:val="006C0E53"/>
    <w:rsid w:val="006C0FA0"/>
    <w:rsid w:val="006C1A4B"/>
    <w:rsid w:val="006C254D"/>
    <w:rsid w:val="006C2CAC"/>
    <w:rsid w:val="006C316F"/>
    <w:rsid w:val="006C32DE"/>
    <w:rsid w:val="006C3768"/>
    <w:rsid w:val="006C3DAF"/>
    <w:rsid w:val="006C3F41"/>
    <w:rsid w:val="006C517B"/>
    <w:rsid w:val="006C5560"/>
    <w:rsid w:val="006C5887"/>
    <w:rsid w:val="006C5C5C"/>
    <w:rsid w:val="006C6113"/>
    <w:rsid w:val="006C6355"/>
    <w:rsid w:val="006C649B"/>
    <w:rsid w:val="006C7291"/>
    <w:rsid w:val="006C736C"/>
    <w:rsid w:val="006C7989"/>
    <w:rsid w:val="006D001A"/>
    <w:rsid w:val="006D0058"/>
    <w:rsid w:val="006D0170"/>
    <w:rsid w:val="006D04F4"/>
    <w:rsid w:val="006D078A"/>
    <w:rsid w:val="006D116E"/>
    <w:rsid w:val="006D124E"/>
    <w:rsid w:val="006D1737"/>
    <w:rsid w:val="006D1AAB"/>
    <w:rsid w:val="006D1F5D"/>
    <w:rsid w:val="006D268D"/>
    <w:rsid w:val="006D2FE7"/>
    <w:rsid w:val="006D3D8B"/>
    <w:rsid w:val="006D47FF"/>
    <w:rsid w:val="006D50D0"/>
    <w:rsid w:val="006D5304"/>
    <w:rsid w:val="006D5A6D"/>
    <w:rsid w:val="006D5FD2"/>
    <w:rsid w:val="006D624B"/>
    <w:rsid w:val="006D6456"/>
    <w:rsid w:val="006D6CF6"/>
    <w:rsid w:val="006D6E70"/>
    <w:rsid w:val="006D6FB0"/>
    <w:rsid w:val="006D744F"/>
    <w:rsid w:val="006D771F"/>
    <w:rsid w:val="006D77FD"/>
    <w:rsid w:val="006D7F79"/>
    <w:rsid w:val="006E01E8"/>
    <w:rsid w:val="006E035F"/>
    <w:rsid w:val="006E09BA"/>
    <w:rsid w:val="006E1B1D"/>
    <w:rsid w:val="006E2006"/>
    <w:rsid w:val="006E23EC"/>
    <w:rsid w:val="006E2468"/>
    <w:rsid w:val="006E2755"/>
    <w:rsid w:val="006E3360"/>
    <w:rsid w:val="006E4680"/>
    <w:rsid w:val="006E4AE7"/>
    <w:rsid w:val="006E503C"/>
    <w:rsid w:val="006E5A48"/>
    <w:rsid w:val="006E6A4E"/>
    <w:rsid w:val="006E7772"/>
    <w:rsid w:val="006E79A1"/>
    <w:rsid w:val="006E7A7A"/>
    <w:rsid w:val="006E7C67"/>
    <w:rsid w:val="006E7D7E"/>
    <w:rsid w:val="006F06F2"/>
    <w:rsid w:val="006F077A"/>
    <w:rsid w:val="006F086A"/>
    <w:rsid w:val="006F0CC6"/>
    <w:rsid w:val="006F11D9"/>
    <w:rsid w:val="006F1342"/>
    <w:rsid w:val="006F2039"/>
    <w:rsid w:val="006F235B"/>
    <w:rsid w:val="006F2C93"/>
    <w:rsid w:val="006F348D"/>
    <w:rsid w:val="006F3603"/>
    <w:rsid w:val="006F36CE"/>
    <w:rsid w:val="006F3BBD"/>
    <w:rsid w:val="006F3DC4"/>
    <w:rsid w:val="006F440F"/>
    <w:rsid w:val="006F557C"/>
    <w:rsid w:val="006F5A89"/>
    <w:rsid w:val="006F5DD7"/>
    <w:rsid w:val="006F652B"/>
    <w:rsid w:val="006F6776"/>
    <w:rsid w:val="006F6BF7"/>
    <w:rsid w:val="006F6DD6"/>
    <w:rsid w:val="006F71FA"/>
    <w:rsid w:val="006F733B"/>
    <w:rsid w:val="006F7A48"/>
    <w:rsid w:val="006F7C28"/>
    <w:rsid w:val="007007B3"/>
    <w:rsid w:val="00700BA3"/>
    <w:rsid w:val="00700C50"/>
    <w:rsid w:val="00701049"/>
    <w:rsid w:val="0070107F"/>
    <w:rsid w:val="00701AB3"/>
    <w:rsid w:val="00701BB4"/>
    <w:rsid w:val="00701BF1"/>
    <w:rsid w:val="00701D78"/>
    <w:rsid w:val="00702237"/>
    <w:rsid w:val="00702C8D"/>
    <w:rsid w:val="00703DB5"/>
    <w:rsid w:val="00703DFF"/>
    <w:rsid w:val="00703FC7"/>
    <w:rsid w:val="00704704"/>
    <w:rsid w:val="007049D4"/>
    <w:rsid w:val="007051E4"/>
    <w:rsid w:val="0070523C"/>
    <w:rsid w:val="00705653"/>
    <w:rsid w:val="00705C2E"/>
    <w:rsid w:val="00705DBC"/>
    <w:rsid w:val="0070610E"/>
    <w:rsid w:val="00706544"/>
    <w:rsid w:val="007067A0"/>
    <w:rsid w:val="00706D03"/>
    <w:rsid w:val="00706E63"/>
    <w:rsid w:val="00707804"/>
    <w:rsid w:val="00707BB7"/>
    <w:rsid w:val="00707E57"/>
    <w:rsid w:val="00707F47"/>
    <w:rsid w:val="00710C47"/>
    <w:rsid w:val="00710DD9"/>
    <w:rsid w:val="0071103E"/>
    <w:rsid w:val="007112A5"/>
    <w:rsid w:val="00711904"/>
    <w:rsid w:val="00711B49"/>
    <w:rsid w:val="00712198"/>
    <w:rsid w:val="00713508"/>
    <w:rsid w:val="00713C13"/>
    <w:rsid w:val="007141B1"/>
    <w:rsid w:val="007145B4"/>
    <w:rsid w:val="0071478D"/>
    <w:rsid w:val="0071543E"/>
    <w:rsid w:val="007155EF"/>
    <w:rsid w:val="00715C99"/>
    <w:rsid w:val="00715D53"/>
    <w:rsid w:val="007172ED"/>
    <w:rsid w:val="00717648"/>
    <w:rsid w:val="00717C71"/>
    <w:rsid w:val="00717C8F"/>
    <w:rsid w:val="007200E1"/>
    <w:rsid w:val="007210C6"/>
    <w:rsid w:val="00721B00"/>
    <w:rsid w:val="00721F03"/>
    <w:rsid w:val="007230DD"/>
    <w:rsid w:val="007230FC"/>
    <w:rsid w:val="00723C6D"/>
    <w:rsid w:val="00723E54"/>
    <w:rsid w:val="00724402"/>
    <w:rsid w:val="007247D6"/>
    <w:rsid w:val="00724DF7"/>
    <w:rsid w:val="00724F8F"/>
    <w:rsid w:val="00725D0D"/>
    <w:rsid w:val="00725D1A"/>
    <w:rsid w:val="00725EAA"/>
    <w:rsid w:val="007266ED"/>
    <w:rsid w:val="007269CE"/>
    <w:rsid w:val="00726B89"/>
    <w:rsid w:val="007271BF"/>
    <w:rsid w:val="0072794B"/>
    <w:rsid w:val="00727CB3"/>
    <w:rsid w:val="0073147F"/>
    <w:rsid w:val="00731714"/>
    <w:rsid w:val="0073204F"/>
    <w:rsid w:val="007321AC"/>
    <w:rsid w:val="00732328"/>
    <w:rsid w:val="0073370D"/>
    <w:rsid w:val="00734A2B"/>
    <w:rsid w:val="0073559D"/>
    <w:rsid w:val="00736F31"/>
    <w:rsid w:val="00737882"/>
    <w:rsid w:val="00737D21"/>
    <w:rsid w:val="00737E72"/>
    <w:rsid w:val="00737FBF"/>
    <w:rsid w:val="00740A0C"/>
    <w:rsid w:val="00740AE1"/>
    <w:rsid w:val="007419FE"/>
    <w:rsid w:val="00741B7C"/>
    <w:rsid w:val="00742208"/>
    <w:rsid w:val="00742906"/>
    <w:rsid w:val="00742940"/>
    <w:rsid w:val="00743572"/>
    <w:rsid w:val="00743EE9"/>
    <w:rsid w:val="007445EB"/>
    <w:rsid w:val="007446CD"/>
    <w:rsid w:val="00744E10"/>
    <w:rsid w:val="00745227"/>
    <w:rsid w:val="0074635B"/>
    <w:rsid w:val="00746446"/>
    <w:rsid w:val="00746933"/>
    <w:rsid w:val="007472D6"/>
    <w:rsid w:val="00747386"/>
    <w:rsid w:val="007476E0"/>
    <w:rsid w:val="007506E6"/>
    <w:rsid w:val="0075090B"/>
    <w:rsid w:val="00750AA4"/>
    <w:rsid w:val="00750B99"/>
    <w:rsid w:val="00751231"/>
    <w:rsid w:val="00751850"/>
    <w:rsid w:val="00751F41"/>
    <w:rsid w:val="00752472"/>
    <w:rsid w:val="007524D9"/>
    <w:rsid w:val="00752727"/>
    <w:rsid w:val="00752A90"/>
    <w:rsid w:val="00753DAA"/>
    <w:rsid w:val="0075519A"/>
    <w:rsid w:val="00755251"/>
    <w:rsid w:val="007553F5"/>
    <w:rsid w:val="007555C3"/>
    <w:rsid w:val="00755BFB"/>
    <w:rsid w:val="00755CA7"/>
    <w:rsid w:val="00755E3F"/>
    <w:rsid w:val="00756DB9"/>
    <w:rsid w:val="00757277"/>
    <w:rsid w:val="00757635"/>
    <w:rsid w:val="00757676"/>
    <w:rsid w:val="00757A4E"/>
    <w:rsid w:val="00757CF6"/>
    <w:rsid w:val="007600DF"/>
    <w:rsid w:val="007606E5"/>
    <w:rsid w:val="007607CC"/>
    <w:rsid w:val="00760A56"/>
    <w:rsid w:val="00760F1C"/>
    <w:rsid w:val="0076112A"/>
    <w:rsid w:val="007612E6"/>
    <w:rsid w:val="0076262C"/>
    <w:rsid w:val="00763170"/>
    <w:rsid w:val="00763407"/>
    <w:rsid w:val="0076410F"/>
    <w:rsid w:val="00764E03"/>
    <w:rsid w:val="00765545"/>
    <w:rsid w:val="00765C3F"/>
    <w:rsid w:val="00766001"/>
    <w:rsid w:val="00766749"/>
    <w:rsid w:val="007668BC"/>
    <w:rsid w:val="00766CAB"/>
    <w:rsid w:val="00766CDD"/>
    <w:rsid w:val="0076719C"/>
    <w:rsid w:val="007671EB"/>
    <w:rsid w:val="0076782E"/>
    <w:rsid w:val="00767E3F"/>
    <w:rsid w:val="00770B86"/>
    <w:rsid w:val="00770CC2"/>
    <w:rsid w:val="00771856"/>
    <w:rsid w:val="00771B25"/>
    <w:rsid w:val="00772AC4"/>
    <w:rsid w:val="00772E55"/>
    <w:rsid w:val="00772EE0"/>
    <w:rsid w:val="007734B2"/>
    <w:rsid w:val="00773589"/>
    <w:rsid w:val="0077380C"/>
    <w:rsid w:val="0077435E"/>
    <w:rsid w:val="00774515"/>
    <w:rsid w:val="00775026"/>
    <w:rsid w:val="0077590F"/>
    <w:rsid w:val="00775CF7"/>
    <w:rsid w:val="00775FCA"/>
    <w:rsid w:val="0077608E"/>
    <w:rsid w:val="007765FE"/>
    <w:rsid w:val="007767AC"/>
    <w:rsid w:val="00776FE5"/>
    <w:rsid w:val="007775A9"/>
    <w:rsid w:val="00777B5B"/>
    <w:rsid w:val="00780051"/>
    <w:rsid w:val="00780466"/>
    <w:rsid w:val="007813FD"/>
    <w:rsid w:val="007818F5"/>
    <w:rsid w:val="0078265D"/>
    <w:rsid w:val="007826C6"/>
    <w:rsid w:val="00783517"/>
    <w:rsid w:val="007835BE"/>
    <w:rsid w:val="00784664"/>
    <w:rsid w:val="00786423"/>
    <w:rsid w:val="007864CC"/>
    <w:rsid w:val="007866C8"/>
    <w:rsid w:val="00786863"/>
    <w:rsid w:val="00786A30"/>
    <w:rsid w:val="00786D03"/>
    <w:rsid w:val="0079002A"/>
    <w:rsid w:val="007919BF"/>
    <w:rsid w:val="00792EA7"/>
    <w:rsid w:val="00793130"/>
    <w:rsid w:val="00793527"/>
    <w:rsid w:val="0079358E"/>
    <w:rsid w:val="007939C7"/>
    <w:rsid w:val="00793AFA"/>
    <w:rsid w:val="00793BA2"/>
    <w:rsid w:val="00794359"/>
    <w:rsid w:val="00794475"/>
    <w:rsid w:val="00795015"/>
    <w:rsid w:val="00795981"/>
    <w:rsid w:val="00795BE8"/>
    <w:rsid w:val="00796871"/>
    <w:rsid w:val="00796B1E"/>
    <w:rsid w:val="00796E14"/>
    <w:rsid w:val="007970DF"/>
    <w:rsid w:val="00797A1F"/>
    <w:rsid w:val="00797A60"/>
    <w:rsid w:val="007A09C7"/>
    <w:rsid w:val="007A0CF0"/>
    <w:rsid w:val="007A0F21"/>
    <w:rsid w:val="007A1B5F"/>
    <w:rsid w:val="007A1EF3"/>
    <w:rsid w:val="007A2435"/>
    <w:rsid w:val="007A24D6"/>
    <w:rsid w:val="007A2AD5"/>
    <w:rsid w:val="007A3385"/>
    <w:rsid w:val="007A37BC"/>
    <w:rsid w:val="007A3AB6"/>
    <w:rsid w:val="007A4148"/>
    <w:rsid w:val="007A5090"/>
    <w:rsid w:val="007A5484"/>
    <w:rsid w:val="007A5EFD"/>
    <w:rsid w:val="007A61D8"/>
    <w:rsid w:val="007A6589"/>
    <w:rsid w:val="007A671D"/>
    <w:rsid w:val="007A67E6"/>
    <w:rsid w:val="007A6D5F"/>
    <w:rsid w:val="007A6D8B"/>
    <w:rsid w:val="007A721E"/>
    <w:rsid w:val="007A78EE"/>
    <w:rsid w:val="007B11C9"/>
    <w:rsid w:val="007B1A85"/>
    <w:rsid w:val="007B1C43"/>
    <w:rsid w:val="007B20C1"/>
    <w:rsid w:val="007B22F2"/>
    <w:rsid w:val="007B25BB"/>
    <w:rsid w:val="007B2601"/>
    <w:rsid w:val="007B2BF0"/>
    <w:rsid w:val="007B3196"/>
    <w:rsid w:val="007B34A0"/>
    <w:rsid w:val="007B3555"/>
    <w:rsid w:val="007B38EB"/>
    <w:rsid w:val="007B3A63"/>
    <w:rsid w:val="007B4411"/>
    <w:rsid w:val="007B4B61"/>
    <w:rsid w:val="007B530F"/>
    <w:rsid w:val="007B5506"/>
    <w:rsid w:val="007B5CB3"/>
    <w:rsid w:val="007B7476"/>
    <w:rsid w:val="007B7C30"/>
    <w:rsid w:val="007C02D3"/>
    <w:rsid w:val="007C05CE"/>
    <w:rsid w:val="007C07DB"/>
    <w:rsid w:val="007C2331"/>
    <w:rsid w:val="007C271A"/>
    <w:rsid w:val="007C2A94"/>
    <w:rsid w:val="007C3DB7"/>
    <w:rsid w:val="007C45A6"/>
    <w:rsid w:val="007C49CF"/>
    <w:rsid w:val="007C4B4F"/>
    <w:rsid w:val="007C5CC1"/>
    <w:rsid w:val="007C7018"/>
    <w:rsid w:val="007C7761"/>
    <w:rsid w:val="007C79CF"/>
    <w:rsid w:val="007C7A35"/>
    <w:rsid w:val="007D0147"/>
    <w:rsid w:val="007D05A3"/>
    <w:rsid w:val="007D061D"/>
    <w:rsid w:val="007D0C5E"/>
    <w:rsid w:val="007D0E12"/>
    <w:rsid w:val="007D10C6"/>
    <w:rsid w:val="007D1A7B"/>
    <w:rsid w:val="007D1E46"/>
    <w:rsid w:val="007D256F"/>
    <w:rsid w:val="007D295A"/>
    <w:rsid w:val="007D2E5A"/>
    <w:rsid w:val="007D40A1"/>
    <w:rsid w:val="007D4123"/>
    <w:rsid w:val="007D4374"/>
    <w:rsid w:val="007D4590"/>
    <w:rsid w:val="007D47E8"/>
    <w:rsid w:val="007D50AB"/>
    <w:rsid w:val="007D543C"/>
    <w:rsid w:val="007D6D9E"/>
    <w:rsid w:val="007D7014"/>
    <w:rsid w:val="007E069E"/>
    <w:rsid w:val="007E0B7F"/>
    <w:rsid w:val="007E0F8D"/>
    <w:rsid w:val="007E153E"/>
    <w:rsid w:val="007E16AF"/>
    <w:rsid w:val="007E1E89"/>
    <w:rsid w:val="007E1F90"/>
    <w:rsid w:val="007E2482"/>
    <w:rsid w:val="007E42EF"/>
    <w:rsid w:val="007E4950"/>
    <w:rsid w:val="007E4ACE"/>
    <w:rsid w:val="007E4E87"/>
    <w:rsid w:val="007E560B"/>
    <w:rsid w:val="007E583D"/>
    <w:rsid w:val="007E5A27"/>
    <w:rsid w:val="007E5A47"/>
    <w:rsid w:val="007E5CA9"/>
    <w:rsid w:val="007E65DD"/>
    <w:rsid w:val="007E68A5"/>
    <w:rsid w:val="007E6A09"/>
    <w:rsid w:val="007E6D5F"/>
    <w:rsid w:val="007E7CA3"/>
    <w:rsid w:val="007F0223"/>
    <w:rsid w:val="007F1795"/>
    <w:rsid w:val="007F17D7"/>
    <w:rsid w:val="007F1C88"/>
    <w:rsid w:val="007F26D8"/>
    <w:rsid w:val="007F306F"/>
    <w:rsid w:val="007F33F4"/>
    <w:rsid w:val="007F38A5"/>
    <w:rsid w:val="007F38AA"/>
    <w:rsid w:val="007F38DD"/>
    <w:rsid w:val="007F3E08"/>
    <w:rsid w:val="007F4501"/>
    <w:rsid w:val="007F4903"/>
    <w:rsid w:val="007F4F6B"/>
    <w:rsid w:val="007F5892"/>
    <w:rsid w:val="007F6554"/>
    <w:rsid w:val="007F67FC"/>
    <w:rsid w:val="007F6DC9"/>
    <w:rsid w:val="007F7083"/>
    <w:rsid w:val="008001B9"/>
    <w:rsid w:val="00800416"/>
    <w:rsid w:val="008025ED"/>
    <w:rsid w:val="00802BEE"/>
    <w:rsid w:val="00802DD1"/>
    <w:rsid w:val="00802F96"/>
    <w:rsid w:val="008034D9"/>
    <w:rsid w:val="00803591"/>
    <w:rsid w:val="00803C26"/>
    <w:rsid w:val="008045D3"/>
    <w:rsid w:val="00804BED"/>
    <w:rsid w:val="00805ABF"/>
    <w:rsid w:val="00805E75"/>
    <w:rsid w:val="008060DE"/>
    <w:rsid w:val="0080624E"/>
    <w:rsid w:val="008063DF"/>
    <w:rsid w:val="00806855"/>
    <w:rsid w:val="0080698C"/>
    <w:rsid w:val="0080787D"/>
    <w:rsid w:val="00807FB3"/>
    <w:rsid w:val="00810175"/>
    <w:rsid w:val="00810377"/>
    <w:rsid w:val="0081038E"/>
    <w:rsid w:val="00810640"/>
    <w:rsid w:val="00810850"/>
    <w:rsid w:val="0081181D"/>
    <w:rsid w:val="00812346"/>
    <w:rsid w:val="008125EC"/>
    <w:rsid w:val="00813A87"/>
    <w:rsid w:val="00813F8D"/>
    <w:rsid w:val="0081407D"/>
    <w:rsid w:val="00814273"/>
    <w:rsid w:val="0081456F"/>
    <w:rsid w:val="00814C60"/>
    <w:rsid w:val="00814F85"/>
    <w:rsid w:val="0081599F"/>
    <w:rsid w:val="00816472"/>
    <w:rsid w:val="0081668C"/>
    <w:rsid w:val="00816CDC"/>
    <w:rsid w:val="00816DA7"/>
    <w:rsid w:val="00817489"/>
    <w:rsid w:val="00817827"/>
    <w:rsid w:val="00817CBF"/>
    <w:rsid w:val="00820692"/>
    <w:rsid w:val="00820F01"/>
    <w:rsid w:val="0082139D"/>
    <w:rsid w:val="00823235"/>
    <w:rsid w:val="00823615"/>
    <w:rsid w:val="00823A8F"/>
    <w:rsid w:val="00824403"/>
    <w:rsid w:val="008246AD"/>
    <w:rsid w:val="00825ED3"/>
    <w:rsid w:val="0082624E"/>
    <w:rsid w:val="00826B15"/>
    <w:rsid w:val="00827003"/>
    <w:rsid w:val="00827D23"/>
    <w:rsid w:val="00827EFC"/>
    <w:rsid w:val="00830682"/>
    <w:rsid w:val="00830982"/>
    <w:rsid w:val="008309DE"/>
    <w:rsid w:val="00830BF7"/>
    <w:rsid w:val="00831015"/>
    <w:rsid w:val="00831332"/>
    <w:rsid w:val="00831669"/>
    <w:rsid w:val="00831D03"/>
    <w:rsid w:val="008320AB"/>
    <w:rsid w:val="00832BAB"/>
    <w:rsid w:val="008330E6"/>
    <w:rsid w:val="00833387"/>
    <w:rsid w:val="00833BCE"/>
    <w:rsid w:val="00833D1A"/>
    <w:rsid w:val="00833E86"/>
    <w:rsid w:val="00834183"/>
    <w:rsid w:val="008351FC"/>
    <w:rsid w:val="0083551F"/>
    <w:rsid w:val="0083584B"/>
    <w:rsid w:val="008358C8"/>
    <w:rsid w:val="00835A70"/>
    <w:rsid w:val="00836F44"/>
    <w:rsid w:val="0083749E"/>
    <w:rsid w:val="00837AE5"/>
    <w:rsid w:val="00837C71"/>
    <w:rsid w:val="0084007B"/>
    <w:rsid w:val="00840590"/>
    <w:rsid w:val="00840800"/>
    <w:rsid w:val="008408B6"/>
    <w:rsid w:val="00840DB8"/>
    <w:rsid w:val="00840E82"/>
    <w:rsid w:val="008410E3"/>
    <w:rsid w:val="008412CF"/>
    <w:rsid w:val="0084176F"/>
    <w:rsid w:val="00841AE1"/>
    <w:rsid w:val="0084292F"/>
    <w:rsid w:val="00842CCC"/>
    <w:rsid w:val="00843026"/>
    <w:rsid w:val="0084304D"/>
    <w:rsid w:val="00843106"/>
    <w:rsid w:val="008436C6"/>
    <w:rsid w:val="00843710"/>
    <w:rsid w:val="0084434A"/>
    <w:rsid w:val="0084443E"/>
    <w:rsid w:val="00844ABB"/>
    <w:rsid w:val="00844C49"/>
    <w:rsid w:val="00844E5F"/>
    <w:rsid w:val="00844FE1"/>
    <w:rsid w:val="00845172"/>
    <w:rsid w:val="008452D3"/>
    <w:rsid w:val="00845832"/>
    <w:rsid w:val="00845EA5"/>
    <w:rsid w:val="008463DA"/>
    <w:rsid w:val="00846CAB"/>
    <w:rsid w:val="00846EE2"/>
    <w:rsid w:val="0084724B"/>
    <w:rsid w:val="0084748A"/>
    <w:rsid w:val="008475B6"/>
    <w:rsid w:val="008475B8"/>
    <w:rsid w:val="0084767C"/>
    <w:rsid w:val="00847CB1"/>
    <w:rsid w:val="00847FF8"/>
    <w:rsid w:val="00850666"/>
    <w:rsid w:val="008506FE"/>
    <w:rsid w:val="008508DA"/>
    <w:rsid w:val="00850BD1"/>
    <w:rsid w:val="00850DAF"/>
    <w:rsid w:val="0085105F"/>
    <w:rsid w:val="00851C51"/>
    <w:rsid w:val="0085317D"/>
    <w:rsid w:val="008533BA"/>
    <w:rsid w:val="00853978"/>
    <w:rsid w:val="00854701"/>
    <w:rsid w:val="00854904"/>
    <w:rsid w:val="00854973"/>
    <w:rsid w:val="00856853"/>
    <w:rsid w:val="008571F9"/>
    <w:rsid w:val="00860F46"/>
    <w:rsid w:val="00862540"/>
    <w:rsid w:val="00862A9B"/>
    <w:rsid w:val="00862CA4"/>
    <w:rsid w:val="00862E4E"/>
    <w:rsid w:val="008633DE"/>
    <w:rsid w:val="00863786"/>
    <w:rsid w:val="0086379A"/>
    <w:rsid w:val="00863D20"/>
    <w:rsid w:val="00863E6A"/>
    <w:rsid w:val="0086433A"/>
    <w:rsid w:val="008649BC"/>
    <w:rsid w:val="0086634B"/>
    <w:rsid w:val="0086683C"/>
    <w:rsid w:val="00866ECC"/>
    <w:rsid w:val="0086786A"/>
    <w:rsid w:val="008679EE"/>
    <w:rsid w:val="00867CAB"/>
    <w:rsid w:val="008702FF"/>
    <w:rsid w:val="00870877"/>
    <w:rsid w:val="00870C60"/>
    <w:rsid w:val="00871014"/>
    <w:rsid w:val="0087189C"/>
    <w:rsid w:val="00871E15"/>
    <w:rsid w:val="00872EF5"/>
    <w:rsid w:val="00873080"/>
    <w:rsid w:val="00873907"/>
    <w:rsid w:val="008747A1"/>
    <w:rsid w:val="008749F9"/>
    <w:rsid w:val="0087558B"/>
    <w:rsid w:val="00876B61"/>
    <w:rsid w:val="00876E7C"/>
    <w:rsid w:val="00877C56"/>
    <w:rsid w:val="00877DDB"/>
    <w:rsid w:val="00880D6D"/>
    <w:rsid w:val="00880DC4"/>
    <w:rsid w:val="00880EAD"/>
    <w:rsid w:val="00880F4E"/>
    <w:rsid w:val="00881292"/>
    <w:rsid w:val="008816BC"/>
    <w:rsid w:val="008817D0"/>
    <w:rsid w:val="00881BB0"/>
    <w:rsid w:val="00881C80"/>
    <w:rsid w:val="008821E5"/>
    <w:rsid w:val="0088228C"/>
    <w:rsid w:val="008826FD"/>
    <w:rsid w:val="00882856"/>
    <w:rsid w:val="00882987"/>
    <w:rsid w:val="00882C7E"/>
    <w:rsid w:val="00883639"/>
    <w:rsid w:val="00883B19"/>
    <w:rsid w:val="008845A0"/>
    <w:rsid w:val="00884D6F"/>
    <w:rsid w:val="00885130"/>
    <w:rsid w:val="00885183"/>
    <w:rsid w:val="00885310"/>
    <w:rsid w:val="00885580"/>
    <w:rsid w:val="00885CFB"/>
    <w:rsid w:val="00886344"/>
    <w:rsid w:val="00886618"/>
    <w:rsid w:val="0088721C"/>
    <w:rsid w:val="00887979"/>
    <w:rsid w:val="0089020D"/>
    <w:rsid w:val="008903D7"/>
    <w:rsid w:val="00890F2B"/>
    <w:rsid w:val="0089140E"/>
    <w:rsid w:val="00891D14"/>
    <w:rsid w:val="00891EC4"/>
    <w:rsid w:val="00894D85"/>
    <w:rsid w:val="00895781"/>
    <w:rsid w:val="00895A2B"/>
    <w:rsid w:val="00896079"/>
    <w:rsid w:val="008960C5"/>
    <w:rsid w:val="00896414"/>
    <w:rsid w:val="008970F5"/>
    <w:rsid w:val="0089716E"/>
    <w:rsid w:val="008974D2"/>
    <w:rsid w:val="008975A1"/>
    <w:rsid w:val="00897691"/>
    <w:rsid w:val="00897E86"/>
    <w:rsid w:val="008A06D3"/>
    <w:rsid w:val="008A06D9"/>
    <w:rsid w:val="008A1109"/>
    <w:rsid w:val="008A1DCE"/>
    <w:rsid w:val="008A33EA"/>
    <w:rsid w:val="008A3823"/>
    <w:rsid w:val="008A3FB8"/>
    <w:rsid w:val="008A433D"/>
    <w:rsid w:val="008A4349"/>
    <w:rsid w:val="008A61E5"/>
    <w:rsid w:val="008A75EC"/>
    <w:rsid w:val="008A7A38"/>
    <w:rsid w:val="008A7F95"/>
    <w:rsid w:val="008B04F9"/>
    <w:rsid w:val="008B08B0"/>
    <w:rsid w:val="008B194C"/>
    <w:rsid w:val="008B25CA"/>
    <w:rsid w:val="008B2A93"/>
    <w:rsid w:val="008B3368"/>
    <w:rsid w:val="008B3E0E"/>
    <w:rsid w:val="008B41DA"/>
    <w:rsid w:val="008B47D9"/>
    <w:rsid w:val="008B4C9B"/>
    <w:rsid w:val="008B53E8"/>
    <w:rsid w:val="008B6A3A"/>
    <w:rsid w:val="008B6B4F"/>
    <w:rsid w:val="008B7613"/>
    <w:rsid w:val="008B7E13"/>
    <w:rsid w:val="008C11A0"/>
    <w:rsid w:val="008C1485"/>
    <w:rsid w:val="008C1669"/>
    <w:rsid w:val="008C27C9"/>
    <w:rsid w:val="008C29D0"/>
    <w:rsid w:val="008C3870"/>
    <w:rsid w:val="008C3982"/>
    <w:rsid w:val="008C3DC6"/>
    <w:rsid w:val="008C43A8"/>
    <w:rsid w:val="008C468B"/>
    <w:rsid w:val="008C4F09"/>
    <w:rsid w:val="008C4F60"/>
    <w:rsid w:val="008C5025"/>
    <w:rsid w:val="008C5BA9"/>
    <w:rsid w:val="008C670E"/>
    <w:rsid w:val="008C6848"/>
    <w:rsid w:val="008C6B50"/>
    <w:rsid w:val="008C7019"/>
    <w:rsid w:val="008C75FF"/>
    <w:rsid w:val="008C786B"/>
    <w:rsid w:val="008C7D31"/>
    <w:rsid w:val="008C7E64"/>
    <w:rsid w:val="008D0D5B"/>
    <w:rsid w:val="008D1095"/>
    <w:rsid w:val="008D11CC"/>
    <w:rsid w:val="008D1549"/>
    <w:rsid w:val="008D1B06"/>
    <w:rsid w:val="008D2512"/>
    <w:rsid w:val="008D2E1B"/>
    <w:rsid w:val="008D3202"/>
    <w:rsid w:val="008D33A8"/>
    <w:rsid w:val="008D455F"/>
    <w:rsid w:val="008D505E"/>
    <w:rsid w:val="008D5660"/>
    <w:rsid w:val="008D5C28"/>
    <w:rsid w:val="008D621F"/>
    <w:rsid w:val="008D698D"/>
    <w:rsid w:val="008D6F19"/>
    <w:rsid w:val="008D74F0"/>
    <w:rsid w:val="008D753E"/>
    <w:rsid w:val="008D77B7"/>
    <w:rsid w:val="008D7819"/>
    <w:rsid w:val="008D7A86"/>
    <w:rsid w:val="008D7E16"/>
    <w:rsid w:val="008E0BF7"/>
    <w:rsid w:val="008E11B5"/>
    <w:rsid w:val="008E1C96"/>
    <w:rsid w:val="008E2165"/>
    <w:rsid w:val="008E2755"/>
    <w:rsid w:val="008E2A30"/>
    <w:rsid w:val="008E34F6"/>
    <w:rsid w:val="008E3BD5"/>
    <w:rsid w:val="008E46A5"/>
    <w:rsid w:val="008E558B"/>
    <w:rsid w:val="008E55F2"/>
    <w:rsid w:val="008E5685"/>
    <w:rsid w:val="008E6626"/>
    <w:rsid w:val="008E6690"/>
    <w:rsid w:val="008E6DC4"/>
    <w:rsid w:val="008E7B4E"/>
    <w:rsid w:val="008F095D"/>
    <w:rsid w:val="008F0A15"/>
    <w:rsid w:val="008F0D18"/>
    <w:rsid w:val="008F0F75"/>
    <w:rsid w:val="008F1740"/>
    <w:rsid w:val="008F1F6E"/>
    <w:rsid w:val="008F2E69"/>
    <w:rsid w:val="008F3477"/>
    <w:rsid w:val="008F38C5"/>
    <w:rsid w:val="008F4168"/>
    <w:rsid w:val="008F46B7"/>
    <w:rsid w:val="008F4700"/>
    <w:rsid w:val="008F4D5F"/>
    <w:rsid w:val="008F5368"/>
    <w:rsid w:val="008F57AE"/>
    <w:rsid w:val="008F57E4"/>
    <w:rsid w:val="008F594E"/>
    <w:rsid w:val="008F6BC9"/>
    <w:rsid w:val="008F6F3E"/>
    <w:rsid w:val="008F782A"/>
    <w:rsid w:val="008F7A5E"/>
    <w:rsid w:val="009007C4"/>
    <w:rsid w:val="00900C39"/>
    <w:rsid w:val="0090151F"/>
    <w:rsid w:val="009016FE"/>
    <w:rsid w:val="00902640"/>
    <w:rsid w:val="00902C94"/>
    <w:rsid w:val="0090317F"/>
    <w:rsid w:val="009039F4"/>
    <w:rsid w:val="00903FB7"/>
    <w:rsid w:val="009042D1"/>
    <w:rsid w:val="009044AA"/>
    <w:rsid w:val="009044EA"/>
    <w:rsid w:val="00904B33"/>
    <w:rsid w:val="00906804"/>
    <w:rsid w:val="009068CA"/>
    <w:rsid w:val="00906975"/>
    <w:rsid w:val="00906BFC"/>
    <w:rsid w:val="00907818"/>
    <w:rsid w:val="009108FC"/>
    <w:rsid w:val="00910911"/>
    <w:rsid w:val="0091096E"/>
    <w:rsid w:val="009127D9"/>
    <w:rsid w:val="00912CFE"/>
    <w:rsid w:val="00912DDD"/>
    <w:rsid w:val="00913170"/>
    <w:rsid w:val="009137DC"/>
    <w:rsid w:val="00913BBA"/>
    <w:rsid w:val="009145FA"/>
    <w:rsid w:val="00914FDE"/>
    <w:rsid w:val="0091601A"/>
    <w:rsid w:val="00916602"/>
    <w:rsid w:val="009177E6"/>
    <w:rsid w:val="00917C10"/>
    <w:rsid w:val="009206B8"/>
    <w:rsid w:val="00920CFC"/>
    <w:rsid w:val="00920D4C"/>
    <w:rsid w:val="00920E47"/>
    <w:rsid w:val="00920EF6"/>
    <w:rsid w:val="0092123E"/>
    <w:rsid w:val="009215AD"/>
    <w:rsid w:val="00922A6F"/>
    <w:rsid w:val="00922A73"/>
    <w:rsid w:val="00922C2F"/>
    <w:rsid w:val="0092314D"/>
    <w:rsid w:val="0092373C"/>
    <w:rsid w:val="00923BD5"/>
    <w:rsid w:val="0092410C"/>
    <w:rsid w:val="00924267"/>
    <w:rsid w:val="00924849"/>
    <w:rsid w:val="00924870"/>
    <w:rsid w:val="00924ADE"/>
    <w:rsid w:val="009251E7"/>
    <w:rsid w:val="00925871"/>
    <w:rsid w:val="00925B26"/>
    <w:rsid w:val="00925C46"/>
    <w:rsid w:val="0092645A"/>
    <w:rsid w:val="009270A4"/>
    <w:rsid w:val="00927518"/>
    <w:rsid w:val="00930741"/>
    <w:rsid w:val="009312A6"/>
    <w:rsid w:val="00931704"/>
    <w:rsid w:val="009318E9"/>
    <w:rsid w:val="00933037"/>
    <w:rsid w:val="009330EF"/>
    <w:rsid w:val="00933262"/>
    <w:rsid w:val="0093465C"/>
    <w:rsid w:val="00934986"/>
    <w:rsid w:val="009354DB"/>
    <w:rsid w:val="009364B1"/>
    <w:rsid w:val="00936C05"/>
    <w:rsid w:val="00937DB7"/>
    <w:rsid w:val="009406BF"/>
    <w:rsid w:val="0094086A"/>
    <w:rsid w:val="00940AB4"/>
    <w:rsid w:val="0094145A"/>
    <w:rsid w:val="0094166C"/>
    <w:rsid w:val="009419E1"/>
    <w:rsid w:val="00941B42"/>
    <w:rsid w:val="0094226D"/>
    <w:rsid w:val="009425B7"/>
    <w:rsid w:val="009433FA"/>
    <w:rsid w:val="009434F3"/>
    <w:rsid w:val="009445DB"/>
    <w:rsid w:val="00944D06"/>
    <w:rsid w:val="00944E25"/>
    <w:rsid w:val="0094526E"/>
    <w:rsid w:val="009453D5"/>
    <w:rsid w:val="00945FCB"/>
    <w:rsid w:val="00946D6F"/>
    <w:rsid w:val="0094713E"/>
    <w:rsid w:val="009472BD"/>
    <w:rsid w:val="00950BD5"/>
    <w:rsid w:val="0095154F"/>
    <w:rsid w:val="009539D0"/>
    <w:rsid w:val="009540DF"/>
    <w:rsid w:val="00954530"/>
    <w:rsid w:val="00954B98"/>
    <w:rsid w:val="00954C07"/>
    <w:rsid w:val="00954FD6"/>
    <w:rsid w:val="00955025"/>
    <w:rsid w:val="009551ED"/>
    <w:rsid w:val="00955483"/>
    <w:rsid w:val="0095642D"/>
    <w:rsid w:val="00956CD7"/>
    <w:rsid w:val="009570F1"/>
    <w:rsid w:val="00957718"/>
    <w:rsid w:val="00957872"/>
    <w:rsid w:val="00957B95"/>
    <w:rsid w:val="00957C31"/>
    <w:rsid w:val="00957CFA"/>
    <w:rsid w:val="00960131"/>
    <w:rsid w:val="009604F6"/>
    <w:rsid w:val="009608CD"/>
    <w:rsid w:val="00960D13"/>
    <w:rsid w:val="00961A35"/>
    <w:rsid w:val="00962683"/>
    <w:rsid w:val="00963003"/>
    <w:rsid w:val="009636EE"/>
    <w:rsid w:val="00963966"/>
    <w:rsid w:val="00963B45"/>
    <w:rsid w:val="00965A9A"/>
    <w:rsid w:val="00966102"/>
    <w:rsid w:val="00966B19"/>
    <w:rsid w:val="00966C3D"/>
    <w:rsid w:val="00966E2F"/>
    <w:rsid w:val="00967509"/>
    <w:rsid w:val="009677F8"/>
    <w:rsid w:val="00967ECB"/>
    <w:rsid w:val="009701BB"/>
    <w:rsid w:val="00970A1B"/>
    <w:rsid w:val="00970DB1"/>
    <w:rsid w:val="00970F7A"/>
    <w:rsid w:val="0097101E"/>
    <w:rsid w:val="0097186B"/>
    <w:rsid w:val="00971A04"/>
    <w:rsid w:val="009720E0"/>
    <w:rsid w:val="00972D13"/>
    <w:rsid w:val="00973712"/>
    <w:rsid w:val="00973B9F"/>
    <w:rsid w:val="00975002"/>
    <w:rsid w:val="00975834"/>
    <w:rsid w:val="009762A8"/>
    <w:rsid w:val="00976305"/>
    <w:rsid w:val="009769FA"/>
    <w:rsid w:val="00976BCB"/>
    <w:rsid w:val="00977CC3"/>
    <w:rsid w:val="00980203"/>
    <w:rsid w:val="00980A65"/>
    <w:rsid w:val="0098127B"/>
    <w:rsid w:val="00981EC3"/>
    <w:rsid w:val="00982607"/>
    <w:rsid w:val="00982CB2"/>
    <w:rsid w:val="00983064"/>
    <w:rsid w:val="009831FD"/>
    <w:rsid w:val="009837A0"/>
    <w:rsid w:val="009839BA"/>
    <w:rsid w:val="00984E57"/>
    <w:rsid w:val="00985BFB"/>
    <w:rsid w:val="0098749D"/>
    <w:rsid w:val="009877A6"/>
    <w:rsid w:val="009879C4"/>
    <w:rsid w:val="009907D2"/>
    <w:rsid w:val="0099105E"/>
    <w:rsid w:val="009913F5"/>
    <w:rsid w:val="0099156E"/>
    <w:rsid w:val="00991982"/>
    <w:rsid w:val="00991E25"/>
    <w:rsid w:val="009920B0"/>
    <w:rsid w:val="00992B8E"/>
    <w:rsid w:val="0099327D"/>
    <w:rsid w:val="00993F38"/>
    <w:rsid w:val="00993F6F"/>
    <w:rsid w:val="00994052"/>
    <w:rsid w:val="009940E3"/>
    <w:rsid w:val="009943E5"/>
    <w:rsid w:val="00994496"/>
    <w:rsid w:val="00994A36"/>
    <w:rsid w:val="00994D45"/>
    <w:rsid w:val="00995357"/>
    <w:rsid w:val="009958D7"/>
    <w:rsid w:val="00995B5A"/>
    <w:rsid w:val="00995C1B"/>
    <w:rsid w:val="00995C70"/>
    <w:rsid w:val="00997203"/>
    <w:rsid w:val="0099759B"/>
    <w:rsid w:val="00997CEB"/>
    <w:rsid w:val="009A0B75"/>
    <w:rsid w:val="009A0DB0"/>
    <w:rsid w:val="009A0ECF"/>
    <w:rsid w:val="009A11A8"/>
    <w:rsid w:val="009A1CA0"/>
    <w:rsid w:val="009A2021"/>
    <w:rsid w:val="009A287C"/>
    <w:rsid w:val="009A28B3"/>
    <w:rsid w:val="009A2CD9"/>
    <w:rsid w:val="009A3834"/>
    <w:rsid w:val="009A3F9F"/>
    <w:rsid w:val="009A4333"/>
    <w:rsid w:val="009A4783"/>
    <w:rsid w:val="009A4B7B"/>
    <w:rsid w:val="009A4FAD"/>
    <w:rsid w:val="009A50BF"/>
    <w:rsid w:val="009A54E1"/>
    <w:rsid w:val="009A6179"/>
    <w:rsid w:val="009A6E4B"/>
    <w:rsid w:val="009A7142"/>
    <w:rsid w:val="009A7C45"/>
    <w:rsid w:val="009B0459"/>
    <w:rsid w:val="009B0712"/>
    <w:rsid w:val="009B093E"/>
    <w:rsid w:val="009B1A84"/>
    <w:rsid w:val="009B2039"/>
    <w:rsid w:val="009B2375"/>
    <w:rsid w:val="009B26E7"/>
    <w:rsid w:val="009B2878"/>
    <w:rsid w:val="009B32DC"/>
    <w:rsid w:val="009B39B3"/>
    <w:rsid w:val="009B43A2"/>
    <w:rsid w:val="009B4A66"/>
    <w:rsid w:val="009B4CB2"/>
    <w:rsid w:val="009B58E7"/>
    <w:rsid w:val="009B5EA4"/>
    <w:rsid w:val="009B61EF"/>
    <w:rsid w:val="009B69E4"/>
    <w:rsid w:val="009C0623"/>
    <w:rsid w:val="009C0EE3"/>
    <w:rsid w:val="009C1542"/>
    <w:rsid w:val="009C1BC9"/>
    <w:rsid w:val="009C33C5"/>
    <w:rsid w:val="009C3E41"/>
    <w:rsid w:val="009C4072"/>
    <w:rsid w:val="009C49D4"/>
    <w:rsid w:val="009C4E19"/>
    <w:rsid w:val="009C4FC1"/>
    <w:rsid w:val="009C53A2"/>
    <w:rsid w:val="009C7196"/>
    <w:rsid w:val="009C72FC"/>
    <w:rsid w:val="009C75D4"/>
    <w:rsid w:val="009C78FC"/>
    <w:rsid w:val="009C7ABA"/>
    <w:rsid w:val="009D0AD3"/>
    <w:rsid w:val="009D0E1E"/>
    <w:rsid w:val="009D11CC"/>
    <w:rsid w:val="009D1307"/>
    <w:rsid w:val="009D192A"/>
    <w:rsid w:val="009D2609"/>
    <w:rsid w:val="009D2EA6"/>
    <w:rsid w:val="009D3271"/>
    <w:rsid w:val="009D3D6D"/>
    <w:rsid w:val="009D42F6"/>
    <w:rsid w:val="009D4780"/>
    <w:rsid w:val="009D4CC6"/>
    <w:rsid w:val="009D4F0E"/>
    <w:rsid w:val="009D4FFA"/>
    <w:rsid w:val="009D507A"/>
    <w:rsid w:val="009D566A"/>
    <w:rsid w:val="009D56C3"/>
    <w:rsid w:val="009D57CA"/>
    <w:rsid w:val="009D5C89"/>
    <w:rsid w:val="009D641B"/>
    <w:rsid w:val="009D69A2"/>
    <w:rsid w:val="009D69EE"/>
    <w:rsid w:val="009E08C9"/>
    <w:rsid w:val="009E1572"/>
    <w:rsid w:val="009E19AC"/>
    <w:rsid w:val="009E2021"/>
    <w:rsid w:val="009E20E8"/>
    <w:rsid w:val="009E2563"/>
    <w:rsid w:val="009E2572"/>
    <w:rsid w:val="009E26DA"/>
    <w:rsid w:val="009E2FA7"/>
    <w:rsid w:val="009E3660"/>
    <w:rsid w:val="009E36C0"/>
    <w:rsid w:val="009E37E7"/>
    <w:rsid w:val="009E4560"/>
    <w:rsid w:val="009E4FE9"/>
    <w:rsid w:val="009E52E5"/>
    <w:rsid w:val="009E5606"/>
    <w:rsid w:val="009E6067"/>
    <w:rsid w:val="009E60B6"/>
    <w:rsid w:val="009E64AD"/>
    <w:rsid w:val="009E6724"/>
    <w:rsid w:val="009E72A0"/>
    <w:rsid w:val="009F07C0"/>
    <w:rsid w:val="009F0987"/>
    <w:rsid w:val="009F0B31"/>
    <w:rsid w:val="009F0EF7"/>
    <w:rsid w:val="009F118E"/>
    <w:rsid w:val="009F13E2"/>
    <w:rsid w:val="009F2242"/>
    <w:rsid w:val="009F23DB"/>
    <w:rsid w:val="009F3BBC"/>
    <w:rsid w:val="009F3BC9"/>
    <w:rsid w:val="009F3E05"/>
    <w:rsid w:val="009F5DB6"/>
    <w:rsid w:val="009F629F"/>
    <w:rsid w:val="009F65FC"/>
    <w:rsid w:val="009F6AA3"/>
    <w:rsid w:val="009F76BF"/>
    <w:rsid w:val="009F770C"/>
    <w:rsid w:val="009F792D"/>
    <w:rsid w:val="009F7D8F"/>
    <w:rsid w:val="009F7F5F"/>
    <w:rsid w:val="00A00454"/>
    <w:rsid w:val="00A008A8"/>
    <w:rsid w:val="00A00B7C"/>
    <w:rsid w:val="00A019EB"/>
    <w:rsid w:val="00A01AC3"/>
    <w:rsid w:val="00A02935"/>
    <w:rsid w:val="00A03279"/>
    <w:rsid w:val="00A03A9B"/>
    <w:rsid w:val="00A04057"/>
    <w:rsid w:val="00A040EC"/>
    <w:rsid w:val="00A04358"/>
    <w:rsid w:val="00A04379"/>
    <w:rsid w:val="00A0449C"/>
    <w:rsid w:val="00A05342"/>
    <w:rsid w:val="00A057D9"/>
    <w:rsid w:val="00A058E3"/>
    <w:rsid w:val="00A05B6B"/>
    <w:rsid w:val="00A0635D"/>
    <w:rsid w:val="00A06368"/>
    <w:rsid w:val="00A06D1C"/>
    <w:rsid w:val="00A072AA"/>
    <w:rsid w:val="00A07583"/>
    <w:rsid w:val="00A079CE"/>
    <w:rsid w:val="00A07CFB"/>
    <w:rsid w:val="00A1021E"/>
    <w:rsid w:val="00A10DA5"/>
    <w:rsid w:val="00A11346"/>
    <w:rsid w:val="00A114EB"/>
    <w:rsid w:val="00A11D87"/>
    <w:rsid w:val="00A11DAB"/>
    <w:rsid w:val="00A12507"/>
    <w:rsid w:val="00A13B82"/>
    <w:rsid w:val="00A14044"/>
    <w:rsid w:val="00A143C6"/>
    <w:rsid w:val="00A1470C"/>
    <w:rsid w:val="00A14D94"/>
    <w:rsid w:val="00A14EC4"/>
    <w:rsid w:val="00A15299"/>
    <w:rsid w:val="00A15638"/>
    <w:rsid w:val="00A16050"/>
    <w:rsid w:val="00A165C4"/>
    <w:rsid w:val="00A16D58"/>
    <w:rsid w:val="00A178CA"/>
    <w:rsid w:val="00A17C17"/>
    <w:rsid w:val="00A202B2"/>
    <w:rsid w:val="00A2065D"/>
    <w:rsid w:val="00A20AB0"/>
    <w:rsid w:val="00A20ED4"/>
    <w:rsid w:val="00A21435"/>
    <w:rsid w:val="00A21E2E"/>
    <w:rsid w:val="00A222A7"/>
    <w:rsid w:val="00A227DA"/>
    <w:rsid w:val="00A22E56"/>
    <w:rsid w:val="00A23984"/>
    <w:rsid w:val="00A2436F"/>
    <w:rsid w:val="00A24506"/>
    <w:rsid w:val="00A24762"/>
    <w:rsid w:val="00A24884"/>
    <w:rsid w:val="00A25046"/>
    <w:rsid w:val="00A25342"/>
    <w:rsid w:val="00A253F6"/>
    <w:rsid w:val="00A25618"/>
    <w:rsid w:val="00A26101"/>
    <w:rsid w:val="00A26C03"/>
    <w:rsid w:val="00A26F2E"/>
    <w:rsid w:val="00A27D4A"/>
    <w:rsid w:val="00A30469"/>
    <w:rsid w:val="00A30810"/>
    <w:rsid w:val="00A30AD7"/>
    <w:rsid w:val="00A323A4"/>
    <w:rsid w:val="00A32645"/>
    <w:rsid w:val="00A33565"/>
    <w:rsid w:val="00A3369A"/>
    <w:rsid w:val="00A339C3"/>
    <w:rsid w:val="00A33CEA"/>
    <w:rsid w:val="00A34380"/>
    <w:rsid w:val="00A344B7"/>
    <w:rsid w:val="00A34A05"/>
    <w:rsid w:val="00A350F6"/>
    <w:rsid w:val="00A36267"/>
    <w:rsid w:val="00A36B45"/>
    <w:rsid w:val="00A36BF0"/>
    <w:rsid w:val="00A37252"/>
    <w:rsid w:val="00A37C94"/>
    <w:rsid w:val="00A405AB"/>
    <w:rsid w:val="00A40D1C"/>
    <w:rsid w:val="00A40D5F"/>
    <w:rsid w:val="00A40D70"/>
    <w:rsid w:val="00A40D89"/>
    <w:rsid w:val="00A40F3A"/>
    <w:rsid w:val="00A4152F"/>
    <w:rsid w:val="00A415BA"/>
    <w:rsid w:val="00A41A0C"/>
    <w:rsid w:val="00A423DD"/>
    <w:rsid w:val="00A42487"/>
    <w:rsid w:val="00A428E9"/>
    <w:rsid w:val="00A43B57"/>
    <w:rsid w:val="00A4429D"/>
    <w:rsid w:val="00A4472D"/>
    <w:rsid w:val="00A44CA9"/>
    <w:rsid w:val="00A4589B"/>
    <w:rsid w:val="00A460FD"/>
    <w:rsid w:val="00A46866"/>
    <w:rsid w:val="00A470FE"/>
    <w:rsid w:val="00A479AD"/>
    <w:rsid w:val="00A47BDA"/>
    <w:rsid w:val="00A47C1E"/>
    <w:rsid w:val="00A5063F"/>
    <w:rsid w:val="00A51421"/>
    <w:rsid w:val="00A51DCD"/>
    <w:rsid w:val="00A528E8"/>
    <w:rsid w:val="00A52E07"/>
    <w:rsid w:val="00A53F1B"/>
    <w:rsid w:val="00A54000"/>
    <w:rsid w:val="00A559CE"/>
    <w:rsid w:val="00A55E15"/>
    <w:rsid w:val="00A56160"/>
    <w:rsid w:val="00A56592"/>
    <w:rsid w:val="00A5697C"/>
    <w:rsid w:val="00A570C1"/>
    <w:rsid w:val="00A575A5"/>
    <w:rsid w:val="00A57C6B"/>
    <w:rsid w:val="00A606A1"/>
    <w:rsid w:val="00A607F9"/>
    <w:rsid w:val="00A60BC8"/>
    <w:rsid w:val="00A60D87"/>
    <w:rsid w:val="00A60E65"/>
    <w:rsid w:val="00A61163"/>
    <w:rsid w:val="00A61727"/>
    <w:rsid w:val="00A62FD7"/>
    <w:rsid w:val="00A63255"/>
    <w:rsid w:val="00A63555"/>
    <w:rsid w:val="00A648E1"/>
    <w:rsid w:val="00A64E95"/>
    <w:rsid w:val="00A661EB"/>
    <w:rsid w:val="00A664D7"/>
    <w:rsid w:val="00A665AE"/>
    <w:rsid w:val="00A668C3"/>
    <w:rsid w:val="00A66E0D"/>
    <w:rsid w:val="00A66FA0"/>
    <w:rsid w:val="00A67A29"/>
    <w:rsid w:val="00A7003D"/>
    <w:rsid w:val="00A705EC"/>
    <w:rsid w:val="00A70C0A"/>
    <w:rsid w:val="00A71452"/>
    <w:rsid w:val="00A71F0A"/>
    <w:rsid w:val="00A724D4"/>
    <w:rsid w:val="00A725CF"/>
    <w:rsid w:val="00A738D5"/>
    <w:rsid w:val="00A73ADD"/>
    <w:rsid w:val="00A74267"/>
    <w:rsid w:val="00A74406"/>
    <w:rsid w:val="00A746D3"/>
    <w:rsid w:val="00A74D69"/>
    <w:rsid w:val="00A756B9"/>
    <w:rsid w:val="00A76137"/>
    <w:rsid w:val="00A76346"/>
    <w:rsid w:val="00A769A4"/>
    <w:rsid w:val="00A76A2A"/>
    <w:rsid w:val="00A773E5"/>
    <w:rsid w:val="00A775F8"/>
    <w:rsid w:val="00A7770E"/>
    <w:rsid w:val="00A77D5A"/>
    <w:rsid w:val="00A80C33"/>
    <w:rsid w:val="00A80E2B"/>
    <w:rsid w:val="00A812DF"/>
    <w:rsid w:val="00A8135E"/>
    <w:rsid w:val="00A8178D"/>
    <w:rsid w:val="00A82747"/>
    <w:rsid w:val="00A82EF7"/>
    <w:rsid w:val="00A8323E"/>
    <w:rsid w:val="00A836F6"/>
    <w:rsid w:val="00A83D81"/>
    <w:rsid w:val="00A84223"/>
    <w:rsid w:val="00A846C4"/>
    <w:rsid w:val="00A84CA6"/>
    <w:rsid w:val="00A8587B"/>
    <w:rsid w:val="00A860B7"/>
    <w:rsid w:val="00A86DF0"/>
    <w:rsid w:val="00A86E6C"/>
    <w:rsid w:val="00A878EB"/>
    <w:rsid w:val="00A879A1"/>
    <w:rsid w:val="00A90B95"/>
    <w:rsid w:val="00A914CD"/>
    <w:rsid w:val="00A917B4"/>
    <w:rsid w:val="00A91EA1"/>
    <w:rsid w:val="00A92765"/>
    <w:rsid w:val="00A92BD6"/>
    <w:rsid w:val="00A92E03"/>
    <w:rsid w:val="00A93D37"/>
    <w:rsid w:val="00A94401"/>
    <w:rsid w:val="00A9482E"/>
    <w:rsid w:val="00A94854"/>
    <w:rsid w:val="00A96851"/>
    <w:rsid w:val="00A96C8F"/>
    <w:rsid w:val="00A96E31"/>
    <w:rsid w:val="00AA058E"/>
    <w:rsid w:val="00AA0BD8"/>
    <w:rsid w:val="00AA1C65"/>
    <w:rsid w:val="00AA2387"/>
    <w:rsid w:val="00AA3392"/>
    <w:rsid w:val="00AA468F"/>
    <w:rsid w:val="00AA5684"/>
    <w:rsid w:val="00AA579E"/>
    <w:rsid w:val="00AA59D3"/>
    <w:rsid w:val="00AA61E3"/>
    <w:rsid w:val="00AA693E"/>
    <w:rsid w:val="00AA6B0A"/>
    <w:rsid w:val="00AA73E7"/>
    <w:rsid w:val="00AA7E3C"/>
    <w:rsid w:val="00AA7F12"/>
    <w:rsid w:val="00AB1DB8"/>
    <w:rsid w:val="00AB2354"/>
    <w:rsid w:val="00AB2541"/>
    <w:rsid w:val="00AB2FAA"/>
    <w:rsid w:val="00AB3A96"/>
    <w:rsid w:val="00AB3B8F"/>
    <w:rsid w:val="00AB4A9C"/>
    <w:rsid w:val="00AB4DE4"/>
    <w:rsid w:val="00AB50D7"/>
    <w:rsid w:val="00AB52FE"/>
    <w:rsid w:val="00AB586D"/>
    <w:rsid w:val="00AB6ADA"/>
    <w:rsid w:val="00AB6C23"/>
    <w:rsid w:val="00AB6CA9"/>
    <w:rsid w:val="00AB7127"/>
    <w:rsid w:val="00AB7440"/>
    <w:rsid w:val="00AB765B"/>
    <w:rsid w:val="00AB77A6"/>
    <w:rsid w:val="00AB7986"/>
    <w:rsid w:val="00AB79A0"/>
    <w:rsid w:val="00AC0ABB"/>
    <w:rsid w:val="00AC0FE3"/>
    <w:rsid w:val="00AC11BC"/>
    <w:rsid w:val="00AC18D4"/>
    <w:rsid w:val="00AC1BBB"/>
    <w:rsid w:val="00AC1BC9"/>
    <w:rsid w:val="00AC21ED"/>
    <w:rsid w:val="00AC29C9"/>
    <w:rsid w:val="00AC2C50"/>
    <w:rsid w:val="00AC2E40"/>
    <w:rsid w:val="00AC32F9"/>
    <w:rsid w:val="00AC33F2"/>
    <w:rsid w:val="00AC3493"/>
    <w:rsid w:val="00AC4998"/>
    <w:rsid w:val="00AC4CE3"/>
    <w:rsid w:val="00AC544C"/>
    <w:rsid w:val="00AC5BE4"/>
    <w:rsid w:val="00AC70AD"/>
    <w:rsid w:val="00AC7BD6"/>
    <w:rsid w:val="00AD0DB1"/>
    <w:rsid w:val="00AD10F5"/>
    <w:rsid w:val="00AD16C9"/>
    <w:rsid w:val="00AD19B1"/>
    <w:rsid w:val="00AD2180"/>
    <w:rsid w:val="00AD2CE5"/>
    <w:rsid w:val="00AD2E8B"/>
    <w:rsid w:val="00AD35B0"/>
    <w:rsid w:val="00AD3A98"/>
    <w:rsid w:val="00AD3B08"/>
    <w:rsid w:val="00AD47F8"/>
    <w:rsid w:val="00AD4F9F"/>
    <w:rsid w:val="00AD54BA"/>
    <w:rsid w:val="00AD5840"/>
    <w:rsid w:val="00AD58C5"/>
    <w:rsid w:val="00AD59C2"/>
    <w:rsid w:val="00AD5D24"/>
    <w:rsid w:val="00AD627B"/>
    <w:rsid w:val="00AD63B3"/>
    <w:rsid w:val="00AE012B"/>
    <w:rsid w:val="00AE03BD"/>
    <w:rsid w:val="00AE0FB0"/>
    <w:rsid w:val="00AE1133"/>
    <w:rsid w:val="00AE1149"/>
    <w:rsid w:val="00AE1D0A"/>
    <w:rsid w:val="00AE1EF6"/>
    <w:rsid w:val="00AE23C6"/>
    <w:rsid w:val="00AE2DEE"/>
    <w:rsid w:val="00AE3733"/>
    <w:rsid w:val="00AE3B12"/>
    <w:rsid w:val="00AE3BF0"/>
    <w:rsid w:val="00AE3D3A"/>
    <w:rsid w:val="00AE404B"/>
    <w:rsid w:val="00AE46F3"/>
    <w:rsid w:val="00AE5578"/>
    <w:rsid w:val="00AE5C0A"/>
    <w:rsid w:val="00AE7052"/>
    <w:rsid w:val="00AE72A2"/>
    <w:rsid w:val="00AE7905"/>
    <w:rsid w:val="00AE7B52"/>
    <w:rsid w:val="00AE7E55"/>
    <w:rsid w:val="00AE7F35"/>
    <w:rsid w:val="00AF04BE"/>
    <w:rsid w:val="00AF0A22"/>
    <w:rsid w:val="00AF13CE"/>
    <w:rsid w:val="00AF1EBE"/>
    <w:rsid w:val="00AF25ED"/>
    <w:rsid w:val="00AF28D2"/>
    <w:rsid w:val="00AF348C"/>
    <w:rsid w:val="00AF3C17"/>
    <w:rsid w:val="00AF3E64"/>
    <w:rsid w:val="00AF50D4"/>
    <w:rsid w:val="00AF553A"/>
    <w:rsid w:val="00AF555D"/>
    <w:rsid w:val="00AF5ADD"/>
    <w:rsid w:val="00AF65A0"/>
    <w:rsid w:val="00AF666C"/>
    <w:rsid w:val="00AF6E72"/>
    <w:rsid w:val="00AF79E1"/>
    <w:rsid w:val="00AF7A76"/>
    <w:rsid w:val="00B00904"/>
    <w:rsid w:val="00B00C1C"/>
    <w:rsid w:val="00B00C22"/>
    <w:rsid w:val="00B00E71"/>
    <w:rsid w:val="00B01355"/>
    <w:rsid w:val="00B028E7"/>
    <w:rsid w:val="00B036B5"/>
    <w:rsid w:val="00B03D5B"/>
    <w:rsid w:val="00B04269"/>
    <w:rsid w:val="00B04F4D"/>
    <w:rsid w:val="00B05573"/>
    <w:rsid w:val="00B059CE"/>
    <w:rsid w:val="00B05E0F"/>
    <w:rsid w:val="00B062A0"/>
    <w:rsid w:val="00B06436"/>
    <w:rsid w:val="00B06DE4"/>
    <w:rsid w:val="00B07DA6"/>
    <w:rsid w:val="00B12512"/>
    <w:rsid w:val="00B126F3"/>
    <w:rsid w:val="00B132CB"/>
    <w:rsid w:val="00B1399B"/>
    <w:rsid w:val="00B13F41"/>
    <w:rsid w:val="00B144A3"/>
    <w:rsid w:val="00B15CEB"/>
    <w:rsid w:val="00B163D5"/>
    <w:rsid w:val="00B165D1"/>
    <w:rsid w:val="00B1671A"/>
    <w:rsid w:val="00B167A4"/>
    <w:rsid w:val="00B17E85"/>
    <w:rsid w:val="00B17ED9"/>
    <w:rsid w:val="00B204AA"/>
    <w:rsid w:val="00B20B15"/>
    <w:rsid w:val="00B20BBA"/>
    <w:rsid w:val="00B20BD3"/>
    <w:rsid w:val="00B20D8F"/>
    <w:rsid w:val="00B22A8A"/>
    <w:rsid w:val="00B23944"/>
    <w:rsid w:val="00B23B50"/>
    <w:rsid w:val="00B2424C"/>
    <w:rsid w:val="00B24593"/>
    <w:rsid w:val="00B255B1"/>
    <w:rsid w:val="00B25ECF"/>
    <w:rsid w:val="00B264D2"/>
    <w:rsid w:val="00B26B1D"/>
    <w:rsid w:val="00B26B6D"/>
    <w:rsid w:val="00B277FB"/>
    <w:rsid w:val="00B27CA2"/>
    <w:rsid w:val="00B27DCF"/>
    <w:rsid w:val="00B27E18"/>
    <w:rsid w:val="00B30807"/>
    <w:rsid w:val="00B311CA"/>
    <w:rsid w:val="00B31592"/>
    <w:rsid w:val="00B31EDD"/>
    <w:rsid w:val="00B324A6"/>
    <w:rsid w:val="00B32701"/>
    <w:rsid w:val="00B32A41"/>
    <w:rsid w:val="00B32AE3"/>
    <w:rsid w:val="00B33071"/>
    <w:rsid w:val="00B33955"/>
    <w:rsid w:val="00B33C09"/>
    <w:rsid w:val="00B3432F"/>
    <w:rsid w:val="00B3465B"/>
    <w:rsid w:val="00B34B25"/>
    <w:rsid w:val="00B34B72"/>
    <w:rsid w:val="00B34B9E"/>
    <w:rsid w:val="00B35943"/>
    <w:rsid w:val="00B35F60"/>
    <w:rsid w:val="00B3677D"/>
    <w:rsid w:val="00B36B9C"/>
    <w:rsid w:val="00B36CED"/>
    <w:rsid w:val="00B36E9F"/>
    <w:rsid w:val="00B3726D"/>
    <w:rsid w:val="00B37692"/>
    <w:rsid w:val="00B37ECA"/>
    <w:rsid w:val="00B404C2"/>
    <w:rsid w:val="00B4052D"/>
    <w:rsid w:val="00B406A1"/>
    <w:rsid w:val="00B406F1"/>
    <w:rsid w:val="00B40AE4"/>
    <w:rsid w:val="00B40FF6"/>
    <w:rsid w:val="00B4104C"/>
    <w:rsid w:val="00B414FA"/>
    <w:rsid w:val="00B41B84"/>
    <w:rsid w:val="00B42079"/>
    <w:rsid w:val="00B426F3"/>
    <w:rsid w:val="00B43647"/>
    <w:rsid w:val="00B439D6"/>
    <w:rsid w:val="00B43FE7"/>
    <w:rsid w:val="00B44090"/>
    <w:rsid w:val="00B44175"/>
    <w:rsid w:val="00B4428B"/>
    <w:rsid w:val="00B444E3"/>
    <w:rsid w:val="00B45F65"/>
    <w:rsid w:val="00B4664B"/>
    <w:rsid w:val="00B46793"/>
    <w:rsid w:val="00B468C1"/>
    <w:rsid w:val="00B46B90"/>
    <w:rsid w:val="00B46C4A"/>
    <w:rsid w:val="00B46D08"/>
    <w:rsid w:val="00B477C2"/>
    <w:rsid w:val="00B47AE3"/>
    <w:rsid w:val="00B47D9D"/>
    <w:rsid w:val="00B509FC"/>
    <w:rsid w:val="00B51036"/>
    <w:rsid w:val="00B5161B"/>
    <w:rsid w:val="00B51962"/>
    <w:rsid w:val="00B51F96"/>
    <w:rsid w:val="00B5293B"/>
    <w:rsid w:val="00B52D50"/>
    <w:rsid w:val="00B538AB"/>
    <w:rsid w:val="00B539B0"/>
    <w:rsid w:val="00B53C81"/>
    <w:rsid w:val="00B53E8D"/>
    <w:rsid w:val="00B545EB"/>
    <w:rsid w:val="00B54FA6"/>
    <w:rsid w:val="00B551C8"/>
    <w:rsid w:val="00B55A6C"/>
    <w:rsid w:val="00B569CD"/>
    <w:rsid w:val="00B62472"/>
    <w:rsid w:val="00B6360B"/>
    <w:rsid w:val="00B637AA"/>
    <w:rsid w:val="00B637E2"/>
    <w:rsid w:val="00B641B6"/>
    <w:rsid w:val="00B644AF"/>
    <w:rsid w:val="00B645B7"/>
    <w:rsid w:val="00B6471A"/>
    <w:rsid w:val="00B64E7F"/>
    <w:rsid w:val="00B6598D"/>
    <w:rsid w:val="00B659AC"/>
    <w:rsid w:val="00B65E2A"/>
    <w:rsid w:val="00B660CC"/>
    <w:rsid w:val="00B66452"/>
    <w:rsid w:val="00B66D3C"/>
    <w:rsid w:val="00B67392"/>
    <w:rsid w:val="00B67967"/>
    <w:rsid w:val="00B7119B"/>
    <w:rsid w:val="00B71742"/>
    <w:rsid w:val="00B722C6"/>
    <w:rsid w:val="00B726A0"/>
    <w:rsid w:val="00B72C3A"/>
    <w:rsid w:val="00B72FD3"/>
    <w:rsid w:val="00B73C98"/>
    <w:rsid w:val="00B7435A"/>
    <w:rsid w:val="00B746BF"/>
    <w:rsid w:val="00B75DD8"/>
    <w:rsid w:val="00B768B5"/>
    <w:rsid w:val="00B76997"/>
    <w:rsid w:val="00B76AEE"/>
    <w:rsid w:val="00B77913"/>
    <w:rsid w:val="00B77FED"/>
    <w:rsid w:val="00B80550"/>
    <w:rsid w:val="00B80F2D"/>
    <w:rsid w:val="00B8115B"/>
    <w:rsid w:val="00B811B1"/>
    <w:rsid w:val="00B816FC"/>
    <w:rsid w:val="00B81BC1"/>
    <w:rsid w:val="00B827DF"/>
    <w:rsid w:val="00B82AC8"/>
    <w:rsid w:val="00B82B17"/>
    <w:rsid w:val="00B82EDE"/>
    <w:rsid w:val="00B832C0"/>
    <w:rsid w:val="00B83D0E"/>
    <w:rsid w:val="00B83D83"/>
    <w:rsid w:val="00B849EE"/>
    <w:rsid w:val="00B84E9F"/>
    <w:rsid w:val="00B851D4"/>
    <w:rsid w:val="00B85383"/>
    <w:rsid w:val="00B85B7E"/>
    <w:rsid w:val="00B86CC4"/>
    <w:rsid w:val="00B86EE1"/>
    <w:rsid w:val="00B86F9D"/>
    <w:rsid w:val="00B870BF"/>
    <w:rsid w:val="00B87950"/>
    <w:rsid w:val="00B906E4"/>
    <w:rsid w:val="00B909CA"/>
    <w:rsid w:val="00B90AC6"/>
    <w:rsid w:val="00B90F26"/>
    <w:rsid w:val="00B911DC"/>
    <w:rsid w:val="00B91756"/>
    <w:rsid w:val="00B91DBB"/>
    <w:rsid w:val="00B91FD2"/>
    <w:rsid w:val="00B9221F"/>
    <w:rsid w:val="00B9351E"/>
    <w:rsid w:val="00B93E98"/>
    <w:rsid w:val="00B93F32"/>
    <w:rsid w:val="00B9404E"/>
    <w:rsid w:val="00B940EA"/>
    <w:rsid w:val="00B947CE"/>
    <w:rsid w:val="00B94F9D"/>
    <w:rsid w:val="00B95027"/>
    <w:rsid w:val="00B95396"/>
    <w:rsid w:val="00B95E11"/>
    <w:rsid w:val="00B96223"/>
    <w:rsid w:val="00B96633"/>
    <w:rsid w:val="00B96BB1"/>
    <w:rsid w:val="00B973F7"/>
    <w:rsid w:val="00B975B3"/>
    <w:rsid w:val="00B97701"/>
    <w:rsid w:val="00B97B80"/>
    <w:rsid w:val="00B97D31"/>
    <w:rsid w:val="00B97FDE"/>
    <w:rsid w:val="00BA065C"/>
    <w:rsid w:val="00BA09FA"/>
    <w:rsid w:val="00BA0B0F"/>
    <w:rsid w:val="00BA1098"/>
    <w:rsid w:val="00BA1E5B"/>
    <w:rsid w:val="00BA2E6E"/>
    <w:rsid w:val="00BA318C"/>
    <w:rsid w:val="00BA363A"/>
    <w:rsid w:val="00BA3BD1"/>
    <w:rsid w:val="00BA42F0"/>
    <w:rsid w:val="00BA42FB"/>
    <w:rsid w:val="00BA44DE"/>
    <w:rsid w:val="00BA45CA"/>
    <w:rsid w:val="00BA4F2B"/>
    <w:rsid w:val="00BA52A4"/>
    <w:rsid w:val="00BA557B"/>
    <w:rsid w:val="00BA686A"/>
    <w:rsid w:val="00BA6B10"/>
    <w:rsid w:val="00BA70AC"/>
    <w:rsid w:val="00BA7532"/>
    <w:rsid w:val="00BA7FCD"/>
    <w:rsid w:val="00BB070F"/>
    <w:rsid w:val="00BB08FD"/>
    <w:rsid w:val="00BB1262"/>
    <w:rsid w:val="00BB16D7"/>
    <w:rsid w:val="00BB17E5"/>
    <w:rsid w:val="00BB2F57"/>
    <w:rsid w:val="00BB3052"/>
    <w:rsid w:val="00BB33CE"/>
    <w:rsid w:val="00BB38EE"/>
    <w:rsid w:val="00BB403C"/>
    <w:rsid w:val="00BB47C2"/>
    <w:rsid w:val="00BB4964"/>
    <w:rsid w:val="00BB51A4"/>
    <w:rsid w:val="00BB62EC"/>
    <w:rsid w:val="00BB6670"/>
    <w:rsid w:val="00BB74F7"/>
    <w:rsid w:val="00BB7584"/>
    <w:rsid w:val="00BB7603"/>
    <w:rsid w:val="00BB765B"/>
    <w:rsid w:val="00BB76E4"/>
    <w:rsid w:val="00BC0BE4"/>
    <w:rsid w:val="00BC0BF5"/>
    <w:rsid w:val="00BC15C4"/>
    <w:rsid w:val="00BC1611"/>
    <w:rsid w:val="00BC171D"/>
    <w:rsid w:val="00BC18CC"/>
    <w:rsid w:val="00BC1C2A"/>
    <w:rsid w:val="00BC216F"/>
    <w:rsid w:val="00BC2741"/>
    <w:rsid w:val="00BC3D5E"/>
    <w:rsid w:val="00BC40D3"/>
    <w:rsid w:val="00BC4E99"/>
    <w:rsid w:val="00BC5702"/>
    <w:rsid w:val="00BC5C71"/>
    <w:rsid w:val="00BC6277"/>
    <w:rsid w:val="00BC7036"/>
    <w:rsid w:val="00BC7496"/>
    <w:rsid w:val="00BC796D"/>
    <w:rsid w:val="00BC79D6"/>
    <w:rsid w:val="00BD013A"/>
    <w:rsid w:val="00BD06FA"/>
    <w:rsid w:val="00BD0A9B"/>
    <w:rsid w:val="00BD0DFF"/>
    <w:rsid w:val="00BD11D6"/>
    <w:rsid w:val="00BD153C"/>
    <w:rsid w:val="00BD15CD"/>
    <w:rsid w:val="00BD15CE"/>
    <w:rsid w:val="00BD1B30"/>
    <w:rsid w:val="00BD1EBB"/>
    <w:rsid w:val="00BD2FB1"/>
    <w:rsid w:val="00BD38F3"/>
    <w:rsid w:val="00BD3B23"/>
    <w:rsid w:val="00BD4738"/>
    <w:rsid w:val="00BD4BC7"/>
    <w:rsid w:val="00BD4E58"/>
    <w:rsid w:val="00BD59CE"/>
    <w:rsid w:val="00BD5EE7"/>
    <w:rsid w:val="00BD6784"/>
    <w:rsid w:val="00BD72DA"/>
    <w:rsid w:val="00BD7477"/>
    <w:rsid w:val="00BD7766"/>
    <w:rsid w:val="00BD7D66"/>
    <w:rsid w:val="00BD7E9C"/>
    <w:rsid w:val="00BE02D8"/>
    <w:rsid w:val="00BE09C0"/>
    <w:rsid w:val="00BE185B"/>
    <w:rsid w:val="00BE278B"/>
    <w:rsid w:val="00BE30C5"/>
    <w:rsid w:val="00BE34A8"/>
    <w:rsid w:val="00BE5E27"/>
    <w:rsid w:val="00BE64FD"/>
    <w:rsid w:val="00BE6894"/>
    <w:rsid w:val="00BE7528"/>
    <w:rsid w:val="00BE76B2"/>
    <w:rsid w:val="00BE770E"/>
    <w:rsid w:val="00BE7827"/>
    <w:rsid w:val="00BE7B22"/>
    <w:rsid w:val="00BF03A5"/>
    <w:rsid w:val="00BF0533"/>
    <w:rsid w:val="00BF06BF"/>
    <w:rsid w:val="00BF0C73"/>
    <w:rsid w:val="00BF1144"/>
    <w:rsid w:val="00BF18F9"/>
    <w:rsid w:val="00BF2094"/>
    <w:rsid w:val="00BF2C02"/>
    <w:rsid w:val="00BF347C"/>
    <w:rsid w:val="00BF3C0F"/>
    <w:rsid w:val="00BF3D50"/>
    <w:rsid w:val="00BF508E"/>
    <w:rsid w:val="00BF5B7C"/>
    <w:rsid w:val="00BF5C69"/>
    <w:rsid w:val="00BF5DBE"/>
    <w:rsid w:val="00BF5ECA"/>
    <w:rsid w:val="00BF6435"/>
    <w:rsid w:val="00BF675A"/>
    <w:rsid w:val="00BF6983"/>
    <w:rsid w:val="00BF6E4C"/>
    <w:rsid w:val="00BF7214"/>
    <w:rsid w:val="00BF79A2"/>
    <w:rsid w:val="00C000E6"/>
    <w:rsid w:val="00C0019A"/>
    <w:rsid w:val="00C0040E"/>
    <w:rsid w:val="00C0058E"/>
    <w:rsid w:val="00C0184D"/>
    <w:rsid w:val="00C01BBC"/>
    <w:rsid w:val="00C02CC9"/>
    <w:rsid w:val="00C03221"/>
    <w:rsid w:val="00C03513"/>
    <w:rsid w:val="00C0430B"/>
    <w:rsid w:val="00C04B93"/>
    <w:rsid w:val="00C04C88"/>
    <w:rsid w:val="00C04D78"/>
    <w:rsid w:val="00C05738"/>
    <w:rsid w:val="00C05E16"/>
    <w:rsid w:val="00C064D7"/>
    <w:rsid w:val="00C06565"/>
    <w:rsid w:val="00C06BDF"/>
    <w:rsid w:val="00C06E82"/>
    <w:rsid w:val="00C0737C"/>
    <w:rsid w:val="00C07457"/>
    <w:rsid w:val="00C07657"/>
    <w:rsid w:val="00C076F3"/>
    <w:rsid w:val="00C07937"/>
    <w:rsid w:val="00C07DE4"/>
    <w:rsid w:val="00C10036"/>
    <w:rsid w:val="00C11532"/>
    <w:rsid w:val="00C11C38"/>
    <w:rsid w:val="00C12021"/>
    <w:rsid w:val="00C12097"/>
    <w:rsid w:val="00C121D3"/>
    <w:rsid w:val="00C122B6"/>
    <w:rsid w:val="00C12852"/>
    <w:rsid w:val="00C13690"/>
    <w:rsid w:val="00C13DED"/>
    <w:rsid w:val="00C145B3"/>
    <w:rsid w:val="00C148A5"/>
    <w:rsid w:val="00C14D66"/>
    <w:rsid w:val="00C14D74"/>
    <w:rsid w:val="00C1627D"/>
    <w:rsid w:val="00C164E3"/>
    <w:rsid w:val="00C16580"/>
    <w:rsid w:val="00C16675"/>
    <w:rsid w:val="00C16B38"/>
    <w:rsid w:val="00C16B99"/>
    <w:rsid w:val="00C1747A"/>
    <w:rsid w:val="00C17B08"/>
    <w:rsid w:val="00C208DF"/>
    <w:rsid w:val="00C214B7"/>
    <w:rsid w:val="00C21B13"/>
    <w:rsid w:val="00C226F3"/>
    <w:rsid w:val="00C22F05"/>
    <w:rsid w:val="00C23702"/>
    <w:rsid w:val="00C23DE5"/>
    <w:rsid w:val="00C243BF"/>
    <w:rsid w:val="00C24563"/>
    <w:rsid w:val="00C24744"/>
    <w:rsid w:val="00C25A49"/>
    <w:rsid w:val="00C25EE9"/>
    <w:rsid w:val="00C2662A"/>
    <w:rsid w:val="00C26889"/>
    <w:rsid w:val="00C26BB5"/>
    <w:rsid w:val="00C26CE0"/>
    <w:rsid w:val="00C26D8B"/>
    <w:rsid w:val="00C275EC"/>
    <w:rsid w:val="00C2795C"/>
    <w:rsid w:val="00C3006B"/>
    <w:rsid w:val="00C302D6"/>
    <w:rsid w:val="00C30824"/>
    <w:rsid w:val="00C30887"/>
    <w:rsid w:val="00C30A2B"/>
    <w:rsid w:val="00C3120E"/>
    <w:rsid w:val="00C317C2"/>
    <w:rsid w:val="00C31D54"/>
    <w:rsid w:val="00C322BE"/>
    <w:rsid w:val="00C32841"/>
    <w:rsid w:val="00C333D7"/>
    <w:rsid w:val="00C33762"/>
    <w:rsid w:val="00C33986"/>
    <w:rsid w:val="00C34187"/>
    <w:rsid w:val="00C34872"/>
    <w:rsid w:val="00C348E1"/>
    <w:rsid w:val="00C355FC"/>
    <w:rsid w:val="00C35D4D"/>
    <w:rsid w:val="00C35D84"/>
    <w:rsid w:val="00C3601A"/>
    <w:rsid w:val="00C36023"/>
    <w:rsid w:val="00C36657"/>
    <w:rsid w:val="00C36948"/>
    <w:rsid w:val="00C36B15"/>
    <w:rsid w:val="00C36D90"/>
    <w:rsid w:val="00C37468"/>
    <w:rsid w:val="00C37BAC"/>
    <w:rsid w:val="00C4008F"/>
    <w:rsid w:val="00C4032D"/>
    <w:rsid w:val="00C40C29"/>
    <w:rsid w:val="00C40C35"/>
    <w:rsid w:val="00C40CBA"/>
    <w:rsid w:val="00C40FE8"/>
    <w:rsid w:val="00C417AB"/>
    <w:rsid w:val="00C418EF"/>
    <w:rsid w:val="00C423CE"/>
    <w:rsid w:val="00C42783"/>
    <w:rsid w:val="00C428BC"/>
    <w:rsid w:val="00C42C48"/>
    <w:rsid w:val="00C42DC8"/>
    <w:rsid w:val="00C42F0F"/>
    <w:rsid w:val="00C440B3"/>
    <w:rsid w:val="00C4437B"/>
    <w:rsid w:val="00C443DE"/>
    <w:rsid w:val="00C44667"/>
    <w:rsid w:val="00C45060"/>
    <w:rsid w:val="00C45A94"/>
    <w:rsid w:val="00C45CA7"/>
    <w:rsid w:val="00C45DBA"/>
    <w:rsid w:val="00C4621F"/>
    <w:rsid w:val="00C4657B"/>
    <w:rsid w:val="00C4715D"/>
    <w:rsid w:val="00C5056E"/>
    <w:rsid w:val="00C508E2"/>
    <w:rsid w:val="00C50C4B"/>
    <w:rsid w:val="00C51338"/>
    <w:rsid w:val="00C51509"/>
    <w:rsid w:val="00C51A2E"/>
    <w:rsid w:val="00C51D2D"/>
    <w:rsid w:val="00C520B8"/>
    <w:rsid w:val="00C52754"/>
    <w:rsid w:val="00C5284A"/>
    <w:rsid w:val="00C52AC7"/>
    <w:rsid w:val="00C52F93"/>
    <w:rsid w:val="00C52FD1"/>
    <w:rsid w:val="00C53EE5"/>
    <w:rsid w:val="00C5450B"/>
    <w:rsid w:val="00C54D4C"/>
    <w:rsid w:val="00C54EED"/>
    <w:rsid w:val="00C5526F"/>
    <w:rsid w:val="00C56335"/>
    <w:rsid w:val="00C56451"/>
    <w:rsid w:val="00C56629"/>
    <w:rsid w:val="00C57135"/>
    <w:rsid w:val="00C61B48"/>
    <w:rsid w:val="00C6257F"/>
    <w:rsid w:val="00C62B32"/>
    <w:rsid w:val="00C62D5C"/>
    <w:rsid w:val="00C633FF"/>
    <w:rsid w:val="00C6387F"/>
    <w:rsid w:val="00C63A30"/>
    <w:rsid w:val="00C63CF2"/>
    <w:rsid w:val="00C64019"/>
    <w:rsid w:val="00C64482"/>
    <w:rsid w:val="00C646E2"/>
    <w:rsid w:val="00C64BA4"/>
    <w:rsid w:val="00C65182"/>
    <w:rsid w:val="00C65566"/>
    <w:rsid w:val="00C6560E"/>
    <w:rsid w:val="00C65A2B"/>
    <w:rsid w:val="00C65D77"/>
    <w:rsid w:val="00C65F23"/>
    <w:rsid w:val="00C6618C"/>
    <w:rsid w:val="00C66359"/>
    <w:rsid w:val="00C67069"/>
    <w:rsid w:val="00C675C6"/>
    <w:rsid w:val="00C7006B"/>
    <w:rsid w:val="00C7022F"/>
    <w:rsid w:val="00C70C9B"/>
    <w:rsid w:val="00C70DF4"/>
    <w:rsid w:val="00C71E16"/>
    <w:rsid w:val="00C72FAF"/>
    <w:rsid w:val="00C735F8"/>
    <w:rsid w:val="00C740A5"/>
    <w:rsid w:val="00C749B1"/>
    <w:rsid w:val="00C756ED"/>
    <w:rsid w:val="00C76E2F"/>
    <w:rsid w:val="00C7737E"/>
    <w:rsid w:val="00C774AF"/>
    <w:rsid w:val="00C77BD2"/>
    <w:rsid w:val="00C77D4B"/>
    <w:rsid w:val="00C806E4"/>
    <w:rsid w:val="00C80A3F"/>
    <w:rsid w:val="00C80B40"/>
    <w:rsid w:val="00C80B72"/>
    <w:rsid w:val="00C80F6D"/>
    <w:rsid w:val="00C81814"/>
    <w:rsid w:val="00C82C40"/>
    <w:rsid w:val="00C82F6E"/>
    <w:rsid w:val="00C8395B"/>
    <w:rsid w:val="00C83B95"/>
    <w:rsid w:val="00C83D09"/>
    <w:rsid w:val="00C8412D"/>
    <w:rsid w:val="00C84907"/>
    <w:rsid w:val="00C84A0A"/>
    <w:rsid w:val="00C85332"/>
    <w:rsid w:val="00C8539B"/>
    <w:rsid w:val="00C85718"/>
    <w:rsid w:val="00C860A8"/>
    <w:rsid w:val="00C8620C"/>
    <w:rsid w:val="00C8708D"/>
    <w:rsid w:val="00C8750E"/>
    <w:rsid w:val="00C87893"/>
    <w:rsid w:val="00C87A04"/>
    <w:rsid w:val="00C87C97"/>
    <w:rsid w:val="00C90849"/>
    <w:rsid w:val="00C90B71"/>
    <w:rsid w:val="00C90ED9"/>
    <w:rsid w:val="00C91443"/>
    <w:rsid w:val="00C91D0C"/>
    <w:rsid w:val="00C9236C"/>
    <w:rsid w:val="00C9250E"/>
    <w:rsid w:val="00C92C45"/>
    <w:rsid w:val="00C93294"/>
    <w:rsid w:val="00C9344F"/>
    <w:rsid w:val="00C936DB"/>
    <w:rsid w:val="00C93CFD"/>
    <w:rsid w:val="00C93ED8"/>
    <w:rsid w:val="00C93F3A"/>
    <w:rsid w:val="00C94157"/>
    <w:rsid w:val="00C9436F"/>
    <w:rsid w:val="00C9573F"/>
    <w:rsid w:val="00C96499"/>
    <w:rsid w:val="00C96B88"/>
    <w:rsid w:val="00C97D8F"/>
    <w:rsid w:val="00CA0399"/>
    <w:rsid w:val="00CA0D9B"/>
    <w:rsid w:val="00CA1294"/>
    <w:rsid w:val="00CA1479"/>
    <w:rsid w:val="00CA1BEF"/>
    <w:rsid w:val="00CA47FC"/>
    <w:rsid w:val="00CA502E"/>
    <w:rsid w:val="00CA517E"/>
    <w:rsid w:val="00CA5403"/>
    <w:rsid w:val="00CA659F"/>
    <w:rsid w:val="00CA7618"/>
    <w:rsid w:val="00CA7A9B"/>
    <w:rsid w:val="00CA7BE0"/>
    <w:rsid w:val="00CB05C9"/>
    <w:rsid w:val="00CB141B"/>
    <w:rsid w:val="00CB16D8"/>
    <w:rsid w:val="00CB31F8"/>
    <w:rsid w:val="00CB3482"/>
    <w:rsid w:val="00CB34AE"/>
    <w:rsid w:val="00CB3831"/>
    <w:rsid w:val="00CB3BDB"/>
    <w:rsid w:val="00CB3BFB"/>
    <w:rsid w:val="00CB4896"/>
    <w:rsid w:val="00CB4C4D"/>
    <w:rsid w:val="00CB4D42"/>
    <w:rsid w:val="00CB514F"/>
    <w:rsid w:val="00CB6D6F"/>
    <w:rsid w:val="00CB6ECE"/>
    <w:rsid w:val="00CB7C91"/>
    <w:rsid w:val="00CC0C94"/>
    <w:rsid w:val="00CC13B2"/>
    <w:rsid w:val="00CC176B"/>
    <w:rsid w:val="00CC1B5C"/>
    <w:rsid w:val="00CC1C17"/>
    <w:rsid w:val="00CC21FE"/>
    <w:rsid w:val="00CC29A4"/>
    <w:rsid w:val="00CC2A05"/>
    <w:rsid w:val="00CC346B"/>
    <w:rsid w:val="00CC3ADB"/>
    <w:rsid w:val="00CC457E"/>
    <w:rsid w:val="00CC465E"/>
    <w:rsid w:val="00CC4AD8"/>
    <w:rsid w:val="00CC4BC5"/>
    <w:rsid w:val="00CC4CB7"/>
    <w:rsid w:val="00CC59DC"/>
    <w:rsid w:val="00CC62E1"/>
    <w:rsid w:val="00CC6A4B"/>
    <w:rsid w:val="00CC72C4"/>
    <w:rsid w:val="00CC788E"/>
    <w:rsid w:val="00CD0359"/>
    <w:rsid w:val="00CD036A"/>
    <w:rsid w:val="00CD09B0"/>
    <w:rsid w:val="00CD0A84"/>
    <w:rsid w:val="00CD0A86"/>
    <w:rsid w:val="00CD0B47"/>
    <w:rsid w:val="00CD115C"/>
    <w:rsid w:val="00CD1DCC"/>
    <w:rsid w:val="00CD2150"/>
    <w:rsid w:val="00CD272F"/>
    <w:rsid w:val="00CD2D74"/>
    <w:rsid w:val="00CD31AA"/>
    <w:rsid w:val="00CD35B4"/>
    <w:rsid w:val="00CD37A1"/>
    <w:rsid w:val="00CD3846"/>
    <w:rsid w:val="00CD4631"/>
    <w:rsid w:val="00CD49BD"/>
    <w:rsid w:val="00CD4FEB"/>
    <w:rsid w:val="00CD62C6"/>
    <w:rsid w:val="00CD655E"/>
    <w:rsid w:val="00CD6F97"/>
    <w:rsid w:val="00CD72BE"/>
    <w:rsid w:val="00CE0F93"/>
    <w:rsid w:val="00CE1532"/>
    <w:rsid w:val="00CE15AD"/>
    <w:rsid w:val="00CE1910"/>
    <w:rsid w:val="00CE1A4F"/>
    <w:rsid w:val="00CE1ED6"/>
    <w:rsid w:val="00CE1F2D"/>
    <w:rsid w:val="00CE2149"/>
    <w:rsid w:val="00CE22D4"/>
    <w:rsid w:val="00CE247F"/>
    <w:rsid w:val="00CE248A"/>
    <w:rsid w:val="00CE2AF3"/>
    <w:rsid w:val="00CE2C43"/>
    <w:rsid w:val="00CE52FC"/>
    <w:rsid w:val="00CE5754"/>
    <w:rsid w:val="00CE5928"/>
    <w:rsid w:val="00CE5E7D"/>
    <w:rsid w:val="00CE64C9"/>
    <w:rsid w:val="00CE6A2C"/>
    <w:rsid w:val="00CE6EB0"/>
    <w:rsid w:val="00CE7FFE"/>
    <w:rsid w:val="00CF1377"/>
    <w:rsid w:val="00CF14F5"/>
    <w:rsid w:val="00CF1AB9"/>
    <w:rsid w:val="00CF1FCB"/>
    <w:rsid w:val="00CF261E"/>
    <w:rsid w:val="00CF27D0"/>
    <w:rsid w:val="00CF323E"/>
    <w:rsid w:val="00CF393E"/>
    <w:rsid w:val="00CF4515"/>
    <w:rsid w:val="00CF4FE6"/>
    <w:rsid w:val="00CF5008"/>
    <w:rsid w:val="00CF554E"/>
    <w:rsid w:val="00CF585C"/>
    <w:rsid w:val="00CF5BDC"/>
    <w:rsid w:val="00CF5C33"/>
    <w:rsid w:val="00CF5FC3"/>
    <w:rsid w:val="00CF6464"/>
    <w:rsid w:val="00CF696D"/>
    <w:rsid w:val="00CF69B4"/>
    <w:rsid w:val="00CF69EE"/>
    <w:rsid w:val="00CF6A5D"/>
    <w:rsid w:val="00CF74A7"/>
    <w:rsid w:val="00CF7F2A"/>
    <w:rsid w:val="00D00182"/>
    <w:rsid w:val="00D002FA"/>
    <w:rsid w:val="00D008FF"/>
    <w:rsid w:val="00D00EC8"/>
    <w:rsid w:val="00D013DD"/>
    <w:rsid w:val="00D015BA"/>
    <w:rsid w:val="00D0191F"/>
    <w:rsid w:val="00D01CBF"/>
    <w:rsid w:val="00D01E3A"/>
    <w:rsid w:val="00D02938"/>
    <w:rsid w:val="00D029C4"/>
    <w:rsid w:val="00D02BD2"/>
    <w:rsid w:val="00D02C2D"/>
    <w:rsid w:val="00D02D6E"/>
    <w:rsid w:val="00D03367"/>
    <w:rsid w:val="00D04CE6"/>
    <w:rsid w:val="00D05077"/>
    <w:rsid w:val="00D05492"/>
    <w:rsid w:val="00D06167"/>
    <w:rsid w:val="00D0695E"/>
    <w:rsid w:val="00D06E36"/>
    <w:rsid w:val="00D06F42"/>
    <w:rsid w:val="00D06F99"/>
    <w:rsid w:val="00D074D1"/>
    <w:rsid w:val="00D07861"/>
    <w:rsid w:val="00D07B1F"/>
    <w:rsid w:val="00D103BB"/>
    <w:rsid w:val="00D107C6"/>
    <w:rsid w:val="00D10C2B"/>
    <w:rsid w:val="00D1116E"/>
    <w:rsid w:val="00D11F6D"/>
    <w:rsid w:val="00D12B44"/>
    <w:rsid w:val="00D12C93"/>
    <w:rsid w:val="00D13757"/>
    <w:rsid w:val="00D13D70"/>
    <w:rsid w:val="00D13F01"/>
    <w:rsid w:val="00D144D0"/>
    <w:rsid w:val="00D146D4"/>
    <w:rsid w:val="00D14727"/>
    <w:rsid w:val="00D15508"/>
    <w:rsid w:val="00D15F3F"/>
    <w:rsid w:val="00D16871"/>
    <w:rsid w:val="00D16F82"/>
    <w:rsid w:val="00D171EA"/>
    <w:rsid w:val="00D174FE"/>
    <w:rsid w:val="00D1773B"/>
    <w:rsid w:val="00D200FC"/>
    <w:rsid w:val="00D211BF"/>
    <w:rsid w:val="00D21C8D"/>
    <w:rsid w:val="00D21EB9"/>
    <w:rsid w:val="00D220F2"/>
    <w:rsid w:val="00D22417"/>
    <w:rsid w:val="00D228A5"/>
    <w:rsid w:val="00D23D0F"/>
    <w:rsid w:val="00D24D00"/>
    <w:rsid w:val="00D265A4"/>
    <w:rsid w:val="00D2674D"/>
    <w:rsid w:val="00D272C0"/>
    <w:rsid w:val="00D27E8F"/>
    <w:rsid w:val="00D300AB"/>
    <w:rsid w:val="00D30877"/>
    <w:rsid w:val="00D30AA6"/>
    <w:rsid w:val="00D30C35"/>
    <w:rsid w:val="00D30C88"/>
    <w:rsid w:val="00D30F73"/>
    <w:rsid w:val="00D31F69"/>
    <w:rsid w:val="00D31F7E"/>
    <w:rsid w:val="00D32102"/>
    <w:rsid w:val="00D323B6"/>
    <w:rsid w:val="00D32ACF"/>
    <w:rsid w:val="00D34491"/>
    <w:rsid w:val="00D34785"/>
    <w:rsid w:val="00D34908"/>
    <w:rsid w:val="00D34FAF"/>
    <w:rsid w:val="00D35446"/>
    <w:rsid w:val="00D3764D"/>
    <w:rsid w:val="00D379A1"/>
    <w:rsid w:val="00D37CCE"/>
    <w:rsid w:val="00D402F7"/>
    <w:rsid w:val="00D40714"/>
    <w:rsid w:val="00D40934"/>
    <w:rsid w:val="00D40D82"/>
    <w:rsid w:val="00D413DB"/>
    <w:rsid w:val="00D414C6"/>
    <w:rsid w:val="00D415ED"/>
    <w:rsid w:val="00D41801"/>
    <w:rsid w:val="00D41869"/>
    <w:rsid w:val="00D4186E"/>
    <w:rsid w:val="00D42782"/>
    <w:rsid w:val="00D42B2E"/>
    <w:rsid w:val="00D42CA8"/>
    <w:rsid w:val="00D42E9C"/>
    <w:rsid w:val="00D43292"/>
    <w:rsid w:val="00D435A4"/>
    <w:rsid w:val="00D43E75"/>
    <w:rsid w:val="00D462B1"/>
    <w:rsid w:val="00D46758"/>
    <w:rsid w:val="00D46858"/>
    <w:rsid w:val="00D468F4"/>
    <w:rsid w:val="00D46AE0"/>
    <w:rsid w:val="00D47582"/>
    <w:rsid w:val="00D47669"/>
    <w:rsid w:val="00D478B9"/>
    <w:rsid w:val="00D47A85"/>
    <w:rsid w:val="00D47BD8"/>
    <w:rsid w:val="00D47C6D"/>
    <w:rsid w:val="00D50B78"/>
    <w:rsid w:val="00D52168"/>
    <w:rsid w:val="00D5231C"/>
    <w:rsid w:val="00D5305B"/>
    <w:rsid w:val="00D533A5"/>
    <w:rsid w:val="00D53D9B"/>
    <w:rsid w:val="00D54104"/>
    <w:rsid w:val="00D541BF"/>
    <w:rsid w:val="00D542A5"/>
    <w:rsid w:val="00D548C8"/>
    <w:rsid w:val="00D55227"/>
    <w:rsid w:val="00D55F3B"/>
    <w:rsid w:val="00D56768"/>
    <w:rsid w:val="00D568D8"/>
    <w:rsid w:val="00D5695C"/>
    <w:rsid w:val="00D56C99"/>
    <w:rsid w:val="00D578BA"/>
    <w:rsid w:val="00D57939"/>
    <w:rsid w:val="00D57980"/>
    <w:rsid w:val="00D57E63"/>
    <w:rsid w:val="00D602B8"/>
    <w:rsid w:val="00D613D8"/>
    <w:rsid w:val="00D61F2D"/>
    <w:rsid w:val="00D620CE"/>
    <w:rsid w:val="00D62321"/>
    <w:rsid w:val="00D62C14"/>
    <w:rsid w:val="00D62DCB"/>
    <w:rsid w:val="00D630AA"/>
    <w:rsid w:val="00D63377"/>
    <w:rsid w:val="00D63413"/>
    <w:rsid w:val="00D6381C"/>
    <w:rsid w:val="00D63FD9"/>
    <w:rsid w:val="00D64081"/>
    <w:rsid w:val="00D64F8E"/>
    <w:rsid w:val="00D6619F"/>
    <w:rsid w:val="00D6641B"/>
    <w:rsid w:val="00D67B9F"/>
    <w:rsid w:val="00D67EB8"/>
    <w:rsid w:val="00D67F2F"/>
    <w:rsid w:val="00D70669"/>
    <w:rsid w:val="00D707EB"/>
    <w:rsid w:val="00D70CCC"/>
    <w:rsid w:val="00D70DC4"/>
    <w:rsid w:val="00D71222"/>
    <w:rsid w:val="00D7124D"/>
    <w:rsid w:val="00D7185F"/>
    <w:rsid w:val="00D71B97"/>
    <w:rsid w:val="00D71FFC"/>
    <w:rsid w:val="00D723BF"/>
    <w:rsid w:val="00D727DA"/>
    <w:rsid w:val="00D72A06"/>
    <w:rsid w:val="00D73102"/>
    <w:rsid w:val="00D731E8"/>
    <w:rsid w:val="00D73561"/>
    <w:rsid w:val="00D738BC"/>
    <w:rsid w:val="00D73CAB"/>
    <w:rsid w:val="00D73F46"/>
    <w:rsid w:val="00D74A7F"/>
    <w:rsid w:val="00D74EB0"/>
    <w:rsid w:val="00D767F7"/>
    <w:rsid w:val="00D769E5"/>
    <w:rsid w:val="00D76A8B"/>
    <w:rsid w:val="00D777E9"/>
    <w:rsid w:val="00D7785E"/>
    <w:rsid w:val="00D77B50"/>
    <w:rsid w:val="00D77F6F"/>
    <w:rsid w:val="00D805E7"/>
    <w:rsid w:val="00D80735"/>
    <w:rsid w:val="00D80B97"/>
    <w:rsid w:val="00D80D9E"/>
    <w:rsid w:val="00D80E2B"/>
    <w:rsid w:val="00D8127F"/>
    <w:rsid w:val="00D81E70"/>
    <w:rsid w:val="00D8261A"/>
    <w:rsid w:val="00D83E5A"/>
    <w:rsid w:val="00D8511B"/>
    <w:rsid w:val="00D85B06"/>
    <w:rsid w:val="00D85B7E"/>
    <w:rsid w:val="00D85DE8"/>
    <w:rsid w:val="00D862D3"/>
    <w:rsid w:val="00D86A6C"/>
    <w:rsid w:val="00D87607"/>
    <w:rsid w:val="00D877BB"/>
    <w:rsid w:val="00D87D61"/>
    <w:rsid w:val="00D90903"/>
    <w:rsid w:val="00D90ED6"/>
    <w:rsid w:val="00D915AB"/>
    <w:rsid w:val="00D91E1D"/>
    <w:rsid w:val="00D92445"/>
    <w:rsid w:val="00D9251F"/>
    <w:rsid w:val="00D925AA"/>
    <w:rsid w:val="00D92B09"/>
    <w:rsid w:val="00D92BB9"/>
    <w:rsid w:val="00D93249"/>
    <w:rsid w:val="00D93843"/>
    <w:rsid w:val="00D9599C"/>
    <w:rsid w:val="00D95B91"/>
    <w:rsid w:val="00D96A2D"/>
    <w:rsid w:val="00D96C46"/>
    <w:rsid w:val="00D971A1"/>
    <w:rsid w:val="00DA0658"/>
    <w:rsid w:val="00DA1271"/>
    <w:rsid w:val="00DA1A6F"/>
    <w:rsid w:val="00DA2238"/>
    <w:rsid w:val="00DA22FB"/>
    <w:rsid w:val="00DA23D9"/>
    <w:rsid w:val="00DA27C7"/>
    <w:rsid w:val="00DA34CC"/>
    <w:rsid w:val="00DA34DA"/>
    <w:rsid w:val="00DA3FD3"/>
    <w:rsid w:val="00DA4223"/>
    <w:rsid w:val="00DA42A6"/>
    <w:rsid w:val="00DA49BB"/>
    <w:rsid w:val="00DA4E84"/>
    <w:rsid w:val="00DA5207"/>
    <w:rsid w:val="00DA531C"/>
    <w:rsid w:val="00DA5A7F"/>
    <w:rsid w:val="00DA5FC0"/>
    <w:rsid w:val="00DA68BE"/>
    <w:rsid w:val="00DA6CF0"/>
    <w:rsid w:val="00DA6D7B"/>
    <w:rsid w:val="00DA6E19"/>
    <w:rsid w:val="00DA75A3"/>
    <w:rsid w:val="00DA769D"/>
    <w:rsid w:val="00DB03FC"/>
    <w:rsid w:val="00DB0C97"/>
    <w:rsid w:val="00DB0F9E"/>
    <w:rsid w:val="00DB12E1"/>
    <w:rsid w:val="00DB1565"/>
    <w:rsid w:val="00DB1797"/>
    <w:rsid w:val="00DB1AE2"/>
    <w:rsid w:val="00DB28A3"/>
    <w:rsid w:val="00DB2D3F"/>
    <w:rsid w:val="00DB379A"/>
    <w:rsid w:val="00DB38D3"/>
    <w:rsid w:val="00DB39CD"/>
    <w:rsid w:val="00DB3DEC"/>
    <w:rsid w:val="00DB4491"/>
    <w:rsid w:val="00DB49D1"/>
    <w:rsid w:val="00DB5AD7"/>
    <w:rsid w:val="00DB5ADD"/>
    <w:rsid w:val="00DB61D9"/>
    <w:rsid w:val="00DB65D3"/>
    <w:rsid w:val="00DB6EB5"/>
    <w:rsid w:val="00DB75A7"/>
    <w:rsid w:val="00DB75EB"/>
    <w:rsid w:val="00DC081D"/>
    <w:rsid w:val="00DC0A45"/>
    <w:rsid w:val="00DC0B3C"/>
    <w:rsid w:val="00DC0F03"/>
    <w:rsid w:val="00DC131B"/>
    <w:rsid w:val="00DC31B9"/>
    <w:rsid w:val="00DC3717"/>
    <w:rsid w:val="00DC48C0"/>
    <w:rsid w:val="00DC672C"/>
    <w:rsid w:val="00DC727B"/>
    <w:rsid w:val="00DC7969"/>
    <w:rsid w:val="00DD0121"/>
    <w:rsid w:val="00DD0133"/>
    <w:rsid w:val="00DD04FE"/>
    <w:rsid w:val="00DD073E"/>
    <w:rsid w:val="00DD0CB4"/>
    <w:rsid w:val="00DD1882"/>
    <w:rsid w:val="00DD21FE"/>
    <w:rsid w:val="00DD23D7"/>
    <w:rsid w:val="00DD24AE"/>
    <w:rsid w:val="00DD2935"/>
    <w:rsid w:val="00DD308E"/>
    <w:rsid w:val="00DD324D"/>
    <w:rsid w:val="00DD350F"/>
    <w:rsid w:val="00DD3E96"/>
    <w:rsid w:val="00DD545D"/>
    <w:rsid w:val="00DD5666"/>
    <w:rsid w:val="00DD570F"/>
    <w:rsid w:val="00DD592A"/>
    <w:rsid w:val="00DD64FB"/>
    <w:rsid w:val="00DD7487"/>
    <w:rsid w:val="00DD7818"/>
    <w:rsid w:val="00DE03EA"/>
    <w:rsid w:val="00DE0D6C"/>
    <w:rsid w:val="00DE11E3"/>
    <w:rsid w:val="00DE1F2C"/>
    <w:rsid w:val="00DE1FBE"/>
    <w:rsid w:val="00DE2EAB"/>
    <w:rsid w:val="00DE3519"/>
    <w:rsid w:val="00DE4C05"/>
    <w:rsid w:val="00DE4D0A"/>
    <w:rsid w:val="00DE5870"/>
    <w:rsid w:val="00DE6512"/>
    <w:rsid w:val="00DE67C9"/>
    <w:rsid w:val="00DE6ED8"/>
    <w:rsid w:val="00DE6F5F"/>
    <w:rsid w:val="00DE73F4"/>
    <w:rsid w:val="00DE78E9"/>
    <w:rsid w:val="00DF017D"/>
    <w:rsid w:val="00DF02D8"/>
    <w:rsid w:val="00DF06B0"/>
    <w:rsid w:val="00DF0BA1"/>
    <w:rsid w:val="00DF14DC"/>
    <w:rsid w:val="00DF1B28"/>
    <w:rsid w:val="00DF203F"/>
    <w:rsid w:val="00DF2B1D"/>
    <w:rsid w:val="00DF2C32"/>
    <w:rsid w:val="00DF315E"/>
    <w:rsid w:val="00DF31D6"/>
    <w:rsid w:val="00DF334E"/>
    <w:rsid w:val="00DF3A64"/>
    <w:rsid w:val="00DF5618"/>
    <w:rsid w:val="00DF56EA"/>
    <w:rsid w:val="00DF5C47"/>
    <w:rsid w:val="00DF732D"/>
    <w:rsid w:val="00DF7F21"/>
    <w:rsid w:val="00E0040D"/>
    <w:rsid w:val="00E015D4"/>
    <w:rsid w:val="00E019CD"/>
    <w:rsid w:val="00E01F07"/>
    <w:rsid w:val="00E02FC4"/>
    <w:rsid w:val="00E042BD"/>
    <w:rsid w:val="00E04726"/>
    <w:rsid w:val="00E047D3"/>
    <w:rsid w:val="00E04ABD"/>
    <w:rsid w:val="00E05341"/>
    <w:rsid w:val="00E05836"/>
    <w:rsid w:val="00E060D1"/>
    <w:rsid w:val="00E0611D"/>
    <w:rsid w:val="00E06A04"/>
    <w:rsid w:val="00E06DF2"/>
    <w:rsid w:val="00E06F8A"/>
    <w:rsid w:val="00E10DB5"/>
    <w:rsid w:val="00E115CD"/>
    <w:rsid w:val="00E11C55"/>
    <w:rsid w:val="00E12346"/>
    <w:rsid w:val="00E13417"/>
    <w:rsid w:val="00E144A3"/>
    <w:rsid w:val="00E14601"/>
    <w:rsid w:val="00E14973"/>
    <w:rsid w:val="00E149C8"/>
    <w:rsid w:val="00E151B9"/>
    <w:rsid w:val="00E160A7"/>
    <w:rsid w:val="00E16431"/>
    <w:rsid w:val="00E16545"/>
    <w:rsid w:val="00E166C9"/>
    <w:rsid w:val="00E167DC"/>
    <w:rsid w:val="00E16E49"/>
    <w:rsid w:val="00E17342"/>
    <w:rsid w:val="00E177D7"/>
    <w:rsid w:val="00E17EAE"/>
    <w:rsid w:val="00E2049B"/>
    <w:rsid w:val="00E204CB"/>
    <w:rsid w:val="00E20D2F"/>
    <w:rsid w:val="00E22732"/>
    <w:rsid w:val="00E22D45"/>
    <w:rsid w:val="00E23506"/>
    <w:rsid w:val="00E237A7"/>
    <w:rsid w:val="00E23CFF"/>
    <w:rsid w:val="00E23D82"/>
    <w:rsid w:val="00E23EDC"/>
    <w:rsid w:val="00E243C7"/>
    <w:rsid w:val="00E24550"/>
    <w:rsid w:val="00E25311"/>
    <w:rsid w:val="00E25921"/>
    <w:rsid w:val="00E25A43"/>
    <w:rsid w:val="00E26090"/>
    <w:rsid w:val="00E26236"/>
    <w:rsid w:val="00E262CC"/>
    <w:rsid w:val="00E2671B"/>
    <w:rsid w:val="00E267C2"/>
    <w:rsid w:val="00E26850"/>
    <w:rsid w:val="00E272ED"/>
    <w:rsid w:val="00E27F53"/>
    <w:rsid w:val="00E3010F"/>
    <w:rsid w:val="00E301B6"/>
    <w:rsid w:val="00E309BD"/>
    <w:rsid w:val="00E30AC3"/>
    <w:rsid w:val="00E31169"/>
    <w:rsid w:val="00E32423"/>
    <w:rsid w:val="00E328A5"/>
    <w:rsid w:val="00E32A8C"/>
    <w:rsid w:val="00E32D91"/>
    <w:rsid w:val="00E3323F"/>
    <w:rsid w:val="00E337F1"/>
    <w:rsid w:val="00E339DB"/>
    <w:rsid w:val="00E33AAC"/>
    <w:rsid w:val="00E34ABC"/>
    <w:rsid w:val="00E3518E"/>
    <w:rsid w:val="00E35770"/>
    <w:rsid w:val="00E360A2"/>
    <w:rsid w:val="00E360ED"/>
    <w:rsid w:val="00E36211"/>
    <w:rsid w:val="00E37039"/>
    <w:rsid w:val="00E377E1"/>
    <w:rsid w:val="00E377FC"/>
    <w:rsid w:val="00E379B8"/>
    <w:rsid w:val="00E37B40"/>
    <w:rsid w:val="00E37D66"/>
    <w:rsid w:val="00E41853"/>
    <w:rsid w:val="00E422F3"/>
    <w:rsid w:val="00E42C54"/>
    <w:rsid w:val="00E42D61"/>
    <w:rsid w:val="00E42DE6"/>
    <w:rsid w:val="00E43392"/>
    <w:rsid w:val="00E433BF"/>
    <w:rsid w:val="00E438B7"/>
    <w:rsid w:val="00E43947"/>
    <w:rsid w:val="00E43D68"/>
    <w:rsid w:val="00E440ED"/>
    <w:rsid w:val="00E44654"/>
    <w:rsid w:val="00E44FAA"/>
    <w:rsid w:val="00E453E7"/>
    <w:rsid w:val="00E46024"/>
    <w:rsid w:val="00E460D6"/>
    <w:rsid w:val="00E4613C"/>
    <w:rsid w:val="00E47200"/>
    <w:rsid w:val="00E475F5"/>
    <w:rsid w:val="00E50783"/>
    <w:rsid w:val="00E510A2"/>
    <w:rsid w:val="00E510F0"/>
    <w:rsid w:val="00E5174F"/>
    <w:rsid w:val="00E51AD7"/>
    <w:rsid w:val="00E520E4"/>
    <w:rsid w:val="00E52499"/>
    <w:rsid w:val="00E5399E"/>
    <w:rsid w:val="00E539A5"/>
    <w:rsid w:val="00E54440"/>
    <w:rsid w:val="00E54CE2"/>
    <w:rsid w:val="00E54CE5"/>
    <w:rsid w:val="00E54F38"/>
    <w:rsid w:val="00E54F77"/>
    <w:rsid w:val="00E556CC"/>
    <w:rsid w:val="00E55765"/>
    <w:rsid w:val="00E55DBD"/>
    <w:rsid w:val="00E55EC7"/>
    <w:rsid w:val="00E56428"/>
    <w:rsid w:val="00E569F1"/>
    <w:rsid w:val="00E56F6B"/>
    <w:rsid w:val="00E57169"/>
    <w:rsid w:val="00E573F1"/>
    <w:rsid w:val="00E605CC"/>
    <w:rsid w:val="00E60EED"/>
    <w:rsid w:val="00E61253"/>
    <w:rsid w:val="00E61BDB"/>
    <w:rsid w:val="00E62C48"/>
    <w:rsid w:val="00E62DB6"/>
    <w:rsid w:val="00E639A5"/>
    <w:rsid w:val="00E63B42"/>
    <w:rsid w:val="00E644D6"/>
    <w:rsid w:val="00E649CE"/>
    <w:rsid w:val="00E64F96"/>
    <w:rsid w:val="00E652DC"/>
    <w:rsid w:val="00E65870"/>
    <w:rsid w:val="00E65B30"/>
    <w:rsid w:val="00E65EB4"/>
    <w:rsid w:val="00E663DC"/>
    <w:rsid w:val="00E6696D"/>
    <w:rsid w:val="00E66B82"/>
    <w:rsid w:val="00E671F6"/>
    <w:rsid w:val="00E677B0"/>
    <w:rsid w:val="00E70110"/>
    <w:rsid w:val="00E71141"/>
    <w:rsid w:val="00E71610"/>
    <w:rsid w:val="00E71766"/>
    <w:rsid w:val="00E71B9C"/>
    <w:rsid w:val="00E71C35"/>
    <w:rsid w:val="00E71ECB"/>
    <w:rsid w:val="00E71F58"/>
    <w:rsid w:val="00E720E1"/>
    <w:rsid w:val="00E7312D"/>
    <w:rsid w:val="00E73C83"/>
    <w:rsid w:val="00E73D29"/>
    <w:rsid w:val="00E742A2"/>
    <w:rsid w:val="00E742DE"/>
    <w:rsid w:val="00E743FE"/>
    <w:rsid w:val="00E749D3"/>
    <w:rsid w:val="00E74B51"/>
    <w:rsid w:val="00E74EE1"/>
    <w:rsid w:val="00E75437"/>
    <w:rsid w:val="00E762ED"/>
    <w:rsid w:val="00E76673"/>
    <w:rsid w:val="00E7704D"/>
    <w:rsid w:val="00E7713C"/>
    <w:rsid w:val="00E7735D"/>
    <w:rsid w:val="00E7783C"/>
    <w:rsid w:val="00E77E45"/>
    <w:rsid w:val="00E80005"/>
    <w:rsid w:val="00E8041C"/>
    <w:rsid w:val="00E8103B"/>
    <w:rsid w:val="00E81145"/>
    <w:rsid w:val="00E81586"/>
    <w:rsid w:val="00E81E71"/>
    <w:rsid w:val="00E82324"/>
    <w:rsid w:val="00E827B0"/>
    <w:rsid w:val="00E82BA1"/>
    <w:rsid w:val="00E82BAF"/>
    <w:rsid w:val="00E83574"/>
    <w:rsid w:val="00E83B6C"/>
    <w:rsid w:val="00E83F4B"/>
    <w:rsid w:val="00E83F6D"/>
    <w:rsid w:val="00E84217"/>
    <w:rsid w:val="00E84392"/>
    <w:rsid w:val="00E84968"/>
    <w:rsid w:val="00E84A4C"/>
    <w:rsid w:val="00E84C44"/>
    <w:rsid w:val="00E853BC"/>
    <w:rsid w:val="00E854DA"/>
    <w:rsid w:val="00E858C4"/>
    <w:rsid w:val="00E8591D"/>
    <w:rsid w:val="00E85D65"/>
    <w:rsid w:val="00E867FC"/>
    <w:rsid w:val="00E868BC"/>
    <w:rsid w:val="00E87054"/>
    <w:rsid w:val="00E87D11"/>
    <w:rsid w:val="00E87FB6"/>
    <w:rsid w:val="00E90210"/>
    <w:rsid w:val="00E9042B"/>
    <w:rsid w:val="00E90C4D"/>
    <w:rsid w:val="00E919C6"/>
    <w:rsid w:val="00E91AD1"/>
    <w:rsid w:val="00E91E47"/>
    <w:rsid w:val="00E930C3"/>
    <w:rsid w:val="00E9337D"/>
    <w:rsid w:val="00E939ED"/>
    <w:rsid w:val="00E96A39"/>
    <w:rsid w:val="00E96AC1"/>
    <w:rsid w:val="00E96D69"/>
    <w:rsid w:val="00E9732E"/>
    <w:rsid w:val="00E97C97"/>
    <w:rsid w:val="00E97DF3"/>
    <w:rsid w:val="00EA0571"/>
    <w:rsid w:val="00EA088F"/>
    <w:rsid w:val="00EA1DD6"/>
    <w:rsid w:val="00EA21EA"/>
    <w:rsid w:val="00EA222F"/>
    <w:rsid w:val="00EA285F"/>
    <w:rsid w:val="00EA2F1E"/>
    <w:rsid w:val="00EA3691"/>
    <w:rsid w:val="00EA4196"/>
    <w:rsid w:val="00EA4361"/>
    <w:rsid w:val="00EA46F7"/>
    <w:rsid w:val="00EA4925"/>
    <w:rsid w:val="00EA4B56"/>
    <w:rsid w:val="00EA4E81"/>
    <w:rsid w:val="00EA5D66"/>
    <w:rsid w:val="00EA6E8F"/>
    <w:rsid w:val="00EA7C7D"/>
    <w:rsid w:val="00EB04E2"/>
    <w:rsid w:val="00EB0D82"/>
    <w:rsid w:val="00EB114F"/>
    <w:rsid w:val="00EB1CE2"/>
    <w:rsid w:val="00EB22A4"/>
    <w:rsid w:val="00EB2785"/>
    <w:rsid w:val="00EB27CD"/>
    <w:rsid w:val="00EB28A7"/>
    <w:rsid w:val="00EB3A2E"/>
    <w:rsid w:val="00EB4026"/>
    <w:rsid w:val="00EB4162"/>
    <w:rsid w:val="00EB4341"/>
    <w:rsid w:val="00EB4501"/>
    <w:rsid w:val="00EB47F0"/>
    <w:rsid w:val="00EB517E"/>
    <w:rsid w:val="00EB5A5D"/>
    <w:rsid w:val="00EB705A"/>
    <w:rsid w:val="00EB7668"/>
    <w:rsid w:val="00EC0935"/>
    <w:rsid w:val="00EC1890"/>
    <w:rsid w:val="00EC1E65"/>
    <w:rsid w:val="00EC1E73"/>
    <w:rsid w:val="00EC27EC"/>
    <w:rsid w:val="00EC2B87"/>
    <w:rsid w:val="00EC2DDB"/>
    <w:rsid w:val="00EC33C2"/>
    <w:rsid w:val="00EC3750"/>
    <w:rsid w:val="00EC3782"/>
    <w:rsid w:val="00EC3985"/>
    <w:rsid w:val="00EC3DE4"/>
    <w:rsid w:val="00EC48BD"/>
    <w:rsid w:val="00EC4CBC"/>
    <w:rsid w:val="00EC50F2"/>
    <w:rsid w:val="00EC525A"/>
    <w:rsid w:val="00EC52C2"/>
    <w:rsid w:val="00EC5C7D"/>
    <w:rsid w:val="00EC5DED"/>
    <w:rsid w:val="00EC5F94"/>
    <w:rsid w:val="00EC6804"/>
    <w:rsid w:val="00EC6E7D"/>
    <w:rsid w:val="00EC721F"/>
    <w:rsid w:val="00EC7234"/>
    <w:rsid w:val="00EC7C5D"/>
    <w:rsid w:val="00ED022D"/>
    <w:rsid w:val="00ED0918"/>
    <w:rsid w:val="00ED0E9A"/>
    <w:rsid w:val="00ED10F1"/>
    <w:rsid w:val="00ED306E"/>
    <w:rsid w:val="00ED36F5"/>
    <w:rsid w:val="00ED3C4D"/>
    <w:rsid w:val="00ED42BC"/>
    <w:rsid w:val="00ED46D8"/>
    <w:rsid w:val="00ED5CA0"/>
    <w:rsid w:val="00ED5E79"/>
    <w:rsid w:val="00ED67C4"/>
    <w:rsid w:val="00ED6F63"/>
    <w:rsid w:val="00ED745F"/>
    <w:rsid w:val="00ED77CF"/>
    <w:rsid w:val="00ED7B08"/>
    <w:rsid w:val="00ED7C07"/>
    <w:rsid w:val="00EE0109"/>
    <w:rsid w:val="00EE065A"/>
    <w:rsid w:val="00EE166E"/>
    <w:rsid w:val="00EE1F66"/>
    <w:rsid w:val="00EE298D"/>
    <w:rsid w:val="00EE2BF7"/>
    <w:rsid w:val="00EE2C42"/>
    <w:rsid w:val="00EE2D20"/>
    <w:rsid w:val="00EE32A3"/>
    <w:rsid w:val="00EE35AE"/>
    <w:rsid w:val="00EE49EA"/>
    <w:rsid w:val="00EE52D9"/>
    <w:rsid w:val="00EE5351"/>
    <w:rsid w:val="00EE54E5"/>
    <w:rsid w:val="00EE6A57"/>
    <w:rsid w:val="00EE7420"/>
    <w:rsid w:val="00EF0BDF"/>
    <w:rsid w:val="00EF10BD"/>
    <w:rsid w:val="00EF242D"/>
    <w:rsid w:val="00EF2B2F"/>
    <w:rsid w:val="00EF4137"/>
    <w:rsid w:val="00EF41F3"/>
    <w:rsid w:val="00EF46BA"/>
    <w:rsid w:val="00EF4A59"/>
    <w:rsid w:val="00EF507B"/>
    <w:rsid w:val="00EF51CF"/>
    <w:rsid w:val="00EF6117"/>
    <w:rsid w:val="00EF6681"/>
    <w:rsid w:val="00EF6BE7"/>
    <w:rsid w:val="00EF6CD1"/>
    <w:rsid w:val="00EF7CBF"/>
    <w:rsid w:val="00F00293"/>
    <w:rsid w:val="00F01682"/>
    <w:rsid w:val="00F02000"/>
    <w:rsid w:val="00F02728"/>
    <w:rsid w:val="00F028D0"/>
    <w:rsid w:val="00F0327C"/>
    <w:rsid w:val="00F03554"/>
    <w:rsid w:val="00F0363A"/>
    <w:rsid w:val="00F041A9"/>
    <w:rsid w:val="00F042BE"/>
    <w:rsid w:val="00F044BF"/>
    <w:rsid w:val="00F06452"/>
    <w:rsid w:val="00F066C5"/>
    <w:rsid w:val="00F06893"/>
    <w:rsid w:val="00F06E99"/>
    <w:rsid w:val="00F07A6B"/>
    <w:rsid w:val="00F07AEA"/>
    <w:rsid w:val="00F1046E"/>
    <w:rsid w:val="00F106A8"/>
    <w:rsid w:val="00F10C85"/>
    <w:rsid w:val="00F11752"/>
    <w:rsid w:val="00F11959"/>
    <w:rsid w:val="00F11C3B"/>
    <w:rsid w:val="00F12743"/>
    <w:rsid w:val="00F12963"/>
    <w:rsid w:val="00F13600"/>
    <w:rsid w:val="00F13B63"/>
    <w:rsid w:val="00F147C3"/>
    <w:rsid w:val="00F149F7"/>
    <w:rsid w:val="00F14BD5"/>
    <w:rsid w:val="00F151BA"/>
    <w:rsid w:val="00F1549E"/>
    <w:rsid w:val="00F154C0"/>
    <w:rsid w:val="00F15596"/>
    <w:rsid w:val="00F16A98"/>
    <w:rsid w:val="00F20BD9"/>
    <w:rsid w:val="00F20C97"/>
    <w:rsid w:val="00F21CBB"/>
    <w:rsid w:val="00F21F40"/>
    <w:rsid w:val="00F2256A"/>
    <w:rsid w:val="00F22B78"/>
    <w:rsid w:val="00F22D2E"/>
    <w:rsid w:val="00F22D48"/>
    <w:rsid w:val="00F22DBD"/>
    <w:rsid w:val="00F231CB"/>
    <w:rsid w:val="00F23201"/>
    <w:rsid w:val="00F23EEC"/>
    <w:rsid w:val="00F25728"/>
    <w:rsid w:val="00F26F33"/>
    <w:rsid w:val="00F26F42"/>
    <w:rsid w:val="00F2730E"/>
    <w:rsid w:val="00F3054E"/>
    <w:rsid w:val="00F3055B"/>
    <w:rsid w:val="00F30824"/>
    <w:rsid w:val="00F31A88"/>
    <w:rsid w:val="00F31E60"/>
    <w:rsid w:val="00F32DE6"/>
    <w:rsid w:val="00F33260"/>
    <w:rsid w:val="00F33CA4"/>
    <w:rsid w:val="00F33E89"/>
    <w:rsid w:val="00F342C2"/>
    <w:rsid w:val="00F344FC"/>
    <w:rsid w:val="00F34685"/>
    <w:rsid w:val="00F349D8"/>
    <w:rsid w:val="00F34D6D"/>
    <w:rsid w:val="00F35A51"/>
    <w:rsid w:val="00F3663E"/>
    <w:rsid w:val="00F3706C"/>
    <w:rsid w:val="00F40388"/>
    <w:rsid w:val="00F40490"/>
    <w:rsid w:val="00F40623"/>
    <w:rsid w:val="00F4098C"/>
    <w:rsid w:val="00F40BB2"/>
    <w:rsid w:val="00F40F19"/>
    <w:rsid w:val="00F410D2"/>
    <w:rsid w:val="00F417F8"/>
    <w:rsid w:val="00F429F2"/>
    <w:rsid w:val="00F42CAB"/>
    <w:rsid w:val="00F42EB8"/>
    <w:rsid w:val="00F43672"/>
    <w:rsid w:val="00F43713"/>
    <w:rsid w:val="00F446C9"/>
    <w:rsid w:val="00F44792"/>
    <w:rsid w:val="00F44D9B"/>
    <w:rsid w:val="00F451D0"/>
    <w:rsid w:val="00F45B82"/>
    <w:rsid w:val="00F461E7"/>
    <w:rsid w:val="00F46D78"/>
    <w:rsid w:val="00F4734D"/>
    <w:rsid w:val="00F477F6"/>
    <w:rsid w:val="00F50339"/>
    <w:rsid w:val="00F51AAB"/>
    <w:rsid w:val="00F51B1F"/>
    <w:rsid w:val="00F5205B"/>
    <w:rsid w:val="00F5244D"/>
    <w:rsid w:val="00F52AE2"/>
    <w:rsid w:val="00F52D35"/>
    <w:rsid w:val="00F52E72"/>
    <w:rsid w:val="00F53882"/>
    <w:rsid w:val="00F53C39"/>
    <w:rsid w:val="00F54205"/>
    <w:rsid w:val="00F54326"/>
    <w:rsid w:val="00F55122"/>
    <w:rsid w:val="00F5517B"/>
    <w:rsid w:val="00F55595"/>
    <w:rsid w:val="00F555F6"/>
    <w:rsid w:val="00F55A81"/>
    <w:rsid w:val="00F55DF4"/>
    <w:rsid w:val="00F567C0"/>
    <w:rsid w:val="00F56B10"/>
    <w:rsid w:val="00F56DC4"/>
    <w:rsid w:val="00F56E51"/>
    <w:rsid w:val="00F57207"/>
    <w:rsid w:val="00F57961"/>
    <w:rsid w:val="00F57D97"/>
    <w:rsid w:val="00F57F9A"/>
    <w:rsid w:val="00F6071D"/>
    <w:rsid w:val="00F60CD6"/>
    <w:rsid w:val="00F60F2C"/>
    <w:rsid w:val="00F6112A"/>
    <w:rsid w:val="00F61283"/>
    <w:rsid w:val="00F61374"/>
    <w:rsid w:val="00F61883"/>
    <w:rsid w:val="00F63044"/>
    <w:rsid w:val="00F635D6"/>
    <w:rsid w:val="00F6384E"/>
    <w:rsid w:val="00F6468A"/>
    <w:rsid w:val="00F64821"/>
    <w:rsid w:val="00F64C98"/>
    <w:rsid w:val="00F65053"/>
    <w:rsid w:val="00F65BA8"/>
    <w:rsid w:val="00F6628A"/>
    <w:rsid w:val="00F66ADE"/>
    <w:rsid w:val="00F67079"/>
    <w:rsid w:val="00F67396"/>
    <w:rsid w:val="00F676FB"/>
    <w:rsid w:val="00F67BFD"/>
    <w:rsid w:val="00F703D4"/>
    <w:rsid w:val="00F7061B"/>
    <w:rsid w:val="00F70662"/>
    <w:rsid w:val="00F7161A"/>
    <w:rsid w:val="00F7169C"/>
    <w:rsid w:val="00F71AF4"/>
    <w:rsid w:val="00F71F50"/>
    <w:rsid w:val="00F7273B"/>
    <w:rsid w:val="00F72D3E"/>
    <w:rsid w:val="00F72DE6"/>
    <w:rsid w:val="00F7315C"/>
    <w:rsid w:val="00F73368"/>
    <w:rsid w:val="00F73536"/>
    <w:rsid w:val="00F73DA7"/>
    <w:rsid w:val="00F73DAF"/>
    <w:rsid w:val="00F7494A"/>
    <w:rsid w:val="00F767F7"/>
    <w:rsid w:val="00F76994"/>
    <w:rsid w:val="00F76A7C"/>
    <w:rsid w:val="00F76D5C"/>
    <w:rsid w:val="00F76E2F"/>
    <w:rsid w:val="00F77E7C"/>
    <w:rsid w:val="00F80D4F"/>
    <w:rsid w:val="00F81E53"/>
    <w:rsid w:val="00F82281"/>
    <w:rsid w:val="00F82CC6"/>
    <w:rsid w:val="00F842D7"/>
    <w:rsid w:val="00F84505"/>
    <w:rsid w:val="00F847EC"/>
    <w:rsid w:val="00F849F7"/>
    <w:rsid w:val="00F850AD"/>
    <w:rsid w:val="00F8546B"/>
    <w:rsid w:val="00F85DB9"/>
    <w:rsid w:val="00F85E3E"/>
    <w:rsid w:val="00F85F7E"/>
    <w:rsid w:val="00F862E7"/>
    <w:rsid w:val="00F86434"/>
    <w:rsid w:val="00F866BE"/>
    <w:rsid w:val="00F87074"/>
    <w:rsid w:val="00F8759F"/>
    <w:rsid w:val="00F87DBD"/>
    <w:rsid w:val="00F87F52"/>
    <w:rsid w:val="00F9066C"/>
    <w:rsid w:val="00F90C5F"/>
    <w:rsid w:val="00F92122"/>
    <w:rsid w:val="00F92CDC"/>
    <w:rsid w:val="00F93081"/>
    <w:rsid w:val="00F932D6"/>
    <w:rsid w:val="00F93403"/>
    <w:rsid w:val="00F9413B"/>
    <w:rsid w:val="00F9458C"/>
    <w:rsid w:val="00F9482E"/>
    <w:rsid w:val="00F949B0"/>
    <w:rsid w:val="00F94A49"/>
    <w:rsid w:val="00F94C74"/>
    <w:rsid w:val="00F94E74"/>
    <w:rsid w:val="00F94F60"/>
    <w:rsid w:val="00F9524E"/>
    <w:rsid w:val="00F95517"/>
    <w:rsid w:val="00F9589C"/>
    <w:rsid w:val="00F95AB3"/>
    <w:rsid w:val="00F95E10"/>
    <w:rsid w:val="00F96064"/>
    <w:rsid w:val="00F97416"/>
    <w:rsid w:val="00F97BD5"/>
    <w:rsid w:val="00FA0B0D"/>
    <w:rsid w:val="00FA1593"/>
    <w:rsid w:val="00FA16B4"/>
    <w:rsid w:val="00FA1872"/>
    <w:rsid w:val="00FA1AA1"/>
    <w:rsid w:val="00FA251B"/>
    <w:rsid w:val="00FA2FE3"/>
    <w:rsid w:val="00FA3463"/>
    <w:rsid w:val="00FA4B1C"/>
    <w:rsid w:val="00FA4BF2"/>
    <w:rsid w:val="00FA4FB1"/>
    <w:rsid w:val="00FA5958"/>
    <w:rsid w:val="00FA595A"/>
    <w:rsid w:val="00FA61BC"/>
    <w:rsid w:val="00FA648F"/>
    <w:rsid w:val="00FA6B35"/>
    <w:rsid w:val="00FA6BE2"/>
    <w:rsid w:val="00FA72A3"/>
    <w:rsid w:val="00FA7872"/>
    <w:rsid w:val="00FA7C1F"/>
    <w:rsid w:val="00FA7EFD"/>
    <w:rsid w:val="00FB02AC"/>
    <w:rsid w:val="00FB0469"/>
    <w:rsid w:val="00FB0A0E"/>
    <w:rsid w:val="00FB0E97"/>
    <w:rsid w:val="00FB1110"/>
    <w:rsid w:val="00FB14F1"/>
    <w:rsid w:val="00FB155D"/>
    <w:rsid w:val="00FB17FD"/>
    <w:rsid w:val="00FB27B8"/>
    <w:rsid w:val="00FB2D9D"/>
    <w:rsid w:val="00FB2E04"/>
    <w:rsid w:val="00FB30B2"/>
    <w:rsid w:val="00FB3640"/>
    <w:rsid w:val="00FB4328"/>
    <w:rsid w:val="00FB43F7"/>
    <w:rsid w:val="00FB43F9"/>
    <w:rsid w:val="00FB45EB"/>
    <w:rsid w:val="00FB4D12"/>
    <w:rsid w:val="00FB5DDB"/>
    <w:rsid w:val="00FB72EA"/>
    <w:rsid w:val="00FB75AF"/>
    <w:rsid w:val="00FB76BA"/>
    <w:rsid w:val="00FC01B0"/>
    <w:rsid w:val="00FC0FCB"/>
    <w:rsid w:val="00FC1C36"/>
    <w:rsid w:val="00FC24A6"/>
    <w:rsid w:val="00FC283E"/>
    <w:rsid w:val="00FC30E3"/>
    <w:rsid w:val="00FC35EE"/>
    <w:rsid w:val="00FC36DA"/>
    <w:rsid w:val="00FC37C2"/>
    <w:rsid w:val="00FC3AAD"/>
    <w:rsid w:val="00FC3C8F"/>
    <w:rsid w:val="00FC3CA9"/>
    <w:rsid w:val="00FC4BD0"/>
    <w:rsid w:val="00FC618C"/>
    <w:rsid w:val="00FC63EC"/>
    <w:rsid w:val="00FC6572"/>
    <w:rsid w:val="00FC680B"/>
    <w:rsid w:val="00FC6D6F"/>
    <w:rsid w:val="00FC6E64"/>
    <w:rsid w:val="00FC6F91"/>
    <w:rsid w:val="00FC742F"/>
    <w:rsid w:val="00FC783E"/>
    <w:rsid w:val="00FC7A91"/>
    <w:rsid w:val="00FC7F46"/>
    <w:rsid w:val="00FC7FCD"/>
    <w:rsid w:val="00FD01EE"/>
    <w:rsid w:val="00FD052A"/>
    <w:rsid w:val="00FD0D9E"/>
    <w:rsid w:val="00FD1751"/>
    <w:rsid w:val="00FD18BF"/>
    <w:rsid w:val="00FD222E"/>
    <w:rsid w:val="00FD2621"/>
    <w:rsid w:val="00FD2633"/>
    <w:rsid w:val="00FD34EB"/>
    <w:rsid w:val="00FD3510"/>
    <w:rsid w:val="00FD3E20"/>
    <w:rsid w:val="00FD425B"/>
    <w:rsid w:val="00FD4370"/>
    <w:rsid w:val="00FD4A20"/>
    <w:rsid w:val="00FD4D07"/>
    <w:rsid w:val="00FD56AE"/>
    <w:rsid w:val="00FD5B28"/>
    <w:rsid w:val="00FD5D23"/>
    <w:rsid w:val="00FD5ED6"/>
    <w:rsid w:val="00FD7318"/>
    <w:rsid w:val="00FD769D"/>
    <w:rsid w:val="00FD78B0"/>
    <w:rsid w:val="00FE0564"/>
    <w:rsid w:val="00FE0591"/>
    <w:rsid w:val="00FE1CBD"/>
    <w:rsid w:val="00FE1D6E"/>
    <w:rsid w:val="00FE2045"/>
    <w:rsid w:val="00FE2720"/>
    <w:rsid w:val="00FE31C2"/>
    <w:rsid w:val="00FE3476"/>
    <w:rsid w:val="00FE3683"/>
    <w:rsid w:val="00FE3E90"/>
    <w:rsid w:val="00FE4635"/>
    <w:rsid w:val="00FE48B6"/>
    <w:rsid w:val="00FE4A98"/>
    <w:rsid w:val="00FE5600"/>
    <w:rsid w:val="00FE5667"/>
    <w:rsid w:val="00FE5690"/>
    <w:rsid w:val="00FE5CFE"/>
    <w:rsid w:val="00FE5E9F"/>
    <w:rsid w:val="00FE676F"/>
    <w:rsid w:val="00FE6789"/>
    <w:rsid w:val="00FE6ABD"/>
    <w:rsid w:val="00FE7484"/>
    <w:rsid w:val="00FE7D1B"/>
    <w:rsid w:val="00FE7FC2"/>
    <w:rsid w:val="00FF39F0"/>
    <w:rsid w:val="00FF3BBC"/>
    <w:rsid w:val="00FF4643"/>
    <w:rsid w:val="00FF4DD6"/>
    <w:rsid w:val="00FF5A89"/>
    <w:rsid w:val="00FF63D4"/>
    <w:rsid w:val="00FF6F1D"/>
    <w:rsid w:val="00FF705B"/>
    <w:rsid w:val="00FF7243"/>
    <w:rsid w:val="00FF7279"/>
    <w:rsid w:val="00FF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colormru v:ext="edit" colors="#2106c6,#1d05ab,#1052c8,#1379c5"/>
    </o:shapedefaults>
    <o:shapelayout v:ext="edit">
      <o:idmap v:ext="edit" data="1"/>
    </o:shapelayout>
  </w:shapeDefaults>
  <w:decimalSymbol w:val="."/>
  <w:listSeparator w:val=","/>
  <w14:docId w14:val="6466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qFormat="1"/>
    <w:lsdException w:name="caption" w:semiHidden="1" w:uiPriority="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DCC"/>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h1,l1,H1,header 1"/>
    <w:basedOn w:val="Normal"/>
    <w:next w:val="ParaText"/>
    <w:link w:val="Heading1Char"/>
    <w:qFormat/>
    <w:rsid w:val="006475F1"/>
    <w:pPr>
      <w:keepNext/>
      <w:numPr>
        <w:numId w:val="5"/>
      </w:numPr>
      <w:spacing w:after="240"/>
      <w:outlineLvl w:val="0"/>
    </w:pPr>
    <w:rPr>
      <w:b/>
      <w:kern w:val="28"/>
      <w:sz w:val="34"/>
    </w:rPr>
  </w:style>
  <w:style w:type="paragraph" w:styleId="Heading2">
    <w:name w:val="heading 2"/>
    <w:aliases w:val="2,h2,l2,H2,header 2"/>
    <w:basedOn w:val="Normal"/>
    <w:next w:val="ParaText"/>
    <w:link w:val="Heading2Char"/>
    <w:qFormat/>
    <w:rsid w:val="006475F1"/>
    <w:pPr>
      <w:keepNext/>
      <w:numPr>
        <w:ilvl w:val="1"/>
        <w:numId w:val="5"/>
      </w:numPr>
      <w:spacing w:after="240"/>
      <w:outlineLvl w:val="1"/>
    </w:pPr>
    <w:rPr>
      <w:b/>
      <w:sz w:val="30"/>
    </w:rPr>
  </w:style>
  <w:style w:type="paragraph" w:styleId="Heading3">
    <w:name w:val="heading 3"/>
    <w:aliases w:val="3,h3,l3,H3,Heading 3 Char1,h3 Char Char,Heading 3 Char Char,h3 Char"/>
    <w:basedOn w:val="Normal"/>
    <w:next w:val="ParaText"/>
    <w:link w:val="Heading3Char"/>
    <w:qFormat/>
    <w:rsid w:val="006475F1"/>
    <w:pPr>
      <w:keepNext/>
      <w:numPr>
        <w:ilvl w:val="2"/>
        <w:numId w:val="5"/>
      </w:numPr>
      <w:spacing w:after="240"/>
      <w:outlineLvl w:val="2"/>
    </w:pPr>
    <w:rPr>
      <w:b/>
      <w:sz w:val="26"/>
    </w:rPr>
  </w:style>
  <w:style w:type="paragraph" w:styleId="Heading4">
    <w:name w:val="heading 4"/>
    <w:aliases w:val="h4,l4,H4"/>
    <w:basedOn w:val="Normal"/>
    <w:next w:val="ParaText"/>
    <w:link w:val="Heading4Char"/>
    <w:qFormat/>
    <w:rsid w:val="006475F1"/>
    <w:pPr>
      <w:keepNext/>
      <w:numPr>
        <w:ilvl w:val="3"/>
        <w:numId w:val="5"/>
      </w:numPr>
      <w:spacing w:after="240"/>
      <w:outlineLvl w:val="3"/>
    </w:pPr>
    <w:rPr>
      <w:b/>
    </w:rPr>
  </w:style>
  <w:style w:type="paragraph" w:styleId="Heading5">
    <w:name w:val="heading 5"/>
    <w:aliases w:val="h5,l5,H5"/>
    <w:basedOn w:val="Normal"/>
    <w:next w:val="ParaText"/>
    <w:link w:val="Heading5Char"/>
    <w:qFormat/>
    <w:rsid w:val="006475F1"/>
    <w:pPr>
      <w:keepNext/>
      <w:numPr>
        <w:ilvl w:val="4"/>
        <w:numId w:val="5"/>
      </w:numPr>
      <w:spacing w:after="240"/>
      <w:outlineLvl w:val="4"/>
    </w:pPr>
    <w:rPr>
      <w:b/>
    </w:rPr>
  </w:style>
  <w:style w:type="paragraph" w:styleId="Heading6">
    <w:name w:val="heading 6"/>
    <w:basedOn w:val="Normal"/>
    <w:next w:val="ParaText"/>
    <w:link w:val="Heading6Char"/>
    <w:qFormat/>
    <w:rsid w:val="006475F1"/>
    <w:pPr>
      <w:spacing w:after="240"/>
      <w:outlineLvl w:val="5"/>
    </w:pPr>
    <w:rPr>
      <w:b/>
      <w:sz w:val="32"/>
    </w:rPr>
  </w:style>
  <w:style w:type="paragraph" w:styleId="Heading7">
    <w:name w:val="heading 7"/>
    <w:basedOn w:val="Normal"/>
    <w:next w:val="ParaText"/>
    <w:link w:val="Heading7Char"/>
    <w:qFormat/>
    <w:rsid w:val="006475F1"/>
    <w:pPr>
      <w:spacing w:after="240"/>
      <w:outlineLvl w:val="6"/>
    </w:pPr>
    <w:rPr>
      <w:b/>
      <w:i/>
      <w:sz w:val="26"/>
    </w:rPr>
  </w:style>
  <w:style w:type="paragraph" w:styleId="Heading8">
    <w:name w:val="heading 8"/>
    <w:basedOn w:val="Normal"/>
    <w:next w:val="ParaText"/>
    <w:link w:val="Heading8Char"/>
    <w:qFormat/>
    <w:rsid w:val="006475F1"/>
    <w:pPr>
      <w:spacing w:after="240"/>
      <w:outlineLvl w:val="7"/>
    </w:pPr>
    <w:rPr>
      <w:b/>
    </w:rPr>
  </w:style>
  <w:style w:type="paragraph" w:styleId="Heading9">
    <w:name w:val="heading 9"/>
    <w:basedOn w:val="Normal"/>
    <w:next w:val="Normal"/>
    <w:link w:val="Heading9Char"/>
    <w:qFormat/>
    <w:rsid w:val="006475F1"/>
    <w:pPr>
      <w:keepNext/>
      <w:outlineLvl w:val="8"/>
    </w:pPr>
    <w:rPr>
      <w:b/>
      <w:bCs/>
      <w:sz w:val="32"/>
    </w:rPr>
  </w:style>
  <w:style w:type="character" w:default="1" w:styleId="DefaultParagraphFont">
    <w:name w:val="Default Paragraph Font"/>
    <w:uiPriority w:val="1"/>
    <w:semiHidden/>
    <w:unhideWhenUsed/>
    <w:rsid w:val="00461D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1DCC"/>
  </w:style>
  <w:style w:type="paragraph" w:customStyle="1" w:styleId="ParaText">
    <w:name w:val="ParaText"/>
    <w:basedOn w:val="Normal"/>
    <w:link w:val="ParaTextChar1"/>
    <w:rsid w:val="006475F1"/>
    <w:pPr>
      <w:spacing w:after="240" w:line="300" w:lineRule="auto"/>
    </w:pPr>
  </w:style>
  <w:style w:type="character" w:customStyle="1" w:styleId="ParaTextChar1">
    <w:name w:val="ParaText Char1"/>
    <w:link w:val="ParaText"/>
    <w:rsid w:val="007524D9"/>
    <w:rPr>
      <w:rFonts w:ascii="Arial" w:hAnsi="Arial"/>
      <w:sz w:val="22"/>
    </w:rPr>
  </w:style>
  <w:style w:type="character" w:customStyle="1" w:styleId="Heading1Char">
    <w:name w:val="Heading 1 Char"/>
    <w:aliases w:val="h1 Char,l1 Char,H1 Char,header 1 Char"/>
    <w:link w:val="Heading1"/>
    <w:rsid w:val="007524D9"/>
    <w:rPr>
      <w:rFonts w:asciiTheme="minorHAnsi" w:eastAsiaTheme="minorHAnsi" w:hAnsiTheme="minorHAnsi" w:cstheme="minorBidi"/>
      <w:b/>
      <w:kern w:val="28"/>
      <w:sz w:val="34"/>
      <w:szCs w:val="22"/>
    </w:rPr>
  </w:style>
  <w:style w:type="character" w:customStyle="1" w:styleId="Heading2Char">
    <w:name w:val="Heading 2 Char"/>
    <w:aliases w:val="2 Char,h2 Char,l2 Char,H2 Char,header 2 Char"/>
    <w:link w:val="Heading2"/>
    <w:rsid w:val="00FB27B8"/>
    <w:rPr>
      <w:rFonts w:asciiTheme="minorHAnsi" w:eastAsiaTheme="minorHAnsi" w:hAnsiTheme="minorHAnsi" w:cstheme="minorBidi"/>
      <w:b/>
      <w:sz w:val="30"/>
      <w:szCs w:val="22"/>
    </w:rPr>
  </w:style>
  <w:style w:type="character" w:customStyle="1" w:styleId="Heading3Char">
    <w:name w:val="Heading 3 Char"/>
    <w:aliases w:val="3 Char,h3 Char1,l3 Char,H3 Char,Heading 3 Char1 Char,h3 Char Char Char,Heading 3 Char Char Char,h3 Char Char1"/>
    <w:link w:val="Heading3"/>
    <w:rsid w:val="00FB27B8"/>
    <w:rPr>
      <w:rFonts w:asciiTheme="minorHAnsi" w:eastAsiaTheme="minorHAnsi" w:hAnsiTheme="minorHAnsi" w:cstheme="minorBidi"/>
      <w:b/>
      <w:sz w:val="26"/>
      <w:szCs w:val="22"/>
    </w:rPr>
  </w:style>
  <w:style w:type="character" w:customStyle="1" w:styleId="Heading4Char">
    <w:name w:val="Heading 4 Char"/>
    <w:aliases w:val="h4 Char,l4 Char,H4 Char"/>
    <w:link w:val="Heading4"/>
    <w:rsid w:val="00B46C4A"/>
    <w:rPr>
      <w:rFonts w:asciiTheme="minorHAnsi" w:eastAsiaTheme="minorHAnsi" w:hAnsiTheme="minorHAnsi" w:cstheme="minorBidi"/>
      <w:b/>
      <w:sz w:val="22"/>
      <w:szCs w:val="22"/>
    </w:rPr>
  </w:style>
  <w:style w:type="character" w:customStyle="1" w:styleId="Heading5Char">
    <w:name w:val="Heading 5 Char"/>
    <w:aliases w:val="h5 Char,l5 Char,H5 Char"/>
    <w:basedOn w:val="DefaultParagraphFont"/>
    <w:link w:val="Heading5"/>
    <w:rsid w:val="00143C39"/>
    <w:rPr>
      <w:rFonts w:asciiTheme="minorHAnsi" w:eastAsiaTheme="minorHAnsi" w:hAnsiTheme="minorHAnsi" w:cstheme="minorBidi"/>
      <w:b/>
      <w:sz w:val="22"/>
      <w:szCs w:val="22"/>
    </w:rPr>
  </w:style>
  <w:style w:type="character" w:customStyle="1" w:styleId="Heading6Char">
    <w:name w:val="Heading 6 Char"/>
    <w:basedOn w:val="DefaultParagraphFont"/>
    <w:link w:val="Heading6"/>
    <w:rsid w:val="00143C39"/>
    <w:rPr>
      <w:rFonts w:ascii="Arial" w:hAnsi="Arial"/>
      <w:b/>
      <w:sz w:val="32"/>
    </w:rPr>
  </w:style>
  <w:style w:type="character" w:customStyle="1" w:styleId="Heading7Char">
    <w:name w:val="Heading 7 Char"/>
    <w:basedOn w:val="DefaultParagraphFont"/>
    <w:link w:val="Heading7"/>
    <w:rsid w:val="00143C39"/>
    <w:rPr>
      <w:rFonts w:ascii="Arial" w:hAnsi="Arial"/>
      <w:b/>
      <w:i/>
      <w:sz w:val="26"/>
    </w:rPr>
  </w:style>
  <w:style w:type="character" w:customStyle="1" w:styleId="Heading8Char">
    <w:name w:val="Heading 8 Char"/>
    <w:basedOn w:val="DefaultParagraphFont"/>
    <w:link w:val="Heading8"/>
    <w:rsid w:val="00143C39"/>
    <w:rPr>
      <w:rFonts w:ascii="Arial" w:hAnsi="Arial"/>
      <w:b/>
      <w:sz w:val="22"/>
    </w:rPr>
  </w:style>
  <w:style w:type="character" w:customStyle="1" w:styleId="Heading9Char">
    <w:name w:val="Heading 9 Char"/>
    <w:basedOn w:val="DefaultParagraphFont"/>
    <w:link w:val="Heading9"/>
    <w:rsid w:val="00143C39"/>
    <w:rPr>
      <w:rFonts w:ascii="Arial" w:hAnsi="Arial"/>
      <w:b/>
      <w:bCs/>
      <w:sz w:val="32"/>
    </w:rPr>
  </w:style>
  <w:style w:type="paragraph" w:styleId="Header">
    <w:name w:val="header"/>
    <w:basedOn w:val="Normal"/>
    <w:link w:val="HeaderChar"/>
    <w:qFormat/>
    <w:rsid w:val="006475F1"/>
    <w:pPr>
      <w:tabs>
        <w:tab w:val="center" w:pos="4320"/>
        <w:tab w:val="right" w:pos="8640"/>
      </w:tabs>
    </w:pPr>
    <w:rPr>
      <w:b/>
    </w:rPr>
  </w:style>
  <w:style w:type="character" w:customStyle="1" w:styleId="HeaderChar">
    <w:name w:val="Header Char"/>
    <w:link w:val="Header"/>
    <w:rsid w:val="00924ADE"/>
    <w:rPr>
      <w:rFonts w:ascii="Arial" w:hAnsi="Arial"/>
      <w:b/>
      <w:sz w:val="22"/>
    </w:rPr>
  </w:style>
  <w:style w:type="paragraph" w:styleId="Footer">
    <w:name w:val="footer"/>
    <w:basedOn w:val="Normal"/>
    <w:link w:val="FooterChar"/>
    <w:uiPriority w:val="99"/>
    <w:qFormat/>
    <w:rsid w:val="006475F1"/>
    <w:pPr>
      <w:pBdr>
        <w:top w:val="single" w:sz="12" w:space="1" w:color="auto"/>
      </w:pBdr>
      <w:tabs>
        <w:tab w:val="right" w:pos="9360"/>
      </w:tabs>
    </w:pPr>
    <w:rPr>
      <w:i/>
      <w:sz w:val="18"/>
    </w:rPr>
  </w:style>
  <w:style w:type="character" w:customStyle="1" w:styleId="FooterChar">
    <w:name w:val="Footer Char"/>
    <w:link w:val="Footer"/>
    <w:uiPriority w:val="99"/>
    <w:rsid w:val="00B17E85"/>
    <w:rPr>
      <w:rFonts w:ascii="Arial" w:hAnsi="Arial"/>
      <w:i/>
      <w:sz w:val="18"/>
    </w:rPr>
  </w:style>
  <w:style w:type="character" w:styleId="PageNumber">
    <w:name w:val="page number"/>
    <w:basedOn w:val="DefaultParagraphFont"/>
    <w:rsid w:val="006475F1"/>
  </w:style>
  <w:style w:type="paragraph" w:styleId="TOC1">
    <w:name w:val="toc 1"/>
    <w:basedOn w:val="Normal"/>
    <w:next w:val="Normal"/>
    <w:uiPriority w:val="39"/>
    <w:rsid w:val="006475F1"/>
    <w:pPr>
      <w:tabs>
        <w:tab w:val="left" w:pos="432"/>
        <w:tab w:val="right" w:leader="dot" w:pos="9360"/>
      </w:tabs>
      <w:ind w:left="432" w:hanging="432"/>
    </w:pPr>
    <w:rPr>
      <w:rFonts w:cs="Arial"/>
      <w:b/>
      <w:noProof/>
    </w:rPr>
  </w:style>
  <w:style w:type="paragraph" w:customStyle="1" w:styleId="TOCTitle">
    <w:name w:val="TOC Title"/>
    <w:basedOn w:val="Header"/>
    <w:rsid w:val="006475F1"/>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6475F1"/>
    <w:pPr>
      <w:tabs>
        <w:tab w:val="right" w:leader="dot" w:pos="9360"/>
      </w:tabs>
    </w:pPr>
    <w:rPr>
      <w:rFonts w:cs="Arial"/>
      <w:noProof/>
    </w:rPr>
  </w:style>
  <w:style w:type="paragraph" w:customStyle="1" w:styleId="ExhLst">
    <w:name w:val="Exh_Lst"/>
    <w:basedOn w:val="Normal"/>
    <w:rsid w:val="006475F1"/>
    <w:pPr>
      <w:spacing w:after="240"/>
    </w:pPr>
    <w:rPr>
      <w:b/>
      <w:u w:val="single"/>
    </w:rPr>
  </w:style>
  <w:style w:type="paragraph" w:customStyle="1" w:styleId="1">
    <w:name w:val="1"/>
    <w:aliases w:val="a,i Seq"/>
    <w:basedOn w:val="Normal"/>
    <w:rsid w:val="006475F1"/>
    <w:pPr>
      <w:numPr>
        <w:numId w:val="8"/>
      </w:numPr>
      <w:tabs>
        <w:tab w:val="left" w:pos="1800"/>
        <w:tab w:val="left" w:pos="2160"/>
        <w:tab w:val="left" w:pos="2520"/>
      </w:tabs>
      <w:spacing w:after="240" w:line="300" w:lineRule="auto"/>
    </w:pPr>
  </w:style>
  <w:style w:type="paragraph" w:customStyle="1" w:styleId="Bullet1">
    <w:name w:val="Bullet1"/>
    <w:basedOn w:val="Normal"/>
    <w:link w:val="Bullet1Char"/>
    <w:rsid w:val="006475F1"/>
    <w:pPr>
      <w:numPr>
        <w:numId w:val="1"/>
      </w:numPr>
      <w:spacing w:line="300" w:lineRule="auto"/>
    </w:pPr>
  </w:style>
  <w:style w:type="character" w:customStyle="1" w:styleId="Bullet1Char">
    <w:name w:val="Bullet1 Char"/>
    <w:link w:val="Bullet1"/>
    <w:rsid w:val="00770CC2"/>
    <w:rPr>
      <w:rFonts w:asciiTheme="minorHAnsi" w:eastAsiaTheme="minorHAnsi" w:hAnsiTheme="minorHAnsi" w:cstheme="minorBidi"/>
      <w:sz w:val="22"/>
      <w:szCs w:val="22"/>
    </w:rPr>
  </w:style>
  <w:style w:type="paragraph" w:customStyle="1" w:styleId="Bullet1HRt">
    <w:name w:val="Bullet1[HRt]"/>
    <w:basedOn w:val="Normal"/>
    <w:link w:val="Bullet1HRtChar"/>
    <w:rsid w:val="006475F1"/>
    <w:pPr>
      <w:numPr>
        <w:numId w:val="2"/>
      </w:numPr>
      <w:spacing w:after="240" w:line="300" w:lineRule="auto"/>
    </w:pPr>
  </w:style>
  <w:style w:type="character" w:customStyle="1" w:styleId="Bullet1HRtChar">
    <w:name w:val="Bullet1[HRt] Char"/>
    <w:link w:val="Bullet1HRt"/>
    <w:rsid w:val="004848E7"/>
    <w:rPr>
      <w:rFonts w:asciiTheme="minorHAnsi" w:eastAsiaTheme="minorHAnsi" w:hAnsiTheme="minorHAnsi" w:cstheme="minorBidi"/>
      <w:sz w:val="22"/>
      <w:szCs w:val="22"/>
    </w:rPr>
  </w:style>
  <w:style w:type="paragraph" w:customStyle="1" w:styleId="Bullet2">
    <w:name w:val="Bullet2"/>
    <w:basedOn w:val="Normal"/>
    <w:rsid w:val="006475F1"/>
    <w:pPr>
      <w:numPr>
        <w:numId w:val="3"/>
      </w:numPr>
      <w:spacing w:line="300" w:lineRule="auto"/>
    </w:pPr>
  </w:style>
  <w:style w:type="paragraph" w:customStyle="1" w:styleId="Bullet2HRt">
    <w:name w:val="Bullet2[HRt]"/>
    <w:basedOn w:val="Bullet2"/>
    <w:rsid w:val="006475F1"/>
    <w:pPr>
      <w:numPr>
        <w:numId w:val="4"/>
      </w:numPr>
      <w:spacing w:after="240"/>
    </w:pPr>
  </w:style>
  <w:style w:type="paragraph" w:customStyle="1" w:styleId="Exhibit">
    <w:name w:val="Exhibit"/>
    <w:basedOn w:val="Normal"/>
    <w:next w:val="Normal"/>
    <w:rsid w:val="006475F1"/>
    <w:pPr>
      <w:spacing w:after="240"/>
    </w:pPr>
    <w:rPr>
      <w:b/>
    </w:rPr>
  </w:style>
  <w:style w:type="paragraph" w:styleId="TableofFigures">
    <w:name w:val="table of figures"/>
    <w:basedOn w:val="Normal"/>
    <w:next w:val="Normal"/>
    <w:qFormat/>
    <w:rsid w:val="006475F1"/>
    <w:pPr>
      <w:ind w:left="440" w:hanging="440"/>
    </w:pPr>
  </w:style>
  <w:style w:type="paragraph" w:styleId="TOC2">
    <w:name w:val="toc 2"/>
    <w:basedOn w:val="Normal"/>
    <w:next w:val="Normal"/>
    <w:autoRedefine/>
    <w:uiPriority w:val="39"/>
    <w:rsid w:val="00326D43"/>
    <w:pPr>
      <w:tabs>
        <w:tab w:val="left" w:pos="720"/>
        <w:tab w:val="left" w:pos="1008"/>
        <w:tab w:val="right" w:leader="dot" w:pos="9360"/>
      </w:tabs>
      <w:ind w:left="540" w:hanging="540"/>
    </w:pPr>
    <w:rPr>
      <w:b/>
      <w:noProof/>
    </w:rPr>
  </w:style>
  <w:style w:type="paragraph" w:styleId="TOC3">
    <w:name w:val="toc 3"/>
    <w:basedOn w:val="Normal"/>
    <w:next w:val="Normal"/>
    <w:autoRedefine/>
    <w:uiPriority w:val="39"/>
    <w:rsid w:val="00950BD5"/>
    <w:pPr>
      <w:tabs>
        <w:tab w:val="left" w:pos="1440"/>
        <w:tab w:val="left" w:pos="1728"/>
        <w:tab w:val="left" w:pos="2448"/>
        <w:tab w:val="right" w:leader="dot" w:pos="9360"/>
      </w:tabs>
      <w:ind w:left="2448" w:hanging="1008"/>
    </w:pPr>
    <w:rPr>
      <w:noProof/>
    </w:rPr>
  </w:style>
  <w:style w:type="paragraph" w:styleId="TOC4">
    <w:name w:val="toc 4"/>
    <w:basedOn w:val="Normal"/>
    <w:next w:val="Normal"/>
    <w:autoRedefine/>
    <w:uiPriority w:val="39"/>
    <w:rsid w:val="006475F1"/>
    <w:pPr>
      <w:tabs>
        <w:tab w:val="left" w:pos="2592"/>
        <w:tab w:val="right" w:leader="dot" w:pos="9360"/>
      </w:tabs>
      <w:ind w:left="-810" w:firstLine="2538"/>
    </w:pPr>
    <w:rPr>
      <w:noProof/>
    </w:rPr>
  </w:style>
  <w:style w:type="paragraph" w:styleId="TOC5">
    <w:name w:val="toc 5"/>
    <w:basedOn w:val="Normal"/>
    <w:next w:val="Normal"/>
    <w:autoRedefine/>
    <w:uiPriority w:val="39"/>
    <w:rsid w:val="006475F1"/>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6475F1"/>
    <w:pPr>
      <w:ind w:left="1100"/>
    </w:pPr>
  </w:style>
  <w:style w:type="paragraph" w:styleId="TOC7">
    <w:name w:val="toc 7"/>
    <w:basedOn w:val="Normal"/>
    <w:next w:val="Normal"/>
    <w:autoRedefine/>
    <w:uiPriority w:val="39"/>
    <w:rsid w:val="006475F1"/>
    <w:pPr>
      <w:tabs>
        <w:tab w:val="right" w:leader="dot" w:pos="9360"/>
      </w:tabs>
    </w:pPr>
    <w:rPr>
      <w:b/>
      <w:noProof/>
    </w:rPr>
  </w:style>
  <w:style w:type="paragraph" w:styleId="TOC8">
    <w:name w:val="toc 8"/>
    <w:basedOn w:val="Normal"/>
    <w:next w:val="Normal"/>
    <w:autoRedefine/>
    <w:uiPriority w:val="39"/>
    <w:rsid w:val="006475F1"/>
    <w:pPr>
      <w:ind w:left="1540"/>
    </w:pPr>
  </w:style>
  <w:style w:type="paragraph" w:styleId="Caption">
    <w:name w:val="caption"/>
    <w:basedOn w:val="Normal"/>
    <w:next w:val="ParaText"/>
    <w:autoRedefine/>
    <w:uiPriority w:val="1"/>
    <w:qFormat/>
    <w:rsid w:val="009769FA"/>
    <w:pPr>
      <w:keepNext/>
      <w:spacing w:before="120"/>
      <w:jc w:val="center"/>
    </w:pPr>
    <w:rPr>
      <w:b/>
    </w:rPr>
  </w:style>
  <w:style w:type="paragraph" w:styleId="Title">
    <w:name w:val="Title"/>
    <w:basedOn w:val="Normal"/>
    <w:next w:val="Subtitle"/>
    <w:link w:val="TitleChar"/>
    <w:qFormat/>
    <w:rsid w:val="006475F1"/>
    <w:pPr>
      <w:keepNext/>
      <w:keepLines/>
      <w:tabs>
        <w:tab w:val="left" w:pos="576"/>
      </w:tabs>
      <w:spacing w:before="240" w:after="240"/>
      <w:jc w:val="center"/>
    </w:pPr>
    <w:rPr>
      <w:kern w:val="28"/>
      <w:sz w:val="48"/>
    </w:rPr>
  </w:style>
  <w:style w:type="paragraph" w:styleId="Subtitle">
    <w:name w:val="Subtitle"/>
    <w:basedOn w:val="Normal"/>
    <w:link w:val="SubtitleChar"/>
    <w:qFormat/>
    <w:rsid w:val="006475F1"/>
    <w:pPr>
      <w:spacing w:after="60"/>
      <w:jc w:val="center"/>
      <w:outlineLvl w:val="1"/>
    </w:pPr>
    <w:rPr>
      <w:rFonts w:cs="Arial"/>
    </w:rPr>
  </w:style>
  <w:style w:type="character" w:customStyle="1" w:styleId="SubtitleChar">
    <w:name w:val="Subtitle Char"/>
    <w:basedOn w:val="DefaultParagraphFont"/>
    <w:link w:val="Subtitle"/>
    <w:rsid w:val="00143C39"/>
    <w:rPr>
      <w:rFonts w:ascii="Arial" w:hAnsi="Arial" w:cs="Arial"/>
      <w:sz w:val="24"/>
      <w:szCs w:val="24"/>
    </w:rPr>
  </w:style>
  <w:style w:type="character" w:customStyle="1" w:styleId="TitleChar">
    <w:name w:val="Title Char"/>
    <w:basedOn w:val="DefaultParagraphFont"/>
    <w:link w:val="Title"/>
    <w:rsid w:val="00143C39"/>
    <w:rPr>
      <w:rFonts w:ascii="Arial" w:hAnsi="Arial"/>
      <w:kern w:val="28"/>
      <w:sz w:val="48"/>
    </w:rPr>
  </w:style>
  <w:style w:type="character" w:styleId="Hyperlink">
    <w:name w:val="Hyperlink"/>
    <w:uiPriority w:val="99"/>
    <w:rsid w:val="006475F1"/>
    <w:rPr>
      <w:color w:val="0000FF"/>
      <w:u w:val="single"/>
    </w:rPr>
  </w:style>
  <w:style w:type="paragraph" w:customStyle="1" w:styleId="Bullet3">
    <w:name w:val="Bullet3"/>
    <w:basedOn w:val="Normal"/>
    <w:rsid w:val="006475F1"/>
    <w:pPr>
      <w:numPr>
        <w:numId w:val="6"/>
      </w:numPr>
      <w:tabs>
        <w:tab w:val="clear" w:pos="1080"/>
        <w:tab w:val="num" w:pos="1440"/>
      </w:tabs>
      <w:ind w:left="1440"/>
    </w:pPr>
  </w:style>
  <w:style w:type="paragraph" w:customStyle="1" w:styleId="Bullet3HRt">
    <w:name w:val="Bullet3[HRt]"/>
    <w:basedOn w:val="Bullet3"/>
    <w:rsid w:val="006475F1"/>
    <w:pPr>
      <w:numPr>
        <w:ilvl w:val="1"/>
      </w:numPr>
      <w:spacing w:after="240" w:line="300" w:lineRule="auto"/>
    </w:pPr>
  </w:style>
  <w:style w:type="paragraph" w:customStyle="1" w:styleId="TableCaption">
    <w:name w:val="Table Caption"/>
    <w:basedOn w:val="Caption"/>
    <w:next w:val="Normal"/>
    <w:qFormat/>
    <w:rsid w:val="006475F1"/>
    <w:pPr>
      <w:keepLines/>
      <w:widowControl w:val="0"/>
      <w:suppressAutoHyphens/>
    </w:pPr>
    <w:rPr>
      <w:i/>
      <w:kern w:val="16"/>
    </w:rPr>
  </w:style>
  <w:style w:type="paragraph" w:styleId="FootnoteText">
    <w:name w:val="footnote text"/>
    <w:aliases w:val="ft,Footnote Text Char,fn,Footnote Text Char1,Footnote Text Char Char,Footnote Text Char1 Char,Footnote Text Char Char Char,Footnote Text Char Char1 Char,Footnote Text Char Char1,Footnote Text Char1 Char Char Char1 Char Char,fn Char"/>
    <w:basedOn w:val="Normal"/>
    <w:link w:val="FootnoteTextChar2"/>
    <w:uiPriority w:val="99"/>
    <w:qFormat/>
    <w:rsid w:val="006475F1"/>
    <w:pPr>
      <w:suppressAutoHyphens/>
      <w:spacing w:before="50"/>
      <w:ind w:left="216" w:hanging="216"/>
    </w:pPr>
    <w:rPr>
      <w:kern w:val="16"/>
      <w:sz w:val="18"/>
    </w:rPr>
  </w:style>
  <w:style w:type="character" w:customStyle="1" w:styleId="FootnoteTextChar2">
    <w:name w:val="Footnote Text Char2"/>
    <w:aliases w:val="ft Char,Footnote Text Char Char2,fn Char1,Footnote Text Char1 Char1,Footnote Text Char Char Char1,Footnote Text Char1 Char Char,Footnote Text Char Char Char Char,Footnote Text Char Char1 Char Char,Footnote Text Char Char1 Char1"/>
    <w:link w:val="FootnoteText"/>
    <w:rsid w:val="00924ADE"/>
    <w:rPr>
      <w:rFonts w:ascii="Arial" w:hAnsi="Arial"/>
      <w:kern w:val="16"/>
      <w:sz w:val="18"/>
    </w:rPr>
  </w:style>
  <w:style w:type="character" w:styleId="FootnoteReference">
    <w:name w:val="footnote reference"/>
    <w:aliases w:val="o,fr,o1,o2,o3,o4,o5,o6,o11,o21,o7"/>
    <w:uiPriority w:val="99"/>
    <w:qFormat/>
    <w:rsid w:val="006475F1"/>
    <w:rPr>
      <w:vertAlign w:val="superscript"/>
    </w:rPr>
  </w:style>
  <w:style w:type="character" w:styleId="CommentReference">
    <w:name w:val="annotation reference"/>
    <w:uiPriority w:val="99"/>
    <w:rsid w:val="00DB49D1"/>
    <w:rPr>
      <w:sz w:val="16"/>
      <w:szCs w:val="16"/>
    </w:rPr>
  </w:style>
  <w:style w:type="paragraph" w:customStyle="1" w:styleId="Paragraph">
    <w:name w:val="Paragraph"/>
    <w:basedOn w:val="Normal"/>
    <w:link w:val="ParagraphChar"/>
    <w:qFormat/>
    <w:rsid w:val="006475F1"/>
    <w:pPr>
      <w:suppressAutoHyphens/>
      <w:spacing w:before="120"/>
    </w:pPr>
    <w:rPr>
      <w:kern w:val="16"/>
    </w:rPr>
  </w:style>
  <w:style w:type="character" w:customStyle="1" w:styleId="ParagraphChar">
    <w:name w:val="Paragraph Char"/>
    <w:link w:val="Paragraph"/>
    <w:rsid w:val="008702FF"/>
    <w:rPr>
      <w:kern w:val="16"/>
      <w:sz w:val="24"/>
      <w:lang w:val="en-US" w:eastAsia="en-US" w:bidi="ar-SA"/>
    </w:rPr>
  </w:style>
  <w:style w:type="paragraph" w:styleId="CommentText">
    <w:name w:val="annotation text"/>
    <w:basedOn w:val="Normal"/>
    <w:link w:val="CommentTextChar"/>
    <w:uiPriority w:val="99"/>
    <w:rsid w:val="00DB49D1"/>
    <w:rPr>
      <w:sz w:val="20"/>
    </w:rPr>
  </w:style>
  <w:style w:type="character" w:customStyle="1" w:styleId="CommentTextChar">
    <w:name w:val="Comment Text Char"/>
    <w:link w:val="CommentText"/>
    <w:uiPriority w:val="99"/>
    <w:rsid w:val="007524D9"/>
    <w:rPr>
      <w:rFonts w:ascii="Arial" w:hAnsi="Arial"/>
    </w:rPr>
  </w:style>
  <w:style w:type="character" w:customStyle="1" w:styleId="ParaTextChar">
    <w:name w:val="ParaText Char"/>
    <w:rsid w:val="006475F1"/>
    <w:rPr>
      <w:rFonts w:ascii="Arial" w:hAnsi="Arial"/>
      <w:sz w:val="22"/>
      <w:lang w:val="en-US" w:eastAsia="en-US" w:bidi="ar-SA"/>
    </w:rPr>
  </w:style>
  <w:style w:type="paragraph" w:styleId="BalloonText">
    <w:name w:val="Balloon Text"/>
    <w:basedOn w:val="Normal"/>
    <w:link w:val="BalloonTextChar"/>
    <w:uiPriority w:val="99"/>
    <w:semiHidden/>
    <w:rsid w:val="006475F1"/>
    <w:rPr>
      <w:rFonts w:ascii="Tahoma" w:hAnsi="Tahoma" w:cs="Tahoma"/>
      <w:sz w:val="16"/>
      <w:szCs w:val="16"/>
    </w:rPr>
  </w:style>
  <w:style w:type="character" w:customStyle="1" w:styleId="BalloonTextChar">
    <w:name w:val="Balloon Text Char"/>
    <w:basedOn w:val="DefaultParagraphFont"/>
    <w:link w:val="BalloonText"/>
    <w:uiPriority w:val="99"/>
    <w:semiHidden/>
    <w:rsid w:val="00143C39"/>
    <w:rPr>
      <w:rFonts w:ascii="Tahoma" w:hAnsi="Tahoma" w:cs="Tahoma"/>
      <w:sz w:val="16"/>
      <w:szCs w:val="16"/>
    </w:rPr>
  </w:style>
  <w:style w:type="paragraph" w:styleId="CommentSubject">
    <w:name w:val="annotation subject"/>
    <w:basedOn w:val="CommentText"/>
    <w:next w:val="CommentText"/>
    <w:link w:val="CommentSubjectChar"/>
    <w:rsid w:val="00DB49D1"/>
    <w:rPr>
      <w:b/>
      <w:bCs/>
    </w:rPr>
  </w:style>
  <w:style w:type="character" w:customStyle="1" w:styleId="CommentSubjectChar">
    <w:name w:val="Comment Subject Char"/>
    <w:basedOn w:val="CommentTextChar"/>
    <w:link w:val="CommentSubject"/>
    <w:rsid w:val="00143C39"/>
    <w:rPr>
      <w:rFonts w:ascii="Arial" w:hAnsi="Arial"/>
      <w:b/>
      <w:bCs/>
    </w:rPr>
  </w:style>
  <w:style w:type="table" w:styleId="TableGrid">
    <w:name w:val="Table Grid"/>
    <w:basedOn w:val="TableNormal"/>
    <w:uiPriority w:val="39"/>
    <w:rsid w:val="008246A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A1CA0"/>
    <w:rPr>
      <w:color w:val="0000FF"/>
      <w:spacing w:val="0"/>
      <w:u w:val="double"/>
    </w:rPr>
  </w:style>
  <w:style w:type="paragraph" w:styleId="DocumentMap">
    <w:name w:val="Document Map"/>
    <w:basedOn w:val="Normal"/>
    <w:link w:val="DocumentMapChar"/>
    <w:semiHidden/>
    <w:rsid w:val="00F767F7"/>
    <w:pPr>
      <w:shd w:val="clear" w:color="auto" w:fill="000080"/>
    </w:pPr>
    <w:rPr>
      <w:rFonts w:ascii="Tahoma" w:hAnsi="Tahoma" w:cs="Tahoma"/>
      <w:sz w:val="20"/>
    </w:rPr>
  </w:style>
  <w:style w:type="paragraph" w:customStyle="1" w:styleId="BPM">
    <w:name w:val="BPM"/>
    <w:basedOn w:val="ParaText"/>
    <w:link w:val="BPMChar"/>
    <w:qFormat/>
    <w:rsid w:val="007524D9"/>
  </w:style>
  <w:style w:type="character" w:customStyle="1" w:styleId="BPMChar">
    <w:name w:val="BPM Char"/>
    <w:link w:val="BPM"/>
    <w:rsid w:val="007524D9"/>
    <w:rPr>
      <w:rFonts w:ascii="Arial" w:hAnsi="Arial" w:cs="Arial"/>
      <w:sz w:val="22"/>
    </w:rPr>
  </w:style>
  <w:style w:type="paragraph" w:styleId="ListParagraph">
    <w:name w:val="List Paragraph"/>
    <w:basedOn w:val="Normal"/>
    <w:link w:val="ListParagraphChar"/>
    <w:uiPriority w:val="34"/>
    <w:qFormat/>
    <w:rsid w:val="004848E7"/>
    <w:pPr>
      <w:ind w:left="720"/>
    </w:pPr>
  </w:style>
  <w:style w:type="paragraph" w:customStyle="1" w:styleId="BPM2">
    <w:name w:val="BPM2"/>
    <w:basedOn w:val="Bullet1HRt"/>
    <w:link w:val="BPM2Char"/>
    <w:qFormat/>
    <w:rsid w:val="004848E7"/>
  </w:style>
  <w:style w:type="character" w:customStyle="1" w:styleId="BPM2Char">
    <w:name w:val="BPM2 Char"/>
    <w:link w:val="BPM2"/>
    <w:rsid w:val="004848E7"/>
    <w:rPr>
      <w:rFonts w:asciiTheme="minorHAnsi" w:eastAsiaTheme="minorHAnsi" w:hAnsiTheme="minorHAnsi" w:cstheme="minorBidi"/>
      <w:sz w:val="22"/>
      <w:szCs w:val="22"/>
    </w:rPr>
  </w:style>
  <w:style w:type="paragraph" w:customStyle="1" w:styleId="BPM3">
    <w:name w:val="BPM 3"/>
    <w:basedOn w:val="Heading4"/>
    <w:link w:val="BPM3Char"/>
    <w:qFormat/>
    <w:rsid w:val="00B46C4A"/>
  </w:style>
  <w:style w:type="character" w:customStyle="1" w:styleId="BPM3Char">
    <w:name w:val="BPM 3 Char"/>
    <w:link w:val="BPM3"/>
    <w:rsid w:val="00B46C4A"/>
    <w:rPr>
      <w:rFonts w:asciiTheme="minorHAnsi" w:eastAsiaTheme="minorHAnsi" w:hAnsiTheme="minorHAnsi" w:cstheme="minorBidi"/>
      <w:b/>
      <w:sz w:val="22"/>
      <w:szCs w:val="22"/>
    </w:rPr>
  </w:style>
  <w:style w:type="paragraph" w:customStyle="1" w:styleId="BPM1">
    <w:name w:val="BPM1"/>
    <w:basedOn w:val="Heading2"/>
    <w:link w:val="BPM1Char"/>
    <w:qFormat/>
    <w:rsid w:val="00FB27B8"/>
  </w:style>
  <w:style w:type="character" w:customStyle="1" w:styleId="BPM1Char">
    <w:name w:val="BPM1 Char"/>
    <w:link w:val="BPM1"/>
    <w:rsid w:val="00FB27B8"/>
    <w:rPr>
      <w:rFonts w:asciiTheme="minorHAnsi" w:eastAsiaTheme="minorHAnsi" w:hAnsiTheme="minorHAnsi" w:cstheme="minorBidi"/>
      <w:b/>
      <w:sz w:val="30"/>
      <w:szCs w:val="22"/>
    </w:rPr>
  </w:style>
  <w:style w:type="paragraph" w:customStyle="1" w:styleId="Style1">
    <w:name w:val="Style1"/>
    <w:basedOn w:val="Heading4"/>
    <w:link w:val="Style1Char"/>
    <w:qFormat/>
    <w:rsid w:val="00FB27B8"/>
  </w:style>
  <w:style w:type="character" w:customStyle="1" w:styleId="Style1Char">
    <w:name w:val="Style1 Char"/>
    <w:link w:val="Style1"/>
    <w:rsid w:val="00FB27B8"/>
    <w:rPr>
      <w:rFonts w:asciiTheme="minorHAnsi" w:eastAsiaTheme="minorHAnsi" w:hAnsiTheme="minorHAnsi" w:cstheme="minorBidi"/>
      <w:b/>
      <w:sz w:val="22"/>
      <w:szCs w:val="22"/>
    </w:rPr>
  </w:style>
  <w:style w:type="paragraph" w:customStyle="1" w:styleId="Style2">
    <w:name w:val="Style2"/>
    <w:basedOn w:val="Heading3"/>
    <w:link w:val="Style2Char"/>
    <w:qFormat/>
    <w:rsid w:val="00FB27B8"/>
  </w:style>
  <w:style w:type="character" w:customStyle="1" w:styleId="Style2Char">
    <w:name w:val="Style2 Char"/>
    <w:link w:val="Style2"/>
    <w:rsid w:val="00FB27B8"/>
    <w:rPr>
      <w:rFonts w:asciiTheme="minorHAnsi" w:eastAsiaTheme="minorHAnsi" w:hAnsiTheme="minorHAnsi" w:cstheme="minorBidi"/>
      <w:b/>
      <w:sz w:val="26"/>
      <w:szCs w:val="22"/>
    </w:rPr>
  </w:style>
  <w:style w:type="paragraph" w:customStyle="1" w:styleId="Style3">
    <w:name w:val="Style3"/>
    <w:basedOn w:val="ParaText"/>
    <w:link w:val="Style3Char"/>
    <w:qFormat/>
    <w:rsid w:val="00D6381C"/>
  </w:style>
  <w:style w:type="character" w:customStyle="1" w:styleId="Style3Char">
    <w:name w:val="Style3 Char"/>
    <w:link w:val="Style3"/>
    <w:rsid w:val="00D6381C"/>
    <w:rPr>
      <w:rFonts w:ascii="Arial" w:hAnsi="Arial" w:cs="Arial"/>
      <w:sz w:val="22"/>
    </w:rPr>
  </w:style>
  <w:style w:type="paragraph" w:customStyle="1" w:styleId="Style4">
    <w:name w:val="Style4"/>
    <w:basedOn w:val="ParaText"/>
    <w:link w:val="Style4Char"/>
    <w:qFormat/>
    <w:rsid w:val="00180B8F"/>
    <w:pPr>
      <w:spacing w:before="120" w:after="0"/>
    </w:pPr>
  </w:style>
  <w:style w:type="character" w:customStyle="1" w:styleId="Style4Char">
    <w:name w:val="Style4 Char"/>
    <w:link w:val="Style4"/>
    <w:rsid w:val="00180B8F"/>
    <w:rPr>
      <w:rFonts w:ascii="Arial" w:hAnsi="Arial" w:cs="Arial"/>
      <w:sz w:val="22"/>
    </w:rPr>
  </w:style>
  <w:style w:type="paragraph" w:customStyle="1" w:styleId="Style5">
    <w:name w:val="Style5"/>
    <w:basedOn w:val="ParaText"/>
    <w:link w:val="Style5Char"/>
    <w:qFormat/>
    <w:rsid w:val="00AC7BD6"/>
  </w:style>
  <w:style w:type="character" w:customStyle="1" w:styleId="Style5Char">
    <w:name w:val="Style5 Char"/>
    <w:link w:val="Style5"/>
    <w:rsid w:val="00AC7BD6"/>
    <w:rPr>
      <w:rFonts w:ascii="Arial" w:hAnsi="Arial" w:cs="Arial"/>
      <w:sz w:val="22"/>
    </w:rPr>
  </w:style>
  <w:style w:type="character" w:customStyle="1" w:styleId="tx1">
    <w:name w:val="tx1"/>
    <w:rsid w:val="001A5EF4"/>
    <w:rPr>
      <w:b/>
      <w:bCs/>
    </w:rPr>
  </w:style>
  <w:style w:type="paragraph" w:customStyle="1" w:styleId="Style6">
    <w:name w:val="Style6"/>
    <w:basedOn w:val="Bullet1"/>
    <w:link w:val="Style6Char"/>
    <w:qFormat/>
    <w:rsid w:val="00770CC2"/>
  </w:style>
  <w:style w:type="character" w:customStyle="1" w:styleId="Style6Char">
    <w:name w:val="Style6 Char"/>
    <w:link w:val="Style6"/>
    <w:rsid w:val="00770CC2"/>
    <w:rPr>
      <w:rFonts w:asciiTheme="minorHAnsi" w:eastAsiaTheme="minorHAnsi" w:hAnsiTheme="minorHAnsi" w:cstheme="minorBidi"/>
      <w:sz w:val="22"/>
      <w:szCs w:val="22"/>
    </w:rPr>
  </w:style>
  <w:style w:type="paragraph" w:styleId="NoSpacing">
    <w:name w:val="No Spacing"/>
    <w:uiPriority w:val="1"/>
    <w:qFormat/>
    <w:rsid w:val="009769FA"/>
    <w:pPr>
      <w:jc w:val="both"/>
    </w:pPr>
    <w:rPr>
      <w:rFonts w:ascii="Arial" w:hAnsi="Arial"/>
      <w:sz w:val="22"/>
    </w:rPr>
  </w:style>
  <w:style w:type="paragraph" w:customStyle="1" w:styleId="Default">
    <w:name w:val="Default"/>
    <w:rsid w:val="00B44090"/>
    <w:pPr>
      <w:autoSpaceDE w:val="0"/>
      <w:autoSpaceDN w:val="0"/>
      <w:adjustRightInd w:val="0"/>
    </w:pPr>
    <w:rPr>
      <w:rFonts w:ascii="Arial" w:hAnsi="Arial" w:cs="Arial"/>
      <w:color w:val="000000"/>
      <w:sz w:val="24"/>
      <w:szCs w:val="24"/>
    </w:rPr>
  </w:style>
  <w:style w:type="character" w:customStyle="1" w:styleId="EmailStyle151">
    <w:name w:val="EmailStyle151"/>
    <w:basedOn w:val="DefaultParagraphFont"/>
    <w:rsid w:val="00C35D4D"/>
    <w:rPr>
      <w:rFonts w:ascii="Arial" w:hAnsi="Arial" w:cs="Arial"/>
      <w:color w:val="auto"/>
      <w:sz w:val="20"/>
    </w:rPr>
  </w:style>
  <w:style w:type="paragraph" w:customStyle="1" w:styleId="TOCHeading1">
    <w:name w:val="TOC Heading1"/>
    <w:basedOn w:val="Heading1"/>
    <w:next w:val="Normal"/>
    <w:uiPriority w:val="39"/>
    <w:semiHidden/>
    <w:unhideWhenUsed/>
    <w:qFormat/>
    <w:rsid w:val="006C2CAC"/>
    <w:pPr>
      <w:keepLines/>
      <w:numPr>
        <w:numId w:val="0"/>
      </w:numPr>
      <w:spacing w:before="480" w:after="0" w:line="276" w:lineRule="auto"/>
      <w:outlineLvl w:val="9"/>
    </w:pPr>
    <w:rPr>
      <w:rFonts w:ascii="Cambria" w:eastAsia="MS Gothic" w:hAnsi="Cambria"/>
      <w:bCs/>
      <w:color w:val="365F91"/>
      <w:kern w:val="0"/>
      <w:sz w:val="28"/>
      <w:szCs w:val="28"/>
      <w:lang w:eastAsia="ja-JP"/>
    </w:rPr>
  </w:style>
  <w:style w:type="paragraph" w:styleId="BodyText">
    <w:name w:val="Body Text"/>
    <w:basedOn w:val="Normal"/>
    <w:link w:val="BodyTextChar"/>
    <w:rsid w:val="006C2CAC"/>
    <w:pPr>
      <w:spacing w:before="120"/>
      <w:ind w:left="360"/>
    </w:pPr>
  </w:style>
  <w:style w:type="character" w:customStyle="1" w:styleId="BodyTextChar">
    <w:name w:val="Body Text Char"/>
    <w:link w:val="BodyText"/>
    <w:rsid w:val="006C2CAC"/>
    <w:rPr>
      <w:rFonts w:ascii="Arial" w:hAnsi="Arial"/>
      <w:sz w:val="22"/>
      <w:szCs w:val="24"/>
    </w:rPr>
  </w:style>
  <w:style w:type="paragraph" w:customStyle="1" w:styleId="ColorfulList-Accent11">
    <w:name w:val="Colorful List - Accent 11"/>
    <w:basedOn w:val="Normal"/>
    <w:uiPriority w:val="34"/>
    <w:qFormat/>
    <w:rsid w:val="00CB3BFB"/>
    <w:pPr>
      <w:ind w:left="720"/>
      <w:contextualSpacing/>
    </w:pPr>
  </w:style>
  <w:style w:type="table" w:customStyle="1" w:styleId="TableGrid1">
    <w:name w:val="Table Grid1"/>
    <w:basedOn w:val="TableNormal"/>
    <w:next w:val="TableGrid"/>
    <w:uiPriority w:val="59"/>
    <w:rsid w:val="0061268E"/>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61268E"/>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60D13"/>
    <w:rPr>
      <w:color w:val="800080"/>
      <w:u w:val="single"/>
    </w:rPr>
  </w:style>
  <w:style w:type="character" w:customStyle="1" w:styleId="ContentChar">
    <w:name w:val="Content Char"/>
    <w:link w:val="Content"/>
    <w:locked/>
    <w:rsid w:val="008F7A5E"/>
    <w:rPr>
      <w:rFonts w:ascii="Arial" w:hAnsi="Arial" w:cs="Arial"/>
      <w:sz w:val="22"/>
    </w:rPr>
  </w:style>
  <w:style w:type="paragraph" w:customStyle="1" w:styleId="Content">
    <w:name w:val="Content"/>
    <w:basedOn w:val="Normal"/>
    <w:link w:val="ContentChar"/>
    <w:qFormat/>
    <w:rsid w:val="008F7A5E"/>
    <w:pPr>
      <w:spacing w:after="240" w:line="300" w:lineRule="auto"/>
    </w:pPr>
  </w:style>
  <w:style w:type="character" w:customStyle="1" w:styleId="BulletsChar">
    <w:name w:val="Bullets Char"/>
    <w:link w:val="Bullets"/>
    <w:locked/>
    <w:rsid w:val="008F7A5E"/>
    <w:rPr>
      <w:rFonts w:ascii="Arial" w:hAnsi="Arial" w:cs="Arial"/>
      <w:sz w:val="22"/>
    </w:rPr>
  </w:style>
  <w:style w:type="paragraph" w:customStyle="1" w:styleId="Bullets">
    <w:name w:val="Bullets"/>
    <w:basedOn w:val="Bullet1HRt"/>
    <w:link w:val="BulletsChar"/>
    <w:qFormat/>
    <w:rsid w:val="008F7A5E"/>
    <w:pPr>
      <w:numPr>
        <w:numId w:val="0"/>
      </w:numPr>
      <w:tabs>
        <w:tab w:val="num" w:pos="720"/>
      </w:tabs>
      <w:ind w:left="720" w:hanging="360"/>
    </w:pPr>
  </w:style>
  <w:style w:type="paragraph" w:customStyle="1" w:styleId="hangingsection">
    <w:name w:val="hanging section"/>
    <w:basedOn w:val="Normal"/>
    <w:qFormat/>
    <w:rsid w:val="00C63A30"/>
    <w:pPr>
      <w:widowControl w:val="0"/>
      <w:suppressAutoHyphens/>
      <w:autoSpaceDE w:val="0"/>
      <w:autoSpaceDN w:val="0"/>
      <w:adjustRightInd w:val="0"/>
      <w:spacing w:after="240"/>
      <w:ind w:left="1440" w:hanging="720"/>
    </w:pPr>
    <w:rPr>
      <w:rFonts w:cs="Arial"/>
      <w:kern w:val="16"/>
    </w:rPr>
  </w:style>
  <w:style w:type="character" w:styleId="Emphasis">
    <w:name w:val="Emphasis"/>
    <w:uiPriority w:val="99"/>
    <w:qFormat/>
    <w:rsid w:val="00C63A30"/>
    <w:rPr>
      <w:rFonts w:ascii="Arial" w:hAnsi="Arial"/>
      <w:i/>
      <w:iCs/>
      <w:color w:val="0000FF"/>
      <w:sz w:val="22"/>
      <w:szCs w:val="20"/>
    </w:rPr>
  </w:style>
  <w:style w:type="paragraph" w:styleId="Revision">
    <w:name w:val="Revision"/>
    <w:hidden/>
    <w:uiPriority w:val="99"/>
    <w:semiHidden/>
    <w:rsid w:val="00021E09"/>
    <w:rPr>
      <w:rFonts w:ascii="Arial" w:hAnsi="Arial"/>
      <w:sz w:val="22"/>
    </w:rPr>
  </w:style>
  <w:style w:type="paragraph" w:customStyle="1" w:styleId="AFID">
    <w:name w:val="AFID"/>
    <w:basedOn w:val="Normal"/>
    <w:qFormat/>
    <w:rsid w:val="00924ADE"/>
    <w:pPr>
      <w:spacing w:line="480" w:lineRule="auto"/>
      <w:ind w:firstLine="720"/>
    </w:pPr>
    <w:rPr>
      <w:rFonts w:eastAsia="Calibri" w:cs="Arial"/>
    </w:rPr>
  </w:style>
  <w:style w:type="paragraph" w:styleId="Closing">
    <w:name w:val="Closing"/>
    <w:basedOn w:val="Normal"/>
    <w:link w:val="ClosingChar"/>
    <w:rsid w:val="007C3DB7"/>
    <w:pPr>
      <w:spacing w:line="220" w:lineRule="atLeast"/>
      <w:ind w:left="840" w:right="-360"/>
    </w:pPr>
    <w:rPr>
      <w:sz w:val="20"/>
    </w:rPr>
  </w:style>
  <w:style w:type="character" w:customStyle="1" w:styleId="ClosingChar">
    <w:name w:val="Closing Char"/>
    <w:basedOn w:val="DefaultParagraphFont"/>
    <w:link w:val="Closing"/>
    <w:rsid w:val="007C3DB7"/>
  </w:style>
  <w:style w:type="paragraph" w:styleId="PlainText">
    <w:name w:val="Plain Text"/>
    <w:basedOn w:val="Normal"/>
    <w:link w:val="PlainTextChar"/>
    <w:uiPriority w:val="99"/>
    <w:unhideWhenUsed/>
    <w:rsid w:val="002F635A"/>
    <w:rPr>
      <w:rFonts w:ascii="Calibri" w:eastAsia="Calibri" w:hAnsi="Calibri"/>
      <w:szCs w:val="21"/>
    </w:rPr>
  </w:style>
  <w:style w:type="character" w:customStyle="1" w:styleId="PlainTextChar">
    <w:name w:val="Plain Text Char"/>
    <w:link w:val="PlainText"/>
    <w:uiPriority w:val="99"/>
    <w:rsid w:val="002F635A"/>
    <w:rPr>
      <w:rFonts w:ascii="Calibri" w:eastAsia="Calibri" w:hAnsi="Calibri"/>
      <w:sz w:val="22"/>
      <w:szCs w:val="21"/>
    </w:rPr>
  </w:style>
  <w:style w:type="paragraph" w:customStyle="1" w:styleId="hangingnumber">
    <w:name w:val="hanging number"/>
    <w:basedOn w:val="Normal"/>
    <w:qFormat/>
    <w:rsid w:val="00E87D11"/>
    <w:pPr>
      <w:widowControl w:val="0"/>
      <w:autoSpaceDE w:val="0"/>
      <w:autoSpaceDN w:val="0"/>
      <w:adjustRightInd w:val="0"/>
      <w:spacing w:after="240"/>
      <w:ind w:left="2160" w:hanging="720"/>
    </w:pPr>
    <w:rPr>
      <w:rFonts w:cs="Arial"/>
      <w:kern w:val="16"/>
    </w:rPr>
  </w:style>
  <w:style w:type="table" w:customStyle="1" w:styleId="TableGrid3">
    <w:name w:val="Table Grid3"/>
    <w:basedOn w:val="TableNormal"/>
    <w:next w:val="TableGrid"/>
    <w:uiPriority w:val="59"/>
    <w:rsid w:val="00DB3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9CD"/>
    <w:pPr>
      <w:spacing w:before="100" w:beforeAutospacing="1" w:after="100" w:afterAutospacing="1"/>
    </w:pPr>
  </w:style>
  <w:style w:type="paragraph" w:customStyle="1" w:styleId="Figure">
    <w:name w:val="Figure"/>
    <w:basedOn w:val="Normal"/>
    <w:next w:val="Caption"/>
    <w:uiPriority w:val="1"/>
    <w:qFormat/>
    <w:rsid w:val="00DB39CD"/>
    <w:pPr>
      <w:keepNext/>
      <w:keepLines/>
      <w:widowControl w:val="0"/>
      <w:suppressAutoHyphens/>
      <w:spacing w:before="120"/>
      <w:jc w:val="center"/>
    </w:pPr>
    <w:rPr>
      <w:kern w:val="16"/>
    </w:rPr>
  </w:style>
  <w:style w:type="paragraph" w:customStyle="1" w:styleId="bullet">
    <w:name w:val="bullet"/>
    <w:basedOn w:val="Normal"/>
    <w:rsid w:val="00143C39"/>
    <w:pPr>
      <w:spacing w:before="120"/>
    </w:pPr>
    <w:rPr>
      <w:sz w:val="20"/>
    </w:rPr>
  </w:style>
  <w:style w:type="paragraph" w:customStyle="1" w:styleId="heading10">
    <w:name w:val="heading1"/>
    <w:basedOn w:val="Normal"/>
    <w:rsid w:val="00143C39"/>
    <w:pPr>
      <w:tabs>
        <w:tab w:val="left" w:pos="450"/>
        <w:tab w:val="left" w:pos="1080"/>
        <w:tab w:val="left" w:pos="1800"/>
        <w:tab w:val="left" w:pos="2610"/>
      </w:tabs>
      <w:spacing w:before="120"/>
    </w:pPr>
  </w:style>
  <w:style w:type="paragraph" w:customStyle="1" w:styleId="level4">
    <w:name w:val="level 4"/>
    <w:basedOn w:val="Normal"/>
    <w:rsid w:val="00143C39"/>
    <w:pPr>
      <w:spacing w:before="120"/>
      <w:ind w:left="634"/>
    </w:pPr>
  </w:style>
  <w:style w:type="paragraph" w:customStyle="1" w:styleId="level5">
    <w:name w:val="level 5"/>
    <w:basedOn w:val="Normal"/>
    <w:rsid w:val="00143C39"/>
    <w:pPr>
      <w:tabs>
        <w:tab w:val="left" w:pos="2520"/>
      </w:tabs>
      <w:spacing w:before="120"/>
      <w:ind w:left="1440"/>
    </w:pPr>
  </w:style>
  <w:style w:type="paragraph" w:customStyle="1" w:styleId="TOCEntry">
    <w:name w:val="TOCEntry"/>
    <w:basedOn w:val="Normal"/>
    <w:rsid w:val="00143C39"/>
    <w:pPr>
      <w:keepNext/>
      <w:keepLines/>
      <w:spacing w:before="120" w:after="240" w:line="240" w:lineRule="atLeast"/>
    </w:pPr>
    <w:rPr>
      <w:b/>
      <w:sz w:val="36"/>
    </w:rPr>
  </w:style>
  <w:style w:type="paragraph" w:customStyle="1" w:styleId="template">
    <w:name w:val="template"/>
    <w:basedOn w:val="Normal"/>
    <w:rsid w:val="00143C39"/>
    <w:pPr>
      <w:spacing w:before="120"/>
    </w:pPr>
    <w:rPr>
      <w:i/>
    </w:rPr>
  </w:style>
  <w:style w:type="paragraph" w:customStyle="1" w:styleId="level3text">
    <w:name w:val="level 3 text"/>
    <w:basedOn w:val="Normal"/>
    <w:rsid w:val="00143C39"/>
    <w:pPr>
      <w:spacing w:before="120" w:line="220" w:lineRule="exact"/>
      <w:ind w:left="1350" w:hanging="716"/>
    </w:pPr>
    <w:rPr>
      <w:i/>
    </w:rPr>
  </w:style>
  <w:style w:type="paragraph" w:customStyle="1" w:styleId="requirement">
    <w:name w:val="requirement"/>
    <w:basedOn w:val="level4"/>
    <w:rsid w:val="00143C39"/>
    <w:pPr>
      <w:spacing w:before="0"/>
      <w:ind w:left="2348" w:hanging="994"/>
    </w:pPr>
  </w:style>
  <w:style w:type="paragraph" w:customStyle="1" w:styleId="ByLine">
    <w:name w:val="ByLine"/>
    <w:basedOn w:val="Title"/>
    <w:rsid w:val="00143C39"/>
    <w:pPr>
      <w:keepNext w:val="0"/>
      <w:keepLines w:val="0"/>
      <w:tabs>
        <w:tab w:val="clear" w:pos="576"/>
      </w:tabs>
      <w:spacing w:after="720"/>
      <w:jc w:val="right"/>
    </w:pPr>
    <w:rPr>
      <w:b/>
      <w:sz w:val="28"/>
    </w:rPr>
  </w:style>
  <w:style w:type="paragraph" w:customStyle="1" w:styleId="ChangeHistoryTitle">
    <w:name w:val="ChangeHistory Title"/>
    <w:basedOn w:val="Normal"/>
    <w:rsid w:val="00143C39"/>
    <w:pPr>
      <w:keepNext/>
      <w:spacing w:before="60" w:after="60"/>
      <w:jc w:val="center"/>
    </w:pPr>
    <w:rPr>
      <w:b/>
      <w:sz w:val="36"/>
    </w:rPr>
  </w:style>
  <w:style w:type="paragraph" w:customStyle="1" w:styleId="SuperTitle">
    <w:name w:val="SuperTitle"/>
    <w:basedOn w:val="Title"/>
    <w:next w:val="Normal"/>
    <w:rsid w:val="00143C39"/>
    <w:pPr>
      <w:keepNext w:val="0"/>
      <w:keepLines w:val="0"/>
      <w:pBdr>
        <w:top w:val="single" w:sz="48" w:space="1" w:color="auto"/>
      </w:pBdr>
      <w:tabs>
        <w:tab w:val="clear" w:pos="576"/>
      </w:tabs>
      <w:spacing w:before="960" w:after="0"/>
      <w:jc w:val="right"/>
    </w:pPr>
    <w:rPr>
      <w:b/>
      <w:sz w:val="28"/>
    </w:rPr>
  </w:style>
  <w:style w:type="paragraph" w:customStyle="1" w:styleId="line">
    <w:name w:val="line"/>
    <w:basedOn w:val="Title"/>
    <w:rsid w:val="00143C39"/>
    <w:pPr>
      <w:keepNext w:val="0"/>
      <w:keepLines w:val="0"/>
      <w:pBdr>
        <w:top w:val="single" w:sz="36" w:space="1" w:color="auto"/>
      </w:pBdr>
      <w:tabs>
        <w:tab w:val="clear" w:pos="576"/>
      </w:tabs>
      <w:spacing w:after="0"/>
      <w:jc w:val="right"/>
    </w:pPr>
    <w:rPr>
      <w:b/>
      <w:sz w:val="40"/>
    </w:rPr>
  </w:style>
  <w:style w:type="paragraph" w:customStyle="1" w:styleId="Tabletext">
    <w:name w:val="Tabletext"/>
    <w:basedOn w:val="Normal"/>
    <w:rsid w:val="00143C39"/>
    <w:pPr>
      <w:keepLines/>
      <w:widowControl w:val="0"/>
      <w:spacing w:before="120" w:line="240" w:lineRule="atLeast"/>
    </w:pPr>
    <w:rPr>
      <w:sz w:val="20"/>
    </w:rPr>
  </w:style>
  <w:style w:type="paragraph" w:styleId="BodyText2">
    <w:name w:val="Body Text 2"/>
    <w:basedOn w:val="Normal"/>
    <w:link w:val="BodyText2Char"/>
    <w:rsid w:val="00143C39"/>
    <w:pPr>
      <w:spacing w:before="120"/>
    </w:pPr>
    <w:rPr>
      <w:sz w:val="20"/>
    </w:rPr>
  </w:style>
  <w:style w:type="character" w:customStyle="1" w:styleId="BodyText2Char">
    <w:name w:val="Body Text 2 Char"/>
    <w:basedOn w:val="DefaultParagraphFont"/>
    <w:link w:val="BodyText2"/>
    <w:rsid w:val="00143C39"/>
    <w:rPr>
      <w:szCs w:val="24"/>
    </w:rPr>
  </w:style>
  <w:style w:type="paragraph" w:styleId="BodyTextIndent3">
    <w:name w:val="Body Text Indent 3"/>
    <w:basedOn w:val="Normal"/>
    <w:link w:val="BodyTextIndent3Char"/>
    <w:rsid w:val="00143C39"/>
    <w:pPr>
      <w:spacing w:before="120"/>
      <w:ind w:left="360"/>
    </w:pPr>
    <w:rPr>
      <w:sz w:val="16"/>
      <w:szCs w:val="16"/>
    </w:rPr>
  </w:style>
  <w:style w:type="character" w:customStyle="1" w:styleId="BodyTextIndent3Char">
    <w:name w:val="Body Text Indent 3 Char"/>
    <w:basedOn w:val="DefaultParagraphFont"/>
    <w:link w:val="BodyTextIndent3"/>
    <w:rsid w:val="00143C39"/>
    <w:rPr>
      <w:rFonts w:ascii="Arial" w:hAnsi="Arial"/>
      <w:sz w:val="16"/>
      <w:szCs w:val="16"/>
    </w:rPr>
  </w:style>
  <w:style w:type="paragraph" w:styleId="BodyTextIndent">
    <w:name w:val="Body Text Indent"/>
    <w:basedOn w:val="Normal"/>
    <w:link w:val="BodyTextIndentChar"/>
    <w:rsid w:val="00143C39"/>
    <w:pPr>
      <w:spacing w:before="120"/>
      <w:ind w:left="720"/>
    </w:pPr>
    <w:rPr>
      <w:sz w:val="20"/>
    </w:rPr>
  </w:style>
  <w:style w:type="character" w:customStyle="1" w:styleId="BodyTextIndentChar">
    <w:name w:val="Body Text Indent Char"/>
    <w:basedOn w:val="DefaultParagraphFont"/>
    <w:link w:val="BodyTextIndent"/>
    <w:rsid w:val="00143C39"/>
    <w:rPr>
      <w:rFonts w:ascii="Arial" w:hAnsi="Arial"/>
    </w:rPr>
  </w:style>
  <w:style w:type="paragraph" w:customStyle="1" w:styleId="TableColumnHeads">
    <w:name w:val="Table Column Heads"/>
    <w:basedOn w:val="Normal"/>
    <w:rsid w:val="00143C39"/>
    <w:pPr>
      <w:keepLines/>
      <w:spacing w:before="120"/>
    </w:pPr>
    <w:rPr>
      <w:rFonts w:ascii="Arial Narrow" w:hAnsi="Arial Narrow"/>
      <w:b/>
      <w:bCs/>
      <w:smallCaps/>
    </w:rPr>
  </w:style>
  <w:style w:type="paragraph" w:styleId="BodyTextIndent2">
    <w:name w:val="Body Text Indent 2"/>
    <w:basedOn w:val="Normal"/>
    <w:link w:val="BodyTextIndent2Char"/>
    <w:rsid w:val="00143C39"/>
    <w:pPr>
      <w:spacing w:before="120"/>
      <w:ind w:left="720"/>
    </w:pPr>
  </w:style>
  <w:style w:type="character" w:customStyle="1" w:styleId="BodyTextIndent2Char">
    <w:name w:val="Body Text Indent 2 Char"/>
    <w:basedOn w:val="DefaultParagraphFont"/>
    <w:link w:val="BodyTextIndent2"/>
    <w:rsid w:val="00143C39"/>
    <w:rPr>
      <w:rFonts w:ascii="Arial" w:hAnsi="Arial"/>
      <w:sz w:val="22"/>
    </w:rPr>
  </w:style>
  <w:style w:type="paragraph" w:customStyle="1" w:styleId="InfoBlue">
    <w:name w:val="InfoBlue"/>
    <w:basedOn w:val="Normal"/>
    <w:next w:val="BodyText"/>
    <w:autoRedefine/>
    <w:rsid w:val="00143C39"/>
    <w:pPr>
      <w:spacing w:before="120"/>
    </w:pPr>
    <w:rPr>
      <w:b/>
      <w:bCs/>
      <w:i/>
      <w:color w:val="0000FF"/>
      <w:sz w:val="20"/>
    </w:rPr>
  </w:style>
  <w:style w:type="paragraph" w:customStyle="1" w:styleId="SectionLabel">
    <w:name w:val="Section Label"/>
    <w:basedOn w:val="Normal"/>
    <w:next w:val="Normal"/>
    <w:rsid w:val="00143C39"/>
    <w:pPr>
      <w:spacing w:before="2040" w:after="360" w:line="480" w:lineRule="atLeast"/>
    </w:pPr>
    <w:rPr>
      <w:rFonts w:ascii="Arial Black" w:hAnsi="Arial Black"/>
      <w:color w:val="808080"/>
      <w:spacing w:val="-35"/>
      <w:sz w:val="48"/>
    </w:rPr>
  </w:style>
  <w:style w:type="character" w:styleId="LineNumber">
    <w:name w:val="line number"/>
    <w:basedOn w:val="DefaultParagraphFont"/>
    <w:rsid w:val="00143C39"/>
  </w:style>
  <w:style w:type="paragraph" w:customStyle="1" w:styleId="TableText0">
    <w:name w:val="Table Text"/>
    <w:basedOn w:val="Normal"/>
    <w:link w:val="TableTextCharChar"/>
    <w:autoRedefine/>
    <w:rsid w:val="00143C39"/>
    <w:pPr>
      <w:spacing w:before="120"/>
    </w:pPr>
    <w:rPr>
      <w:rFonts w:eastAsia="Calibri"/>
      <w:sz w:val="20"/>
    </w:rPr>
  </w:style>
  <w:style w:type="character" w:customStyle="1" w:styleId="TableTextCharChar">
    <w:name w:val="Table Text Char Char"/>
    <w:basedOn w:val="DefaultParagraphFont"/>
    <w:link w:val="TableText0"/>
    <w:locked/>
    <w:rsid w:val="00143C39"/>
    <w:rPr>
      <w:rFonts w:ascii="Arial" w:eastAsia="Calibri" w:hAnsi="Arial"/>
    </w:rPr>
  </w:style>
  <w:style w:type="character" w:customStyle="1" w:styleId="msoins0">
    <w:name w:val="msoins"/>
    <w:basedOn w:val="DefaultParagraphFont"/>
    <w:rsid w:val="00143C39"/>
  </w:style>
  <w:style w:type="character" w:customStyle="1" w:styleId="content1">
    <w:name w:val="content1"/>
    <w:basedOn w:val="DefaultParagraphFont"/>
    <w:rsid w:val="00143C39"/>
    <w:rPr>
      <w:rFonts w:ascii="Arial" w:hAnsi="Arial" w:cs="Arial" w:hint="default"/>
      <w:color w:val="000000"/>
      <w:sz w:val="17"/>
      <w:szCs w:val="17"/>
    </w:rPr>
  </w:style>
  <w:style w:type="character" w:customStyle="1" w:styleId="EmailStyle161">
    <w:name w:val="EmailStyle161"/>
    <w:basedOn w:val="DefaultParagraphFont"/>
    <w:rsid w:val="00C35D4D"/>
    <w:rPr>
      <w:rFonts w:ascii="Arial" w:hAnsi="Arial" w:cs="Arial"/>
      <w:color w:val="auto"/>
      <w:sz w:val="20"/>
    </w:rPr>
  </w:style>
  <w:style w:type="paragraph" w:styleId="EndnoteText">
    <w:name w:val="endnote text"/>
    <w:basedOn w:val="Paragraph"/>
    <w:link w:val="EndnoteTextChar"/>
    <w:rsid w:val="00143C39"/>
    <w:pPr>
      <w:spacing w:before="55"/>
    </w:pPr>
    <w:rPr>
      <w:kern w:val="0"/>
    </w:rPr>
  </w:style>
  <w:style w:type="character" w:customStyle="1" w:styleId="EndnoteTextChar">
    <w:name w:val="Endnote Text Char"/>
    <w:basedOn w:val="DefaultParagraphFont"/>
    <w:link w:val="EndnoteText"/>
    <w:rsid w:val="00143C39"/>
    <w:rPr>
      <w:sz w:val="22"/>
      <w:szCs w:val="24"/>
    </w:rPr>
  </w:style>
  <w:style w:type="paragraph" w:styleId="EnvelopeAddress">
    <w:name w:val="envelope address"/>
    <w:basedOn w:val="Normal"/>
    <w:rsid w:val="00143C39"/>
    <w:pPr>
      <w:keepNext/>
      <w:keepLines/>
      <w:framePr w:w="7920" w:wrap="around" w:hAnchor="text" w:xAlign="center" w:yAlign="bottom"/>
      <w:widowControl w:val="0"/>
      <w:suppressAutoHyphens/>
      <w:ind w:left="2880"/>
    </w:pPr>
  </w:style>
  <w:style w:type="paragraph" w:styleId="EnvelopeReturn">
    <w:name w:val="envelope return"/>
    <w:basedOn w:val="Normal"/>
    <w:next w:val="EnvelopeAddress"/>
    <w:rsid w:val="00143C39"/>
    <w:pPr>
      <w:keepNext/>
      <w:keepLines/>
      <w:widowControl w:val="0"/>
      <w:suppressAutoHyphens/>
      <w:ind w:right="4320"/>
    </w:pPr>
  </w:style>
  <w:style w:type="paragraph" w:styleId="MessageHeader">
    <w:name w:val="Message Header"/>
    <w:basedOn w:val="Normal"/>
    <w:link w:val="MessageHeaderChar"/>
    <w:qFormat/>
    <w:rsid w:val="00143C39"/>
    <w:pPr>
      <w:widowControl w:val="0"/>
      <w:tabs>
        <w:tab w:val="center" w:pos="4680"/>
        <w:tab w:val="right" w:pos="9360"/>
      </w:tabs>
      <w:suppressAutoHyphens/>
    </w:pPr>
  </w:style>
  <w:style w:type="character" w:customStyle="1" w:styleId="MessageHeaderChar">
    <w:name w:val="Message Header Char"/>
    <w:basedOn w:val="DefaultParagraphFont"/>
    <w:link w:val="MessageHeader"/>
    <w:rsid w:val="00143C39"/>
    <w:rPr>
      <w:sz w:val="24"/>
      <w:szCs w:val="24"/>
    </w:rPr>
  </w:style>
  <w:style w:type="paragraph" w:customStyle="1" w:styleId="Equation">
    <w:name w:val="Equation"/>
    <w:basedOn w:val="MessageHeader"/>
    <w:next w:val="Paragraph"/>
    <w:uiPriority w:val="1"/>
    <w:qFormat/>
    <w:rsid w:val="00143C39"/>
    <w:pPr>
      <w:keepLines/>
      <w:spacing w:before="120"/>
    </w:pPr>
  </w:style>
  <w:style w:type="paragraph" w:customStyle="1" w:styleId="Fill">
    <w:name w:val="Fill"/>
    <w:basedOn w:val="Normal"/>
    <w:uiPriority w:val="1"/>
    <w:rsid w:val="00143C39"/>
    <w:pPr>
      <w:widowControl w:val="0"/>
      <w:tabs>
        <w:tab w:val="right" w:leader="underscore" w:pos="9360"/>
      </w:tabs>
      <w:suppressAutoHyphens/>
    </w:pPr>
  </w:style>
  <w:style w:type="paragraph" w:customStyle="1" w:styleId="FramedCaption">
    <w:name w:val="Framed Caption"/>
    <w:basedOn w:val="Caption"/>
    <w:next w:val="Paragraph"/>
    <w:uiPriority w:val="1"/>
    <w:qFormat/>
    <w:rsid w:val="00143C39"/>
    <w:pPr>
      <w:keepNext w:val="0"/>
      <w:keepLines/>
      <w:framePr w:wrap="notBeside" w:vAnchor="text" w:hAnchor="text" w:xAlign="center" w:y="1"/>
      <w:widowControl w:val="0"/>
      <w:suppressAutoHyphens/>
    </w:pPr>
    <w:rPr>
      <w:i/>
    </w:rPr>
  </w:style>
  <w:style w:type="paragraph" w:customStyle="1" w:styleId="FramedFigure">
    <w:name w:val="Framed Figure"/>
    <w:basedOn w:val="Figure"/>
    <w:next w:val="FramedCaption"/>
    <w:uiPriority w:val="1"/>
    <w:qFormat/>
    <w:rsid w:val="00143C39"/>
    <w:pPr>
      <w:framePr w:wrap="notBeside" w:vAnchor="text" w:hAnchor="text" w:xAlign="center" w:y="1"/>
      <w:spacing w:before="240" w:after="120"/>
    </w:pPr>
    <w:rPr>
      <w:kern w:val="0"/>
    </w:rPr>
  </w:style>
  <w:style w:type="paragraph" w:customStyle="1" w:styleId="Table">
    <w:name w:val="Table"/>
    <w:basedOn w:val="Normal"/>
    <w:qFormat/>
    <w:rsid w:val="00143C39"/>
    <w:pPr>
      <w:widowControl w:val="0"/>
      <w:suppressAutoHyphens/>
      <w:jc w:val="center"/>
    </w:pPr>
  </w:style>
  <w:style w:type="paragraph" w:customStyle="1" w:styleId="FramedTable">
    <w:name w:val="Framed Table"/>
    <w:basedOn w:val="Table"/>
    <w:uiPriority w:val="1"/>
    <w:qFormat/>
    <w:rsid w:val="00143C39"/>
    <w:pPr>
      <w:framePr w:wrap="notBeside" w:vAnchor="text" w:hAnchor="text" w:xAlign="center" w:y="1"/>
    </w:pPr>
  </w:style>
  <w:style w:type="paragraph" w:styleId="Index1">
    <w:name w:val="index 1"/>
    <w:basedOn w:val="BodyText"/>
    <w:rsid w:val="00143C39"/>
    <w:pPr>
      <w:tabs>
        <w:tab w:val="right" w:leader="dot" w:pos="4320"/>
      </w:tabs>
      <w:suppressAutoHyphens/>
      <w:spacing w:before="0"/>
      <w:ind w:hanging="360"/>
    </w:pPr>
  </w:style>
  <w:style w:type="paragraph" w:styleId="Index2">
    <w:name w:val="index 2"/>
    <w:basedOn w:val="Index1"/>
    <w:rsid w:val="00143C39"/>
    <w:pPr>
      <w:ind w:left="720"/>
    </w:pPr>
  </w:style>
  <w:style w:type="paragraph" w:styleId="Index3">
    <w:name w:val="index 3"/>
    <w:basedOn w:val="Index2"/>
    <w:rsid w:val="00143C39"/>
    <w:pPr>
      <w:ind w:left="1080"/>
    </w:pPr>
  </w:style>
  <w:style w:type="paragraph" w:styleId="Index4">
    <w:name w:val="index 4"/>
    <w:basedOn w:val="Index3"/>
    <w:rsid w:val="00143C39"/>
    <w:pPr>
      <w:ind w:left="1440"/>
    </w:pPr>
  </w:style>
  <w:style w:type="paragraph" w:styleId="Index5">
    <w:name w:val="index 5"/>
    <w:basedOn w:val="Index4"/>
    <w:rsid w:val="00143C39"/>
    <w:pPr>
      <w:ind w:left="1800"/>
    </w:pPr>
  </w:style>
  <w:style w:type="paragraph" w:styleId="Index6">
    <w:name w:val="index 6"/>
    <w:basedOn w:val="Index5"/>
    <w:rsid w:val="00143C39"/>
    <w:pPr>
      <w:ind w:left="2160"/>
    </w:pPr>
  </w:style>
  <w:style w:type="paragraph" w:styleId="Index7">
    <w:name w:val="index 7"/>
    <w:basedOn w:val="Index6"/>
    <w:rsid w:val="00143C39"/>
    <w:pPr>
      <w:ind w:left="2520"/>
    </w:pPr>
  </w:style>
  <w:style w:type="paragraph" w:styleId="Index8">
    <w:name w:val="index 8"/>
    <w:basedOn w:val="Index7"/>
    <w:rsid w:val="00143C39"/>
    <w:pPr>
      <w:ind w:left="2880"/>
    </w:pPr>
  </w:style>
  <w:style w:type="paragraph" w:styleId="Index9">
    <w:name w:val="index 9"/>
    <w:basedOn w:val="Index8"/>
    <w:rsid w:val="00143C39"/>
    <w:pPr>
      <w:ind w:left="3240"/>
    </w:pPr>
  </w:style>
  <w:style w:type="paragraph" w:styleId="IndexHeading">
    <w:name w:val="index heading"/>
    <w:basedOn w:val="Normal"/>
    <w:next w:val="Index1"/>
    <w:qFormat/>
    <w:rsid w:val="00143C39"/>
    <w:pPr>
      <w:keepNext/>
      <w:keepLines/>
      <w:widowControl w:val="0"/>
      <w:suppressAutoHyphens/>
      <w:spacing w:before="110" w:after="55"/>
    </w:pPr>
    <w:rPr>
      <w:b/>
      <w:i/>
    </w:rPr>
  </w:style>
  <w:style w:type="paragraph" w:styleId="MacroText">
    <w:name w:val="macro"/>
    <w:basedOn w:val="Normal"/>
    <w:link w:val="MacroTextChar"/>
    <w:rsid w:val="00143C39"/>
    <w:pPr>
      <w:widowControl w:val="0"/>
      <w:suppressAutoHyphens/>
    </w:pPr>
    <w:rPr>
      <w:rFonts w:ascii="Courier New" w:hAnsi="Courier New"/>
      <w:sz w:val="20"/>
    </w:rPr>
  </w:style>
  <w:style w:type="character" w:customStyle="1" w:styleId="MacroTextChar">
    <w:name w:val="Macro Text Char"/>
    <w:basedOn w:val="DefaultParagraphFont"/>
    <w:link w:val="MacroText"/>
    <w:rsid w:val="00143C39"/>
    <w:rPr>
      <w:rFonts w:ascii="Courier New" w:hAnsi="Courier New"/>
      <w:szCs w:val="24"/>
    </w:rPr>
  </w:style>
  <w:style w:type="paragraph" w:customStyle="1" w:styleId="ParagraphFirstIndent">
    <w:name w:val="Paragraph First Indent"/>
    <w:basedOn w:val="Paragraph"/>
    <w:rsid w:val="00143C39"/>
    <w:pPr>
      <w:ind w:firstLine="360"/>
    </w:pPr>
    <w:rPr>
      <w:kern w:val="0"/>
    </w:rPr>
  </w:style>
  <w:style w:type="paragraph" w:customStyle="1" w:styleId="ParagraphHangingIndent">
    <w:name w:val="Paragraph Hanging Indent"/>
    <w:basedOn w:val="Paragraph"/>
    <w:rsid w:val="00143C39"/>
    <w:pPr>
      <w:ind w:left="360" w:hanging="360"/>
    </w:pPr>
    <w:rPr>
      <w:kern w:val="0"/>
    </w:rPr>
  </w:style>
  <w:style w:type="paragraph" w:customStyle="1" w:styleId="ParagraphIndent">
    <w:name w:val="Paragraph Indent"/>
    <w:basedOn w:val="Paragraph"/>
    <w:rsid w:val="00143C39"/>
    <w:pPr>
      <w:ind w:left="360"/>
    </w:pPr>
    <w:rPr>
      <w:kern w:val="0"/>
    </w:rPr>
  </w:style>
  <w:style w:type="paragraph" w:styleId="Quote">
    <w:name w:val="Quote"/>
    <w:basedOn w:val="Paragraph"/>
    <w:next w:val="Paragraph"/>
    <w:link w:val="QuoteChar"/>
    <w:qFormat/>
    <w:rsid w:val="00143C39"/>
    <w:pPr>
      <w:ind w:left="720" w:right="720"/>
    </w:pPr>
    <w:rPr>
      <w:rFonts w:ascii="Arial" w:hAnsi="Arial"/>
      <w:kern w:val="0"/>
    </w:rPr>
  </w:style>
  <w:style w:type="character" w:customStyle="1" w:styleId="QuoteChar">
    <w:name w:val="Quote Char"/>
    <w:basedOn w:val="DefaultParagraphFont"/>
    <w:link w:val="Quote"/>
    <w:rsid w:val="00143C39"/>
    <w:rPr>
      <w:rFonts w:ascii="Arial" w:hAnsi="Arial"/>
      <w:sz w:val="22"/>
      <w:szCs w:val="24"/>
    </w:rPr>
  </w:style>
  <w:style w:type="paragraph" w:customStyle="1" w:styleId="Reference">
    <w:name w:val="Reference"/>
    <w:basedOn w:val="EndnoteText"/>
    <w:qFormat/>
    <w:rsid w:val="00143C39"/>
    <w:pPr>
      <w:ind w:left="360" w:hanging="360"/>
    </w:pPr>
  </w:style>
  <w:style w:type="paragraph" w:customStyle="1" w:styleId="Title2">
    <w:name w:val="Title 2"/>
    <w:basedOn w:val="Heading2"/>
    <w:next w:val="Paragraph"/>
    <w:rsid w:val="00143C39"/>
    <w:pPr>
      <w:keepLines/>
      <w:widowControl w:val="0"/>
      <w:numPr>
        <w:ilvl w:val="0"/>
        <w:numId w:val="0"/>
      </w:numPr>
      <w:suppressAutoHyphens/>
      <w:spacing w:before="360" w:after="60"/>
    </w:pPr>
    <w:rPr>
      <w:rFonts w:ascii="Times New Roman Bold" w:hAnsi="Times New Roman Bold"/>
      <w:sz w:val="24"/>
    </w:rPr>
  </w:style>
  <w:style w:type="paragraph" w:styleId="TableofAuthorities">
    <w:name w:val="table of authorities"/>
    <w:basedOn w:val="Index1"/>
    <w:rsid w:val="00143C39"/>
    <w:pPr>
      <w:tabs>
        <w:tab w:val="clear" w:pos="4320"/>
        <w:tab w:val="right" w:leader="dot" w:pos="9360"/>
      </w:tabs>
    </w:pPr>
  </w:style>
  <w:style w:type="paragraph" w:customStyle="1" w:styleId="Title1">
    <w:name w:val="Title 1"/>
    <w:basedOn w:val="Heading1"/>
    <w:next w:val="Paragraph"/>
    <w:rsid w:val="00143C39"/>
    <w:pPr>
      <w:keepLines/>
      <w:widowControl w:val="0"/>
      <w:numPr>
        <w:numId w:val="0"/>
      </w:numPr>
      <w:suppressAutoHyphens/>
      <w:spacing w:before="480" w:after="60"/>
    </w:pPr>
    <w:rPr>
      <w:rFonts w:ascii="Times New Roman Bold" w:hAnsi="Times New Roman Bold"/>
      <w:kern w:val="0"/>
      <w:sz w:val="24"/>
    </w:rPr>
  </w:style>
  <w:style w:type="paragraph" w:customStyle="1" w:styleId="Title3">
    <w:name w:val="Title 3"/>
    <w:basedOn w:val="Heading3"/>
    <w:next w:val="Paragraph"/>
    <w:rsid w:val="00143C39"/>
    <w:pPr>
      <w:keepLines/>
      <w:widowControl w:val="0"/>
      <w:numPr>
        <w:ilvl w:val="0"/>
        <w:numId w:val="0"/>
      </w:numPr>
      <w:suppressAutoHyphens/>
      <w:spacing w:before="240" w:after="60"/>
    </w:pPr>
    <w:rPr>
      <w:rFonts w:ascii="Times New Roman Bold" w:hAnsi="Times New Roman Bold"/>
      <w:sz w:val="24"/>
    </w:rPr>
  </w:style>
  <w:style w:type="paragraph" w:styleId="TOAHeading">
    <w:name w:val="toa heading"/>
    <w:basedOn w:val="IndexHeading"/>
    <w:next w:val="TableofAuthorities"/>
    <w:rsid w:val="00143C39"/>
  </w:style>
  <w:style w:type="paragraph" w:styleId="TOCHeading">
    <w:name w:val="TOC Heading"/>
    <w:basedOn w:val="Normal"/>
    <w:next w:val="TOC1"/>
    <w:rsid w:val="00143C39"/>
    <w:pPr>
      <w:keepNext/>
      <w:keepLines/>
      <w:widowControl w:val="0"/>
      <w:suppressAutoHyphens/>
      <w:spacing w:before="120"/>
      <w:jc w:val="right"/>
    </w:pPr>
    <w:rPr>
      <w:b/>
      <w:i/>
    </w:rPr>
  </w:style>
  <w:style w:type="paragraph" w:styleId="ListNumber">
    <w:name w:val="List Number"/>
    <w:basedOn w:val="Normal"/>
    <w:uiPriority w:val="99"/>
    <w:unhideWhenUsed/>
    <w:rsid w:val="00143C39"/>
    <w:pPr>
      <w:widowControl w:val="0"/>
      <w:numPr>
        <w:numId w:val="47"/>
      </w:numPr>
      <w:suppressAutoHyphens/>
      <w:contextualSpacing/>
    </w:pPr>
  </w:style>
  <w:style w:type="paragraph" w:styleId="ListNumber2">
    <w:name w:val="List Number 2"/>
    <w:basedOn w:val="Normal"/>
    <w:uiPriority w:val="99"/>
    <w:unhideWhenUsed/>
    <w:rsid w:val="00143C39"/>
    <w:pPr>
      <w:widowControl w:val="0"/>
      <w:numPr>
        <w:numId w:val="48"/>
      </w:numPr>
      <w:suppressAutoHyphens/>
      <w:contextualSpacing/>
    </w:pPr>
  </w:style>
  <w:style w:type="paragraph" w:styleId="ListNumber3">
    <w:name w:val="List Number 3"/>
    <w:basedOn w:val="Normal"/>
    <w:uiPriority w:val="99"/>
    <w:unhideWhenUsed/>
    <w:rsid w:val="00143C39"/>
    <w:pPr>
      <w:widowControl w:val="0"/>
      <w:numPr>
        <w:numId w:val="49"/>
      </w:numPr>
      <w:suppressAutoHyphens/>
      <w:contextualSpacing/>
    </w:pPr>
  </w:style>
  <w:style w:type="paragraph" w:styleId="ListNumber4">
    <w:name w:val="List Number 4"/>
    <w:basedOn w:val="Normal"/>
    <w:uiPriority w:val="99"/>
    <w:unhideWhenUsed/>
    <w:rsid w:val="00143C39"/>
    <w:pPr>
      <w:widowControl w:val="0"/>
      <w:numPr>
        <w:numId w:val="50"/>
      </w:numPr>
      <w:suppressAutoHyphens/>
      <w:contextualSpacing/>
    </w:pPr>
  </w:style>
  <w:style w:type="paragraph" w:styleId="ListNumber5">
    <w:name w:val="List Number 5"/>
    <w:basedOn w:val="Normal"/>
    <w:uiPriority w:val="99"/>
    <w:unhideWhenUsed/>
    <w:rsid w:val="00143C39"/>
    <w:pPr>
      <w:widowControl w:val="0"/>
      <w:numPr>
        <w:numId w:val="51"/>
      </w:numPr>
      <w:suppressAutoHyphens/>
      <w:contextualSpacing/>
    </w:pPr>
  </w:style>
  <w:style w:type="table" w:customStyle="1" w:styleId="TableGrid4">
    <w:name w:val="Table Grid4"/>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47D9D"/>
    <w:pPr>
      <w:spacing w:before="120" w:after="12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B25BB"/>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basedOn w:val="DefaultParagraphFont"/>
    <w:link w:val="DocumentMap"/>
    <w:semiHidden/>
    <w:rsid w:val="006571FF"/>
    <w:rPr>
      <w:rFonts w:ascii="Tahoma" w:eastAsiaTheme="minorHAnsi" w:hAnsi="Tahoma" w:cs="Tahoma"/>
      <w:szCs w:val="22"/>
      <w:shd w:val="clear" w:color="auto" w:fill="000080"/>
    </w:rPr>
  </w:style>
  <w:style w:type="character" w:customStyle="1" w:styleId="ListParagraphChar">
    <w:name w:val="List Paragraph Char"/>
    <w:basedOn w:val="DefaultParagraphFont"/>
    <w:link w:val="ListParagraph"/>
    <w:uiPriority w:val="34"/>
    <w:locked/>
    <w:rsid w:val="006571F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E6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597">
      <w:bodyDiv w:val="1"/>
      <w:marLeft w:val="0"/>
      <w:marRight w:val="0"/>
      <w:marTop w:val="0"/>
      <w:marBottom w:val="0"/>
      <w:divBdr>
        <w:top w:val="none" w:sz="0" w:space="0" w:color="auto"/>
        <w:left w:val="none" w:sz="0" w:space="0" w:color="auto"/>
        <w:bottom w:val="none" w:sz="0" w:space="0" w:color="auto"/>
        <w:right w:val="none" w:sz="0" w:space="0" w:color="auto"/>
      </w:divBdr>
    </w:div>
    <w:div w:id="58288785">
      <w:bodyDiv w:val="1"/>
      <w:marLeft w:val="0"/>
      <w:marRight w:val="0"/>
      <w:marTop w:val="0"/>
      <w:marBottom w:val="0"/>
      <w:divBdr>
        <w:top w:val="none" w:sz="0" w:space="0" w:color="auto"/>
        <w:left w:val="none" w:sz="0" w:space="0" w:color="auto"/>
        <w:bottom w:val="none" w:sz="0" w:space="0" w:color="auto"/>
        <w:right w:val="none" w:sz="0" w:space="0" w:color="auto"/>
      </w:divBdr>
    </w:div>
    <w:div w:id="61418111">
      <w:bodyDiv w:val="1"/>
      <w:marLeft w:val="0"/>
      <w:marRight w:val="0"/>
      <w:marTop w:val="0"/>
      <w:marBottom w:val="0"/>
      <w:divBdr>
        <w:top w:val="none" w:sz="0" w:space="0" w:color="auto"/>
        <w:left w:val="none" w:sz="0" w:space="0" w:color="auto"/>
        <w:bottom w:val="none" w:sz="0" w:space="0" w:color="auto"/>
        <w:right w:val="none" w:sz="0" w:space="0" w:color="auto"/>
      </w:divBdr>
    </w:div>
    <w:div w:id="62488098">
      <w:bodyDiv w:val="1"/>
      <w:marLeft w:val="0"/>
      <w:marRight w:val="0"/>
      <w:marTop w:val="0"/>
      <w:marBottom w:val="0"/>
      <w:divBdr>
        <w:top w:val="none" w:sz="0" w:space="0" w:color="auto"/>
        <w:left w:val="none" w:sz="0" w:space="0" w:color="auto"/>
        <w:bottom w:val="none" w:sz="0" w:space="0" w:color="auto"/>
        <w:right w:val="none" w:sz="0" w:space="0" w:color="auto"/>
      </w:divBdr>
    </w:div>
    <w:div w:id="97333329">
      <w:bodyDiv w:val="1"/>
      <w:marLeft w:val="0"/>
      <w:marRight w:val="0"/>
      <w:marTop w:val="0"/>
      <w:marBottom w:val="0"/>
      <w:divBdr>
        <w:top w:val="none" w:sz="0" w:space="0" w:color="auto"/>
        <w:left w:val="none" w:sz="0" w:space="0" w:color="auto"/>
        <w:bottom w:val="none" w:sz="0" w:space="0" w:color="auto"/>
        <w:right w:val="none" w:sz="0" w:space="0" w:color="auto"/>
      </w:divBdr>
    </w:div>
    <w:div w:id="108474036">
      <w:bodyDiv w:val="1"/>
      <w:marLeft w:val="0"/>
      <w:marRight w:val="0"/>
      <w:marTop w:val="0"/>
      <w:marBottom w:val="0"/>
      <w:divBdr>
        <w:top w:val="none" w:sz="0" w:space="0" w:color="auto"/>
        <w:left w:val="none" w:sz="0" w:space="0" w:color="auto"/>
        <w:bottom w:val="none" w:sz="0" w:space="0" w:color="auto"/>
        <w:right w:val="none" w:sz="0" w:space="0" w:color="auto"/>
      </w:divBdr>
    </w:div>
    <w:div w:id="110830485">
      <w:bodyDiv w:val="1"/>
      <w:marLeft w:val="0"/>
      <w:marRight w:val="0"/>
      <w:marTop w:val="0"/>
      <w:marBottom w:val="0"/>
      <w:divBdr>
        <w:top w:val="none" w:sz="0" w:space="0" w:color="auto"/>
        <w:left w:val="none" w:sz="0" w:space="0" w:color="auto"/>
        <w:bottom w:val="none" w:sz="0" w:space="0" w:color="auto"/>
        <w:right w:val="none" w:sz="0" w:space="0" w:color="auto"/>
      </w:divBdr>
    </w:div>
    <w:div w:id="112217138">
      <w:bodyDiv w:val="1"/>
      <w:marLeft w:val="0"/>
      <w:marRight w:val="0"/>
      <w:marTop w:val="0"/>
      <w:marBottom w:val="0"/>
      <w:divBdr>
        <w:top w:val="none" w:sz="0" w:space="0" w:color="auto"/>
        <w:left w:val="none" w:sz="0" w:space="0" w:color="auto"/>
        <w:bottom w:val="none" w:sz="0" w:space="0" w:color="auto"/>
        <w:right w:val="none" w:sz="0" w:space="0" w:color="auto"/>
      </w:divBdr>
    </w:div>
    <w:div w:id="127942379">
      <w:bodyDiv w:val="1"/>
      <w:marLeft w:val="0"/>
      <w:marRight w:val="0"/>
      <w:marTop w:val="0"/>
      <w:marBottom w:val="0"/>
      <w:divBdr>
        <w:top w:val="none" w:sz="0" w:space="0" w:color="auto"/>
        <w:left w:val="none" w:sz="0" w:space="0" w:color="auto"/>
        <w:bottom w:val="none" w:sz="0" w:space="0" w:color="auto"/>
        <w:right w:val="none" w:sz="0" w:space="0" w:color="auto"/>
      </w:divBdr>
    </w:div>
    <w:div w:id="132794549">
      <w:bodyDiv w:val="1"/>
      <w:marLeft w:val="0"/>
      <w:marRight w:val="0"/>
      <w:marTop w:val="0"/>
      <w:marBottom w:val="0"/>
      <w:divBdr>
        <w:top w:val="none" w:sz="0" w:space="0" w:color="auto"/>
        <w:left w:val="none" w:sz="0" w:space="0" w:color="auto"/>
        <w:bottom w:val="none" w:sz="0" w:space="0" w:color="auto"/>
        <w:right w:val="none" w:sz="0" w:space="0" w:color="auto"/>
      </w:divBdr>
    </w:div>
    <w:div w:id="191387136">
      <w:bodyDiv w:val="1"/>
      <w:marLeft w:val="0"/>
      <w:marRight w:val="0"/>
      <w:marTop w:val="0"/>
      <w:marBottom w:val="0"/>
      <w:divBdr>
        <w:top w:val="none" w:sz="0" w:space="0" w:color="auto"/>
        <w:left w:val="none" w:sz="0" w:space="0" w:color="auto"/>
        <w:bottom w:val="none" w:sz="0" w:space="0" w:color="auto"/>
        <w:right w:val="none" w:sz="0" w:space="0" w:color="auto"/>
      </w:divBdr>
    </w:div>
    <w:div w:id="197662450">
      <w:bodyDiv w:val="1"/>
      <w:marLeft w:val="0"/>
      <w:marRight w:val="0"/>
      <w:marTop w:val="0"/>
      <w:marBottom w:val="0"/>
      <w:divBdr>
        <w:top w:val="none" w:sz="0" w:space="0" w:color="auto"/>
        <w:left w:val="none" w:sz="0" w:space="0" w:color="auto"/>
        <w:bottom w:val="none" w:sz="0" w:space="0" w:color="auto"/>
        <w:right w:val="none" w:sz="0" w:space="0" w:color="auto"/>
      </w:divBdr>
    </w:div>
    <w:div w:id="238637207">
      <w:bodyDiv w:val="1"/>
      <w:marLeft w:val="0"/>
      <w:marRight w:val="0"/>
      <w:marTop w:val="0"/>
      <w:marBottom w:val="0"/>
      <w:divBdr>
        <w:top w:val="none" w:sz="0" w:space="0" w:color="auto"/>
        <w:left w:val="none" w:sz="0" w:space="0" w:color="auto"/>
        <w:bottom w:val="none" w:sz="0" w:space="0" w:color="auto"/>
        <w:right w:val="none" w:sz="0" w:space="0" w:color="auto"/>
      </w:divBdr>
    </w:div>
    <w:div w:id="250546341">
      <w:bodyDiv w:val="1"/>
      <w:marLeft w:val="0"/>
      <w:marRight w:val="0"/>
      <w:marTop w:val="0"/>
      <w:marBottom w:val="0"/>
      <w:divBdr>
        <w:top w:val="none" w:sz="0" w:space="0" w:color="auto"/>
        <w:left w:val="none" w:sz="0" w:space="0" w:color="auto"/>
        <w:bottom w:val="none" w:sz="0" w:space="0" w:color="auto"/>
        <w:right w:val="none" w:sz="0" w:space="0" w:color="auto"/>
      </w:divBdr>
    </w:div>
    <w:div w:id="271672709">
      <w:bodyDiv w:val="1"/>
      <w:marLeft w:val="0"/>
      <w:marRight w:val="0"/>
      <w:marTop w:val="0"/>
      <w:marBottom w:val="0"/>
      <w:divBdr>
        <w:top w:val="none" w:sz="0" w:space="0" w:color="auto"/>
        <w:left w:val="none" w:sz="0" w:space="0" w:color="auto"/>
        <w:bottom w:val="none" w:sz="0" w:space="0" w:color="auto"/>
        <w:right w:val="none" w:sz="0" w:space="0" w:color="auto"/>
      </w:divBdr>
    </w:div>
    <w:div w:id="280382045">
      <w:bodyDiv w:val="1"/>
      <w:marLeft w:val="0"/>
      <w:marRight w:val="0"/>
      <w:marTop w:val="0"/>
      <w:marBottom w:val="0"/>
      <w:divBdr>
        <w:top w:val="none" w:sz="0" w:space="0" w:color="auto"/>
        <w:left w:val="none" w:sz="0" w:space="0" w:color="auto"/>
        <w:bottom w:val="none" w:sz="0" w:space="0" w:color="auto"/>
        <w:right w:val="none" w:sz="0" w:space="0" w:color="auto"/>
      </w:divBdr>
    </w:div>
    <w:div w:id="285892418">
      <w:bodyDiv w:val="1"/>
      <w:marLeft w:val="0"/>
      <w:marRight w:val="0"/>
      <w:marTop w:val="0"/>
      <w:marBottom w:val="0"/>
      <w:divBdr>
        <w:top w:val="none" w:sz="0" w:space="0" w:color="auto"/>
        <w:left w:val="none" w:sz="0" w:space="0" w:color="auto"/>
        <w:bottom w:val="none" w:sz="0" w:space="0" w:color="auto"/>
        <w:right w:val="none" w:sz="0" w:space="0" w:color="auto"/>
      </w:divBdr>
    </w:div>
    <w:div w:id="286393628">
      <w:bodyDiv w:val="1"/>
      <w:marLeft w:val="0"/>
      <w:marRight w:val="0"/>
      <w:marTop w:val="0"/>
      <w:marBottom w:val="0"/>
      <w:divBdr>
        <w:top w:val="none" w:sz="0" w:space="0" w:color="auto"/>
        <w:left w:val="none" w:sz="0" w:space="0" w:color="auto"/>
        <w:bottom w:val="none" w:sz="0" w:space="0" w:color="auto"/>
        <w:right w:val="none" w:sz="0" w:space="0" w:color="auto"/>
      </w:divBdr>
    </w:div>
    <w:div w:id="388892371">
      <w:bodyDiv w:val="1"/>
      <w:marLeft w:val="0"/>
      <w:marRight w:val="0"/>
      <w:marTop w:val="0"/>
      <w:marBottom w:val="0"/>
      <w:divBdr>
        <w:top w:val="none" w:sz="0" w:space="0" w:color="auto"/>
        <w:left w:val="none" w:sz="0" w:space="0" w:color="auto"/>
        <w:bottom w:val="none" w:sz="0" w:space="0" w:color="auto"/>
        <w:right w:val="none" w:sz="0" w:space="0" w:color="auto"/>
      </w:divBdr>
    </w:div>
    <w:div w:id="397439266">
      <w:bodyDiv w:val="1"/>
      <w:marLeft w:val="0"/>
      <w:marRight w:val="0"/>
      <w:marTop w:val="0"/>
      <w:marBottom w:val="0"/>
      <w:divBdr>
        <w:top w:val="none" w:sz="0" w:space="0" w:color="auto"/>
        <w:left w:val="none" w:sz="0" w:space="0" w:color="auto"/>
        <w:bottom w:val="none" w:sz="0" w:space="0" w:color="auto"/>
        <w:right w:val="none" w:sz="0" w:space="0" w:color="auto"/>
      </w:divBdr>
    </w:div>
    <w:div w:id="449859385">
      <w:bodyDiv w:val="1"/>
      <w:marLeft w:val="0"/>
      <w:marRight w:val="0"/>
      <w:marTop w:val="0"/>
      <w:marBottom w:val="0"/>
      <w:divBdr>
        <w:top w:val="none" w:sz="0" w:space="0" w:color="auto"/>
        <w:left w:val="none" w:sz="0" w:space="0" w:color="auto"/>
        <w:bottom w:val="none" w:sz="0" w:space="0" w:color="auto"/>
        <w:right w:val="none" w:sz="0" w:space="0" w:color="auto"/>
      </w:divBdr>
      <w:divsChild>
        <w:div w:id="766386032">
          <w:marLeft w:val="0"/>
          <w:marRight w:val="0"/>
          <w:marTop w:val="0"/>
          <w:marBottom w:val="0"/>
          <w:divBdr>
            <w:top w:val="none" w:sz="0" w:space="0" w:color="auto"/>
            <w:left w:val="none" w:sz="0" w:space="0" w:color="auto"/>
            <w:bottom w:val="none" w:sz="0" w:space="0" w:color="auto"/>
            <w:right w:val="none" w:sz="0" w:space="0" w:color="auto"/>
          </w:divBdr>
        </w:div>
      </w:divsChild>
    </w:div>
    <w:div w:id="452753797">
      <w:bodyDiv w:val="1"/>
      <w:marLeft w:val="0"/>
      <w:marRight w:val="0"/>
      <w:marTop w:val="0"/>
      <w:marBottom w:val="0"/>
      <w:divBdr>
        <w:top w:val="none" w:sz="0" w:space="0" w:color="auto"/>
        <w:left w:val="none" w:sz="0" w:space="0" w:color="auto"/>
        <w:bottom w:val="none" w:sz="0" w:space="0" w:color="auto"/>
        <w:right w:val="none" w:sz="0" w:space="0" w:color="auto"/>
      </w:divBdr>
    </w:div>
    <w:div w:id="469710312">
      <w:bodyDiv w:val="1"/>
      <w:marLeft w:val="0"/>
      <w:marRight w:val="0"/>
      <w:marTop w:val="0"/>
      <w:marBottom w:val="0"/>
      <w:divBdr>
        <w:top w:val="none" w:sz="0" w:space="0" w:color="auto"/>
        <w:left w:val="none" w:sz="0" w:space="0" w:color="auto"/>
        <w:bottom w:val="none" w:sz="0" w:space="0" w:color="auto"/>
        <w:right w:val="none" w:sz="0" w:space="0" w:color="auto"/>
      </w:divBdr>
    </w:div>
    <w:div w:id="478692939">
      <w:bodyDiv w:val="1"/>
      <w:marLeft w:val="0"/>
      <w:marRight w:val="0"/>
      <w:marTop w:val="0"/>
      <w:marBottom w:val="0"/>
      <w:divBdr>
        <w:top w:val="none" w:sz="0" w:space="0" w:color="auto"/>
        <w:left w:val="none" w:sz="0" w:space="0" w:color="auto"/>
        <w:bottom w:val="none" w:sz="0" w:space="0" w:color="auto"/>
        <w:right w:val="none" w:sz="0" w:space="0" w:color="auto"/>
      </w:divBdr>
    </w:div>
    <w:div w:id="485322979">
      <w:bodyDiv w:val="1"/>
      <w:marLeft w:val="0"/>
      <w:marRight w:val="0"/>
      <w:marTop w:val="0"/>
      <w:marBottom w:val="0"/>
      <w:divBdr>
        <w:top w:val="none" w:sz="0" w:space="0" w:color="auto"/>
        <w:left w:val="none" w:sz="0" w:space="0" w:color="auto"/>
        <w:bottom w:val="none" w:sz="0" w:space="0" w:color="auto"/>
        <w:right w:val="none" w:sz="0" w:space="0" w:color="auto"/>
      </w:divBdr>
    </w:div>
    <w:div w:id="487287362">
      <w:bodyDiv w:val="1"/>
      <w:marLeft w:val="0"/>
      <w:marRight w:val="0"/>
      <w:marTop w:val="0"/>
      <w:marBottom w:val="0"/>
      <w:divBdr>
        <w:top w:val="none" w:sz="0" w:space="0" w:color="auto"/>
        <w:left w:val="none" w:sz="0" w:space="0" w:color="auto"/>
        <w:bottom w:val="none" w:sz="0" w:space="0" w:color="auto"/>
        <w:right w:val="none" w:sz="0" w:space="0" w:color="auto"/>
      </w:divBdr>
    </w:div>
    <w:div w:id="516310065">
      <w:bodyDiv w:val="1"/>
      <w:marLeft w:val="0"/>
      <w:marRight w:val="0"/>
      <w:marTop w:val="0"/>
      <w:marBottom w:val="0"/>
      <w:divBdr>
        <w:top w:val="none" w:sz="0" w:space="0" w:color="auto"/>
        <w:left w:val="none" w:sz="0" w:space="0" w:color="auto"/>
        <w:bottom w:val="none" w:sz="0" w:space="0" w:color="auto"/>
        <w:right w:val="none" w:sz="0" w:space="0" w:color="auto"/>
      </w:divBdr>
    </w:div>
    <w:div w:id="531116982">
      <w:bodyDiv w:val="1"/>
      <w:marLeft w:val="0"/>
      <w:marRight w:val="0"/>
      <w:marTop w:val="0"/>
      <w:marBottom w:val="0"/>
      <w:divBdr>
        <w:top w:val="none" w:sz="0" w:space="0" w:color="auto"/>
        <w:left w:val="none" w:sz="0" w:space="0" w:color="auto"/>
        <w:bottom w:val="none" w:sz="0" w:space="0" w:color="auto"/>
        <w:right w:val="none" w:sz="0" w:space="0" w:color="auto"/>
      </w:divBdr>
    </w:div>
    <w:div w:id="531381619">
      <w:bodyDiv w:val="1"/>
      <w:marLeft w:val="0"/>
      <w:marRight w:val="0"/>
      <w:marTop w:val="0"/>
      <w:marBottom w:val="0"/>
      <w:divBdr>
        <w:top w:val="none" w:sz="0" w:space="0" w:color="auto"/>
        <w:left w:val="none" w:sz="0" w:space="0" w:color="auto"/>
        <w:bottom w:val="none" w:sz="0" w:space="0" w:color="auto"/>
        <w:right w:val="none" w:sz="0" w:space="0" w:color="auto"/>
      </w:divBdr>
    </w:div>
    <w:div w:id="543256631">
      <w:bodyDiv w:val="1"/>
      <w:marLeft w:val="0"/>
      <w:marRight w:val="0"/>
      <w:marTop w:val="0"/>
      <w:marBottom w:val="0"/>
      <w:divBdr>
        <w:top w:val="none" w:sz="0" w:space="0" w:color="auto"/>
        <w:left w:val="none" w:sz="0" w:space="0" w:color="auto"/>
        <w:bottom w:val="none" w:sz="0" w:space="0" w:color="auto"/>
        <w:right w:val="none" w:sz="0" w:space="0" w:color="auto"/>
      </w:divBdr>
    </w:div>
    <w:div w:id="612327170">
      <w:bodyDiv w:val="1"/>
      <w:marLeft w:val="0"/>
      <w:marRight w:val="0"/>
      <w:marTop w:val="0"/>
      <w:marBottom w:val="0"/>
      <w:divBdr>
        <w:top w:val="none" w:sz="0" w:space="0" w:color="auto"/>
        <w:left w:val="none" w:sz="0" w:space="0" w:color="auto"/>
        <w:bottom w:val="none" w:sz="0" w:space="0" w:color="auto"/>
        <w:right w:val="none" w:sz="0" w:space="0" w:color="auto"/>
      </w:divBdr>
    </w:div>
    <w:div w:id="612984110">
      <w:bodyDiv w:val="1"/>
      <w:marLeft w:val="0"/>
      <w:marRight w:val="0"/>
      <w:marTop w:val="0"/>
      <w:marBottom w:val="0"/>
      <w:divBdr>
        <w:top w:val="none" w:sz="0" w:space="0" w:color="auto"/>
        <w:left w:val="none" w:sz="0" w:space="0" w:color="auto"/>
        <w:bottom w:val="none" w:sz="0" w:space="0" w:color="auto"/>
        <w:right w:val="none" w:sz="0" w:space="0" w:color="auto"/>
      </w:divBdr>
    </w:div>
    <w:div w:id="656301833">
      <w:bodyDiv w:val="1"/>
      <w:marLeft w:val="0"/>
      <w:marRight w:val="0"/>
      <w:marTop w:val="0"/>
      <w:marBottom w:val="0"/>
      <w:divBdr>
        <w:top w:val="none" w:sz="0" w:space="0" w:color="auto"/>
        <w:left w:val="none" w:sz="0" w:space="0" w:color="auto"/>
        <w:bottom w:val="none" w:sz="0" w:space="0" w:color="auto"/>
        <w:right w:val="none" w:sz="0" w:space="0" w:color="auto"/>
      </w:divBdr>
    </w:div>
    <w:div w:id="685643555">
      <w:bodyDiv w:val="1"/>
      <w:marLeft w:val="0"/>
      <w:marRight w:val="0"/>
      <w:marTop w:val="0"/>
      <w:marBottom w:val="0"/>
      <w:divBdr>
        <w:top w:val="none" w:sz="0" w:space="0" w:color="auto"/>
        <w:left w:val="none" w:sz="0" w:space="0" w:color="auto"/>
        <w:bottom w:val="none" w:sz="0" w:space="0" w:color="auto"/>
        <w:right w:val="none" w:sz="0" w:space="0" w:color="auto"/>
      </w:divBdr>
    </w:div>
    <w:div w:id="697702518">
      <w:bodyDiv w:val="1"/>
      <w:marLeft w:val="0"/>
      <w:marRight w:val="0"/>
      <w:marTop w:val="0"/>
      <w:marBottom w:val="0"/>
      <w:divBdr>
        <w:top w:val="none" w:sz="0" w:space="0" w:color="auto"/>
        <w:left w:val="none" w:sz="0" w:space="0" w:color="auto"/>
        <w:bottom w:val="none" w:sz="0" w:space="0" w:color="auto"/>
        <w:right w:val="none" w:sz="0" w:space="0" w:color="auto"/>
      </w:divBdr>
    </w:div>
    <w:div w:id="703018060">
      <w:bodyDiv w:val="1"/>
      <w:marLeft w:val="0"/>
      <w:marRight w:val="0"/>
      <w:marTop w:val="0"/>
      <w:marBottom w:val="0"/>
      <w:divBdr>
        <w:top w:val="none" w:sz="0" w:space="0" w:color="auto"/>
        <w:left w:val="none" w:sz="0" w:space="0" w:color="auto"/>
        <w:bottom w:val="none" w:sz="0" w:space="0" w:color="auto"/>
        <w:right w:val="none" w:sz="0" w:space="0" w:color="auto"/>
      </w:divBdr>
    </w:div>
    <w:div w:id="812796782">
      <w:bodyDiv w:val="1"/>
      <w:marLeft w:val="0"/>
      <w:marRight w:val="0"/>
      <w:marTop w:val="0"/>
      <w:marBottom w:val="0"/>
      <w:divBdr>
        <w:top w:val="none" w:sz="0" w:space="0" w:color="auto"/>
        <w:left w:val="none" w:sz="0" w:space="0" w:color="auto"/>
        <w:bottom w:val="none" w:sz="0" w:space="0" w:color="auto"/>
        <w:right w:val="none" w:sz="0" w:space="0" w:color="auto"/>
      </w:divBdr>
    </w:div>
    <w:div w:id="838428591">
      <w:bodyDiv w:val="1"/>
      <w:marLeft w:val="0"/>
      <w:marRight w:val="0"/>
      <w:marTop w:val="0"/>
      <w:marBottom w:val="0"/>
      <w:divBdr>
        <w:top w:val="none" w:sz="0" w:space="0" w:color="auto"/>
        <w:left w:val="none" w:sz="0" w:space="0" w:color="auto"/>
        <w:bottom w:val="none" w:sz="0" w:space="0" w:color="auto"/>
        <w:right w:val="none" w:sz="0" w:space="0" w:color="auto"/>
      </w:divBdr>
      <w:divsChild>
        <w:div w:id="2000378427">
          <w:marLeft w:val="0"/>
          <w:marRight w:val="0"/>
          <w:marTop w:val="0"/>
          <w:marBottom w:val="0"/>
          <w:divBdr>
            <w:top w:val="none" w:sz="0" w:space="0" w:color="auto"/>
            <w:left w:val="none" w:sz="0" w:space="0" w:color="auto"/>
            <w:bottom w:val="none" w:sz="0" w:space="0" w:color="auto"/>
            <w:right w:val="none" w:sz="0" w:space="0" w:color="auto"/>
          </w:divBdr>
          <w:divsChild>
            <w:div w:id="957837650">
              <w:marLeft w:val="0"/>
              <w:marRight w:val="0"/>
              <w:marTop w:val="0"/>
              <w:marBottom w:val="0"/>
              <w:divBdr>
                <w:top w:val="none" w:sz="0" w:space="0" w:color="auto"/>
                <w:left w:val="none" w:sz="0" w:space="0" w:color="auto"/>
                <w:bottom w:val="none" w:sz="0" w:space="0" w:color="auto"/>
                <w:right w:val="none" w:sz="0" w:space="0" w:color="auto"/>
              </w:divBdr>
              <w:divsChild>
                <w:div w:id="346293910">
                  <w:marLeft w:val="0"/>
                  <w:marRight w:val="0"/>
                  <w:marTop w:val="0"/>
                  <w:marBottom w:val="0"/>
                  <w:divBdr>
                    <w:top w:val="none" w:sz="0" w:space="0" w:color="auto"/>
                    <w:left w:val="none" w:sz="0" w:space="0" w:color="auto"/>
                    <w:bottom w:val="none" w:sz="0" w:space="0" w:color="auto"/>
                    <w:right w:val="none" w:sz="0" w:space="0" w:color="auto"/>
                  </w:divBdr>
                  <w:divsChild>
                    <w:div w:id="484131315">
                      <w:marLeft w:val="0"/>
                      <w:marRight w:val="0"/>
                      <w:marTop w:val="0"/>
                      <w:marBottom w:val="0"/>
                      <w:divBdr>
                        <w:top w:val="none" w:sz="0" w:space="0" w:color="auto"/>
                        <w:left w:val="none" w:sz="0" w:space="0" w:color="auto"/>
                        <w:bottom w:val="none" w:sz="0" w:space="0" w:color="auto"/>
                        <w:right w:val="none" w:sz="0" w:space="0" w:color="auto"/>
                      </w:divBdr>
                      <w:divsChild>
                        <w:div w:id="1487169217">
                          <w:marLeft w:val="0"/>
                          <w:marRight w:val="0"/>
                          <w:marTop w:val="0"/>
                          <w:marBottom w:val="0"/>
                          <w:divBdr>
                            <w:top w:val="none" w:sz="0" w:space="0" w:color="auto"/>
                            <w:left w:val="none" w:sz="0" w:space="0" w:color="auto"/>
                            <w:bottom w:val="none" w:sz="0" w:space="0" w:color="auto"/>
                            <w:right w:val="none" w:sz="0" w:space="0" w:color="auto"/>
                          </w:divBdr>
                          <w:divsChild>
                            <w:div w:id="3721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38504">
      <w:bodyDiv w:val="1"/>
      <w:marLeft w:val="0"/>
      <w:marRight w:val="0"/>
      <w:marTop w:val="0"/>
      <w:marBottom w:val="0"/>
      <w:divBdr>
        <w:top w:val="none" w:sz="0" w:space="0" w:color="auto"/>
        <w:left w:val="none" w:sz="0" w:space="0" w:color="auto"/>
        <w:bottom w:val="none" w:sz="0" w:space="0" w:color="auto"/>
        <w:right w:val="none" w:sz="0" w:space="0" w:color="auto"/>
      </w:divBdr>
    </w:div>
    <w:div w:id="908921858">
      <w:bodyDiv w:val="1"/>
      <w:marLeft w:val="0"/>
      <w:marRight w:val="0"/>
      <w:marTop w:val="0"/>
      <w:marBottom w:val="0"/>
      <w:divBdr>
        <w:top w:val="none" w:sz="0" w:space="0" w:color="auto"/>
        <w:left w:val="none" w:sz="0" w:space="0" w:color="auto"/>
        <w:bottom w:val="none" w:sz="0" w:space="0" w:color="auto"/>
        <w:right w:val="none" w:sz="0" w:space="0" w:color="auto"/>
      </w:divBdr>
      <w:divsChild>
        <w:div w:id="275605850">
          <w:marLeft w:val="0"/>
          <w:marRight w:val="0"/>
          <w:marTop w:val="0"/>
          <w:marBottom w:val="0"/>
          <w:divBdr>
            <w:top w:val="none" w:sz="0" w:space="0" w:color="auto"/>
            <w:left w:val="none" w:sz="0" w:space="0" w:color="auto"/>
            <w:bottom w:val="none" w:sz="0" w:space="0" w:color="auto"/>
            <w:right w:val="none" w:sz="0" w:space="0" w:color="auto"/>
          </w:divBdr>
        </w:div>
      </w:divsChild>
    </w:div>
    <w:div w:id="909003849">
      <w:bodyDiv w:val="1"/>
      <w:marLeft w:val="0"/>
      <w:marRight w:val="0"/>
      <w:marTop w:val="0"/>
      <w:marBottom w:val="0"/>
      <w:divBdr>
        <w:top w:val="none" w:sz="0" w:space="0" w:color="auto"/>
        <w:left w:val="none" w:sz="0" w:space="0" w:color="auto"/>
        <w:bottom w:val="none" w:sz="0" w:space="0" w:color="auto"/>
        <w:right w:val="none" w:sz="0" w:space="0" w:color="auto"/>
      </w:divBdr>
    </w:div>
    <w:div w:id="922646253">
      <w:bodyDiv w:val="1"/>
      <w:marLeft w:val="0"/>
      <w:marRight w:val="0"/>
      <w:marTop w:val="0"/>
      <w:marBottom w:val="0"/>
      <w:divBdr>
        <w:top w:val="none" w:sz="0" w:space="0" w:color="auto"/>
        <w:left w:val="none" w:sz="0" w:space="0" w:color="auto"/>
        <w:bottom w:val="none" w:sz="0" w:space="0" w:color="auto"/>
        <w:right w:val="none" w:sz="0" w:space="0" w:color="auto"/>
      </w:divBdr>
    </w:div>
    <w:div w:id="1010834312">
      <w:bodyDiv w:val="1"/>
      <w:marLeft w:val="0"/>
      <w:marRight w:val="0"/>
      <w:marTop w:val="0"/>
      <w:marBottom w:val="0"/>
      <w:divBdr>
        <w:top w:val="none" w:sz="0" w:space="0" w:color="auto"/>
        <w:left w:val="none" w:sz="0" w:space="0" w:color="auto"/>
        <w:bottom w:val="none" w:sz="0" w:space="0" w:color="auto"/>
        <w:right w:val="none" w:sz="0" w:space="0" w:color="auto"/>
      </w:divBdr>
    </w:div>
    <w:div w:id="1035496722">
      <w:bodyDiv w:val="1"/>
      <w:marLeft w:val="0"/>
      <w:marRight w:val="0"/>
      <w:marTop w:val="0"/>
      <w:marBottom w:val="0"/>
      <w:divBdr>
        <w:top w:val="none" w:sz="0" w:space="0" w:color="auto"/>
        <w:left w:val="none" w:sz="0" w:space="0" w:color="auto"/>
        <w:bottom w:val="none" w:sz="0" w:space="0" w:color="auto"/>
        <w:right w:val="none" w:sz="0" w:space="0" w:color="auto"/>
      </w:divBdr>
    </w:div>
    <w:div w:id="1112091860">
      <w:bodyDiv w:val="1"/>
      <w:marLeft w:val="0"/>
      <w:marRight w:val="0"/>
      <w:marTop w:val="0"/>
      <w:marBottom w:val="0"/>
      <w:divBdr>
        <w:top w:val="none" w:sz="0" w:space="0" w:color="auto"/>
        <w:left w:val="none" w:sz="0" w:space="0" w:color="auto"/>
        <w:bottom w:val="none" w:sz="0" w:space="0" w:color="auto"/>
        <w:right w:val="none" w:sz="0" w:space="0" w:color="auto"/>
      </w:divBdr>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
    <w:div w:id="1144466873">
      <w:bodyDiv w:val="1"/>
      <w:marLeft w:val="0"/>
      <w:marRight w:val="0"/>
      <w:marTop w:val="0"/>
      <w:marBottom w:val="0"/>
      <w:divBdr>
        <w:top w:val="none" w:sz="0" w:space="0" w:color="auto"/>
        <w:left w:val="none" w:sz="0" w:space="0" w:color="auto"/>
        <w:bottom w:val="none" w:sz="0" w:space="0" w:color="auto"/>
        <w:right w:val="none" w:sz="0" w:space="0" w:color="auto"/>
      </w:divBdr>
    </w:div>
    <w:div w:id="1152719843">
      <w:bodyDiv w:val="1"/>
      <w:marLeft w:val="0"/>
      <w:marRight w:val="0"/>
      <w:marTop w:val="0"/>
      <w:marBottom w:val="0"/>
      <w:divBdr>
        <w:top w:val="none" w:sz="0" w:space="0" w:color="auto"/>
        <w:left w:val="none" w:sz="0" w:space="0" w:color="auto"/>
        <w:bottom w:val="none" w:sz="0" w:space="0" w:color="auto"/>
        <w:right w:val="none" w:sz="0" w:space="0" w:color="auto"/>
      </w:divBdr>
    </w:div>
    <w:div w:id="1155412999">
      <w:bodyDiv w:val="1"/>
      <w:marLeft w:val="0"/>
      <w:marRight w:val="0"/>
      <w:marTop w:val="0"/>
      <w:marBottom w:val="0"/>
      <w:divBdr>
        <w:top w:val="none" w:sz="0" w:space="0" w:color="auto"/>
        <w:left w:val="none" w:sz="0" w:space="0" w:color="auto"/>
        <w:bottom w:val="none" w:sz="0" w:space="0" w:color="auto"/>
        <w:right w:val="none" w:sz="0" w:space="0" w:color="auto"/>
      </w:divBdr>
    </w:div>
    <w:div w:id="1203908732">
      <w:bodyDiv w:val="1"/>
      <w:marLeft w:val="0"/>
      <w:marRight w:val="0"/>
      <w:marTop w:val="0"/>
      <w:marBottom w:val="0"/>
      <w:divBdr>
        <w:top w:val="none" w:sz="0" w:space="0" w:color="auto"/>
        <w:left w:val="none" w:sz="0" w:space="0" w:color="auto"/>
        <w:bottom w:val="none" w:sz="0" w:space="0" w:color="auto"/>
        <w:right w:val="none" w:sz="0" w:space="0" w:color="auto"/>
      </w:divBdr>
    </w:div>
    <w:div w:id="1219248487">
      <w:bodyDiv w:val="1"/>
      <w:marLeft w:val="0"/>
      <w:marRight w:val="0"/>
      <w:marTop w:val="0"/>
      <w:marBottom w:val="0"/>
      <w:divBdr>
        <w:top w:val="none" w:sz="0" w:space="0" w:color="auto"/>
        <w:left w:val="none" w:sz="0" w:space="0" w:color="auto"/>
        <w:bottom w:val="none" w:sz="0" w:space="0" w:color="auto"/>
        <w:right w:val="none" w:sz="0" w:space="0" w:color="auto"/>
      </w:divBdr>
    </w:div>
    <w:div w:id="1241215680">
      <w:bodyDiv w:val="1"/>
      <w:marLeft w:val="0"/>
      <w:marRight w:val="0"/>
      <w:marTop w:val="0"/>
      <w:marBottom w:val="0"/>
      <w:divBdr>
        <w:top w:val="none" w:sz="0" w:space="0" w:color="auto"/>
        <w:left w:val="none" w:sz="0" w:space="0" w:color="auto"/>
        <w:bottom w:val="none" w:sz="0" w:space="0" w:color="auto"/>
        <w:right w:val="none" w:sz="0" w:space="0" w:color="auto"/>
      </w:divBdr>
    </w:div>
    <w:div w:id="1248689418">
      <w:bodyDiv w:val="1"/>
      <w:marLeft w:val="0"/>
      <w:marRight w:val="0"/>
      <w:marTop w:val="0"/>
      <w:marBottom w:val="0"/>
      <w:divBdr>
        <w:top w:val="none" w:sz="0" w:space="0" w:color="auto"/>
        <w:left w:val="none" w:sz="0" w:space="0" w:color="auto"/>
        <w:bottom w:val="none" w:sz="0" w:space="0" w:color="auto"/>
        <w:right w:val="none" w:sz="0" w:space="0" w:color="auto"/>
      </w:divBdr>
    </w:div>
    <w:div w:id="1296644246">
      <w:bodyDiv w:val="1"/>
      <w:marLeft w:val="0"/>
      <w:marRight w:val="0"/>
      <w:marTop w:val="0"/>
      <w:marBottom w:val="0"/>
      <w:divBdr>
        <w:top w:val="none" w:sz="0" w:space="0" w:color="auto"/>
        <w:left w:val="none" w:sz="0" w:space="0" w:color="auto"/>
        <w:bottom w:val="none" w:sz="0" w:space="0" w:color="auto"/>
        <w:right w:val="none" w:sz="0" w:space="0" w:color="auto"/>
      </w:divBdr>
    </w:div>
    <w:div w:id="1302685630">
      <w:bodyDiv w:val="1"/>
      <w:marLeft w:val="0"/>
      <w:marRight w:val="0"/>
      <w:marTop w:val="0"/>
      <w:marBottom w:val="0"/>
      <w:divBdr>
        <w:top w:val="none" w:sz="0" w:space="0" w:color="auto"/>
        <w:left w:val="none" w:sz="0" w:space="0" w:color="auto"/>
        <w:bottom w:val="none" w:sz="0" w:space="0" w:color="auto"/>
        <w:right w:val="none" w:sz="0" w:space="0" w:color="auto"/>
      </w:divBdr>
    </w:div>
    <w:div w:id="1323195450">
      <w:bodyDiv w:val="1"/>
      <w:marLeft w:val="0"/>
      <w:marRight w:val="0"/>
      <w:marTop w:val="0"/>
      <w:marBottom w:val="0"/>
      <w:divBdr>
        <w:top w:val="none" w:sz="0" w:space="0" w:color="auto"/>
        <w:left w:val="none" w:sz="0" w:space="0" w:color="auto"/>
        <w:bottom w:val="none" w:sz="0" w:space="0" w:color="auto"/>
        <w:right w:val="none" w:sz="0" w:space="0" w:color="auto"/>
      </w:divBdr>
    </w:div>
    <w:div w:id="1330518768">
      <w:bodyDiv w:val="1"/>
      <w:marLeft w:val="0"/>
      <w:marRight w:val="0"/>
      <w:marTop w:val="0"/>
      <w:marBottom w:val="0"/>
      <w:divBdr>
        <w:top w:val="none" w:sz="0" w:space="0" w:color="auto"/>
        <w:left w:val="none" w:sz="0" w:space="0" w:color="auto"/>
        <w:bottom w:val="none" w:sz="0" w:space="0" w:color="auto"/>
        <w:right w:val="none" w:sz="0" w:space="0" w:color="auto"/>
      </w:divBdr>
    </w:div>
    <w:div w:id="1339116895">
      <w:bodyDiv w:val="1"/>
      <w:marLeft w:val="0"/>
      <w:marRight w:val="0"/>
      <w:marTop w:val="0"/>
      <w:marBottom w:val="0"/>
      <w:divBdr>
        <w:top w:val="none" w:sz="0" w:space="0" w:color="auto"/>
        <w:left w:val="none" w:sz="0" w:space="0" w:color="auto"/>
        <w:bottom w:val="none" w:sz="0" w:space="0" w:color="auto"/>
        <w:right w:val="none" w:sz="0" w:space="0" w:color="auto"/>
      </w:divBdr>
    </w:div>
    <w:div w:id="1353219847">
      <w:bodyDiv w:val="1"/>
      <w:marLeft w:val="0"/>
      <w:marRight w:val="0"/>
      <w:marTop w:val="0"/>
      <w:marBottom w:val="0"/>
      <w:divBdr>
        <w:top w:val="none" w:sz="0" w:space="0" w:color="auto"/>
        <w:left w:val="none" w:sz="0" w:space="0" w:color="auto"/>
        <w:bottom w:val="none" w:sz="0" w:space="0" w:color="auto"/>
        <w:right w:val="none" w:sz="0" w:space="0" w:color="auto"/>
      </w:divBdr>
    </w:div>
    <w:div w:id="1413547777">
      <w:bodyDiv w:val="1"/>
      <w:marLeft w:val="0"/>
      <w:marRight w:val="0"/>
      <w:marTop w:val="0"/>
      <w:marBottom w:val="0"/>
      <w:divBdr>
        <w:top w:val="none" w:sz="0" w:space="0" w:color="auto"/>
        <w:left w:val="none" w:sz="0" w:space="0" w:color="auto"/>
        <w:bottom w:val="none" w:sz="0" w:space="0" w:color="auto"/>
        <w:right w:val="none" w:sz="0" w:space="0" w:color="auto"/>
      </w:divBdr>
    </w:div>
    <w:div w:id="1434129658">
      <w:bodyDiv w:val="1"/>
      <w:marLeft w:val="0"/>
      <w:marRight w:val="0"/>
      <w:marTop w:val="0"/>
      <w:marBottom w:val="0"/>
      <w:divBdr>
        <w:top w:val="none" w:sz="0" w:space="0" w:color="auto"/>
        <w:left w:val="none" w:sz="0" w:space="0" w:color="auto"/>
        <w:bottom w:val="none" w:sz="0" w:space="0" w:color="auto"/>
        <w:right w:val="none" w:sz="0" w:space="0" w:color="auto"/>
      </w:divBdr>
    </w:div>
    <w:div w:id="1466728317">
      <w:bodyDiv w:val="1"/>
      <w:marLeft w:val="0"/>
      <w:marRight w:val="0"/>
      <w:marTop w:val="0"/>
      <w:marBottom w:val="0"/>
      <w:divBdr>
        <w:top w:val="none" w:sz="0" w:space="0" w:color="auto"/>
        <w:left w:val="none" w:sz="0" w:space="0" w:color="auto"/>
        <w:bottom w:val="none" w:sz="0" w:space="0" w:color="auto"/>
        <w:right w:val="none" w:sz="0" w:space="0" w:color="auto"/>
      </w:divBdr>
    </w:div>
    <w:div w:id="1531412416">
      <w:bodyDiv w:val="1"/>
      <w:marLeft w:val="0"/>
      <w:marRight w:val="0"/>
      <w:marTop w:val="0"/>
      <w:marBottom w:val="0"/>
      <w:divBdr>
        <w:top w:val="none" w:sz="0" w:space="0" w:color="auto"/>
        <w:left w:val="none" w:sz="0" w:space="0" w:color="auto"/>
        <w:bottom w:val="none" w:sz="0" w:space="0" w:color="auto"/>
        <w:right w:val="none" w:sz="0" w:space="0" w:color="auto"/>
      </w:divBdr>
    </w:div>
    <w:div w:id="1548058220">
      <w:bodyDiv w:val="1"/>
      <w:marLeft w:val="0"/>
      <w:marRight w:val="0"/>
      <w:marTop w:val="0"/>
      <w:marBottom w:val="0"/>
      <w:divBdr>
        <w:top w:val="none" w:sz="0" w:space="0" w:color="auto"/>
        <w:left w:val="none" w:sz="0" w:space="0" w:color="auto"/>
        <w:bottom w:val="none" w:sz="0" w:space="0" w:color="auto"/>
        <w:right w:val="none" w:sz="0" w:space="0" w:color="auto"/>
      </w:divBdr>
    </w:div>
    <w:div w:id="1557857178">
      <w:bodyDiv w:val="1"/>
      <w:marLeft w:val="0"/>
      <w:marRight w:val="0"/>
      <w:marTop w:val="0"/>
      <w:marBottom w:val="0"/>
      <w:divBdr>
        <w:top w:val="none" w:sz="0" w:space="0" w:color="auto"/>
        <w:left w:val="none" w:sz="0" w:space="0" w:color="auto"/>
        <w:bottom w:val="none" w:sz="0" w:space="0" w:color="auto"/>
        <w:right w:val="none" w:sz="0" w:space="0" w:color="auto"/>
      </w:divBdr>
    </w:div>
    <w:div w:id="1597518502">
      <w:bodyDiv w:val="1"/>
      <w:marLeft w:val="0"/>
      <w:marRight w:val="0"/>
      <w:marTop w:val="0"/>
      <w:marBottom w:val="0"/>
      <w:divBdr>
        <w:top w:val="none" w:sz="0" w:space="0" w:color="auto"/>
        <w:left w:val="none" w:sz="0" w:space="0" w:color="auto"/>
        <w:bottom w:val="none" w:sz="0" w:space="0" w:color="auto"/>
        <w:right w:val="none" w:sz="0" w:space="0" w:color="auto"/>
      </w:divBdr>
      <w:divsChild>
        <w:div w:id="1681545405">
          <w:marLeft w:val="0"/>
          <w:marRight w:val="0"/>
          <w:marTop w:val="0"/>
          <w:marBottom w:val="0"/>
          <w:divBdr>
            <w:top w:val="single" w:sz="6" w:space="0" w:color="161D25"/>
            <w:left w:val="single" w:sz="6" w:space="0" w:color="161D25"/>
            <w:bottom w:val="single" w:sz="6" w:space="0" w:color="161D25"/>
            <w:right w:val="single" w:sz="6" w:space="0" w:color="161D25"/>
          </w:divBdr>
          <w:divsChild>
            <w:div w:id="706609158">
              <w:marLeft w:val="0"/>
              <w:marRight w:val="0"/>
              <w:marTop w:val="0"/>
              <w:marBottom w:val="0"/>
              <w:divBdr>
                <w:top w:val="single" w:sz="6" w:space="0" w:color="0072BC"/>
                <w:left w:val="single" w:sz="6" w:space="0" w:color="0072BC"/>
                <w:bottom w:val="single" w:sz="6" w:space="0" w:color="0072BC"/>
                <w:right w:val="single" w:sz="6" w:space="0" w:color="0072BC"/>
              </w:divBdr>
              <w:divsChild>
                <w:div w:id="2056808636">
                  <w:marLeft w:val="0"/>
                  <w:marRight w:val="0"/>
                  <w:marTop w:val="0"/>
                  <w:marBottom w:val="0"/>
                  <w:divBdr>
                    <w:top w:val="none" w:sz="0" w:space="0" w:color="auto"/>
                    <w:left w:val="none" w:sz="0" w:space="0" w:color="auto"/>
                    <w:bottom w:val="none" w:sz="0" w:space="0" w:color="auto"/>
                    <w:right w:val="none" w:sz="0" w:space="0" w:color="auto"/>
                  </w:divBdr>
                  <w:divsChild>
                    <w:div w:id="234631288">
                      <w:marLeft w:val="0"/>
                      <w:marRight w:val="0"/>
                      <w:marTop w:val="0"/>
                      <w:marBottom w:val="0"/>
                      <w:divBdr>
                        <w:top w:val="none" w:sz="0" w:space="0" w:color="auto"/>
                        <w:left w:val="none" w:sz="0" w:space="0" w:color="auto"/>
                        <w:bottom w:val="none" w:sz="0" w:space="0" w:color="auto"/>
                        <w:right w:val="none" w:sz="0" w:space="0" w:color="auto"/>
                      </w:divBdr>
                      <w:divsChild>
                        <w:div w:id="1528105224">
                          <w:marLeft w:val="0"/>
                          <w:marRight w:val="0"/>
                          <w:marTop w:val="0"/>
                          <w:marBottom w:val="0"/>
                          <w:divBdr>
                            <w:top w:val="none" w:sz="0" w:space="0" w:color="auto"/>
                            <w:left w:val="none" w:sz="0" w:space="0" w:color="auto"/>
                            <w:bottom w:val="none" w:sz="0" w:space="0" w:color="auto"/>
                            <w:right w:val="none" w:sz="0" w:space="0" w:color="auto"/>
                          </w:divBdr>
                          <w:divsChild>
                            <w:div w:id="1747729881">
                              <w:marLeft w:val="0"/>
                              <w:marRight w:val="0"/>
                              <w:marTop w:val="0"/>
                              <w:marBottom w:val="0"/>
                              <w:divBdr>
                                <w:top w:val="none" w:sz="0" w:space="0" w:color="auto"/>
                                <w:left w:val="none" w:sz="0" w:space="0" w:color="auto"/>
                                <w:bottom w:val="none" w:sz="0" w:space="0" w:color="auto"/>
                                <w:right w:val="none" w:sz="0" w:space="0" w:color="auto"/>
                              </w:divBdr>
                              <w:divsChild>
                                <w:div w:id="1754357706">
                                  <w:marLeft w:val="0"/>
                                  <w:marRight w:val="0"/>
                                  <w:marTop w:val="0"/>
                                  <w:marBottom w:val="0"/>
                                  <w:divBdr>
                                    <w:top w:val="none" w:sz="0" w:space="0" w:color="auto"/>
                                    <w:left w:val="none" w:sz="0" w:space="0" w:color="auto"/>
                                    <w:bottom w:val="none" w:sz="0" w:space="0" w:color="auto"/>
                                    <w:right w:val="none" w:sz="0" w:space="0" w:color="auto"/>
                                  </w:divBdr>
                                  <w:divsChild>
                                    <w:div w:id="9327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657999">
      <w:bodyDiv w:val="1"/>
      <w:marLeft w:val="0"/>
      <w:marRight w:val="0"/>
      <w:marTop w:val="0"/>
      <w:marBottom w:val="0"/>
      <w:divBdr>
        <w:top w:val="none" w:sz="0" w:space="0" w:color="auto"/>
        <w:left w:val="none" w:sz="0" w:space="0" w:color="auto"/>
        <w:bottom w:val="none" w:sz="0" w:space="0" w:color="auto"/>
        <w:right w:val="none" w:sz="0" w:space="0" w:color="auto"/>
      </w:divBdr>
    </w:div>
    <w:div w:id="1659191506">
      <w:bodyDiv w:val="1"/>
      <w:marLeft w:val="0"/>
      <w:marRight w:val="0"/>
      <w:marTop w:val="0"/>
      <w:marBottom w:val="0"/>
      <w:divBdr>
        <w:top w:val="none" w:sz="0" w:space="0" w:color="auto"/>
        <w:left w:val="none" w:sz="0" w:space="0" w:color="auto"/>
        <w:bottom w:val="none" w:sz="0" w:space="0" w:color="auto"/>
        <w:right w:val="none" w:sz="0" w:space="0" w:color="auto"/>
      </w:divBdr>
    </w:div>
    <w:div w:id="1726365723">
      <w:bodyDiv w:val="1"/>
      <w:marLeft w:val="0"/>
      <w:marRight w:val="0"/>
      <w:marTop w:val="0"/>
      <w:marBottom w:val="0"/>
      <w:divBdr>
        <w:top w:val="none" w:sz="0" w:space="0" w:color="auto"/>
        <w:left w:val="none" w:sz="0" w:space="0" w:color="auto"/>
        <w:bottom w:val="none" w:sz="0" w:space="0" w:color="auto"/>
        <w:right w:val="none" w:sz="0" w:space="0" w:color="auto"/>
      </w:divBdr>
    </w:div>
    <w:div w:id="1727020842">
      <w:bodyDiv w:val="1"/>
      <w:marLeft w:val="0"/>
      <w:marRight w:val="0"/>
      <w:marTop w:val="0"/>
      <w:marBottom w:val="0"/>
      <w:divBdr>
        <w:top w:val="none" w:sz="0" w:space="0" w:color="auto"/>
        <w:left w:val="none" w:sz="0" w:space="0" w:color="auto"/>
        <w:bottom w:val="none" w:sz="0" w:space="0" w:color="auto"/>
        <w:right w:val="none" w:sz="0" w:space="0" w:color="auto"/>
      </w:divBdr>
    </w:div>
    <w:div w:id="1752241266">
      <w:bodyDiv w:val="1"/>
      <w:marLeft w:val="0"/>
      <w:marRight w:val="0"/>
      <w:marTop w:val="0"/>
      <w:marBottom w:val="0"/>
      <w:divBdr>
        <w:top w:val="none" w:sz="0" w:space="0" w:color="auto"/>
        <w:left w:val="none" w:sz="0" w:space="0" w:color="auto"/>
        <w:bottom w:val="none" w:sz="0" w:space="0" w:color="auto"/>
        <w:right w:val="none" w:sz="0" w:space="0" w:color="auto"/>
      </w:divBdr>
    </w:div>
    <w:div w:id="1755080978">
      <w:bodyDiv w:val="1"/>
      <w:marLeft w:val="0"/>
      <w:marRight w:val="0"/>
      <w:marTop w:val="0"/>
      <w:marBottom w:val="0"/>
      <w:divBdr>
        <w:top w:val="none" w:sz="0" w:space="0" w:color="auto"/>
        <w:left w:val="none" w:sz="0" w:space="0" w:color="auto"/>
        <w:bottom w:val="none" w:sz="0" w:space="0" w:color="auto"/>
        <w:right w:val="none" w:sz="0" w:space="0" w:color="auto"/>
      </w:divBdr>
    </w:div>
    <w:div w:id="1766606786">
      <w:bodyDiv w:val="1"/>
      <w:marLeft w:val="0"/>
      <w:marRight w:val="0"/>
      <w:marTop w:val="0"/>
      <w:marBottom w:val="0"/>
      <w:divBdr>
        <w:top w:val="none" w:sz="0" w:space="0" w:color="auto"/>
        <w:left w:val="none" w:sz="0" w:space="0" w:color="auto"/>
        <w:bottom w:val="none" w:sz="0" w:space="0" w:color="auto"/>
        <w:right w:val="none" w:sz="0" w:space="0" w:color="auto"/>
      </w:divBdr>
    </w:div>
    <w:div w:id="1766807905">
      <w:bodyDiv w:val="1"/>
      <w:marLeft w:val="0"/>
      <w:marRight w:val="0"/>
      <w:marTop w:val="0"/>
      <w:marBottom w:val="0"/>
      <w:divBdr>
        <w:top w:val="none" w:sz="0" w:space="0" w:color="auto"/>
        <w:left w:val="none" w:sz="0" w:space="0" w:color="auto"/>
        <w:bottom w:val="none" w:sz="0" w:space="0" w:color="auto"/>
        <w:right w:val="none" w:sz="0" w:space="0" w:color="auto"/>
      </w:divBdr>
      <w:divsChild>
        <w:div w:id="916287755">
          <w:marLeft w:val="0"/>
          <w:marRight w:val="0"/>
          <w:marTop w:val="0"/>
          <w:marBottom w:val="0"/>
          <w:divBdr>
            <w:top w:val="none" w:sz="0" w:space="0" w:color="auto"/>
            <w:left w:val="none" w:sz="0" w:space="0" w:color="auto"/>
            <w:bottom w:val="none" w:sz="0" w:space="0" w:color="auto"/>
            <w:right w:val="none" w:sz="0" w:space="0" w:color="auto"/>
          </w:divBdr>
        </w:div>
      </w:divsChild>
    </w:div>
    <w:div w:id="1788742609">
      <w:bodyDiv w:val="1"/>
      <w:marLeft w:val="0"/>
      <w:marRight w:val="0"/>
      <w:marTop w:val="0"/>
      <w:marBottom w:val="0"/>
      <w:divBdr>
        <w:top w:val="none" w:sz="0" w:space="0" w:color="auto"/>
        <w:left w:val="none" w:sz="0" w:space="0" w:color="auto"/>
        <w:bottom w:val="none" w:sz="0" w:space="0" w:color="auto"/>
        <w:right w:val="none" w:sz="0" w:space="0" w:color="auto"/>
      </w:divBdr>
    </w:div>
    <w:div w:id="1857109194">
      <w:bodyDiv w:val="1"/>
      <w:marLeft w:val="0"/>
      <w:marRight w:val="0"/>
      <w:marTop w:val="0"/>
      <w:marBottom w:val="0"/>
      <w:divBdr>
        <w:top w:val="none" w:sz="0" w:space="0" w:color="auto"/>
        <w:left w:val="none" w:sz="0" w:space="0" w:color="auto"/>
        <w:bottom w:val="none" w:sz="0" w:space="0" w:color="auto"/>
        <w:right w:val="none" w:sz="0" w:space="0" w:color="auto"/>
      </w:divBdr>
    </w:div>
    <w:div w:id="1868785370">
      <w:bodyDiv w:val="1"/>
      <w:marLeft w:val="0"/>
      <w:marRight w:val="0"/>
      <w:marTop w:val="0"/>
      <w:marBottom w:val="0"/>
      <w:divBdr>
        <w:top w:val="none" w:sz="0" w:space="0" w:color="auto"/>
        <w:left w:val="none" w:sz="0" w:space="0" w:color="auto"/>
        <w:bottom w:val="none" w:sz="0" w:space="0" w:color="auto"/>
        <w:right w:val="none" w:sz="0" w:space="0" w:color="auto"/>
      </w:divBdr>
    </w:div>
    <w:div w:id="1885749645">
      <w:bodyDiv w:val="1"/>
      <w:marLeft w:val="0"/>
      <w:marRight w:val="0"/>
      <w:marTop w:val="0"/>
      <w:marBottom w:val="0"/>
      <w:divBdr>
        <w:top w:val="none" w:sz="0" w:space="0" w:color="auto"/>
        <w:left w:val="none" w:sz="0" w:space="0" w:color="auto"/>
        <w:bottom w:val="none" w:sz="0" w:space="0" w:color="auto"/>
        <w:right w:val="none" w:sz="0" w:space="0" w:color="auto"/>
      </w:divBdr>
    </w:div>
    <w:div w:id="1972468314">
      <w:bodyDiv w:val="1"/>
      <w:marLeft w:val="0"/>
      <w:marRight w:val="0"/>
      <w:marTop w:val="0"/>
      <w:marBottom w:val="0"/>
      <w:divBdr>
        <w:top w:val="none" w:sz="0" w:space="0" w:color="auto"/>
        <w:left w:val="none" w:sz="0" w:space="0" w:color="auto"/>
        <w:bottom w:val="none" w:sz="0" w:space="0" w:color="auto"/>
        <w:right w:val="none" w:sz="0" w:space="0" w:color="auto"/>
      </w:divBdr>
    </w:div>
    <w:div w:id="1974023460">
      <w:bodyDiv w:val="1"/>
      <w:marLeft w:val="0"/>
      <w:marRight w:val="0"/>
      <w:marTop w:val="0"/>
      <w:marBottom w:val="0"/>
      <w:divBdr>
        <w:top w:val="none" w:sz="0" w:space="0" w:color="auto"/>
        <w:left w:val="none" w:sz="0" w:space="0" w:color="auto"/>
        <w:bottom w:val="none" w:sz="0" w:space="0" w:color="auto"/>
        <w:right w:val="none" w:sz="0" w:space="0" w:color="auto"/>
      </w:divBdr>
    </w:div>
    <w:div w:id="1994597685">
      <w:bodyDiv w:val="1"/>
      <w:marLeft w:val="0"/>
      <w:marRight w:val="0"/>
      <w:marTop w:val="0"/>
      <w:marBottom w:val="0"/>
      <w:divBdr>
        <w:top w:val="none" w:sz="0" w:space="0" w:color="auto"/>
        <w:left w:val="none" w:sz="0" w:space="0" w:color="auto"/>
        <w:bottom w:val="none" w:sz="0" w:space="0" w:color="auto"/>
        <w:right w:val="none" w:sz="0" w:space="0" w:color="auto"/>
      </w:divBdr>
    </w:div>
    <w:div w:id="1997412113">
      <w:bodyDiv w:val="1"/>
      <w:marLeft w:val="0"/>
      <w:marRight w:val="0"/>
      <w:marTop w:val="0"/>
      <w:marBottom w:val="0"/>
      <w:divBdr>
        <w:top w:val="none" w:sz="0" w:space="0" w:color="auto"/>
        <w:left w:val="none" w:sz="0" w:space="0" w:color="auto"/>
        <w:bottom w:val="none" w:sz="0" w:space="0" w:color="auto"/>
        <w:right w:val="none" w:sz="0" w:space="0" w:color="auto"/>
      </w:divBdr>
    </w:div>
    <w:div w:id="2031879232">
      <w:bodyDiv w:val="1"/>
      <w:marLeft w:val="0"/>
      <w:marRight w:val="0"/>
      <w:marTop w:val="0"/>
      <w:marBottom w:val="0"/>
      <w:divBdr>
        <w:top w:val="none" w:sz="0" w:space="0" w:color="auto"/>
        <w:left w:val="none" w:sz="0" w:space="0" w:color="auto"/>
        <w:bottom w:val="none" w:sz="0" w:space="0" w:color="auto"/>
        <w:right w:val="none" w:sz="0" w:space="0" w:color="auto"/>
      </w:divBdr>
    </w:div>
    <w:div w:id="211401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aiso.com/Documents/EnergyImbalanceMarketEntityAgreementInformationRequestSheet.doc" TargetMode="External"/><Relationship Id="rId21" Type="http://schemas.openxmlformats.org/officeDocument/2006/relationships/hyperlink" Target="http://bpmcm.caiso.com/Pages/BPMLibrary.aspx" TargetMode="External"/><Relationship Id="rId42" Type="http://schemas.openxmlformats.org/officeDocument/2006/relationships/hyperlink" Target="http://www.caiso.com/Documents/NewSCAcceptanceLetter_Sept2014.doc" TargetMode="External"/><Relationship Id="rId47" Type="http://schemas.openxmlformats.org/officeDocument/2006/relationships/hyperlink" Target="http://bpmcm.caiso.com/Pages/BPMLibrary.aspx" TargetMode="External"/><Relationship Id="rId63" Type="http://schemas.openxmlformats.org/officeDocument/2006/relationships/hyperlink" Target="http://www.caiso.com/rules/Pages/Regulatory/Default.aspx" TargetMode="External"/><Relationship Id="rId68" Type="http://schemas.openxmlformats.org/officeDocument/2006/relationships/hyperlink" Target="http://bpmcm.caiso.com/Pages/BPMLibrary.aspx" TargetMode="External"/><Relationship Id="rId84" Type="http://schemas.openxmlformats.org/officeDocument/2006/relationships/image" Target="media/image10.emf"/><Relationship Id="rId89" Type="http://schemas.openxmlformats.org/officeDocument/2006/relationships/hyperlink" Target="http://bpmcm.caiso.com/Pages/BPMLibrary.aspx" TargetMode="External"/><Relationship Id="rId16" Type="http://schemas.openxmlformats.org/officeDocument/2006/relationships/hyperlink" Target="http://bpmcm.caiso.com/Pages/BPMLibrary.aspx" TargetMode="External"/><Relationship Id="rId107" Type="http://schemas.openxmlformats.org/officeDocument/2006/relationships/hyperlink" Target="http://www.caiso.com/Documents/How-to-Submit-Documentation-for-Applications-and-Ongoing-Obligations.pdf" TargetMode="External"/><Relationship Id="rId11" Type="http://schemas.openxmlformats.org/officeDocument/2006/relationships/endnotes" Target="endnotes.xml"/><Relationship Id="rId32" Type="http://schemas.openxmlformats.org/officeDocument/2006/relationships/hyperlink" Target="http://www.caiso.com/Documents/ISOAffiliationResourceControlAgreementDisclosureForm.xls" TargetMode="External"/><Relationship Id="rId37" Type="http://schemas.openxmlformats.org/officeDocument/2006/relationships/hyperlink" Target="http://www.caiso.com/Documents/ExistingSchedulingCoordinatorRequestsAdditionalSCID.doc" TargetMode="External"/><Relationship Id="rId53" Type="http://schemas.openxmlformats.org/officeDocument/2006/relationships/hyperlink" Target="http://bpmcm.caiso.com/Pages/BPMLibrary.aspx" TargetMode="External"/><Relationship Id="rId58" Type="http://schemas.openxmlformats.org/officeDocument/2006/relationships/hyperlink" Target="http://bpmcm.caiso.com/Pages/BPMLibrary.aspx" TargetMode="External"/><Relationship Id="rId74" Type="http://schemas.openxmlformats.org/officeDocument/2006/relationships/hyperlink" Target="http://www.caiso.com/Documents/3510.pdf" TargetMode="External"/><Relationship Id="rId79" Type="http://schemas.openxmlformats.org/officeDocument/2006/relationships/image" Target="media/image5.emf"/><Relationship Id="rId102" Type="http://schemas.openxmlformats.org/officeDocument/2006/relationships/hyperlink" Target="http://bpmcm.caiso.com/Pages/BPMLibrary.aspx" TargetMode="External"/><Relationship Id="rId5" Type="http://schemas.openxmlformats.org/officeDocument/2006/relationships/customXml" Target="../customXml/item5.xml"/><Relationship Id="rId90" Type="http://schemas.openxmlformats.org/officeDocument/2006/relationships/image" Target="media/image12.png"/><Relationship Id="rId95" Type="http://schemas.openxmlformats.org/officeDocument/2006/relationships/hyperlink" Target="http://bpmcm.caiso.com/Pages/BPMLibrary.aspx" TargetMode="External"/><Relationship Id="rId22" Type="http://schemas.openxmlformats.org/officeDocument/2006/relationships/hyperlink" Target="http://bpmcm.caiso.com/Pages/BPMLibrary.aspx" TargetMode="External"/><Relationship Id="rId27" Type="http://schemas.openxmlformats.org/officeDocument/2006/relationships/hyperlink" Target="mailto:RegulatoryContracts@caiso.com" TargetMode="External"/><Relationship Id="rId43" Type="http://schemas.openxmlformats.org/officeDocument/2006/relationships/hyperlink" Target="mailto:SCRequests@caiso.com" TargetMode="External"/><Relationship Id="rId48" Type="http://schemas.openxmlformats.org/officeDocument/2006/relationships/hyperlink" Target="http://bpmcm.caiso.com/Pages/BPMLibrary.aspx" TargetMode="External"/><Relationship Id="rId64" Type="http://schemas.openxmlformats.org/officeDocument/2006/relationships/hyperlink" Target="http://bpmcm.caiso.com/Pages/BPMLibrary.aspx" TargetMode="External"/><Relationship Id="rId69" Type="http://schemas.openxmlformats.org/officeDocument/2006/relationships/hyperlink" Target="http://bpmcm.caiso.com/Pages/BPMLibrary.aspx" TargetMode="External"/><Relationship Id="rId80" Type="http://schemas.openxmlformats.org/officeDocument/2006/relationships/image" Target="media/image6.emf"/><Relationship Id="rId85" Type="http://schemas.openxmlformats.org/officeDocument/2006/relationships/image" Target="media/image11.emf"/><Relationship Id="rId12" Type="http://schemas.openxmlformats.org/officeDocument/2006/relationships/header" Target="header1.xml"/><Relationship Id="rId17" Type="http://schemas.openxmlformats.org/officeDocument/2006/relationships/hyperlink" Target="http://bpmcm.caiso.com/Pages/BPMLibrary.aspx" TargetMode="External"/><Relationship Id="rId33" Type="http://schemas.openxmlformats.org/officeDocument/2006/relationships/hyperlink" Target="http://www.caiso.com/Documents/ISO_PaymentSelectionInstructions-EFT-Form.doc" TargetMode="External"/><Relationship Id="rId38" Type="http://schemas.openxmlformats.org/officeDocument/2006/relationships/hyperlink" Target="http://www.caiso.com/Documents/SchedulingCoordinatorApplicationFormEIM-SelectionOptions.doc" TargetMode="External"/><Relationship Id="rId59" Type="http://schemas.openxmlformats.org/officeDocument/2006/relationships/hyperlink" Target="http://bpmcm.caiso.com/Pages/BPMLibrary.aspx" TargetMode="External"/><Relationship Id="rId103" Type="http://schemas.openxmlformats.org/officeDocument/2006/relationships/hyperlink" Target="http://bpmcm.caiso.com/Pages/BPMLibrary.aspx" TargetMode="External"/><Relationship Id="rId108" Type="http://schemas.openxmlformats.org/officeDocument/2006/relationships/fontTable" Target="fontTable.xml"/><Relationship Id="rId54" Type="http://schemas.openxmlformats.org/officeDocument/2006/relationships/hyperlink" Target="http://bpmcm.caiso.com/Pages/BPMLibrary.aspx" TargetMode="External"/><Relationship Id="rId70" Type="http://schemas.openxmlformats.org/officeDocument/2006/relationships/hyperlink" Target="http://bpmcm.caiso.com/Pages/BPMLibrary.aspx" TargetMode="External"/><Relationship Id="rId75" Type="http://schemas.openxmlformats.org/officeDocument/2006/relationships/hyperlink" Target="http://bpmcm.caiso.com/Pages/BPMLibrary.aspx" TargetMode="External"/><Relationship Id="rId91" Type="http://schemas.openxmlformats.org/officeDocument/2006/relationships/image" Target="media/image13.png"/><Relationship Id="rId96" Type="http://schemas.openxmlformats.org/officeDocument/2006/relationships/hyperlink" Target="http://bpmcm.caiso.com/Pages/BPMLibrary.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bpmcm.caiso.com/Pages/BPMLibrary.aspx" TargetMode="External"/><Relationship Id="rId28" Type="http://schemas.openxmlformats.org/officeDocument/2006/relationships/hyperlink" Target="mailto:SCRequests@caiso.com" TargetMode="External"/><Relationship Id="rId36" Type="http://schemas.openxmlformats.org/officeDocument/2006/relationships/hyperlink" Target="mailto:SCRequests@caiso.com" TargetMode="External"/><Relationship Id="rId49" Type="http://schemas.openxmlformats.org/officeDocument/2006/relationships/hyperlink" Target="http://bpmcm.caiso.com/Pages/BPMLibrary.aspx" TargetMode="External"/><Relationship Id="rId57" Type="http://schemas.openxmlformats.org/officeDocument/2006/relationships/hyperlink" Target="http://bpmcm.caiso.com/Pages/BPMLibrary.aspx" TargetMode="External"/><Relationship Id="rId106" Type="http://schemas.openxmlformats.org/officeDocument/2006/relationships/hyperlink" Target="http://www.caiso.com/Documents/How-to-Submit-Documentation-for-Applications-and-Ongoing-Obligations.pdf" TargetMode="External"/><Relationship Id="rId10" Type="http://schemas.openxmlformats.org/officeDocument/2006/relationships/footnotes" Target="footnotes.xml"/><Relationship Id="rId31" Type="http://schemas.openxmlformats.org/officeDocument/2006/relationships/hyperlink" Target="http://www.caiso.com/Documents/EnergyImbalanceMarketEntitySchedulingCoordinatorAgreementInformationRequestSheet.doc" TargetMode="External"/><Relationship Id="rId44" Type="http://schemas.openxmlformats.org/officeDocument/2006/relationships/hyperlink" Target="http://www.caiso.com/Documents/EnergyImbalanceMarketParticipatingResourceAgreementInformationRequestSheet.doc" TargetMode="External"/><Relationship Id="rId52" Type="http://schemas.openxmlformats.org/officeDocument/2006/relationships/hyperlink" Target="http://bpmcm.caiso.com/Pages/BPMLibrary.aspx" TargetMode="External"/><Relationship Id="rId60" Type="http://schemas.openxmlformats.org/officeDocument/2006/relationships/hyperlink" Target="http://bpmcm.caiso.com/Pages/BPMLibrary.aspx" TargetMode="External"/><Relationship Id="rId65" Type="http://schemas.openxmlformats.org/officeDocument/2006/relationships/hyperlink" Target="http://bpmcm.caiso.com/Pages/BPMLibrary.aspx" TargetMode="External"/><Relationship Id="rId73" Type="http://schemas.openxmlformats.org/officeDocument/2006/relationships/hyperlink" Target="http://bpmcm.caiso.com/Pages/BPMLibrary.aspx" TargetMode="External"/><Relationship Id="rId78" Type="http://schemas.openxmlformats.org/officeDocument/2006/relationships/oleObject" Target="embeddings/Microsoft_Visio_2003-2010_Drawing.vsd"/><Relationship Id="rId81" Type="http://schemas.openxmlformats.org/officeDocument/2006/relationships/image" Target="media/image7.png"/><Relationship Id="rId86" Type="http://schemas.openxmlformats.org/officeDocument/2006/relationships/hyperlink" Target="http://bpmcm.caiso.com/Pages/BPMLibrary.aspx" TargetMode="External"/><Relationship Id="rId94" Type="http://schemas.openxmlformats.org/officeDocument/2006/relationships/hyperlink" Target="http://bpmcm.caiso.com/Pages/BPMLibrary.aspx" TargetMode="External"/><Relationship Id="rId99" Type="http://schemas.openxmlformats.org/officeDocument/2006/relationships/hyperlink" Target="http://www.caiso.com/Documents/How-to-Submit-Documentation-for-Applications-and-Ongoing-Obligations.pdf" TargetMode="External"/><Relationship Id="rId101" Type="http://schemas.openxmlformats.org/officeDocument/2006/relationships/hyperlink" Target="http://bpmcm.caiso.com/Pages/BPMLibrary.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bpmcm.caiso.com/Pages/BPMLibrary.aspx" TargetMode="External"/><Relationship Id="rId39" Type="http://schemas.openxmlformats.org/officeDocument/2006/relationships/image" Target="media/image3.jpeg"/><Relationship Id="rId109" Type="http://schemas.openxmlformats.org/officeDocument/2006/relationships/theme" Target="theme/theme1.xml"/><Relationship Id="rId34" Type="http://schemas.openxmlformats.org/officeDocument/2006/relationships/hyperlink" Target="http://www.caiso.com/Documents/EmergencyPlanForm.doc" TargetMode="External"/><Relationship Id="rId50" Type="http://schemas.openxmlformats.org/officeDocument/2006/relationships/hyperlink" Target="http://bpmcm.caiso.com/Pages/BPMLibrary.aspx" TargetMode="External"/><Relationship Id="rId55" Type="http://schemas.openxmlformats.org/officeDocument/2006/relationships/hyperlink" Target="http://bpmcm.caiso.com/Pages/BPMLibrary.aspx" TargetMode="External"/><Relationship Id="rId76" Type="http://schemas.openxmlformats.org/officeDocument/2006/relationships/hyperlink" Target="http://bpmcm.caiso.com/Pages/BPMLibrary.aspx" TargetMode="External"/><Relationship Id="rId97" Type="http://schemas.openxmlformats.org/officeDocument/2006/relationships/hyperlink" Target="http://bpmcm.caiso.com/Pages/BPMLibrary.aspx" TargetMode="External"/><Relationship Id="rId104" Type="http://schemas.openxmlformats.org/officeDocument/2006/relationships/hyperlink" Target="http://bpmcm.caiso.com/Pages/BPMLibrary.aspx" TargetMode="External"/><Relationship Id="rId7" Type="http://schemas.openxmlformats.org/officeDocument/2006/relationships/styles" Target="styles.xml"/><Relationship Id="rId71" Type="http://schemas.openxmlformats.org/officeDocument/2006/relationships/hyperlink" Target="http://bpmcm.caiso.com/Pages/BPMDetails.aspx?BPM=Managing%20Full%20Network%20Model" TargetMode="External"/><Relationship Id="rId92" Type="http://schemas.openxmlformats.org/officeDocument/2006/relationships/image" Target="media/image14.png"/><Relationship Id="rId2" Type="http://schemas.openxmlformats.org/officeDocument/2006/relationships/customXml" Target="../customXml/item2.xml"/><Relationship Id="rId29" Type="http://schemas.openxmlformats.org/officeDocument/2006/relationships/hyperlink" Target="http://www.caiso.com/Documents/SchedulingCoordinatorApplicationFormEIM-SelectionOptions.doc" TargetMode="External"/><Relationship Id="rId24" Type="http://schemas.openxmlformats.org/officeDocument/2006/relationships/hyperlink" Target="http://bpmcm.caiso.com/Pages/BPMLibrary.aspx" TargetMode="External"/><Relationship Id="rId40" Type="http://schemas.openxmlformats.org/officeDocument/2006/relationships/hyperlink" Target="http://www.caiso.com/Documents/EnergyImbalanceMarketParticipatingResourceSchedulingCoordinatorAgreementInformationRequestSheet.doc" TargetMode="External"/><Relationship Id="rId45" Type="http://schemas.openxmlformats.org/officeDocument/2006/relationships/hyperlink" Target="http://www.caiso.com/Documents/EnergyImbalanceMarketParticipatingResourceAgreementSchedule1.xls" TargetMode="External"/><Relationship Id="rId66" Type="http://schemas.openxmlformats.org/officeDocument/2006/relationships/hyperlink" Target="http://bpmcm.caiso.com/Pages/BPMLibrary.aspx" TargetMode="External"/><Relationship Id="rId87" Type="http://schemas.openxmlformats.org/officeDocument/2006/relationships/hyperlink" Target="http://bpmcm.caiso.com/Pages/BPMLibrary.aspx" TargetMode="External"/><Relationship Id="rId61" Type="http://schemas.openxmlformats.org/officeDocument/2006/relationships/hyperlink" Target="http://bpmcm.caiso.com/Pages/BPMLibrary.aspx" TargetMode="External"/><Relationship Id="rId82" Type="http://schemas.openxmlformats.org/officeDocument/2006/relationships/image" Target="media/image8.png"/><Relationship Id="rId19" Type="http://schemas.openxmlformats.org/officeDocument/2006/relationships/hyperlink" Target="http://bpmcm.caiso.com/Pages/BPMLibrary.aspx" TargetMode="External"/><Relationship Id="rId14" Type="http://schemas.openxmlformats.org/officeDocument/2006/relationships/header" Target="header2.xml"/><Relationship Id="rId30" Type="http://schemas.openxmlformats.org/officeDocument/2006/relationships/image" Target="media/image2.png"/><Relationship Id="rId35" Type="http://schemas.openxmlformats.org/officeDocument/2006/relationships/hyperlink" Target="mailto:SCRequests@caiso.com" TargetMode="External"/><Relationship Id="rId56" Type="http://schemas.openxmlformats.org/officeDocument/2006/relationships/hyperlink" Target="http://bpmcm.caiso.com/Pages/BPMLibrary.aspx" TargetMode="External"/><Relationship Id="rId77" Type="http://schemas.openxmlformats.org/officeDocument/2006/relationships/image" Target="media/image4.emf"/><Relationship Id="rId100" Type="http://schemas.openxmlformats.org/officeDocument/2006/relationships/hyperlink" Target="http://www.caiso.com" TargetMode="External"/><Relationship Id="rId105"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bpmcm.caiso.com/Pages/BPMLibrary.aspx" TargetMode="External"/><Relationship Id="rId72" Type="http://schemas.openxmlformats.org/officeDocument/2006/relationships/hyperlink" Target="http://bpmcm.caiso.com/Pages/BPMLibrary.aspx" TargetMode="External"/><Relationship Id="rId93" Type="http://schemas.openxmlformats.org/officeDocument/2006/relationships/image" Target="media/image15.png"/><Relationship Id="rId98" Type="http://schemas.openxmlformats.org/officeDocument/2006/relationships/hyperlink" Target="http://www.caiso.com/Documents/How-to-Submit-Documentation-for-Applications-and-Ongoing-Obligations.pdf" TargetMode="External"/><Relationship Id="rId3" Type="http://schemas.openxmlformats.org/officeDocument/2006/relationships/customXml" Target="../customXml/item3.xml"/><Relationship Id="rId25" Type="http://schemas.openxmlformats.org/officeDocument/2006/relationships/hyperlink" Target="http://bpmcm.caiso.com/Pages/BPMLibrary.aspx" TargetMode="External"/><Relationship Id="rId46" Type="http://schemas.openxmlformats.org/officeDocument/2006/relationships/hyperlink" Target="http://www.caiso.com/Documents/ResourceOwnerLetter_Sept2014.doc" TargetMode="External"/><Relationship Id="rId67" Type="http://schemas.openxmlformats.org/officeDocument/2006/relationships/hyperlink" Target="http://bpmcm.caiso.com/Pages/BPMLibrary.aspx" TargetMode="External"/><Relationship Id="rId20" Type="http://schemas.openxmlformats.org/officeDocument/2006/relationships/hyperlink" Target="http://bpmcm.caiso.com/Pages/BPMLibrary.aspx" TargetMode="External"/><Relationship Id="rId41" Type="http://schemas.openxmlformats.org/officeDocument/2006/relationships/hyperlink" Target="http://www.caiso.com/Documents/ISOAffiliationResourceControlAgreementDisclosureForm.xls" TargetMode="External"/><Relationship Id="rId62" Type="http://schemas.openxmlformats.org/officeDocument/2006/relationships/hyperlink" Target="http://bpmcm.caiso.com/Pages/BPMLibrary.aspx" TargetMode="External"/><Relationship Id="rId83" Type="http://schemas.openxmlformats.org/officeDocument/2006/relationships/image" Target="media/image9.png"/><Relationship Id="rId88" Type="http://schemas.openxmlformats.org/officeDocument/2006/relationships/hyperlink" Target="http://bpmcm.caiso.com/Pages/BPMLibrar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5bc57ebc227ce9694fe9b7ae47d913e4">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034b097674a0ee32931f2745d0cb7dd"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Extended Day-Ahead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Energy Imbalance Market</BPM_x0020_Name>
  </documentManagement>
</p:properti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35C0C8D-0350-4893-9AB7-1F26441074FC}">
  <ds:schemaRefs>
    <ds:schemaRef ds:uri="http://schemas.microsoft.com/sharepoint/v3/contenttype/forms"/>
  </ds:schemaRefs>
</ds:datastoreItem>
</file>

<file path=customXml/itemProps2.xml><?xml version="1.0" encoding="utf-8"?>
<ds:datastoreItem xmlns:ds="http://schemas.openxmlformats.org/officeDocument/2006/customXml" ds:itemID="{66A75DD9-B4F4-4867-A472-6D27995E0A5D}">
  <ds:schemaRefs>
    <ds:schemaRef ds:uri="http://schemas.openxmlformats.org/officeDocument/2006/bibliography"/>
  </ds:schemaRefs>
</ds:datastoreItem>
</file>

<file path=customXml/itemProps3.xml><?xml version="1.0" encoding="utf-8"?>
<ds:datastoreItem xmlns:ds="http://schemas.openxmlformats.org/officeDocument/2006/customXml" ds:itemID="{0604795C-25D7-4C53-80C8-32B45077F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042e7bea-1f55-492d-8c02-00738d32c3c4"/>
    <ds:schemaRef ds:uri="b2c59613-3b3d-4bae-9add-59b6ddfe4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924E7-112B-4575-9637-44428B4A164D}">
  <ds:schemaRefs>
    <ds:schemaRef ds:uri="http://purl.org/dc/terms/"/>
    <ds:schemaRef ds:uri="http://www.w3.org/XML/1998/namespace"/>
    <ds:schemaRef ds:uri="http://purl.org/dc/dcmitype/"/>
    <ds:schemaRef ds:uri="http://schemas.microsoft.com/office/infopath/2007/PartnerControls"/>
    <ds:schemaRef ds:uri="http://schemas.microsoft.com/sharepoint/v3"/>
    <ds:schemaRef ds:uri="http://schemas.microsoft.com/office/2006/documentManagement/types"/>
    <ds:schemaRef ds:uri="http://schemas.microsoft.com/sharepoint/v4"/>
    <ds:schemaRef ds:uri="http://purl.org/dc/elements/1.1/"/>
    <ds:schemaRef ds:uri="b2c59613-3b3d-4bae-9add-59b6ddfe4197"/>
    <ds:schemaRef ds:uri="http://schemas.openxmlformats.org/package/2006/metadata/core-properties"/>
    <ds:schemaRef ds:uri="042e7bea-1f55-492d-8c02-00738d32c3c4"/>
    <ds:schemaRef ds:uri="http://schemas.microsoft.com/office/2006/metadata/properties"/>
  </ds:schemaRefs>
</ds:datastoreItem>
</file>

<file path=customXml/itemProps5.xml><?xml version="1.0" encoding="utf-8"?>
<ds:datastoreItem xmlns:ds="http://schemas.openxmlformats.org/officeDocument/2006/customXml" ds:itemID="{3BD57942-0845-45FF-9A2C-CB913BC8470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50365</Words>
  <Characters>293942</Characters>
  <Application>Microsoft Office Word</Application>
  <DocSecurity>0</DocSecurity>
  <Lines>2449</Lines>
  <Paragraphs>687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343620</CharactersWithSpaces>
  <SharedDoc>false</SharedDoc>
  <HLinks>
    <vt:vector size="696" baseType="variant">
      <vt:variant>
        <vt:i4>327700</vt:i4>
      </vt:variant>
      <vt:variant>
        <vt:i4>579</vt:i4>
      </vt:variant>
      <vt:variant>
        <vt:i4>0</vt:i4>
      </vt:variant>
      <vt:variant>
        <vt:i4>5</vt:i4>
      </vt:variant>
      <vt:variant>
        <vt:lpwstr>http://bpmcm.caiso.com/Pages/BPMLibrary.aspx</vt:lpwstr>
      </vt:variant>
      <vt:variant>
        <vt:lpwstr/>
      </vt:variant>
      <vt:variant>
        <vt:i4>327700</vt:i4>
      </vt:variant>
      <vt:variant>
        <vt:i4>576</vt:i4>
      </vt:variant>
      <vt:variant>
        <vt:i4>0</vt:i4>
      </vt:variant>
      <vt:variant>
        <vt:i4>5</vt:i4>
      </vt:variant>
      <vt:variant>
        <vt:lpwstr>http://bpmcm.caiso.com/Pages/BPMLibrary.aspx</vt:lpwstr>
      </vt:variant>
      <vt:variant>
        <vt:lpwstr/>
      </vt:variant>
      <vt:variant>
        <vt:i4>327700</vt:i4>
      </vt:variant>
      <vt:variant>
        <vt:i4>573</vt:i4>
      </vt:variant>
      <vt:variant>
        <vt:i4>0</vt:i4>
      </vt:variant>
      <vt:variant>
        <vt:i4>5</vt:i4>
      </vt:variant>
      <vt:variant>
        <vt:lpwstr>http://bpmcm.caiso.com/Pages/BPMLibrary.aspx</vt:lpwstr>
      </vt:variant>
      <vt:variant>
        <vt:lpwstr/>
      </vt:variant>
      <vt:variant>
        <vt:i4>327700</vt:i4>
      </vt:variant>
      <vt:variant>
        <vt:i4>570</vt:i4>
      </vt:variant>
      <vt:variant>
        <vt:i4>0</vt:i4>
      </vt:variant>
      <vt:variant>
        <vt:i4>5</vt:i4>
      </vt:variant>
      <vt:variant>
        <vt:lpwstr>http://bpmcm.caiso.com/Pages/BPMLibrary.aspx</vt:lpwstr>
      </vt:variant>
      <vt:variant>
        <vt:lpwstr/>
      </vt:variant>
      <vt:variant>
        <vt:i4>327700</vt:i4>
      </vt:variant>
      <vt:variant>
        <vt:i4>567</vt:i4>
      </vt:variant>
      <vt:variant>
        <vt:i4>0</vt:i4>
      </vt:variant>
      <vt:variant>
        <vt:i4>5</vt:i4>
      </vt:variant>
      <vt:variant>
        <vt:lpwstr>http://bpmcm.caiso.com/Pages/BPMLibrary.aspx</vt:lpwstr>
      </vt:variant>
      <vt:variant>
        <vt:lpwstr/>
      </vt:variant>
      <vt:variant>
        <vt:i4>327700</vt:i4>
      </vt:variant>
      <vt:variant>
        <vt:i4>564</vt:i4>
      </vt:variant>
      <vt:variant>
        <vt:i4>0</vt:i4>
      </vt:variant>
      <vt:variant>
        <vt:i4>5</vt:i4>
      </vt:variant>
      <vt:variant>
        <vt:lpwstr>http://bpmcm.caiso.com/Pages/BPMLibrary.aspx</vt:lpwstr>
      </vt:variant>
      <vt:variant>
        <vt:lpwstr/>
      </vt:variant>
      <vt:variant>
        <vt:i4>327700</vt:i4>
      </vt:variant>
      <vt:variant>
        <vt:i4>561</vt:i4>
      </vt:variant>
      <vt:variant>
        <vt:i4>0</vt:i4>
      </vt:variant>
      <vt:variant>
        <vt:i4>5</vt:i4>
      </vt:variant>
      <vt:variant>
        <vt:lpwstr>http://bpmcm.caiso.com/Pages/BPMLibrary.aspx</vt:lpwstr>
      </vt:variant>
      <vt:variant>
        <vt:lpwstr/>
      </vt:variant>
      <vt:variant>
        <vt:i4>327700</vt:i4>
      </vt:variant>
      <vt:variant>
        <vt:i4>558</vt:i4>
      </vt:variant>
      <vt:variant>
        <vt:i4>0</vt:i4>
      </vt:variant>
      <vt:variant>
        <vt:i4>5</vt:i4>
      </vt:variant>
      <vt:variant>
        <vt:lpwstr>http://bpmcm.caiso.com/Pages/BPMLibrary.aspx</vt:lpwstr>
      </vt:variant>
      <vt:variant>
        <vt:lpwstr/>
      </vt:variant>
      <vt:variant>
        <vt:i4>327700</vt:i4>
      </vt:variant>
      <vt:variant>
        <vt:i4>555</vt:i4>
      </vt:variant>
      <vt:variant>
        <vt:i4>0</vt:i4>
      </vt:variant>
      <vt:variant>
        <vt:i4>5</vt:i4>
      </vt:variant>
      <vt:variant>
        <vt:lpwstr>http://bpmcm.caiso.com/Pages/BPMLibrary.aspx</vt:lpwstr>
      </vt:variant>
      <vt:variant>
        <vt:lpwstr/>
      </vt:variant>
      <vt:variant>
        <vt:i4>327700</vt:i4>
      </vt:variant>
      <vt:variant>
        <vt:i4>552</vt:i4>
      </vt:variant>
      <vt:variant>
        <vt:i4>0</vt:i4>
      </vt:variant>
      <vt:variant>
        <vt:i4>5</vt:i4>
      </vt:variant>
      <vt:variant>
        <vt:lpwstr>http://bpmcm.caiso.com/Pages/BPMLibrary.aspx</vt:lpwstr>
      </vt:variant>
      <vt:variant>
        <vt:lpwstr/>
      </vt:variant>
      <vt:variant>
        <vt:i4>327700</vt:i4>
      </vt:variant>
      <vt:variant>
        <vt:i4>528</vt:i4>
      </vt:variant>
      <vt:variant>
        <vt:i4>0</vt:i4>
      </vt:variant>
      <vt:variant>
        <vt:i4>5</vt:i4>
      </vt:variant>
      <vt:variant>
        <vt:lpwstr>http://bpmcm.caiso.com/Pages/BPMLibrary.aspx</vt:lpwstr>
      </vt:variant>
      <vt:variant>
        <vt:lpwstr/>
      </vt:variant>
      <vt:variant>
        <vt:i4>327700</vt:i4>
      </vt:variant>
      <vt:variant>
        <vt:i4>525</vt:i4>
      </vt:variant>
      <vt:variant>
        <vt:i4>0</vt:i4>
      </vt:variant>
      <vt:variant>
        <vt:i4>5</vt:i4>
      </vt:variant>
      <vt:variant>
        <vt:lpwstr>http://bpmcm.caiso.com/Pages/BPMLibrary.aspx</vt:lpwstr>
      </vt:variant>
      <vt:variant>
        <vt:lpwstr/>
      </vt:variant>
      <vt:variant>
        <vt:i4>5177355</vt:i4>
      </vt:variant>
      <vt:variant>
        <vt:i4>522</vt:i4>
      </vt:variant>
      <vt:variant>
        <vt:i4>0</vt:i4>
      </vt:variant>
      <vt:variant>
        <vt:i4>5</vt:i4>
      </vt:variant>
      <vt:variant>
        <vt:lpwstr>http://www.caiso.com/Pages/documentsbygroup.aspx?GroupID=38C13435-DB5D-40E5-9F15-56559A526D5A</vt:lpwstr>
      </vt:variant>
      <vt:variant>
        <vt:lpwstr/>
      </vt:variant>
      <vt:variant>
        <vt:i4>327700</vt:i4>
      </vt:variant>
      <vt:variant>
        <vt:i4>519</vt:i4>
      </vt:variant>
      <vt:variant>
        <vt:i4>0</vt:i4>
      </vt:variant>
      <vt:variant>
        <vt:i4>5</vt:i4>
      </vt:variant>
      <vt:variant>
        <vt:lpwstr>http://bpmcm.caiso.com/Pages/BPMLibrary.aspx</vt:lpwstr>
      </vt:variant>
      <vt:variant>
        <vt:lpwstr/>
      </vt:variant>
      <vt:variant>
        <vt:i4>7733286</vt:i4>
      </vt:variant>
      <vt:variant>
        <vt:i4>516</vt:i4>
      </vt:variant>
      <vt:variant>
        <vt:i4>0</vt:i4>
      </vt:variant>
      <vt:variant>
        <vt:i4>5</vt:i4>
      </vt:variant>
      <vt:variant>
        <vt:lpwstr>http://bpmcm.caiso.com/Pages/BPMDetails.aspx?BPM=Managing%20Full%20Network%20Model</vt:lpwstr>
      </vt:variant>
      <vt:variant>
        <vt:lpwstr/>
      </vt:variant>
      <vt:variant>
        <vt:i4>327700</vt:i4>
      </vt:variant>
      <vt:variant>
        <vt:i4>513</vt:i4>
      </vt:variant>
      <vt:variant>
        <vt:i4>0</vt:i4>
      </vt:variant>
      <vt:variant>
        <vt:i4>5</vt:i4>
      </vt:variant>
      <vt:variant>
        <vt:lpwstr>http://bpmcm.caiso.com/Pages/BPMLibrary.aspx</vt:lpwstr>
      </vt:variant>
      <vt:variant>
        <vt:lpwstr/>
      </vt:variant>
      <vt:variant>
        <vt:i4>327700</vt:i4>
      </vt:variant>
      <vt:variant>
        <vt:i4>510</vt:i4>
      </vt:variant>
      <vt:variant>
        <vt:i4>0</vt:i4>
      </vt:variant>
      <vt:variant>
        <vt:i4>5</vt:i4>
      </vt:variant>
      <vt:variant>
        <vt:lpwstr>http://bpmcm.caiso.com/Pages/BPMLibrary.aspx</vt:lpwstr>
      </vt:variant>
      <vt:variant>
        <vt:lpwstr/>
      </vt:variant>
      <vt:variant>
        <vt:i4>327700</vt:i4>
      </vt:variant>
      <vt:variant>
        <vt:i4>507</vt:i4>
      </vt:variant>
      <vt:variant>
        <vt:i4>0</vt:i4>
      </vt:variant>
      <vt:variant>
        <vt:i4>5</vt:i4>
      </vt:variant>
      <vt:variant>
        <vt:lpwstr>http://bpmcm.caiso.com/Pages/BPMLibrary.aspx</vt:lpwstr>
      </vt:variant>
      <vt:variant>
        <vt:lpwstr/>
      </vt:variant>
      <vt:variant>
        <vt:i4>327700</vt:i4>
      </vt:variant>
      <vt:variant>
        <vt:i4>504</vt:i4>
      </vt:variant>
      <vt:variant>
        <vt:i4>0</vt:i4>
      </vt:variant>
      <vt:variant>
        <vt:i4>5</vt:i4>
      </vt:variant>
      <vt:variant>
        <vt:lpwstr>http://bpmcm.caiso.com/Pages/BPMLibrary.aspx</vt:lpwstr>
      </vt:variant>
      <vt:variant>
        <vt:lpwstr/>
      </vt:variant>
      <vt:variant>
        <vt:i4>327700</vt:i4>
      </vt:variant>
      <vt:variant>
        <vt:i4>501</vt:i4>
      </vt:variant>
      <vt:variant>
        <vt:i4>0</vt:i4>
      </vt:variant>
      <vt:variant>
        <vt:i4>5</vt:i4>
      </vt:variant>
      <vt:variant>
        <vt:lpwstr>http://bpmcm.caiso.com/Pages/BPMLibrary.aspx</vt:lpwstr>
      </vt:variant>
      <vt:variant>
        <vt:lpwstr/>
      </vt:variant>
      <vt:variant>
        <vt:i4>5505101</vt:i4>
      </vt:variant>
      <vt:variant>
        <vt:i4>498</vt:i4>
      </vt:variant>
      <vt:variant>
        <vt:i4>0</vt:i4>
      </vt:variant>
      <vt:variant>
        <vt:i4>5</vt:i4>
      </vt:variant>
      <vt:variant>
        <vt:lpwstr>http://www.caiso.com/rules/Pages/Regulatory/Default.aspx</vt:lpwstr>
      </vt:variant>
      <vt:variant>
        <vt:lpwstr/>
      </vt:variant>
      <vt:variant>
        <vt:i4>327700</vt:i4>
      </vt:variant>
      <vt:variant>
        <vt:i4>495</vt:i4>
      </vt:variant>
      <vt:variant>
        <vt:i4>0</vt:i4>
      </vt:variant>
      <vt:variant>
        <vt:i4>5</vt:i4>
      </vt:variant>
      <vt:variant>
        <vt:lpwstr>http://bpmcm.caiso.com/Pages/BPMLibrary.aspx</vt:lpwstr>
      </vt:variant>
      <vt:variant>
        <vt:lpwstr/>
      </vt:variant>
      <vt:variant>
        <vt:i4>327700</vt:i4>
      </vt:variant>
      <vt:variant>
        <vt:i4>492</vt:i4>
      </vt:variant>
      <vt:variant>
        <vt:i4>0</vt:i4>
      </vt:variant>
      <vt:variant>
        <vt:i4>5</vt:i4>
      </vt:variant>
      <vt:variant>
        <vt:lpwstr>http://bpmcm.caiso.com/Pages/BPMLibrary.aspx</vt:lpwstr>
      </vt:variant>
      <vt:variant>
        <vt:lpwstr/>
      </vt:variant>
      <vt:variant>
        <vt:i4>327700</vt:i4>
      </vt:variant>
      <vt:variant>
        <vt:i4>489</vt:i4>
      </vt:variant>
      <vt:variant>
        <vt:i4>0</vt:i4>
      </vt:variant>
      <vt:variant>
        <vt:i4>5</vt:i4>
      </vt:variant>
      <vt:variant>
        <vt:lpwstr>http://bpmcm.caiso.com/Pages/BPMLibrary.aspx</vt:lpwstr>
      </vt:variant>
      <vt:variant>
        <vt:lpwstr/>
      </vt:variant>
      <vt:variant>
        <vt:i4>327700</vt:i4>
      </vt:variant>
      <vt:variant>
        <vt:i4>486</vt:i4>
      </vt:variant>
      <vt:variant>
        <vt:i4>0</vt:i4>
      </vt:variant>
      <vt:variant>
        <vt:i4>5</vt:i4>
      </vt:variant>
      <vt:variant>
        <vt:lpwstr>http://bpmcm.caiso.com/Pages/BPMLibrary.aspx</vt:lpwstr>
      </vt:variant>
      <vt:variant>
        <vt:lpwstr/>
      </vt:variant>
      <vt:variant>
        <vt:i4>327700</vt:i4>
      </vt:variant>
      <vt:variant>
        <vt:i4>483</vt:i4>
      </vt:variant>
      <vt:variant>
        <vt:i4>0</vt:i4>
      </vt:variant>
      <vt:variant>
        <vt:i4>5</vt:i4>
      </vt:variant>
      <vt:variant>
        <vt:lpwstr>http://bpmcm.caiso.com/Pages/BPMLibrary.aspx</vt:lpwstr>
      </vt:variant>
      <vt:variant>
        <vt:lpwstr/>
      </vt:variant>
      <vt:variant>
        <vt:i4>327700</vt:i4>
      </vt:variant>
      <vt:variant>
        <vt:i4>480</vt:i4>
      </vt:variant>
      <vt:variant>
        <vt:i4>0</vt:i4>
      </vt:variant>
      <vt:variant>
        <vt:i4>5</vt:i4>
      </vt:variant>
      <vt:variant>
        <vt:lpwstr>http://bpmcm.caiso.com/Pages/BPMLibrary.aspx</vt:lpwstr>
      </vt:variant>
      <vt:variant>
        <vt:lpwstr/>
      </vt:variant>
      <vt:variant>
        <vt:i4>327700</vt:i4>
      </vt:variant>
      <vt:variant>
        <vt:i4>477</vt:i4>
      </vt:variant>
      <vt:variant>
        <vt:i4>0</vt:i4>
      </vt:variant>
      <vt:variant>
        <vt:i4>5</vt:i4>
      </vt:variant>
      <vt:variant>
        <vt:lpwstr>http://bpmcm.caiso.com/Pages/BPMLibrary.aspx</vt:lpwstr>
      </vt:variant>
      <vt:variant>
        <vt:lpwstr/>
      </vt:variant>
      <vt:variant>
        <vt:i4>327700</vt:i4>
      </vt:variant>
      <vt:variant>
        <vt:i4>474</vt:i4>
      </vt:variant>
      <vt:variant>
        <vt:i4>0</vt:i4>
      </vt:variant>
      <vt:variant>
        <vt:i4>5</vt:i4>
      </vt:variant>
      <vt:variant>
        <vt:lpwstr>http://bpmcm.caiso.com/Pages/BPMLibrary.aspx</vt:lpwstr>
      </vt:variant>
      <vt:variant>
        <vt:lpwstr/>
      </vt:variant>
      <vt:variant>
        <vt:i4>327700</vt:i4>
      </vt:variant>
      <vt:variant>
        <vt:i4>471</vt:i4>
      </vt:variant>
      <vt:variant>
        <vt:i4>0</vt:i4>
      </vt:variant>
      <vt:variant>
        <vt:i4>5</vt:i4>
      </vt:variant>
      <vt:variant>
        <vt:lpwstr>http://bpmcm.caiso.com/Pages/BPMLibrary.aspx</vt:lpwstr>
      </vt:variant>
      <vt:variant>
        <vt:lpwstr/>
      </vt:variant>
      <vt:variant>
        <vt:i4>327700</vt:i4>
      </vt:variant>
      <vt:variant>
        <vt:i4>468</vt:i4>
      </vt:variant>
      <vt:variant>
        <vt:i4>0</vt:i4>
      </vt:variant>
      <vt:variant>
        <vt:i4>5</vt:i4>
      </vt:variant>
      <vt:variant>
        <vt:lpwstr>http://bpmcm.caiso.com/Pages/BPMLibrary.aspx</vt:lpwstr>
      </vt:variant>
      <vt:variant>
        <vt:lpwstr/>
      </vt:variant>
      <vt:variant>
        <vt:i4>327700</vt:i4>
      </vt:variant>
      <vt:variant>
        <vt:i4>465</vt:i4>
      </vt:variant>
      <vt:variant>
        <vt:i4>0</vt:i4>
      </vt:variant>
      <vt:variant>
        <vt:i4>5</vt:i4>
      </vt:variant>
      <vt:variant>
        <vt:lpwstr>http://bpmcm.caiso.com/Pages/BPMLibrary.aspx</vt:lpwstr>
      </vt:variant>
      <vt:variant>
        <vt:lpwstr/>
      </vt:variant>
      <vt:variant>
        <vt:i4>327700</vt:i4>
      </vt:variant>
      <vt:variant>
        <vt:i4>462</vt:i4>
      </vt:variant>
      <vt:variant>
        <vt:i4>0</vt:i4>
      </vt:variant>
      <vt:variant>
        <vt:i4>5</vt:i4>
      </vt:variant>
      <vt:variant>
        <vt:lpwstr>http://bpmcm.caiso.com/Pages/BPMLibrary.aspx</vt:lpwstr>
      </vt:variant>
      <vt:variant>
        <vt:lpwstr/>
      </vt:variant>
      <vt:variant>
        <vt:i4>327700</vt:i4>
      </vt:variant>
      <vt:variant>
        <vt:i4>459</vt:i4>
      </vt:variant>
      <vt:variant>
        <vt:i4>0</vt:i4>
      </vt:variant>
      <vt:variant>
        <vt:i4>5</vt:i4>
      </vt:variant>
      <vt:variant>
        <vt:lpwstr>http://bpmcm.caiso.com/Pages/BPMLibrary.aspx</vt:lpwstr>
      </vt:variant>
      <vt:variant>
        <vt:lpwstr/>
      </vt:variant>
      <vt:variant>
        <vt:i4>327700</vt:i4>
      </vt:variant>
      <vt:variant>
        <vt:i4>456</vt:i4>
      </vt:variant>
      <vt:variant>
        <vt:i4>0</vt:i4>
      </vt:variant>
      <vt:variant>
        <vt:i4>5</vt:i4>
      </vt:variant>
      <vt:variant>
        <vt:lpwstr>http://bpmcm.caiso.com/Pages/BPMLibrary.aspx</vt:lpwstr>
      </vt:variant>
      <vt:variant>
        <vt:lpwstr/>
      </vt:variant>
      <vt:variant>
        <vt:i4>327700</vt:i4>
      </vt:variant>
      <vt:variant>
        <vt:i4>453</vt:i4>
      </vt:variant>
      <vt:variant>
        <vt:i4>0</vt:i4>
      </vt:variant>
      <vt:variant>
        <vt:i4>5</vt:i4>
      </vt:variant>
      <vt:variant>
        <vt:lpwstr>http://bpmcm.caiso.com/Pages/BPMLibrary.aspx</vt:lpwstr>
      </vt:variant>
      <vt:variant>
        <vt:lpwstr/>
      </vt:variant>
      <vt:variant>
        <vt:i4>327700</vt:i4>
      </vt:variant>
      <vt:variant>
        <vt:i4>450</vt:i4>
      </vt:variant>
      <vt:variant>
        <vt:i4>0</vt:i4>
      </vt:variant>
      <vt:variant>
        <vt:i4>5</vt:i4>
      </vt:variant>
      <vt:variant>
        <vt:lpwstr>http://bpmcm.caiso.com/Pages/BPMLibrary.aspx</vt:lpwstr>
      </vt:variant>
      <vt:variant>
        <vt:lpwstr/>
      </vt:variant>
      <vt:variant>
        <vt:i4>327700</vt:i4>
      </vt:variant>
      <vt:variant>
        <vt:i4>447</vt:i4>
      </vt:variant>
      <vt:variant>
        <vt:i4>0</vt:i4>
      </vt:variant>
      <vt:variant>
        <vt:i4>5</vt:i4>
      </vt:variant>
      <vt:variant>
        <vt:lpwstr>http://bpmcm.caiso.com/Pages/BPMLibrary.aspx</vt:lpwstr>
      </vt:variant>
      <vt:variant>
        <vt:lpwstr/>
      </vt:variant>
      <vt:variant>
        <vt:i4>327700</vt:i4>
      </vt:variant>
      <vt:variant>
        <vt:i4>444</vt:i4>
      </vt:variant>
      <vt:variant>
        <vt:i4>0</vt:i4>
      </vt:variant>
      <vt:variant>
        <vt:i4>5</vt:i4>
      </vt:variant>
      <vt:variant>
        <vt:lpwstr>http://bpmcm.caiso.com/Pages/BPMLibrary.aspx</vt:lpwstr>
      </vt:variant>
      <vt:variant>
        <vt:lpwstr/>
      </vt:variant>
      <vt:variant>
        <vt:i4>327700</vt:i4>
      </vt:variant>
      <vt:variant>
        <vt:i4>441</vt:i4>
      </vt:variant>
      <vt:variant>
        <vt:i4>0</vt:i4>
      </vt:variant>
      <vt:variant>
        <vt:i4>5</vt:i4>
      </vt:variant>
      <vt:variant>
        <vt:lpwstr>http://bpmcm.caiso.com/Pages/BPMLibrary.aspx</vt:lpwstr>
      </vt:variant>
      <vt:variant>
        <vt:lpwstr/>
      </vt:variant>
      <vt:variant>
        <vt:i4>327700</vt:i4>
      </vt:variant>
      <vt:variant>
        <vt:i4>438</vt:i4>
      </vt:variant>
      <vt:variant>
        <vt:i4>0</vt:i4>
      </vt:variant>
      <vt:variant>
        <vt:i4>5</vt:i4>
      </vt:variant>
      <vt:variant>
        <vt:lpwstr>http://bpmcm.caiso.com/Pages/BPMLibrary.aspx</vt:lpwstr>
      </vt:variant>
      <vt:variant>
        <vt:lpwstr/>
      </vt:variant>
      <vt:variant>
        <vt:i4>327700</vt:i4>
      </vt:variant>
      <vt:variant>
        <vt:i4>435</vt:i4>
      </vt:variant>
      <vt:variant>
        <vt:i4>0</vt:i4>
      </vt:variant>
      <vt:variant>
        <vt:i4>5</vt:i4>
      </vt:variant>
      <vt:variant>
        <vt:lpwstr>http://bpmcm.caiso.com/Pages/BPMLibrary.aspx</vt:lpwstr>
      </vt:variant>
      <vt:variant>
        <vt:lpwstr/>
      </vt:variant>
      <vt:variant>
        <vt:i4>327700</vt:i4>
      </vt:variant>
      <vt:variant>
        <vt:i4>432</vt:i4>
      </vt:variant>
      <vt:variant>
        <vt:i4>0</vt:i4>
      </vt:variant>
      <vt:variant>
        <vt:i4>5</vt:i4>
      </vt:variant>
      <vt:variant>
        <vt:lpwstr>http://bpmcm.caiso.com/Pages/BPMLibrary.aspx</vt:lpwstr>
      </vt:variant>
      <vt:variant>
        <vt:lpwstr/>
      </vt:variant>
      <vt:variant>
        <vt:i4>327700</vt:i4>
      </vt:variant>
      <vt:variant>
        <vt:i4>429</vt:i4>
      </vt:variant>
      <vt:variant>
        <vt:i4>0</vt:i4>
      </vt:variant>
      <vt:variant>
        <vt:i4>5</vt:i4>
      </vt:variant>
      <vt:variant>
        <vt:lpwstr>http://bpmcm.caiso.com/Pages/BPMLibrary.aspx</vt:lpwstr>
      </vt:variant>
      <vt:variant>
        <vt:lpwstr/>
      </vt:variant>
      <vt:variant>
        <vt:i4>327700</vt:i4>
      </vt:variant>
      <vt:variant>
        <vt:i4>426</vt:i4>
      </vt:variant>
      <vt:variant>
        <vt:i4>0</vt:i4>
      </vt:variant>
      <vt:variant>
        <vt:i4>5</vt:i4>
      </vt:variant>
      <vt:variant>
        <vt:lpwstr>http://bpmcm.caiso.com/Pages/BPMLibrary.aspx</vt:lpwstr>
      </vt:variant>
      <vt:variant>
        <vt:lpwstr/>
      </vt:variant>
      <vt:variant>
        <vt:i4>327700</vt:i4>
      </vt:variant>
      <vt:variant>
        <vt:i4>423</vt:i4>
      </vt:variant>
      <vt:variant>
        <vt:i4>0</vt:i4>
      </vt:variant>
      <vt:variant>
        <vt:i4>5</vt:i4>
      </vt:variant>
      <vt:variant>
        <vt:lpwstr>http://bpmcm.caiso.com/Pages/BPMLibrary.aspx</vt:lpwstr>
      </vt:variant>
      <vt:variant>
        <vt:lpwstr/>
      </vt:variant>
      <vt:variant>
        <vt:i4>1572915</vt:i4>
      </vt:variant>
      <vt:variant>
        <vt:i4>416</vt:i4>
      </vt:variant>
      <vt:variant>
        <vt:i4>0</vt:i4>
      </vt:variant>
      <vt:variant>
        <vt:i4>5</vt:i4>
      </vt:variant>
      <vt:variant>
        <vt:lpwstr/>
      </vt:variant>
      <vt:variant>
        <vt:lpwstr>_Toc391638283</vt:lpwstr>
      </vt:variant>
      <vt:variant>
        <vt:i4>1572915</vt:i4>
      </vt:variant>
      <vt:variant>
        <vt:i4>410</vt:i4>
      </vt:variant>
      <vt:variant>
        <vt:i4>0</vt:i4>
      </vt:variant>
      <vt:variant>
        <vt:i4>5</vt:i4>
      </vt:variant>
      <vt:variant>
        <vt:lpwstr/>
      </vt:variant>
      <vt:variant>
        <vt:lpwstr>_Toc391638282</vt:lpwstr>
      </vt:variant>
      <vt:variant>
        <vt:i4>1572915</vt:i4>
      </vt:variant>
      <vt:variant>
        <vt:i4>404</vt:i4>
      </vt:variant>
      <vt:variant>
        <vt:i4>0</vt:i4>
      </vt:variant>
      <vt:variant>
        <vt:i4>5</vt:i4>
      </vt:variant>
      <vt:variant>
        <vt:lpwstr/>
      </vt:variant>
      <vt:variant>
        <vt:lpwstr>_Toc391638281</vt:lpwstr>
      </vt:variant>
      <vt:variant>
        <vt:i4>1572915</vt:i4>
      </vt:variant>
      <vt:variant>
        <vt:i4>398</vt:i4>
      </vt:variant>
      <vt:variant>
        <vt:i4>0</vt:i4>
      </vt:variant>
      <vt:variant>
        <vt:i4>5</vt:i4>
      </vt:variant>
      <vt:variant>
        <vt:lpwstr/>
      </vt:variant>
      <vt:variant>
        <vt:lpwstr>_Toc391638280</vt:lpwstr>
      </vt:variant>
      <vt:variant>
        <vt:i4>1507379</vt:i4>
      </vt:variant>
      <vt:variant>
        <vt:i4>392</vt:i4>
      </vt:variant>
      <vt:variant>
        <vt:i4>0</vt:i4>
      </vt:variant>
      <vt:variant>
        <vt:i4>5</vt:i4>
      </vt:variant>
      <vt:variant>
        <vt:lpwstr/>
      </vt:variant>
      <vt:variant>
        <vt:lpwstr>_Toc391638279</vt:lpwstr>
      </vt:variant>
      <vt:variant>
        <vt:i4>1507379</vt:i4>
      </vt:variant>
      <vt:variant>
        <vt:i4>386</vt:i4>
      </vt:variant>
      <vt:variant>
        <vt:i4>0</vt:i4>
      </vt:variant>
      <vt:variant>
        <vt:i4>5</vt:i4>
      </vt:variant>
      <vt:variant>
        <vt:lpwstr/>
      </vt:variant>
      <vt:variant>
        <vt:lpwstr>_Toc391638278</vt:lpwstr>
      </vt:variant>
      <vt:variant>
        <vt:i4>1507379</vt:i4>
      </vt:variant>
      <vt:variant>
        <vt:i4>380</vt:i4>
      </vt:variant>
      <vt:variant>
        <vt:i4>0</vt:i4>
      </vt:variant>
      <vt:variant>
        <vt:i4>5</vt:i4>
      </vt:variant>
      <vt:variant>
        <vt:lpwstr/>
      </vt:variant>
      <vt:variant>
        <vt:lpwstr>_Toc391638277</vt:lpwstr>
      </vt:variant>
      <vt:variant>
        <vt:i4>1507379</vt:i4>
      </vt:variant>
      <vt:variant>
        <vt:i4>374</vt:i4>
      </vt:variant>
      <vt:variant>
        <vt:i4>0</vt:i4>
      </vt:variant>
      <vt:variant>
        <vt:i4>5</vt:i4>
      </vt:variant>
      <vt:variant>
        <vt:lpwstr/>
      </vt:variant>
      <vt:variant>
        <vt:lpwstr>_Toc391638276</vt:lpwstr>
      </vt:variant>
      <vt:variant>
        <vt:i4>1507379</vt:i4>
      </vt:variant>
      <vt:variant>
        <vt:i4>368</vt:i4>
      </vt:variant>
      <vt:variant>
        <vt:i4>0</vt:i4>
      </vt:variant>
      <vt:variant>
        <vt:i4>5</vt:i4>
      </vt:variant>
      <vt:variant>
        <vt:lpwstr/>
      </vt:variant>
      <vt:variant>
        <vt:lpwstr>_Toc391638275</vt:lpwstr>
      </vt:variant>
      <vt:variant>
        <vt:i4>1507379</vt:i4>
      </vt:variant>
      <vt:variant>
        <vt:i4>362</vt:i4>
      </vt:variant>
      <vt:variant>
        <vt:i4>0</vt:i4>
      </vt:variant>
      <vt:variant>
        <vt:i4>5</vt:i4>
      </vt:variant>
      <vt:variant>
        <vt:lpwstr/>
      </vt:variant>
      <vt:variant>
        <vt:lpwstr>_Toc391638274</vt:lpwstr>
      </vt:variant>
      <vt:variant>
        <vt:i4>1507379</vt:i4>
      </vt:variant>
      <vt:variant>
        <vt:i4>356</vt:i4>
      </vt:variant>
      <vt:variant>
        <vt:i4>0</vt:i4>
      </vt:variant>
      <vt:variant>
        <vt:i4>5</vt:i4>
      </vt:variant>
      <vt:variant>
        <vt:lpwstr/>
      </vt:variant>
      <vt:variant>
        <vt:lpwstr>_Toc391638273</vt:lpwstr>
      </vt:variant>
      <vt:variant>
        <vt:i4>1507379</vt:i4>
      </vt:variant>
      <vt:variant>
        <vt:i4>350</vt:i4>
      </vt:variant>
      <vt:variant>
        <vt:i4>0</vt:i4>
      </vt:variant>
      <vt:variant>
        <vt:i4>5</vt:i4>
      </vt:variant>
      <vt:variant>
        <vt:lpwstr/>
      </vt:variant>
      <vt:variant>
        <vt:lpwstr>_Toc391638272</vt:lpwstr>
      </vt:variant>
      <vt:variant>
        <vt:i4>1507379</vt:i4>
      </vt:variant>
      <vt:variant>
        <vt:i4>344</vt:i4>
      </vt:variant>
      <vt:variant>
        <vt:i4>0</vt:i4>
      </vt:variant>
      <vt:variant>
        <vt:i4>5</vt:i4>
      </vt:variant>
      <vt:variant>
        <vt:lpwstr/>
      </vt:variant>
      <vt:variant>
        <vt:lpwstr>_Toc391638271</vt:lpwstr>
      </vt:variant>
      <vt:variant>
        <vt:i4>1507379</vt:i4>
      </vt:variant>
      <vt:variant>
        <vt:i4>338</vt:i4>
      </vt:variant>
      <vt:variant>
        <vt:i4>0</vt:i4>
      </vt:variant>
      <vt:variant>
        <vt:i4>5</vt:i4>
      </vt:variant>
      <vt:variant>
        <vt:lpwstr/>
      </vt:variant>
      <vt:variant>
        <vt:lpwstr>_Toc391638270</vt:lpwstr>
      </vt:variant>
      <vt:variant>
        <vt:i4>1441843</vt:i4>
      </vt:variant>
      <vt:variant>
        <vt:i4>332</vt:i4>
      </vt:variant>
      <vt:variant>
        <vt:i4>0</vt:i4>
      </vt:variant>
      <vt:variant>
        <vt:i4>5</vt:i4>
      </vt:variant>
      <vt:variant>
        <vt:lpwstr/>
      </vt:variant>
      <vt:variant>
        <vt:lpwstr>_Toc391638269</vt:lpwstr>
      </vt:variant>
      <vt:variant>
        <vt:i4>1441843</vt:i4>
      </vt:variant>
      <vt:variant>
        <vt:i4>326</vt:i4>
      </vt:variant>
      <vt:variant>
        <vt:i4>0</vt:i4>
      </vt:variant>
      <vt:variant>
        <vt:i4>5</vt:i4>
      </vt:variant>
      <vt:variant>
        <vt:lpwstr/>
      </vt:variant>
      <vt:variant>
        <vt:lpwstr>_Toc391638268</vt:lpwstr>
      </vt:variant>
      <vt:variant>
        <vt:i4>1441843</vt:i4>
      </vt:variant>
      <vt:variant>
        <vt:i4>320</vt:i4>
      </vt:variant>
      <vt:variant>
        <vt:i4>0</vt:i4>
      </vt:variant>
      <vt:variant>
        <vt:i4>5</vt:i4>
      </vt:variant>
      <vt:variant>
        <vt:lpwstr/>
      </vt:variant>
      <vt:variant>
        <vt:lpwstr>_Toc391638267</vt:lpwstr>
      </vt:variant>
      <vt:variant>
        <vt:i4>1441843</vt:i4>
      </vt:variant>
      <vt:variant>
        <vt:i4>314</vt:i4>
      </vt:variant>
      <vt:variant>
        <vt:i4>0</vt:i4>
      </vt:variant>
      <vt:variant>
        <vt:i4>5</vt:i4>
      </vt:variant>
      <vt:variant>
        <vt:lpwstr/>
      </vt:variant>
      <vt:variant>
        <vt:lpwstr>_Toc391638266</vt:lpwstr>
      </vt:variant>
      <vt:variant>
        <vt:i4>1441843</vt:i4>
      </vt:variant>
      <vt:variant>
        <vt:i4>308</vt:i4>
      </vt:variant>
      <vt:variant>
        <vt:i4>0</vt:i4>
      </vt:variant>
      <vt:variant>
        <vt:i4>5</vt:i4>
      </vt:variant>
      <vt:variant>
        <vt:lpwstr/>
      </vt:variant>
      <vt:variant>
        <vt:lpwstr>_Toc391638265</vt:lpwstr>
      </vt:variant>
      <vt:variant>
        <vt:i4>1441843</vt:i4>
      </vt:variant>
      <vt:variant>
        <vt:i4>302</vt:i4>
      </vt:variant>
      <vt:variant>
        <vt:i4>0</vt:i4>
      </vt:variant>
      <vt:variant>
        <vt:i4>5</vt:i4>
      </vt:variant>
      <vt:variant>
        <vt:lpwstr/>
      </vt:variant>
      <vt:variant>
        <vt:lpwstr>_Toc391638264</vt:lpwstr>
      </vt:variant>
      <vt:variant>
        <vt:i4>1441843</vt:i4>
      </vt:variant>
      <vt:variant>
        <vt:i4>296</vt:i4>
      </vt:variant>
      <vt:variant>
        <vt:i4>0</vt:i4>
      </vt:variant>
      <vt:variant>
        <vt:i4>5</vt:i4>
      </vt:variant>
      <vt:variant>
        <vt:lpwstr/>
      </vt:variant>
      <vt:variant>
        <vt:lpwstr>_Toc391638263</vt:lpwstr>
      </vt:variant>
      <vt:variant>
        <vt:i4>1441843</vt:i4>
      </vt:variant>
      <vt:variant>
        <vt:i4>290</vt:i4>
      </vt:variant>
      <vt:variant>
        <vt:i4>0</vt:i4>
      </vt:variant>
      <vt:variant>
        <vt:i4>5</vt:i4>
      </vt:variant>
      <vt:variant>
        <vt:lpwstr/>
      </vt:variant>
      <vt:variant>
        <vt:lpwstr>_Toc391638262</vt:lpwstr>
      </vt:variant>
      <vt:variant>
        <vt:i4>1441843</vt:i4>
      </vt:variant>
      <vt:variant>
        <vt:i4>284</vt:i4>
      </vt:variant>
      <vt:variant>
        <vt:i4>0</vt:i4>
      </vt:variant>
      <vt:variant>
        <vt:i4>5</vt:i4>
      </vt:variant>
      <vt:variant>
        <vt:lpwstr/>
      </vt:variant>
      <vt:variant>
        <vt:lpwstr>_Toc391638261</vt:lpwstr>
      </vt:variant>
      <vt:variant>
        <vt:i4>1441843</vt:i4>
      </vt:variant>
      <vt:variant>
        <vt:i4>278</vt:i4>
      </vt:variant>
      <vt:variant>
        <vt:i4>0</vt:i4>
      </vt:variant>
      <vt:variant>
        <vt:i4>5</vt:i4>
      </vt:variant>
      <vt:variant>
        <vt:lpwstr/>
      </vt:variant>
      <vt:variant>
        <vt:lpwstr>_Toc391638260</vt:lpwstr>
      </vt:variant>
      <vt:variant>
        <vt:i4>1376307</vt:i4>
      </vt:variant>
      <vt:variant>
        <vt:i4>272</vt:i4>
      </vt:variant>
      <vt:variant>
        <vt:i4>0</vt:i4>
      </vt:variant>
      <vt:variant>
        <vt:i4>5</vt:i4>
      </vt:variant>
      <vt:variant>
        <vt:lpwstr/>
      </vt:variant>
      <vt:variant>
        <vt:lpwstr>_Toc391638259</vt:lpwstr>
      </vt:variant>
      <vt:variant>
        <vt:i4>1376307</vt:i4>
      </vt:variant>
      <vt:variant>
        <vt:i4>266</vt:i4>
      </vt:variant>
      <vt:variant>
        <vt:i4>0</vt:i4>
      </vt:variant>
      <vt:variant>
        <vt:i4>5</vt:i4>
      </vt:variant>
      <vt:variant>
        <vt:lpwstr/>
      </vt:variant>
      <vt:variant>
        <vt:lpwstr>_Toc391638258</vt:lpwstr>
      </vt:variant>
      <vt:variant>
        <vt:i4>1376307</vt:i4>
      </vt:variant>
      <vt:variant>
        <vt:i4>260</vt:i4>
      </vt:variant>
      <vt:variant>
        <vt:i4>0</vt:i4>
      </vt:variant>
      <vt:variant>
        <vt:i4>5</vt:i4>
      </vt:variant>
      <vt:variant>
        <vt:lpwstr/>
      </vt:variant>
      <vt:variant>
        <vt:lpwstr>_Toc391638257</vt:lpwstr>
      </vt:variant>
      <vt:variant>
        <vt:i4>1376307</vt:i4>
      </vt:variant>
      <vt:variant>
        <vt:i4>254</vt:i4>
      </vt:variant>
      <vt:variant>
        <vt:i4>0</vt:i4>
      </vt:variant>
      <vt:variant>
        <vt:i4>5</vt:i4>
      </vt:variant>
      <vt:variant>
        <vt:lpwstr/>
      </vt:variant>
      <vt:variant>
        <vt:lpwstr>_Toc391638256</vt:lpwstr>
      </vt:variant>
      <vt:variant>
        <vt:i4>1376307</vt:i4>
      </vt:variant>
      <vt:variant>
        <vt:i4>248</vt:i4>
      </vt:variant>
      <vt:variant>
        <vt:i4>0</vt:i4>
      </vt:variant>
      <vt:variant>
        <vt:i4>5</vt:i4>
      </vt:variant>
      <vt:variant>
        <vt:lpwstr/>
      </vt:variant>
      <vt:variant>
        <vt:lpwstr>_Toc391638255</vt:lpwstr>
      </vt:variant>
      <vt:variant>
        <vt:i4>1376307</vt:i4>
      </vt:variant>
      <vt:variant>
        <vt:i4>242</vt:i4>
      </vt:variant>
      <vt:variant>
        <vt:i4>0</vt:i4>
      </vt:variant>
      <vt:variant>
        <vt:i4>5</vt:i4>
      </vt:variant>
      <vt:variant>
        <vt:lpwstr/>
      </vt:variant>
      <vt:variant>
        <vt:lpwstr>_Toc391638254</vt:lpwstr>
      </vt:variant>
      <vt:variant>
        <vt:i4>1376307</vt:i4>
      </vt:variant>
      <vt:variant>
        <vt:i4>236</vt:i4>
      </vt:variant>
      <vt:variant>
        <vt:i4>0</vt:i4>
      </vt:variant>
      <vt:variant>
        <vt:i4>5</vt:i4>
      </vt:variant>
      <vt:variant>
        <vt:lpwstr/>
      </vt:variant>
      <vt:variant>
        <vt:lpwstr>_Toc391638253</vt:lpwstr>
      </vt:variant>
      <vt:variant>
        <vt:i4>1376307</vt:i4>
      </vt:variant>
      <vt:variant>
        <vt:i4>230</vt:i4>
      </vt:variant>
      <vt:variant>
        <vt:i4>0</vt:i4>
      </vt:variant>
      <vt:variant>
        <vt:i4>5</vt:i4>
      </vt:variant>
      <vt:variant>
        <vt:lpwstr/>
      </vt:variant>
      <vt:variant>
        <vt:lpwstr>_Toc391638252</vt:lpwstr>
      </vt:variant>
      <vt:variant>
        <vt:i4>1376307</vt:i4>
      </vt:variant>
      <vt:variant>
        <vt:i4>224</vt:i4>
      </vt:variant>
      <vt:variant>
        <vt:i4>0</vt:i4>
      </vt:variant>
      <vt:variant>
        <vt:i4>5</vt:i4>
      </vt:variant>
      <vt:variant>
        <vt:lpwstr/>
      </vt:variant>
      <vt:variant>
        <vt:lpwstr>_Toc391638251</vt:lpwstr>
      </vt:variant>
      <vt:variant>
        <vt:i4>1376307</vt:i4>
      </vt:variant>
      <vt:variant>
        <vt:i4>218</vt:i4>
      </vt:variant>
      <vt:variant>
        <vt:i4>0</vt:i4>
      </vt:variant>
      <vt:variant>
        <vt:i4>5</vt:i4>
      </vt:variant>
      <vt:variant>
        <vt:lpwstr/>
      </vt:variant>
      <vt:variant>
        <vt:lpwstr>_Toc391638250</vt:lpwstr>
      </vt:variant>
      <vt:variant>
        <vt:i4>1310771</vt:i4>
      </vt:variant>
      <vt:variant>
        <vt:i4>212</vt:i4>
      </vt:variant>
      <vt:variant>
        <vt:i4>0</vt:i4>
      </vt:variant>
      <vt:variant>
        <vt:i4>5</vt:i4>
      </vt:variant>
      <vt:variant>
        <vt:lpwstr/>
      </vt:variant>
      <vt:variant>
        <vt:lpwstr>_Toc391638249</vt:lpwstr>
      </vt:variant>
      <vt:variant>
        <vt:i4>1310771</vt:i4>
      </vt:variant>
      <vt:variant>
        <vt:i4>206</vt:i4>
      </vt:variant>
      <vt:variant>
        <vt:i4>0</vt:i4>
      </vt:variant>
      <vt:variant>
        <vt:i4>5</vt:i4>
      </vt:variant>
      <vt:variant>
        <vt:lpwstr/>
      </vt:variant>
      <vt:variant>
        <vt:lpwstr>_Toc391638248</vt:lpwstr>
      </vt:variant>
      <vt:variant>
        <vt:i4>1310771</vt:i4>
      </vt:variant>
      <vt:variant>
        <vt:i4>200</vt:i4>
      </vt:variant>
      <vt:variant>
        <vt:i4>0</vt:i4>
      </vt:variant>
      <vt:variant>
        <vt:i4>5</vt:i4>
      </vt:variant>
      <vt:variant>
        <vt:lpwstr/>
      </vt:variant>
      <vt:variant>
        <vt:lpwstr>_Toc391638247</vt:lpwstr>
      </vt:variant>
      <vt:variant>
        <vt:i4>1310771</vt:i4>
      </vt:variant>
      <vt:variant>
        <vt:i4>194</vt:i4>
      </vt:variant>
      <vt:variant>
        <vt:i4>0</vt:i4>
      </vt:variant>
      <vt:variant>
        <vt:i4>5</vt:i4>
      </vt:variant>
      <vt:variant>
        <vt:lpwstr/>
      </vt:variant>
      <vt:variant>
        <vt:lpwstr>_Toc391638246</vt:lpwstr>
      </vt:variant>
      <vt:variant>
        <vt:i4>1310771</vt:i4>
      </vt:variant>
      <vt:variant>
        <vt:i4>188</vt:i4>
      </vt:variant>
      <vt:variant>
        <vt:i4>0</vt:i4>
      </vt:variant>
      <vt:variant>
        <vt:i4>5</vt:i4>
      </vt:variant>
      <vt:variant>
        <vt:lpwstr/>
      </vt:variant>
      <vt:variant>
        <vt:lpwstr>_Toc391638245</vt:lpwstr>
      </vt:variant>
      <vt:variant>
        <vt:i4>1310771</vt:i4>
      </vt:variant>
      <vt:variant>
        <vt:i4>182</vt:i4>
      </vt:variant>
      <vt:variant>
        <vt:i4>0</vt:i4>
      </vt:variant>
      <vt:variant>
        <vt:i4>5</vt:i4>
      </vt:variant>
      <vt:variant>
        <vt:lpwstr/>
      </vt:variant>
      <vt:variant>
        <vt:lpwstr>_Toc391638244</vt:lpwstr>
      </vt:variant>
      <vt:variant>
        <vt:i4>1310771</vt:i4>
      </vt:variant>
      <vt:variant>
        <vt:i4>176</vt:i4>
      </vt:variant>
      <vt:variant>
        <vt:i4>0</vt:i4>
      </vt:variant>
      <vt:variant>
        <vt:i4>5</vt:i4>
      </vt:variant>
      <vt:variant>
        <vt:lpwstr/>
      </vt:variant>
      <vt:variant>
        <vt:lpwstr>_Toc391638243</vt:lpwstr>
      </vt:variant>
      <vt:variant>
        <vt:i4>1310771</vt:i4>
      </vt:variant>
      <vt:variant>
        <vt:i4>170</vt:i4>
      </vt:variant>
      <vt:variant>
        <vt:i4>0</vt:i4>
      </vt:variant>
      <vt:variant>
        <vt:i4>5</vt:i4>
      </vt:variant>
      <vt:variant>
        <vt:lpwstr/>
      </vt:variant>
      <vt:variant>
        <vt:lpwstr>_Toc391638242</vt:lpwstr>
      </vt:variant>
      <vt:variant>
        <vt:i4>1310771</vt:i4>
      </vt:variant>
      <vt:variant>
        <vt:i4>164</vt:i4>
      </vt:variant>
      <vt:variant>
        <vt:i4>0</vt:i4>
      </vt:variant>
      <vt:variant>
        <vt:i4>5</vt:i4>
      </vt:variant>
      <vt:variant>
        <vt:lpwstr/>
      </vt:variant>
      <vt:variant>
        <vt:lpwstr>_Toc391638241</vt:lpwstr>
      </vt:variant>
      <vt:variant>
        <vt:i4>1310771</vt:i4>
      </vt:variant>
      <vt:variant>
        <vt:i4>158</vt:i4>
      </vt:variant>
      <vt:variant>
        <vt:i4>0</vt:i4>
      </vt:variant>
      <vt:variant>
        <vt:i4>5</vt:i4>
      </vt:variant>
      <vt:variant>
        <vt:lpwstr/>
      </vt:variant>
      <vt:variant>
        <vt:lpwstr>_Toc391638240</vt:lpwstr>
      </vt:variant>
      <vt:variant>
        <vt:i4>1245235</vt:i4>
      </vt:variant>
      <vt:variant>
        <vt:i4>152</vt:i4>
      </vt:variant>
      <vt:variant>
        <vt:i4>0</vt:i4>
      </vt:variant>
      <vt:variant>
        <vt:i4>5</vt:i4>
      </vt:variant>
      <vt:variant>
        <vt:lpwstr/>
      </vt:variant>
      <vt:variant>
        <vt:lpwstr>_Toc391638239</vt:lpwstr>
      </vt:variant>
      <vt:variant>
        <vt:i4>1245235</vt:i4>
      </vt:variant>
      <vt:variant>
        <vt:i4>146</vt:i4>
      </vt:variant>
      <vt:variant>
        <vt:i4>0</vt:i4>
      </vt:variant>
      <vt:variant>
        <vt:i4>5</vt:i4>
      </vt:variant>
      <vt:variant>
        <vt:lpwstr/>
      </vt:variant>
      <vt:variant>
        <vt:lpwstr>_Toc391638238</vt:lpwstr>
      </vt:variant>
      <vt:variant>
        <vt:i4>1245235</vt:i4>
      </vt:variant>
      <vt:variant>
        <vt:i4>140</vt:i4>
      </vt:variant>
      <vt:variant>
        <vt:i4>0</vt:i4>
      </vt:variant>
      <vt:variant>
        <vt:i4>5</vt:i4>
      </vt:variant>
      <vt:variant>
        <vt:lpwstr/>
      </vt:variant>
      <vt:variant>
        <vt:lpwstr>_Toc391638237</vt:lpwstr>
      </vt:variant>
      <vt:variant>
        <vt:i4>1245235</vt:i4>
      </vt:variant>
      <vt:variant>
        <vt:i4>134</vt:i4>
      </vt:variant>
      <vt:variant>
        <vt:i4>0</vt:i4>
      </vt:variant>
      <vt:variant>
        <vt:i4>5</vt:i4>
      </vt:variant>
      <vt:variant>
        <vt:lpwstr/>
      </vt:variant>
      <vt:variant>
        <vt:lpwstr>_Toc391638236</vt:lpwstr>
      </vt:variant>
      <vt:variant>
        <vt:i4>1245235</vt:i4>
      </vt:variant>
      <vt:variant>
        <vt:i4>128</vt:i4>
      </vt:variant>
      <vt:variant>
        <vt:i4>0</vt:i4>
      </vt:variant>
      <vt:variant>
        <vt:i4>5</vt:i4>
      </vt:variant>
      <vt:variant>
        <vt:lpwstr/>
      </vt:variant>
      <vt:variant>
        <vt:lpwstr>_Toc391638235</vt:lpwstr>
      </vt:variant>
      <vt:variant>
        <vt:i4>1245235</vt:i4>
      </vt:variant>
      <vt:variant>
        <vt:i4>122</vt:i4>
      </vt:variant>
      <vt:variant>
        <vt:i4>0</vt:i4>
      </vt:variant>
      <vt:variant>
        <vt:i4>5</vt:i4>
      </vt:variant>
      <vt:variant>
        <vt:lpwstr/>
      </vt:variant>
      <vt:variant>
        <vt:lpwstr>_Toc391638234</vt:lpwstr>
      </vt:variant>
      <vt:variant>
        <vt:i4>1245235</vt:i4>
      </vt:variant>
      <vt:variant>
        <vt:i4>116</vt:i4>
      </vt:variant>
      <vt:variant>
        <vt:i4>0</vt:i4>
      </vt:variant>
      <vt:variant>
        <vt:i4>5</vt:i4>
      </vt:variant>
      <vt:variant>
        <vt:lpwstr/>
      </vt:variant>
      <vt:variant>
        <vt:lpwstr>_Toc391638233</vt:lpwstr>
      </vt:variant>
      <vt:variant>
        <vt:i4>1245235</vt:i4>
      </vt:variant>
      <vt:variant>
        <vt:i4>110</vt:i4>
      </vt:variant>
      <vt:variant>
        <vt:i4>0</vt:i4>
      </vt:variant>
      <vt:variant>
        <vt:i4>5</vt:i4>
      </vt:variant>
      <vt:variant>
        <vt:lpwstr/>
      </vt:variant>
      <vt:variant>
        <vt:lpwstr>_Toc391638232</vt:lpwstr>
      </vt:variant>
      <vt:variant>
        <vt:i4>1245235</vt:i4>
      </vt:variant>
      <vt:variant>
        <vt:i4>104</vt:i4>
      </vt:variant>
      <vt:variant>
        <vt:i4>0</vt:i4>
      </vt:variant>
      <vt:variant>
        <vt:i4>5</vt:i4>
      </vt:variant>
      <vt:variant>
        <vt:lpwstr/>
      </vt:variant>
      <vt:variant>
        <vt:lpwstr>_Toc391638231</vt:lpwstr>
      </vt:variant>
      <vt:variant>
        <vt:i4>1245235</vt:i4>
      </vt:variant>
      <vt:variant>
        <vt:i4>98</vt:i4>
      </vt:variant>
      <vt:variant>
        <vt:i4>0</vt:i4>
      </vt:variant>
      <vt:variant>
        <vt:i4>5</vt:i4>
      </vt:variant>
      <vt:variant>
        <vt:lpwstr/>
      </vt:variant>
      <vt:variant>
        <vt:lpwstr>_Toc391638230</vt:lpwstr>
      </vt:variant>
      <vt:variant>
        <vt:i4>1179699</vt:i4>
      </vt:variant>
      <vt:variant>
        <vt:i4>92</vt:i4>
      </vt:variant>
      <vt:variant>
        <vt:i4>0</vt:i4>
      </vt:variant>
      <vt:variant>
        <vt:i4>5</vt:i4>
      </vt:variant>
      <vt:variant>
        <vt:lpwstr/>
      </vt:variant>
      <vt:variant>
        <vt:lpwstr>_Toc391638229</vt:lpwstr>
      </vt:variant>
      <vt:variant>
        <vt:i4>1179699</vt:i4>
      </vt:variant>
      <vt:variant>
        <vt:i4>86</vt:i4>
      </vt:variant>
      <vt:variant>
        <vt:i4>0</vt:i4>
      </vt:variant>
      <vt:variant>
        <vt:i4>5</vt:i4>
      </vt:variant>
      <vt:variant>
        <vt:lpwstr/>
      </vt:variant>
      <vt:variant>
        <vt:lpwstr>_Toc391638228</vt:lpwstr>
      </vt:variant>
      <vt:variant>
        <vt:i4>1179699</vt:i4>
      </vt:variant>
      <vt:variant>
        <vt:i4>80</vt:i4>
      </vt:variant>
      <vt:variant>
        <vt:i4>0</vt:i4>
      </vt:variant>
      <vt:variant>
        <vt:i4>5</vt:i4>
      </vt:variant>
      <vt:variant>
        <vt:lpwstr/>
      </vt:variant>
      <vt:variant>
        <vt:lpwstr>_Toc391638227</vt:lpwstr>
      </vt:variant>
      <vt:variant>
        <vt:i4>1179699</vt:i4>
      </vt:variant>
      <vt:variant>
        <vt:i4>74</vt:i4>
      </vt:variant>
      <vt:variant>
        <vt:i4>0</vt:i4>
      </vt:variant>
      <vt:variant>
        <vt:i4>5</vt:i4>
      </vt:variant>
      <vt:variant>
        <vt:lpwstr/>
      </vt:variant>
      <vt:variant>
        <vt:lpwstr>_Toc391638226</vt:lpwstr>
      </vt:variant>
      <vt:variant>
        <vt:i4>1179699</vt:i4>
      </vt:variant>
      <vt:variant>
        <vt:i4>68</vt:i4>
      </vt:variant>
      <vt:variant>
        <vt:i4>0</vt:i4>
      </vt:variant>
      <vt:variant>
        <vt:i4>5</vt:i4>
      </vt:variant>
      <vt:variant>
        <vt:lpwstr/>
      </vt:variant>
      <vt:variant>
        <vt:lpwstr>_Toc391638225</vt:lpwstr>
      </vt:variant>
      <vt:variant>
        <vt:i4>1179699</vt:i4>
      </vt:variant>
      <vt:variant>
        <vt:i4>62</vt:i4>
      </vt:variant>
      <vt:variant>
        <vt:i4>0</vt:i4>
      </vt:variant>
      <vt:variant>
        <vt:i4>5</vt:i4>
      </vt:variant>
      <vt:variant>
        <vt:lpwstr/>
      </vt:variant>
      <vt:variant>
        <vt:lpwstr>_Toc391638224</vt:lpwstr>
      </vt:variant>
      <vt:variant>
        <vt:i4>1179699</vt:i4>
      </vt:variant>
      <vt:variant>
        <vt:i4>56</vt:i4>
      </vt:variant>
      <vt:variant>
        <vt:i4>0</vt:i4>
      </vt:variant>
      <vt:variant>
        <vt:i4>5</vt:i4>
      </vt:variant>
      <vt:variant>
        <vt:lpwstr/>
      </vt:variant>
      <vt:variant>
        <vt:lpwstr>_Toc391638223</vt:lpwstr>
      </vt:variant>
      <vt:variant>
        <vt:i4>1179699</vt:i4>
      </vt:variant>
      <vt:variant>
        <vt:i4>50</vt:i4>
      </vt:variant>
      <vt:variant>
        <vt:i4>0</vt:i4>
      </vt:variant>
      <vt:variant>
        <vt:i4>5</vt:i4>
      </vt:variant>
      <vt:variant>
        <vt:lpwstr/>
      </vt:variant>
      <vt:variant>
        <vt:lpwstr>_Toc391638222</vt:lpwstr>
      </vt:variant>
      <vt:variant>
        <vt:i4>1179699</vt:i4>
      </vt:variant>
      <vt:variant>
        <vt:i4>44</vt:i4>
      </vt:variant>
      <vt:variant>
        <vt:i4>0</vt:i4>
      </vt:variant>
      <vt:variant>
        <vt:i4>5</vt:i4>
      </vt:variant>
      <vt:variant>
        <vt:lpwstr/>
      </vt:variant>
      <vt:variant>
        <vt:lpwstr>_Toc391638221</vt:lpwstr>
      </vt:variant>
      <vt:variant>
        <vt:i4>1179699</vt:i4>
      </vt:variant>
      <vt:variant>
        <vt:i4>38</vt:i4>
      </vt:variant>
      <vt:variant>
        <vt:i4>0</vt:i4>
      </vt:variant>
      <vt:variant>
        <vt:i4>5</vt:i4>
      </vt:variant>
      <vt:variant>
        <vt:lpwstr/>
      </vt:variant>
      <vt:variant>
        <vt:lpwstr>_Toc391638220</vt:lpwstr>
      </vt:variant>
      <vt:variant>
        <vt:i4>1114163</vt:i4>
      </vt:variant>
      <vt:variant>
        <vt:i4>32</vt:i4>
      </vt:variant>
      <vt:variant>
        <vt:i4>0</vt:i4>
      </vt:variant>
      <vt:variant>
        <vt:i4>5</vt:i4>
      </vt:variant>
      <vt:variant>
        <vt:lpwstr/>
      </vt:variant>
      <vt:variant>
        <vt:lpwstr>_Toc391638219</vt:lpwstr>
      </vt:variant>
      <vt:variant>
        <vt:i4>1114163</vt:i4>
      </vt:variant>
      <vt:variant>
        <vt:i4>26</vt:i4>
      </vt:variant>
      <vt:variant>
        <vt:i4>0</vt:i4>
      </vt:variant>
      <vt:variant>
        <vt:i4>5</vt:i4>
      </vt:variant>
      <vt:variant>
        <vt:lpwstr/>
      </vt:variant>
      <vt:variant>
        <vt:lpwstr>_Toc391638218</vt:lpwstr>
      </vt:variant>
      <vt:variant>
        <vt:i4>1114163</vt:i4>
      </vt:variant>
      <vt:variant>
        <vt:i4>20</vt:i4>
      </vt:variant>
      <vt:variant>
        <vt:i4>0</vt:i4>
      </vt:variant>
      <vt:variant>
        <vt:i4>5</vt:i4>
      </vt:variant>
      <vt:variant>
        <vt:lpwstr/>
      </vt:variant>
      <vt:variant>
        <vt:lpwstr>_Toc391638217</vt:lpwstr>
      </vt:variant>
      <vt:variant>
        <vt:i4>1114163</vt:i4>
      </vt:variant>
      <vt:variant>
        <vt:i4>14</vt:i4>
      </vt:variant>
      <vt:variant>
        <vt:i4>0</vt:i4>
      </vt:variant>
      <vt:variant>
        <vt:i4>5</vt:i4>
      </vt:variant>
      <vt:variant>
        <vt:lpwstr/>
      </vt:variant>
      <vt:variant>
        <vt:lpwstr>_Toc391638216</vt:lpwstr>
      </vt:variant>
      <vt:variant>
        <vt:i4>1114163</vt:i4>
      </vt:variant>
      <vt:variant>
        <vt:i4>8</vt:i4>
      </vt:variant>
      <vt:variant>
        <vt:i4>0</vt:i4>
      </vt:variant>
      <vt:variant>
        <vt:i4>5</vt:i4>
      </vt:variant>
      <vt:variant>
        <vt:lpwstr/>
      </vt:variant>
      <vt:variant>
        <vt:lpwstr>_Toc391638215</vt:lpwstr>
      </vt:variant>
      <vt:variant>
        <vt:i4>1114163</vt:i4>
      </vt:variant>
      <vt:variant>
        <vt:i4>2</vt:i4>
      </vt:variant>
      <vt:variant>
        <vt:i4>0</vt:i4>
      </vt:variant>
      <vt:variant>
        <vt:i4>5</vt:i4>
      </vt:variant>
      <vt:variant>
        <vt:lpwstr/>
      </vt:variant>
      <vt:variant>
        <vt:lpwstr>_Toc391638214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
  <cp:keywords/>
  <cp:lastModifiedBy/>
  <cp:revision>1</cp:revision>
  <dcterms:created xsi:type="dcterms:W3CDTF">2026-05-07T20:57:00Z</dcterms:created>
  <dcterms:modified xsi:type="dcterms:W3CDTF">2026-05-08T16:10:00Z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0x010100F4DE1AACB87EAA4BB22C173C8FC48D4D</vt:lpwstr>
  </property>
</Properties>
</file>